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2E397" w14:textId="77777777" w:rsidR="002F5815" w:rsidRPr="00276BCA" w:rsidRDefault="002F5815" w:rsidP="00115040">
      <w:pPr>
        <w:rPr>
          <w:rFonts w:ascii="Calibri" w:hAnsi="Calibri" w:cs="Calibri"/>
          <w:szCs w:val="24"/>
        </w:rPr>
      </w:pPr>
      <w:r w:rsidRPr="003103B1">
        <w:rPr>
          <w:color w:val="FF0000"/>
        </w:rPr>
        <w:t>An addendum has been included at the end of these minutes</w:t>
      </w:r>
      <w:r w:rsidRPr="00276BCA">
        <w:rPr>
          <w:color w:val="FF0000"/>
        </w:rPr>
        <w:t>.</w:t>
      </w:r>
    </w:p>
    <w:p w14:paraId="29E4EBD0" w14:textId="2695B5CE" w:rsidR="00583278" w:rsidRPr="00276BCA" w:rsidRDefault="008E1B2E" w:rsidP="00BF1257">
      <w:pPr>
        <w:pStyle w:val="2-SectionHeading"/>
        <w:rPr>
          <w:rFonts w:eastAsiaTheme="majorEastAsia"/>
          <w:bCs/>
          <w:sz w:val="36"/>
          <w:szCs w:val="36"/>
        </w:rPr>
      </w:pPr>
      <w:r w:rsidRPr="00276BCA">
        <w:rPr>
          <w:smallCaps/>
          <w:sz w:val="36"/>
          <w:szCs w:val="36"/>
        </w:rPr>
        <w:t>5.19</w:t>
      </w:r>
      <w:r w:rsidR="000E46A3" w:rsidRPr="00276BCA">
        <w:rPr>
          <w:smallCaps/>
          <w:sz w:val="36"/>
          <w:szCs w:val="36"/>
        </w:rPr>
        <w:tab/>
      </w:r>
      <w:r w:rsidR="00A6173E" w:rsidRPr="00276BCA">
        <w:rPr>
          <w:spacing w:val="5"/>
          <w:kern w:val="28"/>
          <w:sz w:val="36"/>
          <w:szCs w:val="36"/>
        </w:rPr>
        <w:t>ZOLBETUXIMAB</w:t>
      </w:r>
      <w:r w:rsidR="00353771" w:rsidRPr="00276BCA">
        <w:rPr>
          <w:spacing w:val="5"/>
          <w:kern w:val="28"/>
          <w:sz w:val="36"/>
          <w:szCs w:val="36"/>
        </w:rPr>
        <w:t>,</w:t>
      </w:r>
      <w:r w:rsidR="00FC0A62" w:rsidRPr="00276BCA">
        <w:rPr>
          <w:spacing w:val="5"/>
          <w:kern w:val="28"/>
          <w:sz w:val="36"/>
          <w:szCs w:val="36"/>
        </w:rPr>
        <w:br/>
      </w:r>
      <w:r w:rsidR="00D55E66" w:rsidRPr="00276BCA">
        <w:rPr>
          <w:spacing w:val="5"/>
          <w:kern w:val="28"/>
          <w:sz w:val="36"/>
          <w:szCs w:val="36"/>
        </w:rPr>
        <w:t>Powder for I.V. infusion 100 mg (20 mg per</w:t>
      </w:r>
      <w:r w:rsidR="000E46A3" w:rsidRPr="00276BCA">
        <w:rPr>
          <w:spacing w:val="5"/>
          <w:kern w:val="28"/>
          <w:sz w:val="36"/>
          <w:szCs w:val="36"/>
        </w:rPr>
        <w:t xml:space="preserve"> </w:t>
      </w:r>
      <w:r w:rsidR="00D55E66" w:rsidRPr="00276BCA">
        <w:rPr>
          <w:spacing w:val="5"/>
          <w:kern w:val="28"/>
          <w:sz w:val="36"/>
          <w:szCs w:val="36"/>
        </w:rPr>
        <w:t>mL)</w:t>
      </w:r>
      <w:r w:rsidR="00FC0A62" w:rsidRPr="00276BCA">
        <w:rPr>
          <w:spacing w:val="5"/>
          <w:kern w:val="28"/>
          <w:sz w:val="36"/>
          <w:szCs w:val="36"/>
        </w:rPr>
        <w:t>,</w:t>
      </w:r>
      <w:r w:rsidR="00FC0A62" w:rsidRPr="00276BCA">
        <w:rPr>
          <w:spacing w:val="5"/>
          <w:kern w:val="28"/>
          <w:sz w:val="36"/>
          <w:szCs w:val="36"/>
        </w:rPr>
        <w:br/>
      </w:r>
      <w:proofErr w:type="spellStart"/>
      <w:r w:rsidR="00BB37B5" w:rsidRPr="00276BCA">
        <w:rPr>
          <w:spacing w:val="5"/>
          <w:kern w:val="28"/>
          <w:sz w:val="36"/>
          <w:szCs w:val="36"/>
        </w:rPr>
        <w:t>V</w:t>
      </w:r>
      <w:r w:rsidR="00D55E66" w:rsidRPr="00276BCA">
        <w:rPr>
          <w:spacing w:val="5"/>
          <w:kern w:val="28"/>
          <w:sz w:val="36"/>
          <w:szCs w:val="36"/>
        </w:rPr>
        <w:t>yloy</w:t>
      </w:r>
      <w:proofErr w:type="spellEnd"/>
      <w:r w:rsidR="00BB37B5" w:rsidRPr="00276BCA">
        <w:rPr>
          <w:spacing w:val="5"/>
          <w:kern w:val="28"/>
          <w:sz w:val="36"/>
          <w:szCs w:val="36"/>
        </w:rPr>
        <w:t>®</w:t>
      </w:r>
      <w:r w:rsidR="00F90E48" w:rsidRPr="00276BCA">
        <w:rPr>
          <w:spacing w:val="5"/>
          <w:kern w:val="28"/>
          <w:sz w:val="36"/>
          <w:szCs w:val="36"/>
        </w:rPr>
        <w:br/>
      </w:r>
      <w:r w:rsidR="00A65051" w:rsidRPr="00276BCA">
        <w:rPr>
          <w:rFonts w:eastAsiaTheme="majorEastAsia"/>
          <w:bCs/>
          <w:sz w:val="36"/>
          <w:szCs w:val="36"/>
        </w:rPr>
        <w:t>ASTELLAS PHARMA AUSTRALIA PTY LTD</w:t>
      </w:r>
    </w:p>
    <w:p w14:paraId="10217D5D" w14:textId="77777777" w:rsidR="00C317F3" w:rsidRPr="00276BCA" w:rsidRDefault="00C317F3" w:rsidP="00454B25">
      <w:pPr>
        <w:pStyle w:val="PBACESHeading1"/>
        <w:numPr>
          <w:ilvl w:val="0"/>
          <w:numId w:val="15"/>
        </w:numPr>
      </w:pPr>
      <w:bookmarkStart w:id="0" w:name="_Toc413139271"/>
      <w:bookmarkStart w:id="1" w:name="_Toc187863740"/>
      <w:bookmarkStart w:id="2" w:name="_Toc188441224"/>
      <w:bookmarkStart w:id="3" w:name="_Ref189083019"/>
      <w:bookmarkStart w:id="4" w:name="_Ref191312783"/>
      <w:bookmarkStart w:id="5" w:name="_Ref191393078"/>
      <w:r w:rsidRPr="00276BCA">
        <w:t xml:space="preserve">Purpose of </w:t>
      </w:r>
      <w:r w:rsidR="00934564" w:rsidRPr="00276BCA">
        <w:t>submiss</w:t>
      </w:r>
      <w:r w:rsidRPr="00276BCA">
        <w:t>ion</w:t>
      </w:r>
      <w:bookmarkEnd w:id="0"/>
      <w:bookmarkEnd w:id="1"/>
      <w:bookmarkEnd w:id="2"/>
      <w:bookmarkEnd w:id="3"/>
      <w:bookmarkEnd w:id="4"/>
      <w:bookmarkEnd w:id="5"/>
    </w:p>
    <w:p w14:paraId="11417A1A" w14:textId="65E796CD" w:rsidR="009F36BD" w:rsidRPr="00276BCA" w:rsidRDefault="692C309A" w:rsidP="00F927FB">
      <w:pPr>
        <w:pStyle w:val="ListParagraph"/>
        <w:numPr>
          <w:ilvl w:val="4"/>
          <w:numId w:val="8"/>
        </w:numPr>
        <w:rPr>
          <w:color w:val="auto"/>
        </w:rPr>
      </w:pPr>
      <w:r w:rsidRPr="00276BCA">
        <w:rPr>
          <w:color w:val="auto"/>
        </w:rPr>
        <w:t>A Category 1</w:t>
      </w:r>
      <w:r w:rsidR="4AD7CB13" w:rsidRPr="00276BCA">
        <w:rPr>
          <w:color w:val="auto"/>
        </w:rPr>
        <w:t xml:space="preserve"> </w:t>
      </w:r>
      <w:r w:rsidRPr="00276BCA">
        <w:rPr>
          <w:color w:val="auto"/>
        </w:rPr>
        <w:t>integrated codependent submission</w:t>
      </w:r>
      <w:r w:rsidR="4AD7CB13" w:rsidRPr="00276BCA">
        <w:rPr>
          <w:color w:val="auto"/>
        </w:rPr>
        <w:t xml:space="preserve"> </w:t>
      </w:r>
      <w:r w:rsidR="5A484CAC" w:rsidRPr="00276BCA">
        <w:rPr>
          <w:color w:val="auto"/>
        </w:rPr>
        <w:t xml:space="preserve">requesting </w:t>
      </w:r>
      <w:r w:rsidR="3A75AE52" w:rsidRPr="00276BCA">
        <w:rPr>
          <w:color w:val="auto"/>
        </w:rPr>
        <w:t xml:space="preserve">Medicare Benefits Schedule (MBS) </w:t>
      </w:r>
      <w:r w:rsidR="5A484CAC" w:rsidRPr="00276BCA">
        <w:rPr>
          <w:color w:val="auto"/>
        </w:rPr>
        <w:t xml:space="preserve">listing of </w:t>
      </w:r>
      <w:r w:rsidR="4AD7CB13" w:rsidRPr="00276BCA">
        <w:rPr>
          <w:color w:val="auto"/>
        </w:rPr>
        <w:t>immunohistochemistry (IHC) testing for Claudin 18</w:t>
      </w:r>
      <w:r w:rsidR="230E1226" w:rsidRPr="00276BCA">
        <w:rPr>
          <w:color w:val="auto"/>
        </w:rPr>
        <w:t>.2</w:t>
      </w:r>
      <w:r w:rsidR="4AD7CB13" w:rsidRPr="00276BCA">
        <w:rPr>
          <w:color w:val="auto"/>
        </w:rPr>
        <w:t xml:space="preserve"> (CLDN18</w:t>
      </w:r>
      <w:r w:rsidR="230E1226" w:rsidRPr="00276BCA">
        <w:rPr>
          <w:color w:val="auto"/>
        </w:rPr>
        <w:t>.2</w:t>
      </w:r>
      <w:r w:rsidR="4AD7CB13" w:rsidRPr="00276BCA">
        <w:rPr>
          <w:color w:val="auto"/>
        </w:rPr>
        <w:t xml:space="preserve">) expression </w:t>
      </w:r>
      <w:r w:rsidR="51D8FB76" w:rsidRPr="00276BCA">
        <w:rPr>
          <w:color w:val="auto"/>
        </w:rPr>
        <w:t xml:space="preserve">and </w:t>
      </w:r>
      <w:r w:rsidR="66DC1AB4" w:rsidRPr="00276BCA">
        <w:rPr>
          <w:color w:val="auto"/>
        </w:rPr>
        <w:t xml:space="preserve">Pharmaceutical Benefits Scheme (PBS) </w:t>
      </w:r>
      <w:r w:rsidR="51D8FB76" w:rsidRPr="00276BCA">
        <w:rPr>
          <w:color w:val="auto"/>
        </w:rPr>
        <w:t xml:space="preserve">listing of </w:t>
      </w:r>
      <w:proofErr w:type="spellStart"/>
      <w:r w:rsidR="4AD7CB13" w:rsidRPr="00276BCA">
        <w:rPr>
          <w:color w:val="auto"/>
        </w:rPr>
        <w:t>zolbetuximab</w:t>
      </w:r>
      <w:proofErr w:type="spellEnd"/>
      <w:r w:rsidR="4AD7CB13" w:rsidRPr="00276BCA">
        <w:rPr>
          <w:color w:val="auto"/>
        </w:rPr>
        <w:t xml:space="preserve"> with fluoropyrimidine- and platinum-containing chemotherapy</w:t>
      </w:r>
      <w:r w:rsidR="51D8FB76" w:rsidRPr="00276BCA">
        <w:rPr>
          <w:color w:val="auto"/>
        </w:rPr>
        <w:t xml:space="preserve"> for the targeted</w:t>
      </w:r>
      <w:r w:rsidR="56E67ACD" w:rsidRPr="00276BCA">
        <w:rPr>
          <w:color w:val="auto"/>
        </w:rPr>
        <w:t xml:space="preserve"> first-line</w:t>
      </w:r>
      <w:r w:rsidR="51D8FB76" w:rsidRPr="00276BCA">
        <w:rPr>
          <w:color w:val="auto"/>
        </w:rPr>
        <w:t xml:space="preserve"> treatment of</w:t>
      </w:r>
      <w:r w:rsidR="4AD7CB13" w:rsidRPr="00276BCA">
        <w:rPr>
          <w:color w:val="auto"/>
        </w:rPr>
        <w:t xml:space="preserve"> patients with locally advanced unresectable or metastatic human epidermal growth factor receptor 2 (HER2)</w:t>
      </w:r>
      <w:r w:rsidR="634337B7" w:rsidRPr="00276BCA">
        <w:rPr>
          <w:color w:val="auto"/>
        </w:rPr>
        <w:t>-</w:t>
      </w:r>
      <w:r w:rsidR="4AD7CB13" w:rsidRPr="00276BCA">
        <w:rPr>
          <w:color w:val="auto"/>
        </w:rPr>
        <w:t>negative gastric or gastroesophageal junction (G/GOJ)</w:t>
      </w:r>
      <w:r w:rsidR="0079586C" w:rsidRPr="00276BCA">
        <w:rPr>
          <w:color w:val="auto"/>
        </w:rPr>
        <w:t xml:space="preserve"> </w:t>
      </w:r>
      <w:r w:rsidR="4AD7CB13" w:rsidRPr="00276BCA">
        <w:rPr>
          <w:color w:val="auto"/>
        </w:rPr>
        <w:t>adenocarcinoma whose tumours are CLDN18.2</w:t>
      </w:r>
      <w:r w:rsidR="56E67ACD" w:rsidRPr="00276BCA">
        <w:rPr>
          <w:color w:val="auto"/>
        </w:rPr>
        <w:t>-</w:t>
      </w:r>
      <w:r w:rsidR="00B86A24" w:rsidRPr="00276BCA">
        <w:rPr>
          <w:color w:val="auto"/>
        </w:rPr>
        <w:t> </w:t>
      </w:r>
      <w:r w:rsidR="4AD7CB13" w:rsidRPr="00276BCA">
        <w:rPr>
          <w:color w:val="auto"/>
        </w:rPr>
        <w:t xml:space="preserve">positive (CLDN18.2+). </w:t>
      </w:r>
    </w:p>
    <w:p w14:paraId="07D0BC5F" w14:textId="3C68CEA5" w:rsidR="009F36BD" w:rsidRPr="00276BCA" w:rsidRDefault="58F2FD05" w:rsidP="00F927FB">
      <w:pPr>
        <w:pStyle w:val="ListParagraph"/>
        <w:numPr>
          <w:ilvl w:val="4"/>
          <w:numId w:val="8"/>
        </w:numPr>
        <w:rPr>
          <w:rFonts w:ascii="Arial Narrow" w:hAnsi="Arial Narrow"/>
          <w:b/>
          <w:bCs/>
          <w:color w:val="auto"/>
          <w:sz w:val="20"/>
          <w:szCs w:val="20"/>
        </w:rPr>
      </w:pPr>
      <w:r w:rsidRPr="00276BCA">
        <w:rPr>
          <w:color w:val="auto"/>
        </w:rPr>
        <w:t xml:space="preserve">Listing was requested </w:t>
      </w:r>
      <w:proofErr w:type="gramStart"/>
      <w:r w:rsidRPr="00276BCA">
        <w:rPr>
          <w:color w:val="auto"/>
        </w:rPr>
        <w:t>on the basis of</w:t>
      </w:r>
      <w:proofErr w:type="gramEnd"/>
      <w:r w:rsidRPr="00276BCA">
        <w:rPr>
          <w:color w:val="auto"/>
        </w:rPr>
        <w:t xml:space="preserve"> a cost-minimisation</w:t>
      </w:r>
      <w:r w:rsidR="745FA859" w:rsidRPr="00276BCA">
        <w:rPr>
          <w:color w:val="auto"/>
        </w:rPr>
        <w:t xml:space="preserve"> approach</w:t>
      </w:r>
      <w:r w:rsidRPr="00276BCA">
        <w:rPr>
          <w:color w:val="auto"/>
        </w:rPr>
        <w:t xml:space="preserve"> </w:t>
      </w:r>
      <w:r w:rsidR="2B4B4B74" w:rsidRPr="00276BCA">
        <w:rPr>
          <w:color w:val="auto"/>
        </w:rPr>
        <w:t xml:space="preserve">(CMA) </w:t>
      </w:r>
      <w:r w:rsidRPr="00276BCA">
        <w:rPr>
          <w:color w:val="auto"/>
        </w:rPr>
        <w:t>versus</w:t>
      </w:r>
      <w:r w:rsidR="745FA859" w:rsidRPr="00276BCA">
        <w:rPr>
          <w:color w:val="auto"/>
        </w:rPr>
        <w:t xml:space="preserve"> nivolumab in combination with fluoropyrimidine- and platinum-containing chemotherapy with </w:t>
      </w:r>
      <w:bookmarkStart w:id="6" w:name="_Hlk183515690"/>
      <w:r w:rsidR="745FA859" w:rsidRPr="00276BCA">
        <w:rPr>
          <w:color w:val="auto"/>
        </w:rPr>
        <w:t>no testing.</w:t>
      </w:r>
    </w:p>
    <w:p w14:paraId="6F6D6EF2" w14:textId="3F9474E6" w:rsidR="00E01D22" w:rsidRPr="00276BCA" w:rsidRDefault="00E01D22" w:rsidP="0023411A">
      <w:pPr>
        <w:keepNext/>
        <w:keepLines/>
        <w:spacing w:after="0"/>
        <w:rPr>
          <w:rFonts w:ascii="Arial Narrow" w:hAnsi="Arial Narrow"/>
          <w:b/>
          <w:sz w:val="20"/>
          <w:szCs w:val="18"/>
        </w:rPr>
      </w:pPr>
      <w:r w:rsidRPr="00276BCA">
        <w:rPr>
          <w:rFonts w:ascii="Arial Narrow" w:hAnsi="Arial Narrow"/>
          <w:b/>
          <w:sz w:val="20"/>
          <w:szCs w:val="18"/>
        </w:rPr>
        <w:lastRenderedPageBreak/>
        <w:t xml:space="preserve">Table </w:t>
      </w:r>
      <w:r w:rsidR="00A31516" w:rsidRPr="00276BCA">
        <w:rPr>
          <w:rFonts w:ascii="Arial Narrow" w:hAnsi="Arial Narrow"/>
          <w:b/>
          <w:sz w:val="20"/>
          <w:szCs w:val="18"/>
        </w:rPr>
        <w:fldChar w:fldCharType="begin"/>
      </w:r>
      <w:r w:rsidR="00A31516" w:rsidRPr="00276BCA">
        <w:rPr>
          <w:rFonts w:ascii="Arial Narrow" w:hAnsi="Arial Narrow"/>
          <w:b/>
          <w:sz w:val="20"/>
          <w:szCs w:val="18"/>
        </w:rPr>
        <w:instrText xml:space="preserve"> SEQ Table_PBAC. \* ARABIC </w:instrText>
      </w:r>
      <w:r w:rsidR="00A31516" w:rsidRPr="00276BCA">
        <w:rPr>
          <w:rFonts w:ascii="Arial Narrow" w:hAnsi="Arial Narrow"/>
          <w:b/>
          <w:sz w:val="20"/>
          <w:szCs w:val="18"/>
        </w:rPr>
        <w:fldChar w:fldCharType="separate"/>
      </w:r>
      <w:r w:rsidR="0011458F">
        <w:rPr>
          <w:rFonts w:ascii="Arial Narrow" w:hAnsi="Arial Narrow"/>
          <w:b/>
          <w:noProof/>
          <w:sz w:val="20"/>
          <w:szCs w:val="18"/>
        </w:rPr>
        <w:t>1</w:t>
      </w:r>
      <w:r w:rsidR="00A31516" w:rsidRPr="00276BCA">
        <w:rPr>
          <w:rFonts w:ascii="Arial Narrow" w:hAnsi="Arial Narrow"/>
          <w:b/>
          <w:sz w:val="20"/>
          <w:szCs w:val="18"/>
        </w:rPr>
        <w:fldChar w:fldCharType="end"/>
      </w:r>
      <w:r w:rsidR="003D5647" w:rsidRPr="00276BCA">
        <w:rPr>
          <w:rFonts w:ascii="Arial Narrow" w:hAnsi="Arial Narrow"/>
          <w:b/>
          <w:sz w:val="20"/>
          <w:szCs w:val="18"/>
        </w:rPr>
        <w:t xml:space="preserve">: </w:t>
      </w:r>
      <w:r w:rsidRPr="00276BCA">
        <w:rPr>
          <w:rFonts w:ascii="Arial Narrow" w:hAnsi="Arial Narrow"/>
          <w:b/>
          <w:sz w:val="20"/>
          <w:szCs w:val="18"/>
        </w:rPr>
        <w:t>Key components of the clinical issue addressed by the submission</w:t>
      </w:r>
    </w:p>
    <w:tbl>
      <w:tblPr>
        <w:tblStyle w:val="PBACTableStyle"/>
        <w:tblW w:w="0" w:type="auto"/>
        <w:tblLook w:val="04A0" w:firstRow="1" w:lastRow="0" w:firstColumn="1" w:lastColumn="0" w:noHBand="0" w:noVBand="1"/>
        <w:tblCaption w:val="Table 1: Key components of the clinical issue addressed by the submission"/>
      </w:tblPr>
      <w:tblGrid>
        <w:gridCol w:w="1184"/>
        <w:gridCol w:w="7832"/>
      </w:tblGrid>
      <w:tr w:rsidR="00E41328" w:rsidRPr="00276BCA" w14:paraId="2EE6EB77" w14:textId="77777777" w:rsidTr="002341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vAlign w:val="bottom"/>
          </w:tcPr>
          <w:p w14:paraId="544633BF" w14:textId="77777777" w:rsidR="0017720E" w:rsidRPr="00276BCA" w:rsidRDefault="0017720E" w:rsidP="0023411A">
            <w:pPr>
              <w:pStyle w:val="TableText"/>
              <w:keepNext/>
              <w:keepLines/>
              <w:rPr>
                <w:color w:val="auto"/>
                <w:lang w:val="en-AU"/>
              </w:rPr>
            </w:pPr>
            <w:bookmarkStart w:id="7" w:name="_Hlk183195534"/>
            <w:r w:rsidRPr="00276BCA">
              <w:rPr>
                <w:lang w:val="en-AU"/>
              </w:rPr>
              <w:t>Component</w:t>
            </w:r>
          </w:p>
        </w:tc>
        <w:tc>
          <w:tcPr>
            <w:tcW w:w="7843" w:type="dxa"/>
            <w:vAlign w:val="bottom"/>
          </w:tcPr>
          <w:p w14:paraId="243C0DB7" w14:textId="77777777" w:rsidR="0017720E" w:rsidRPr="00276BCA" w:rsidRDefault="0017720E" w:rsidP="0023411A">
            <w:pPr>
              <w:pStyle w:val="TableText"/>
              <w:keepNext/>
              <w:keepLines/>
              <w:cnfStyle w:val="100000000000" w:firstRow="1" w:lastRow="0" w:firstColumn="0" w:lastColumn="0" w:oddVBand="0" w:evenVBand="0" w:oddHBand="0" w:evenHBand="0" w:firstRowFirstColumn="0" w:firstRowLastColumn="0" w:lastRowFirstColumn="0" w:lastRowLastColumn="0"/>
              <w:rPr>
                <w:color w:val="auto"/>
                <w:lang w:val="en-AU"/>
              </w:rPr>
            </w:pPr>
            <w:r w:rsidRPr="00276BCA">
              <w:rPr>
                <w:lang w:val="en-AU"/>
              </w:rPr>
              <w:t>Description</w:t>
            </w:r>
          </w:p>
        </w:tc>
      </w:tr>
      <w:tr w:rsidR="00E41328" w:rsidRPr="00276BCA" w14:paraId="4265CDDC" w14:textId="77777777" w:rsidTr="0023411A">
        <w:tc>
          <w:tcPr>
            <w:cnfStyle w:val="001000000000" w:firstRow="0" w:lastRow="0" w:firstColumn="1" w:lastColumn="0" w:oddVBand="0" w:evenVBand="0" w:oddHBand="0" w:evenHBand="0" w:firstRowFirstColumn="0" w:firstRowLastColumn="0" w:lastRowFirstColumn="0" w:lastRowLastColumn="0"/>
            <w:tcW w:w="1173" w:type="dxa"/>
          </w:tcPr>
          <w:p w14:paraId="6BE400BB" w14:textId="77777777" w:rsidR="00B446C2" w:rsidRPr="00276BCA" w:rsidRDefault="00B446C2" w:rsidP="0023411A">
            <w:pPr>
              <w:pStyle w:val="TableText"/>
              <w:keepNext/>
              <w:keepLines/>
              <w:rPr>
                <w:color w:val="auto"/>
                <w:lang w:val="en-AU"/>
              </w:rPr>
            </w:pPr>
            <w:r w:rsidRPr="00276BCA">
              <w:rPr>
                <w:lang w:val="en-AU"/>
              </w:rPr>
              <w:t>Population</w:t>
            </w:r>
          </w:p>
        </w:tc>
        <w:tc>
          <w:tcPr>
            <w:tcW w:w="7843" w:type="dxa"/>
          </w:tcPr>
          <w:p w14:paraId="24FCF13C" w14:textId="62361E80" w:rsidR="00B446C2" w:rsidRPr="00276BCA" w:rsidRDefault="00B446C2" w:rsidP="0023411A">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 xml:space="preserve">Test: </w:t>
            </w:r>
            <w:r w:rsidR="009F36BD" w:rsidRPr="00276BCA">
              <w:rPr>
                <w:lang w:val="en-AU"/>
              </w:rPr>
              <w:t>Patients with locally advanced unresectable or metastatic G/GOJ adenocarcinoma.</w:t>
            </w:r>
          </w:p>
          <w:p w14:paraId="16BF4279" w14:textId="75F49EC0" w:rsidR="00B446C2" w:rsidRPr="00276BCA" w:rsidRDefault="000A027E" w:rsidP="0023411A">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Drug</w:t>
            </w:r>
            <w:r w:rsidR="00B446C2" w:rsidRPr="00276BCA">
              <w:rPr>
                <w:lang w:val="en-AU"/>
              </w:rPr>
              <w:t xml:space="preserve">: </w:t>
            </w:r>
            <w:r w:rsidR="009F36BD" w:rsidRPr="00276BCA">
              <w:rPr>
                <w:lang w:val="en-AU"/>
              </w:rPr>
              <w:t xml:space="preserve">Patients with locally advanced unresectable or metastatic </w:t>
            </w:r>
            <w:r w:rsidR="00FF6B58" w:rsidRPr="00276BCA">
              <w:rPr>
                <w:lang w:val="en-AU"/>
              </w:rPr>
              <w:t xml:space="preserve">HER2-negative </w:t>
            </w:r>
            <w:r w:rsidR="009F36BD" w:rsidRPr="00276BCA">
              <w:rPr>
                <w:lang w:val="en-AU"/>
              </w:rPr>
              <w:t>G/GOJ adenocarcinoma who are found positive after Claudin 18 testing (CLDN18.2+).</w:t>
            </w:r>
          </w:p>
        </w:tc>
      </w:tr>
      <w:tr w:rsidR="00E41328" w:rsidRPr="00276BCA" w14:paraId="4E16A692" w14:textId="77777777" w:rsidTr="0023411A">
        <w:tc>
          <w:tcPr>
            <w:cnfStyle w:val="001000000000" w:firstRow="0" w:lastRow="0" w:firstColumn="1" w:lastColumn="0" w:oddVBand="0" w:evenVBand="0" w:oddHBand="0" w:evenHBand="0" w:firstRowFirstColumn="0" w:firstRowLastColumn="0" w:lastRowFirstColumn="0" w:lastRowLastColumn="0"/>
            <w:tcW w:w="1173" w:type="dxa"/>
          </w:tcPr>
          <w:p w14:paraId="569749B6" w14:textId="77777777" w:rsidR="00B446C2" w:rsidRPr="00276BCA" w:rsidRDefault="00B446C2" w:rsidP="0023411A">
            <w:pPr>
              <w:pStyle w:val="TableText"/>
              <w:keepNext/>
              <w:keepLines/>
              <w:rPr>
                <w:color w:val="auto"/>
                <w:lang w:val="en-AU"/>
              </w:rPr>
            </w:pPr>
            <w:r w:rsidRPr="00276BCA">
              <w:rPr>
                <w:lang w:val="en-AU"/>
              </w:rPr>
              <w:t>Intervention</w:t>
            </w:r>
          </w:p>
        </w:tc>
        <w:tc>
          <w:tcPr>
            <w:tcW w:w="7843" w:type="dxa"/>
          </w:tcPr>
          <w:p w14:paraId="04F3AE54" w14:textId="5AE6DD5B" w:rsidR="00B446C2" w:rsidRPr="00276BCA" w:rsidRDefault="00B446C2" w:rsidP="0023411A">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 xml:space="preserve">Test: </w:t>
            </w:r>
            <w:r w:rsidR="009F36BD" w:rsidRPr="00276BCA">
              <w:rPr>
                <w:lang w:val="en-AU"/>
              </w:rPr>
              <w:t>IHC testing for CLDN18</w:t>
            </w:r>
            <w:r w:rsidR="00C929DA" w:rsidRPr="00276BCA">
              <w:rPr>
                <w:lang w:val="en-AU"/>
              </w:rPr>
              <w:t>.2</w:t>
            </w:r>
            <w:r w:rsidR="009F36BD" w:rsidRPr="00276BCA">
              <w:rPr>
                <w:lang w:val="en-AU"/>
              </w:rPr>
              <w:t xml:space="preserve"> expression using the Ventana</w:t>
            </w:r>
            <w:r w:rsidR="009F36BD" w:rsidRPr="00276BCA">
              <w:rPr>
                <w:vertAlign w:val="superscript"/>
                <w:lang w:val="en-AU"/>
              </w:rPr>
              <w:t>®</w:t>
            </w:r>
            <w:r w:rsidR="009F36BD" w:rsidRPr="00276BCA">
              <w:rPr>
                <w:lang w:val="en-AU"/>
              </w:rPr>
              <w:t xml:space="preserve"> CLDN18 (43-14A) </w:t>
            </w:r>
            <w:proofErr w:type="spellStart"/>
            <w:r w:rsidR="009F36BD" w:rsidRPr="00276BCA">
              <w:rPr>
                <w:lang w:val="en-AU"/>
              </w:rPr>
              <w:t>RxDx</w:t>
            </w:r>
            <w:proofErr w:type="spellEnd"/>
            <w:r w:rsidR="009F36BD" w:rsidRPr="00276BCA">
              <w:rPr>
                <w:lang w:val="en-AU"/>
              </w:rPr>
              <w:t xml:space="preserve"> Assay</w:t>
            </w:r>
          </w:p>
          <w:p w14:paraId="13736C83" w14:textId="188FCBFD" w:rsidR="00B446C2" w:rsidRPr="00276BCA" w:rsidRDefault="000A027E" w:rsidP="0023411A">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Drug</w:t>
            </w:r>
            <w:r w:rsidR="00B446C2" w:rsidRPr="00276BCA">
              <w:rPr>
                <w:lang w:val="en-AU"/>
              </w:rPr>
              <w:t xml:space="preserve">: </w:t>
            </w:r>
            <w:proofErr w:type="spellStart"/>
            <w:r w:rsidR="009F36BD" w:rsidRPr="00276BCA">
              <w:rPr>
                <w:lang w:val="en-AU"/>
              </w:rPr>
              <w:t>Zolbetuximab</w:t>
            </w:r>
            <w:proofErr w:type="spellEnd"/>
            <w:r w:rsidR="009F36BD" w:rsidRPr="00276BCA">
              <w:rPr>
                <w:lang w:val="en-AU"/>
              </w:rPr>
              <w:t xml:space="preserve"> in combination with fluoropyrimidine and platinum-containing chemotherapy</w:t>
            </w:r>
          </w:p>
        </w:tc>
      </w:tr>
      <w:tr w:rsidR="00E41328" w:rsidRPr="00276BCA" w14:paraId="2610077B" w14:textId="77777777" w:rsidTr="0023411A">
        <w:tc>
          <w:tcPr>
            <w:cnfStyle w:val="001000000000" w:firstRow="0" w:lastRow="0" w:firstColumn="1" w:lastColumn="0" w:oddVBand="0" w:evenVBand="0" w:oddHBand="0" w:evenHBand="0" w:firstRowFirstColumn="0" w:firstRowLastColumn="0" w:lastRowFirstColumn="0" w:lastRowLastColumn="0"/>
            <w:tcW w:w="1173" w:type="dxa"/>
          </w:tcPr>
          <w:p w14:paraId="560105BB" w14:textId="77777777" w:rsidR="00B446C2" w:rsidRPr="00276BCA" w:rsidRDefault="00B446C2" w:rsidP="0023411A">
            <w:pPr>
              <w:pStyle w:val="TableText"/>
              <w:keepNext/>
              <w:keepLines/>
              <w:rPr>
                <w:color w:val="auto"/>
                <w:lang w:val="en-AU"/>
              </w:rPr>
            </w:pPr>
            <w:r w:rsidRPr="00276BCA">
              <w:rPr>
                <w:lang w:val="en-AU"/>
              </w:rPr>
              <w:t>Comparator</w:t>
            </w:r>
          </w:p>
        </w:tc>
        <w:tc>
          <w:tcPr>
            <w:tcW w:w="7843" w:type="dxa"/>
          </w:tcPr>
          <w:p w14:paraId="0045B6D9" w14:textId="7B4041C7" w:rsidR="00B446C2" w:rsidRPr="00276BCA" w:rsidRDefault="00B446C2" w:rsidP="0023411A">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 xml:space="preserve">Test: </w:t>
            </w:r>
            <w:r w:rsidR="009F36BD" w:rsidRPr="00276BCA">
              <w:rPr>
                <w:lang w:val="en-AU"/>
              </w:rPr>
              <w:t>No testing</w:t>
            </w:r>
          </w:p>
          <w:p w14:paraId="31D7CFEA" w14:textId="77777777" w:rsidR="00565CF6" w:rsidRPr="00276BCA" w:rsidRDefault="000A027E" w:rsidP="0023411A">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Drug</w:t>
            </w:r>
            <w:r w:rsidR="00B446C2" w:rsidRPr="00276BCA">
              <w:rPr>
                <w:lang w:val="en-AU"/>
              </w:rPr>
              <w:t xml:space="preserve">: </w:t>
            </w:r>
          </w:p>
          <w:p w14:paraId="7D0C3CBA" w14:textId="20834BEE" w:rsidR="00565CF6" w:rsidRPr="00276BCA" w:rsidRDefault="009F36BD" w:rsidP="0023411A">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For patients without prior immune checkpoint inhibitor therapy, nivolumab in combination with fluoropyrimidine- and platinum-containing chemotherapy.</w:t>
            </w:r>
          </w:p>
          <w:p w14:paraId="0D844321" w14:textId="26EB67C3" w:rsidR="00B446C2" w:rsidRPr="00276BCA" w:rsidRDefault="009F36BD" w:rsidP="0023411A">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For patients who received nivolumab therapy for Stage II/III disease and subsequently relapsed with locally advanced unresectable/metastatic disease, chemotherapy alone</w:t>
            </w:r>
            <w:r w:rsidR="002874FD" w:rsidRPr="00276BCA">
              <w:rPr>
                <w:lang w:val="en-AU"/>
              </w:rPr>
              <w:t>.</w:t>
            </w:r>
          </w:p>
        </w:tc>
      </w:tr>
      <w:tr w:rsidR="00E41328" w:rsidRPr="00276BCA" w14:paraId="39DFB83C" w14:textId="77777777" w:rsidTr="0023411A">
        <w:tc>
          <w:tcPr>
            <w:cnfStyle w:val="001000000000" w:firstRow="0" w:lastRow="0" w:firstColumn="1" w:lastColumn="0" w:oddVBand="0" w:evenVBand="0" w:oddHBand="0" w:evenHBand="0" w:firstRowFirstColumn="0" w:firstRowLastColumn="0" w:lastRowFirstColumn="0" w:lastRowLastColumn="0"/>
            <w:tcW w:w="1173" w:type="dxa"/>
          </w:tcPr>
          <w:p w14:paraId="4FFBCE42" w14:textId="77777777" w:rsidR="00B446C2" w:rsidRPr="00276BCA" w:rsidRDefault="00B446C2" w:rsidP="0023411A">
            <w:pPr>
              <w:pStyle w:val="TableText"/>
              <w:keepNext/>
              <w:keepLines/>
              <w:rPr>
                <w:color w:val="auto"/>
                <w:lang w:val="en-AU"/>
              </w:rPr>
            </w:pPr>
            <w:r w:rsidRPr="00276BCA">
              <w:rPr>
                <w:lang w:val="en-AU"/>
              </w:rPr>
              <w:t>Outcomes</w:t>
            </w:r>
          </w:p>
        </w:tc>
        <w:tc>
          <w:tcPr>
            <w:tcW w:w="7843" w:type="dxa"/>
          </w:tcPr>
          <w:p w14:paraId="50BFABEF" w14:textId="77777777" w:rsidR="00565CF6" w:rsidRPr="00276BCA" w:rsidRDefault="00565CF6" w:rsidP="0023411A">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Test-related outcomes:</w:t>
            </w:r>
          </w:p>
          <w:p w14:paraId="697132C9" w14:textId="39836343" w:rsidR="00565CF6" w:rsidRPr="00276BCA" w:rsidRDefault="00565CF6" w:rsidP="0023411A">
            <w:pPr>
              <w:pStyle w:val="TableText"/>
              <w:keepNext/>
              <w:keepLines/>
              <w:numPr>
                <w:ilvl w:val="0"/>
                <w:numId w:val="22"/>
              </w:numP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Safety: Adverse events associated with biopsy/r</w:t>
            </w:r>
            <w:r w:rsidR="00454B25" w:rsidRPr="00276BCA">
              <w:rPr>
                <w:lang w:val="en-AU"/>
              </w:rPr>
              <w:t>e</w:t>
            </w:r>
            <w:r w:rsidR="00F56E9A" w:rsidRPr="00276BCA">
              <w:rPr>
                <w:color w:val="auto"/>
                <w:lang w:val="en-AU"/>
              </w:rPr>
              <w:t>-</w:t>
            </w:r>
            <w:r w:rsidRPr="00276BCA">
              <w:rPr>
                <w:lang w:val="en-AU"/>
              </w:rPr>
              <w:t>biopsy for patients with inadequate tissue for tumour testing.</w:t>
            </w:r>
          </w:p>
          <w:p w14:paraId="36B6384A" w14:textId="77777777" w:rsidR="00565CF6" w:rsidRPr="00276BCA" w:rsidRDefault="00565CF6" w:rsidP="0023411A">
            <w:pPr>
              <w:pStyle w:val="TableText"/>
              <w:keepNext/>
              <w:keepLines/>
              <w:numPr>
                <w:ilvl w:val="0"/>
                <w:numId w:val="22"/>
              </w:numP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 xml:space="preserve">Diagnostic performance: Sensitivity, specificity, </w:t>
            </w:r>
            <w:r w:rsidRPr="00276BCA">
              <w:t xml:space="preserve">assessment of extent of and implications of discordances between Australian IHC testing and clinical utility standard, test-retest reliability, evidence of stability of proteins in archival tissue, evidence of stability in CLDN18.2 status over time, test failure rate, heterogeneity within tissue samples. </w:t>
            </w:r>
          </w:p>
          <w:p w14:paraId="079A3E9C" w14:textId="77777777" w:rsidR="00565CF6" w:rsidRPr="00276BCA" w:rsidRDefault="00565CF6" w:rsidP="0023411A">
            <w:pPr>
              <w:pStyle w:val="TableText"/>
              <w:keepNext/>
              <w:keepLines/>
              <w:numPr>
                <w:ilvl w:val="0"/>
                <w:numId w:val="22"/>
              </w:numP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Clinical validity: Positive and negative predictive values, positive and negative likelihood ratios.</w:t>
            </w:r>
          </w:p>
          <w:p w14:paraId="4360A457" w14:textId="77777777" w:rsidR="00565CF6" w:rsidRPr="00276BCA" w:rsidRDefault="00565CF6" w:rsidP="0023411A">
            <w:pPr>
              <w:pStyle w:val="TableText"/>
              <w:keepNext/>
              <w:keepLines/>
              <w:numPr>
                <w:ilvl w:val="0"/>
                <w:numId w:val="22"/>
              </w:numP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 xml:space="preserve">Clinical utility of the test: Determine whether testing for CLDN18.2 predicts variation in the treatment effect of </w:t>
            </w:r>
            <w:proofErr w:type="spellStart"/>
            <w:r w:rsidRPr="00276BCA">
              <w:rPr>
                <w:lang w:val="en-AU"/>
              </w:rPr>
              <w:t>zolbetuximab</w:t>
            </w:r>
            <w:proofErr w:type="spellEnd"/>
            <w:r w:rsidRPr="00276BCA">
              <w:rPr>
                <w:lang w:val="en-AU"/>
              </w:rPr>
              <w:t xml:space="preserve"> in terms of health outcomes for patients.</w:t>
            </w:r>
          </w:p>
          <w:p w14:paraId="1745594A" w14:textId="77777777" w:rsidR="00565CF6" w:rsidRPr="00276BCA" w:rsidRDefault="00565CF6" w:rsidP="0023411A">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Drug-related outcomes:</w:t>
            </w:r>
          </w:p>
          <w:p w14:paraId="643DE3D7" w14:textId="428F23CA" w:rsidR="00565CF6" w:rsidRPr="00276BCA" w:rsidRDefault="00565CF6" w:rsidP="0023411A">
            <w:pPr>
              <w:pStyle w:val="TableText"/>
              <w:keepNext/>
              <w:keepLines/>
              <w:numPr>
                <w:ilvl w:val="0"/>
                <w:numId w:val="25"/>
              </w:numP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 xml:space="preserve">Safety: Safety and tolerability of treatment with </w:t>
            </w:r>
            <w:proofErr w:type="spellStart"/>
            <w:r w:rsidRPr="00276BCA">
              <w:rPr>
                <w:lang w:val="en-AU"/>
              </w:rPr>
              <w:t>zolbetuximab</w:t>
            </w:r>
            <w:proofErr w:type="spellEnd"/>
            <w:r w:rsidRPr="00276BCA">
              <w:rPr>
                <w:lang w:val="en-AU"/>
              </w:rPr>
              <w:t xml:space="preserve"> compared to alternative treatments assessed by adverse events, physical examination, laboratory findings and vital signs. </w:t>
            </w:r>
          </w:p>
          <w:p w14:paraId="355A89FF" w14:textId="77777777" w:rsidR="00565CF6" w:rsidRPr="00276BCA" w:rsidRDefault="00565CF6" w:rsidP="0023411A">
            <w:pPr>
              <w:pStyle w:val="TableText"/>
              <w:keepNext/>
              <w:keepLines/>
              <w:numPr>
                <w:ilvl w:val="0"/>
                <w:numId w:val="25"/>
              </w:numP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 xml:space="preserve">Clinical effectiveness outcomes: </w:t>
            </w:r>
          </w:p>
          <w:p w14:paraId="6D6CBBC6" w14:textId="42F26BAA" w:rsidR="00565CF6" w:rsidRPr="00276BCA" w:rsidRDefault="00565CF6" w:rsidP="0023411A">
            <w:pPr>
              <w:pStyle w:val="TableText"/>
              <w:keepNext/>
              <w:keepLines/>
              <w:numPr>
                <w:ilvl w:val="1"/>
                <w:numId w:val="28"/>
              </w:numP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 xml:space="preserve">Objective response rate </w:t>
            </w:r>
          </w:p>
          <w:p w14:paraId="7F6C8759" w14:textId="4D5FE2DB" w:rsidR="00565CF6" w:rsidRPr="00276BCA" w:rsidRDefault="00565CF6" w:rsidP="0023411A">
            <w:pPr>
              <w:pStyle w:val="TableText"/>
              <w:keepNext/>
              <w:keepLines/>
              <w:numPr>
                <w:ilvl w:val="1"/>
                <w:numId w:val="28"/>
              </w:numP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 xml:space="preserve">Overall survival </w:t>
            </w:r>
          </w:p>
          <w:p w14:paraId="01915B3F" w14:textId="51CE6DC5" w:rsidR="00565CF6" w:rsidRPr="00276BCA" w:rsidRDefault="00565CF6" w:rsidP="0023411A">
            <w:pPr>
              <w:pStyle w:val="TableText"/>
              <w:keepNext/>
              <w:keepLines/>
              <w:numPr>
                <w:ilvl w:val="1"/>
                <w:numId w:val="28"/>
              </w:numP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 xml:space="preserve">Progression-free survival </w:t>
            </w:r>
          </w:p>
          <w:p w14:paraId="40662161" w14:textId="71132D1A" w:rsidR="00565CF6" w:rsidRPr="00276BCA" w:rsidRDefault="00565CF6" w:rsidP="0023411A">
            <w:pPr>
              <w:pStyle w:val="TableText"/>
              <w:keepNext/>
              <w:keepLines/>
              <w:numPr>
                <w:ilvl w:val="1"/>
                <w:numId w:val="28"/>
              </w:numP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 xml:space="preserve">Partial response </w:t>
            </w:r>
          </w:p>
          <w:p w14:paraId="291B6780" w14:textId="7F44AC34" w:rsidR="00565CF6" w:rsidRPr="00276BCA" w:rsidRDefault="00565CF6" w:rsidP="0023411A">
            <w:pPr>
              <w:pStyle w:val="TableText"/>
              <w:keepNext/>
              <w:keepLines/>
              <w:numPr>
                <w:ilvl w:val="1"/>
                <w:numId w:val="28"/>
              </w:numP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 xml:space="preserve">Complete response </w:t>
            </w:r>
          </w:p>
          <w:p w14:paraId="1B5E4F9A" w14:textId="7F195452" w:rsidR="00565CF6" w:rsidRPr="00276BCA" w:rsidRDefault="00565CF6" w:rsidP="0023411A">
            <w:pPr>
              <w:pStyle w:val="TableText"/>
              <w:keepNext/>
              <w:keepLines/>
              <w:numPr>
                <w:ilvl w:val="1"/>
                <w:numId w:val="28"/>
              </w:numP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 xml:space="preserve">Health-related quality of life </w:t>
            </w:r>
          </w:p>
          <w:p w14:paraId="374E4250" w14:textId="77777777" w:rsidR="00565CF6" w:rsidRPr="00276BCA" w:rsidRDefault="00565CF6" w:rsidP="0023411A">
            <w:pPr>
              <w:pStyle w:val="TableText"/>
              <w:keepNext/>
              <w:keepLines/>
              <w:numPr>
                <w:ilvl w:val="0"/>
                <w:numId w:val="26"/>
              </w:numP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 xml:space="preserve">Healthcare system outcomes: </w:t>
            </w:r>
          </w:p>
          <w:p w14:paraId="10C81D83" w14:textId="11E7EEAC" w:rsidR="00565CF6" w:rsidRPr="00276BCA" w:rsidRDefault="00565CF6" w:rsidP="0023411A">
            <w:pPr>
              <w:pStyle w:val="TableText"/>
              <w:keepNext/>
              <w:keepLines/>
              <w:numPr>
                <w:ilvl w:val="1"/>
                <w:numId w:val="27"/>
              </w:numP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Cost of testing per patient and cost of associated re</w:t>
            </w:r>
            <w:r w:rsidR="00AD07F5" w:rsidRPr="00276BCA">
              <w:rPr>
                <w:color w:val="auto"/>
                <w:lang w:val="en-AU"/>
              </w:rPr>
              <w:t>-</w:t>
            </w:r>
            <w:r w:rsidRPr="00276BCA">
              <w:rPr>
                <w:lang w:val="en-AU"/>
              </w:rPr>
              <w:t>biopsies (e.g. early-stage disease that has relapsed, test failure, inadequate sampling)</w:t>
            </w:r>
            <w:r w:rsidR="004C37BF" w:rsidRPr="00276BCA">
              <w:rPr>
                <w:lang w:val="en-AU"/>
              </w:rPr>
              <w:t>.</w:t>
            </w:r>
          </w:p>
          <w:p w14:paraId="28A50395" w14:textId="5A356CA4" w:rsidR="00565CF6" w:rsidRPr="00276BCA" w:rsidRDefault="00565CF6" w:rsidP="0023411A">
            <w:pPr>
              <w:pStyle w:val="TableText"/>
              <w:keepNext/>
              <w:keepLines/>
              <w:numPr>
                <w:ilvl w:val="1"/>
                <w:numId w:val="27"/>
              </w:numP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Cost of treatment and cost of treating adverse events</w:t>
            </w:r>
            <w:r w:rsidR="004C37BF" w:rsidRPr="00276BCA">
              <w:rPr>
                <w:lang w:val="en-AU"/>
              </w:rPr>
              <w:t>.</w:t>
            </w:r>
          </w:p>
          <w:p w14:paraId="0A249E76" w14:textId="5D872EB6" w:rsidR="00B446C2" w:rsidRPr="00276BCA" w:rsidRDefault="00565CF6" w:rsidP="0023411A">
            <w:pPr>
              <w:pStyle w:val="TableText"/>
              <w:keepNext/>
              <w:keepLines/>
              <w:numPr>
                <w:ilvl w:val="1"/>
                <w:numId w:val="27"/>
              </w:numP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Financial implications: number of patients tested; number of patients treated.</w:t>
            </w:r>
          </w:p>
        </w:tc>
      </w:tr>
      <w:tr w:rsidR="00B446C2" w:rsidRPr="00276BCA" w14:paraId="478189B9" w14:textId="77777777" w:rsidTr="0023411A">
        <w:tc>
          <w:tcPr>
            <w:cnfStyle w:val="001000000000" w:firstRow="0" w:lastRow="0" w:firstColumn="1" w:lastColumn="0" w:oddVBand="0" w:evenVBand="0" w:oddHBand="0" w:evenHBand="0" w:firstRowFirstColumn="0" w:firstRowLastColumn="0" w:lastRowFirstColumn="0" w:lastRowLastColumn="0"/>
            <w:tcW w:w="1173" w:type="dxa"/>
          </w:tcPr>
          <w:p w14:paraId="56ABA572" w14:textId="77777777" w:rsidR="00B446C2" w:rsidRPr="00276BCA" w:rsidRDefault="00B446C2" w:rsidP="0023411A">
            <w:pPr>
              <w:pStyle w:val="TableText"/>
              <w:keepNext/>
              <w:keepLines/>
              <w:rPr>
                <w:color w:val="auto"/>
                <w:lang w:val="en-AU"/>
              </w:rPr>
            </w:pPr>
            <w:r w:rsidRPr="00276BCA">
              <w:rPr>
                <w:lang w:val="en-AU"/>
              </w:rPr>
              <w:t>Clinical claim</w:t>
            </w:r>
          </w:p>
        </w:tc>
        <w:tc>
          <w:tcPr>
            <w:tcW w:w="7843" w:type="dxa"/>
          </w:tcPr>
          <w:p w14:paraId="11F6E37A" w14:textId="09BBFA74" w:rsidR="00565CF6" w:rsidRPr="00276BCA" w:rsidRDefault="009133F4" w:rsidP="0023411A">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In patients</w:t>
            </w:r>
            <w:r w:rsidR="009D48BB" w:rsidRPr="00276BCA">
              <w:rPr>
                <w:lang w:val="en-AU"/>
              </w:rPr>
              <w:t xml:space="preserve"> with</w:t>
            </w:r>
            <w:r w:rsidRPr="00276BCA">
              <w:rPr>
                <w:lang w:val="en-AU"/>
              </w:rPr>
              <w:t xml:space="preserve"> locally advanced unresectable or metastatic G/GOJ adenocarcinoma with CLDN18.2+ tumours identified by the IHC testing for CLDN18 expression, </w:t>
            </w:r>
            <w:proofErr w:type="spellStart"/>
            <w:r w:rsidRPr="00276BCA">
              <w:rPr>
                <w:lang w:val="en-AU"/>
              </w:rPr>
              <w:t>zolbetuximab</w:t>
            </w:r>
            <w:proofErr w:type="spellEnd"/>
            <w:r w:rsidRPr="00276BCA">
              <w:rPr>
                <w:lang w:val="en-AU"/>
              </w:rPr>
              <w:t xml:space="preserve"> in combination with chemotherapy is noninferior compared to </w:t>
            </w:r>
            <w:r w:rsidR="0049101D" w:rsidRPr="00276BCA">
              <w:rPr>
                <w:lang w:val="en-AU"/>
              </w:rPr>
              <w:t xml:space="preserve">no testing and </w:t>
            </w:r>
            <w:r w:rsidRPr="00276BCA">
              <w:rPr>
                <w:lang w:val="en-AU"/>
              </w:rPr>
              <w:t xml:space="preserve">nivolumab in combination </w:t>
            </w:r>
            <w:r w:rsidR="009416BF" w:rsidRPr="00276BCA">
              <w:rPr>
                <w:lang w:val="en-AU"/>
              </w:rPr>
              <w:t xml:space="preserve">with </w:t>
            </w:r>
            <w:r w:rsidRPr="00276BCA">
              <w:rPr>
                <w:lang w:val="en-AU"/>
              </w:rPr>
              <w:t>chemotherapy in terms of efficacy, with different but manageable safety profile</w:t>
            </w:r>
          </w:p>
        </w:tc>
      </w:tr>
    </w:tbl>
    <w:bookmarkEnd w:id="7"/>
    <w:p w14:paraId="4F8D6635" w14:textId="2017EBC5" w:rsidR="0017720E" w:rsidRPr="00276BCA" w:rsidRDefault="0017720E" w:rsidP="0023411A">
      <w:pPr>
        <w:pStyle w:val="TableFooter"/>
        <w:keepNext/>
        <w:keepLines/>
      </w:pPr>
      <w:r w:rsidRPr="00276BCA">
        <w:t xml:space="preserve">Source: </w:t>
      </w:r>
      <w:r w:rsidR="00280684" w:rsidRPr="00276BCA">
        <w:t>Table 1-1, pp25-26 of the submission.</w:t>
      </w:r>
    </w:p>
    <w:p w14:paraId="07913F85" w14:textId="472A5CF5" w:rsidR="00FF6B58" w:rsidRPr="00276BCA" w:rsidRDefault="00FF6B58" w:rsidP="0023411A">
      <w:pPr>
        <w:pStyle w:val="TableFooter"/>
        <w:keepNext/>
        <w:keepLines/>
      </w:pPr>
      <w:r w:rsidRPr="00276BCA">
        <w:t>CLDN18 = Claudin 18; G/GOJ = gastric or gastro-oesophageal junction; HER2 = human epidermal growth factor receptor 2; IHC = Immunohistochemistry.</w:t>
      </w:r>
    </w:p>
    <w:p w14:paraId="1986DFE8" w14:textId="77777777" w:rsidR="00FF6B58" w:rsidRPr="00276BCA" w:rsidRDefault="00FF6B58" w:rsidP="00FF6B58">
      <w:pPr>
        <w:pStyle w:val="TableFooter"/>
      </w:pPr>
      <w:r w:rsidRPr="00276BCA">
        <w:t>Italics added during evaluation based on the Table 1, p2 of the MSAC 1767 Ratified PICO Confirmation, April 2024 PASC Meeting.</w:t>
      </w:r>
    </w:p>
    <w:p w14:paraId="7E96DD96" w14:textId="77777777" w:rsidR="009C4F22" w:rsidRPr="00276BCA" w:rsidRDefault="009C4F22" w:rsidP="00E70E0A">
      <w:pPr>
        <w:pStyle w:val="PBACESHeading1"/>
        <w:numPr>
          <w:ilvl w:val="0"/>
          <w:numId w:val="15"/>
        </w:numPr>
      </w:pPr>
      <w:bookmarkStart w:id="8" w:name="_Toc487029150"/>
      <w:bookmarkStart w:id="9" w:name="_Toc187863741"/>
      <w:bookmarkStart w:id="10" w:name="_Toc188441225"/>
      <w:bookmarkEnd w:id="6"/>
      <w:r w:rsidRPr="00276BCA">
        <w:lastRenderedPageBreak/>
        <w:t>Background</w:t>
      </w:r>
      <w:bookmarkEnd w:id="8"/>
      <w:bookmarkEnd w:id="9"/>
      <w:bookmarkEnd w:id="10"/>
    </w:p>
    <w:p w14:paraId="7CBFB7A1" w14:textId="77777777" w:rsidR="009C4F22" w:rsidRPr="00276BCA" w:rsidRDefault="008D7BF5" w:rsidP="00074A38">
      <w:pPr>
        <w:pStyle w:val="OutlineHeading2"/>
        <w:rPr>
          <w:rFonts w:ascii="Calibri" w:hAnsi="Calibri" w:cs="Calibri"/>
          <w:i w:val="0"/>
        </w:rPr>
      </w:pPr>
      <w:r w:rsidRPr="00276BCA">
        <w:rPr>
          <w:rFonts w:ascii="Calibri" w:hAnsi="Calibri" w:cs="Calibri"/>
          <w:i w:val="0"/>
        </w:rPr>
        <w:t xml:space="preserve">Registration </w:t>
      </w:r>
      <w:r w:rsidR="00854EF0" w:rsidRPr="00276BCA">
        <w:rPr>
          <w:rFonts w:ascii="Calibri" w:hAnsi="Calibri" w:cs="Calibri"/>
          <w:i w:val="0"/>
        </w:rPr>
        <w:t>st</w:t>
      </w:r>
      <w:r w:rsidRPr="00276BCA">
        <w:rPr>
          <w:rFonts w:ascii="Calibri" w:hAnsi="Calibri" w:cs="Calibri"/>
          <w:i w:val="0"/>
        </w:rPr>
        <w:t>atus</w:t>
      </w:r>
    </w:p>
    <w:p w14:paraId="760303A4" w14:textId="619253A9" w:rsidR="00280684" w:rsidRPr="00276BCA" w:rsidRDefault="00091390" w:rsidP="00A43017">
      <w:pPr>
        <w:pStyle w:val="ListParagraph"/>
        <w:numPr>
          <w:ilvl w:val="4"/>
          <w:numId w:val="8"/>
        </w:numPr>
        <w:rPr>
          <w:color w:val="auto"/>
        </w:rPr>
      </w:pPr>
      <w:r w:rsidRPr="00276BCA">
        <w:rPr>
          <w:rFonts w:ascii="Calibri" w:eastAsia="Calibri" w:hAnsi="Calibri"/>
          <w:b/>
        </w:rPr>
        <w:t xml:space="preserve">TGA status at time of </w:t>
      </w:r>
      <w:r w:rsidR="00F17AE6" w:rsidRPr="00276BCA">
        <w:rPr>
          <w:rFonts w:ascii="Calibri" w:eastAsia="Calibri" w:hAnsi="Calibri"/>
          <w:b/>
        </w:rPr>
        <w:t xml:space="preserve">PBAC </w:t>
      </w:r>
      <w:r w:rsidR="00E23EB8" w:rsidRPr="00276BCA">
        <w:rPr>
          <w:rFonts w:ascii="Calibri" w:eastAsia="Calibri" w:hAnsi="Calibri"/>
          <w:b/>
        </w:rPr>
        <w:t>consideration</w:t>
      </w:r>
      <w:r w:rsidRPr="00276BCA">
        <w:rPr>
          <w:rFonts w:ascii="Calibri" w:eastAsia="Calibri" w:hAnsi="Calibri"/>
        </w:rPr>
        <w:t xml:space="preserve">: </w:t>
      </w:r>
      <w:r w:rsidR="00BD6253" w:rsidRPr="00276BCA">
        <w:rPr>
          <w:rFonts w:ascii="Calibri" w:eastAsia="Calibri" w:hAnsi="Calibri"/>
        </w:rPr>
        <w:t>not registered.</w:t>
      </w:r>
      <w:r w:rsidRPr="00276BCA">
        <w:rPr>
          <w:rFonts w:ascii="Calibri" w:eastAsia="Calibri" w:hAnsi="Calibri"/>
        </w:rPr>
        <w:t xml:space="preserve"> </w:t>
      </w:r>
      <w:r w:rsidR="00280684" w:rsidRPr="00276BCA">
        <w:rPr>
          <w:color w:val="auto"/>
        </w:rPr>
        <w:t>The submission was made under the</w:t>
      </w:r>
      <w:r w:rsidR="00F475BC" w:rsidRPr="00276BCA">
        <w:rPr>
          <w:color w:val="auto"/>
        </w:rPr>
        <w:t xml:space="preserve"> </w:t>
      </w:r>
      <w:r w:rsidR="00F0614B" w:rsidRPr="00276BCA">
        <w:rPr>
          <w:color w:val="auto"/>
        </w:rPr>
        <w:t xml:space="preserve">Therapeutics Goods Administration (TGA)/ Pharmaceutical Benefits Advisory Committee (PBAC) </w:t>
      </w:r>
      <w:r w:rsidR="00280684" w:rsidRPr="00276BCA">
        <w:rPr>
          <w:color w:val="auto"/>
        </w:rPr>
        <w:t xml:space="preserve">Parallel Process. </w:t>
      </w:r>
      <w:proofErr w:type="spellStart"/>
      <w:r w:rsidR="00280684" w:rsidRPr="00276BCA">
        <w:rPr>
          <w:color w:val="auto"/>
        </w:rPr>
        <w:t>Zolbetuximab</w:t>
      </w:r>
      <w:proofErr w:type="spellEnd"/>
      <w:r w:rsidR="00280684" w:rsidRPr="00276BCA">
        <w:rPr>
          <w:color w:val="auto"/>
        </w:rPr>
        <w:t xml:space="preserve"> has been granted Orphan Drug Designation by the TGA, and the TGA Delegate's </w:t>
      </w:r>
      <w:r w:rsidR="005E2C8A" w:rsidRPr="00276BCA">
        <w:rPr>
          <w:color w:val="auto"/>
        </w:rPr>
        <w:t>O</w:t>
      </w:r>
      <w:r w:rsidR="00280684" w:rsidRPr="00276BCA">
        <w:rPr>
          <w:color w:val="auto"/>
        </w:rPr>
        <w:t xml:space="preserve">verview </w:t>
      </w:r>
      <w:r w:rsidR="00FA4D4B" w:rsidRPr="00276BCA">
        <w:rPr>
          <w:color w:val="auto"/>
        </w:rPr>
        <w:t xml:space="preserve">was </w:t>
      </w:r>
      <w:r w:rsidR="00280684" w:rsidRPr="00276BCA">
        <w:rPr>
          <w:color w:val="auto"/>
        </w:rPr>
        <w:t xml:space="preserve">available </w:t>
      </w:r>
      <w:r w:rsidR="004062E3" w:rsidRPr="00276BCA">
        <w:rPr>
          <w:color w:val="auto"/>
        </w:rPr>
        <w:t>at the time of PBAC consideration</w:t>
      </w:r>
      <w:r w:rsidR="00280684" w:rsidRPr="00276BCA">
        <w:rPr>
          <w:color w:val="auto"/>
        </w:rPr>
        <w:t>.</w:t>
      </w:r>
    </w:p>
    <w:p w14:paraId="2DF590E2" w14:textId="50876F4C" w:rsidR="00280684" w:rsidRPr="00276BCA" w:rsidRDefault="00280684" w:rsidP="00A43017">
      <w:pPr>
        <w:pStyle w:val="ListParagraph"/>
        <w:numPr>
          <w:ilvl w:val="4"/>
          <w:numId w:val="8"/>
        </w:numPr>
        <w:rPr>
          <w:color w:val="auto"/>
        </w:rPr>
      </w:pPr>
      <w:r w:rsidRPr="00276BCA">
        <w:rPr>
          <w:color w:val="auto"/>
        </w:rPr>
        <w:t>The proposed TGA indication is: ‘</w:t>
      </w:r>
      <w:proofErr w:type="spellStart"/>
      <w:r w:rsidRPr="00276BCA">
        <w:rPr>
          <w:color w:val="auto"/>
        </w:rPr>
        <w:t>Zolbetuximab</w:t>
      </w:r>
      <w:proofErr w:type="spellEnd"/>
      <w:r w:rsidRPr="00276BCA">
        <w:rPr>
          <w:color w:val="auto"/>
        </w:rPr>
        <w:t>, in combination with fluoropyrimidine- and platinum-containing chemotherapy, is indicated for the first-line treatment of patients with locally advanced unresectable or metastatic human epidermal growth factor receptor 2 (HER2)</w:t>
      </w:r>
      <w:r w:rsidR="1263E1AF" w:rsidRPr="00276BCA">
        <w:rPr>
          <w:color w:val="auto"/>
        </w:rPr>
        <w:t>-</w:t>
      </w:r>
      <w:r w:rsidRPr="00276BCA">
        <w:rPr>
          <w:color w:val="auto"/>
        </w:rPr>
        <w:t>negative gastric or gastro-oesophageal junction (GOJ) adenocarcinoma whose tumours are Claudin (CLDN) 18.2 positive.’</w:t>
      </w:r>
    </w:p>
    <w:p w14:paraId="60929EED" w14:textId="51494E74" w:rsidR="00446550" w:rsidRPr="00276BCA" w:rsidRDefault="7A71E90A" w:rsidP="00A43017">
      <w:pPr>
        <w:pStyle w:val="ListParagraph"/>
        <w:numPr>
          <w:ilvl w:val="4"/>
          <w:numId w:val="8"/>
        </w:numPr>
        <w:rPr>
          <w:color w:val="auto"/>
        </w:rPr>
      </w:pPr>
      <w:proofErr w:type="spellStart"/>
      <w:r w:rsidRPr="00276BCA">
        <w:rPr>
          <w:color w:val="auto"/>
        </w:rPr>
        <w:t>Zolbetuximab</w:t>
      </w:r>
      <w:proofErr w:type="spellEnd"/>
      <w:r w:rsidRPr="00276BCA">
        <w:rPr>
          <w:color w:val="auto"/>
        </w:rPr>
        <w:t xml:space="preserve"> is administered by intravenous infusion over a minimum of 2 hours. To minimise adverse reactions, it is recommended that each infusion should be started at a relatively low </w:t>
      </w:r>
      <w:proofErr w:type="gramStart"/>
      <w:r w:rsidRPr="00276BCA">
        <w:rPr>
          <w:color w:val="auto"/>
        </w:rPr>
        <w:t>rate, and</w:t>
      </w:r>
      <w:proofErr w:type="gramEnd"/>
      <w:r w:rsidRPr="00276BCA">
        <w:rPr>
          <w:color w:val="auto"/>
        </w:rPr>
        <w:t xml:space="preserve"> gradually increased as tolerated </w:t>
      </w:r>
      <w:proofErr w:type="gramStart"/>
      <w:r w:rsidRPr="00276BCA">
        <w:rPr>
          <w:color w:val="auto"/>
        </w:rPr>
        <w:t>during the course of</w:t>
      </w:r>
      <w:proofErr w:type="gramEnd"/>
      <w:r w:rsidRPr="00276BCA">
        <w:rPr>
          <w:color w:val="auto"/>
        </w:rPr>
        <w:t xml:space="preserve"> the infusion. </w:t>
      </w:r>
    </w:p>
    <w:p w14:paraId="30440E4E" w14:textId="734EAAFF" w:rsidR="00280684" w:rsidRPr="00276BCA" w:rsidRDefault="00280684" w:rsidP="00A43017">
      <w:pPr>
        <w:pStyle w:val="ListParagraph"/>
        <w:numPr>
          <w:ilvl w:val="4"/>
          <w:numId w:val="8"/>
        </w:numPr>
        <w:rPr>
          <w:color w:val="auto"/>
        </w:rPr>
      </w:pPr>
      <w:r w:rsidRPr="00276BCA">
        <w:rPr>
          <w:color w:val="auto"/>
        </w:rPr>
        <w:t xml:space="preserve">The use of </w:t>
      </w:r>
      <w:proofErr w:type="spellStart"/>
      <w:r w:rsidRPr="00276BCA">
        <w:rPr>
          <w:color w:val="auto"/>
        </w:rPr>
        <w:t>zolbetuximab</w:t>
      </w:r>
      <w:proofErr w:type="spellEnd"/>
      <w:r w:rsidRPr="00276BCA">
        <w:rPr>
          <w:color w:val="auto"/>
        </w:rPr>
        <w:t xml:space="preserve"> in combination with fluoropyrimidine- and platinum-containing chemotherapy (hereafter </w:t>
      </w:r>
      <w:proofErr w:type="spellStart"/>
      <w:r w:rsidRPr="00276BCA">
        <w:rPr>
          <w:color w:val="auto"/>
        </w:rPr>
        <w:t>zolbetuximab</w:t>
      </w:r>
      <w:proofErr w:type="spellEnd"/>
      <w:r w:rsidRPr="00276BCA">
        <w:rPr>
          <w:color w:val="auto"/>
        </w:rPr>
        <w:t xml:space="preserve"> + chemotherapy) for the proposed indication was recently approved by the European Medicines Agency (EMA) and the US Food and Drug Administration (FDA). </w:t>
      </w:r>
      <w:r w:rsidR="00BC5144" w:rsidRPr="00276BCA">
        <w:rPr>
          <w:color w:val="auto"/>
        </w:rPr>
        <w:t>The evaluation noted that a</w:t>
      </w:r>
      <w:r w:rsidRPr="00276BCA">
        <w:rPr>
          <w:color w:val="auto"/>
        </w:rPr>
        <w:t>ccording to the</w:t>
      </w:r>
      <w:r w:rsidR="000B0F7E" w:rsidRPr="00276BCA">
        <w:rPr>
          <w:color w:val="auto"/>
        </w:rPr>
        <w:t xml:space="preserve"> EMA Product Information </w:t>
      </w:r>
      <w:r w:rsidR="004034B3" w:rsidRPr="00276BCA">
        <w:rPr>
          <w:color w:val="auto"/>
        </w:rPr>
        <w:t xml:space="preserve">(PI) </w:t>
      </w:r>
      <w:r w:rsidR="000B0F7E" w:rsidRPr="00276BCA">
        <w:rPr>
          <w:color w:val="auto"/>
        </w:rPr>
        <w:t>and FDA</w:t>
      </w:r>
      <w:r w:rsidRPr="00276BCA">
        <w:rPr>
          <w:color w:val="auto"/>
        </w:rPr>
        <w:t xml:space="preserve"> </w:t>
      </w:r>
      <w:r w:rsidR="006642EB" w:rsidRPr="00276BCA">
        <w:rPr>
          <w:color w:val="auto"/>
        </w:rPr>
        <w:t>P</w:t>
      </w:r>
      <w:r w:rsidRPr="00276BCA">
        <w:rPr>
          <w:color w:val="auto"/>
        </w:rPr>
        <w:t xml:space="preserve">rescribing </w:t>
      </w:r>
      <w:r w:rsidR="006642EB" w:rsidRPr="00276BCA">
        <w:rPr>
          <w:color w:val="auto"/>
        </w:rPr>
        <w:t>I</w:t>
      </w:r>
      <w:r w:rsidRPr="00276BCA">
        <w:rPr>
          <w:color w:val="auto"/>
        </w:rPr>
        <w:t>nformation</w:t>
      </w:r>
      <w:r w:rsidR="000B0F7E" w:rsidRPr="00276BCA">
        <w:rPr>
          <w:color w:val="auto"/>
        </w:rPr>
        <w:t>,</w:t>
      </w:r>
      <w:r w:rsidRPr="00276BCA">
        <w:rPr>
          <w:color w:val="auto"/>
        </w:rPr>
        <w:t xml:space="preserve"> </w:t>
      </w:r>
      <w:proofErr w:type="spellStart"/>
      <w:r w:rsidRPr="00276BCA">
        <w:rPr>
          <w:color w:val="auto"/>
        </w:rPr>
        <w:t>zolbetuximab</w:t>
      </w:r>
      <w:proofErr w:type="spellEnd"/>
      <w:r w:rsidRPr="00276BCA">
        <w:rPr>
          <w:color w:val="auto"/>
        </w:rPr>
        <w:t xml:space="preserve"> was associated with serious adverse reactions, including hypersensitivity reactions (such as anaphylaxis and infusion-related responses), as well as severe nausea and vomiting</w:t>
      </w:r>
      <w:r w:rsidR="00B111AE" w:rsidRPr="00276BCA">
        <w:rPr>
          <w:color w:val="auto"/>
        </w:rPr>
        <w:t xml:space="preserve"> (FDA</w:t>
      </w:r>
      <w:r w:rsidR="00713ACB" w:rsidRPr="00276BCA">
        <w:rPr>
          <w:color w:val="auto"/>
        </w:rPr>
        <w:t xml:space="preserve"> Pr</w:t>
      </w:r>
      <w:r w:rsidR="008459ED" w:rsidRPr="00276BCA">
        <w:rPr>
          <w:color w:val="auto"/>
        </w:rPr>
        <w:t>escribing</w:t>
      </w:r>
      <w:r w:rsidR="00713ACB" w:rsidRPr="00276BCA">
        <w:rPr>
          <w:color w:val="auto"/>
        </w:rPr>
        <w:t xml:space="preserve"> information</w:t>
      </w:r>
      <w:r w:rsidR="008459ED" w:rsidRPr="00276BCA">
        <w:rPr>
          <w:color w:val="auto"/>
        </w:rPr>
        <w:t xml:space="preserve"> for </w:t>
      </w:r>
      <w:proofErr w:type="spellStart"/>
      <w:r w:rsidR="008459ED" w:rsidRPr="00276BCA">
        <w:rPr>
          <w:color w:val="auto"/>
        </w:rPr>
        <w:t>Zolbetuximab</w:t>
      </w:r>
      <w:proofErr w:type="spellEnd"/>
      <w:r w:rsidR="00D73A57" w:rsidRPr="00276BCA">
        <w:rPr>
          <w:rStyle w:val="FootnoteReference"/>
          <w:color w:val="auto"/>
        </w:rPr>
        <w:footnoteReference w:id="2"/>
      </w:r>
      <w:r w:rsidR="008459ED" w:rsidRPr="00276BCA">
        <w:rPr>
          <w:color w:val="auto"/>
        </w:rPr>
        <w:t xml:space="preserve">, </w:t>
      </w:r>
      <w:r w:rsidR="00960A60" w:rsidRPr="00276BCA">
        <w:rPr>
          <w:color w:val="auto"/>
        </w:rPr>
        <w:t>EMA</w:t>
      </w:r>
      <w:r w:rsidR="008459ED" w:rsidRPr="00276BCA">
        <w:rPr>
          <w:color w:val="auto"/>
        </w:rPr>
        <w:t xml:space="preserve"> Product information</w:t>
      </w:r>
      <w:r w:rsidR="00D73A57" w:rsidRPr="00276BCA">
        <w:rPr>
          <w:rStyle w:val="FootnoteReference"/>
          <w:color w:val="auto"/>
        </w:rPr>
        <w:footnoteReference w:id="3"/>
      </w:r>
      <w:r w:rsidR="00960A60" w:rsidRPr="00276BCA">
        <w:rPr>
          <w:color w:val="auto"/>
        </w:rPr>
        <w:t>)</w:t>
      </w:r>
      <w:r w:rsidRPr="00276BCA">
        <w:rPr>
          <w:color w:val="auto"/>
        </w:rPr>
        <w:t>.</w:t>
      </w:r>
    </w:p>
    <w:p w14:paraId="1EC367D1" w14:textId="564EDA1C" w:rsidR="00BA5397" w:rsidRPr="00276BCA" w:rsidRDefault="00BA5397" w:rsidP="00A43017">
      <w:pPr>
        <w:spacing w:after="120"/>
        <w:ind w:firstLine="720"/>
        <w:rPr>
          <w:i/>
        </w:rPr>
      </w:pPr>
      <w:bookmarkStart w:id="11" w:name="_Hlk76375324"/>
      <w:r w:rsidRPr="00276BCA">
        <w:rPr>
          <w:i/>
        </w:rPr>
        <w:t>For more detail on PBAC’s view, see section 7 PBAC outcome.</w:t>
      </w:r>
      <w:bookmarkEnd w:id="11"/>
    </w:p>
    <w:p w14:paraId="2824DF9A" w14:textId="7874A82C" w:rsidR="008262DD" w:rsidRPr="00276BCA" w:rsidRDefault="00245AD9" w:rsidP="008130D2">
      <w:pPr>
        <w:pStyle w:val="PBACESHeading1"/>
        <w:numPr>
          <w:ilvl w:val="0"/>
          <w:numId w:val="15"/>
        </w:numPr>
      </w:pPr>
      <w:bookmarkStart w:id="12" w:name="_Toc187863742"/>
      <w:bookmarkStart w:id="13" w:name="_Toc188441226"/>
      <w:bookmarkStart w:id="14" w:name="_Toc476306884"/>
      <w:bookmarkStart w:id="15" w:name="_Toc413139275"/>
      <w:r w:rsidRPr="00276BCA">
        <w:lastRenderedPageBreak/>
        <w:t>Requested listing</w:t>
      </w:r>
      <w:bookmarkEnd w:id="12"/>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3094"/>
        <w:gridCol w:w="3422"/>
        <w:gridCol w:w="1416"/>
        <w:gridCol w:w="1084"/>
      </w:tblGrid>
      <w:tr w:rsidR="00E41328" w:rsidRPr="00276BCA" w14:paraId="38B6637E" w14:textId="77777777" w:rsidTr="00C42FAB">
        <w:trPr>
          <w:cantSplit/>
          <w:trHeight w:val="20"/>
        </w:trPr>
        <w:tc>
          <w:tcPr>
            <w:tcW w:w="1716" w:type="pct"/>
            <w:vAlign w:val="center"/>
          </w:tcPr>
          <w:p w14:paraId="04C1CCF6" w14:textId="77777777" w:rsidR="000E0CF4" w:rsidRPr="00276BCA" w:rsidRDefault="000E0CF4" w:rsidP="00C42FAB">
            <w:pPr>
              <w:pStyle w:val="In-tableHeading"/>
              <w:rPr>
                <w:lang w:val="en-AU"/>
              </w:rPr>
            </w:pPr>
            <w:bookmarkStart w:id="16" w:name="_Hlk104809082"/>
            <w:r w:rsidRPr="00276BCA">
              <w:rPr>
                <w:lang w:val="en-AU"/>
              </w:rPr>
              <w:t>MEDICINAL PRODUCT</w:t>
            </w:r>
          </w:p>
          <w:p w14:paraId="19E0B098" w14:textId="77777777" w:rsidR="000E0CF4" w:rsidRPr="00276BCA" w:rsidRDefault="000E0CF4" w:rsidP="00C42FAB">
            <w:pPr>
              <w:pStyle w:val="In-tableHeading"/>
              <w:rPr>
                <w:lang w:val="en-AU"/>
              </w:rPr>
            </w:pPr>
            <w:r w:rsidRPr="00276BCA">
              <w:rPr>
                <w:lang w:val="en-AU"/>
              </w:rPr>
              <w:t>Form</w:t>
            </w:r>
          </w:p>
        </w:tc>
        <w:tc>
          <w:tcPr>
            <w:tcW w:w="1898" w:type="pct"/>
            <w:vAlign w:val="center"/>
          </w:tcPr>
          <w:p w14:paraId="5BE365AC" w14:textId="77777777" w:rsidR="000E0CF4" w:rsidRPr="00276BCA" w:rsidRDefault="000E0CF4" w:rsidP="00C42FAB">
            <w:pPr>
              <w:pStyle w:val="In-tableHeading"/>
              <w:jc w:val="center"/>
              <w:rPr>
                <w:lang w:val="en-AU"/>
              </w:rPr>
            </w:pPr>
            <w:r w:rsidRPr="00276BCA">
              <w:rPr>
                <w:lang w:val="en-AU"/>
              </w:rPr>
              <w:t>Dispensed Price Max Amt</w:t>
            </w:r>
          </w:p>
        </w:tc>
        <w:tc>
          <w:tcPr>
            <w:tcW w:w="785" w:type="pct"/>
            <w:vAlign w:val="center"/>
          </w:tcPr>
          <w:p w14:paraId="3DC06900" w14:textId="77777777" w:rsidR="000E0CF4" w:rsidRPr="00276BCA" w:rsidRDefault="000E0CF4" w:rsidP="00C42FAB">
            <w:pPr>
              <w:pStyle w:val="In-tableHeading"/>
              <w:jc w:val="center"/>
              <w:rPr>
                <w:lang w:val="en-AU"/>
              </w:rPr>
            </w:pPr>
            <w:r w:rsidRPr="00276BCA">
              <w:rPr>
                <w:lang w:val="en-AU"/>
              </w:rPr>
              <w:t>Max. Amount</w:t>
            </w:r>
          </w:p>
        </w:tc>
        <w:tc>
          <w:tcPr>
            <w:tcW w:w="601" w:type="pct"/>
            <w:vAlign w:val="center"/>
          </w:tcPr>
          <w:p w14:paraId="198905F6" w14:textId="77777777" w:rsidR="000E0CF4" w:rsidRPr="00276BCA" w:rsidRDefault="000E0CF4" w:rsidP="00C42FAB">
            <w:pPr>
              <w:pStyle w:val="In-tableHeading"/>
              <w:jc w:val="center"/>
              <w:rPr>
                <w:lang w:val="en-AU"/>
              </w:rPr>
            </w:pPr>
            <w:proofErr w:type="gramStart"/>
            <w:r w:rsidRPr="00276BCA">
              <w:rPr>
                <w:lang w:val="en-AU"/>
              </w:rPr>
              <w:t>№.of</w:t>
            </w:r>
            <w:proofErr w:type="gramEnd"/>
            <w:r w:rsidRPr="00276BCA">
              <w:rPr>
                <w:lang w:val="en-AU"/>
              </w:rPr>
              <w:t xml:space="preserve"> </w:t>
            </w:r>
            <w:proofErr w:type="spellStart"/>
            <w:r w:rsidRPr="00276BCA">
              <w:rPr>
                <w:lang w:val="en-AU"/>
              </w:rPr>
              <w:t>Rpts</w:t>
            </w:r>
            <w:proofErr w:type="spellEnd"/>
          </w:p>
        </w:tc>
      </w:tr>
      <w:tr w:rsidR="00E41328" w:rsidRPr="00276BCA" w14:paraId="6E25799B" w14:textId="77777777" w:rsidTr="00C42FAB">
        <w:trPr>
          <w:cantSplit/>
          <w:trHeight w:val="20"/>
        </w:trPr>
        <w:tc>
          <w:tcPr>
            <w:tcW w:w="1716" w:type="pct"/>
            <w:vAlign w:val="center"/>
          </w:tcPr>
          <w:p w14:paraId="307F3D80" w14:textId="77777777" w:rsidR="00C42FAB" w:rsidRPr="00276BCA" w:rsidRDefault="00C42FAB" w:rsidP="00C42FAB">
            <w:pPr>
              <w:pStyle w:val="TableText"/>
              <w:keepNext/>
            </w:pPr>
            <w:r w:rsidRPr="00276BCA">
              <w:t>ZOLBETUXIMAB</w:t>
            </w:r>
          </w:p>
          <w:p w14:paraId="4813AA4C" w14:textId="568F17A9" w:rsidR="00C42FAB" w:rsidRPr="00276BCA" w:rsidRDefault="00C42FAB" w:rsidP="00C42FAB">
            <w:pPr>
              <w:pStyle w:val="TableText"/>
              <w:keepNext/>
            </w:pPr>
            <w:r w:rsidRPr="00276BCA">
              <w:t>Injection 100 mg/20mL (vial)</w:t>
            </w:r>
          </w:p>
        </w:tc>
        <w:tc>
          <w:tcPr>
            <w:tcW w:w="1898" w:type="pct"/>
            <w:vAlign w:val="center"/>
          </w:tcPr>
          <w:p w14:paraId="5A522AD4" w14:textId="374CABBB" w:rsidR="00C42FAB" w:rsidRPr="00276BCA" w:rsidRDefault="00C42FAB" w:rsidP="00C42FAB">
            <w:pPr>
              <w:pStyle w:val="TableText"/>
              <w:keepNext/>
              <w:jc w:val="center"/>
            </w:pPr>
            <w:r w:rsidRPr="00276BCA">
              <w:t>$11,112.14 [Published, Private Hospital]</w:t>
            </w:r>
          </w:p>
          <w:p w14:paraId="7BC4C947" w14:textId="06453092" w:rsidR="00C42FAB" w:rsidRPr="00276BCA" w:rsidRDefault="00C42FAB" w:rsidP="00C42FAB">
            <w:pPr>
              <w:pStyle w:val="TableText"/>
              <w:keepNext/>
              <w:jc w:val="center"/>
            </w:pPr>
            <w:r w:rsidRPr="00276BCA">
              <w:t>$10,915.91 [Published, Public Hospital]</w:t>
            </w:r>
          </w:p>
        </w:tc>
        <w:tc>
          <w:tcPr>
            <w:tcW w:w="785" w:type="pct"/>
            <w:vAlign w:val="center"/>
          </w:tcPr>
          <w:p w14:paraId="476A9A29" w14:textId="7A190C00" w:rsidR="00C42FAB" w:rsidRPr="00276BCA" w:rsidRDefault="00C42FAB" w:rsidP="00C42FAB">
            <w:pPr>
              <w:pStyle w:val="TableText"/>
              <w:keepNext/>
              <w:jc w:val="center"/>
            </w:pPr>
            <w:r w:rsidRPr="00276BCA">
              <w:t>1,400</w:t>
            </w:r>
            <w:r w:rsidR="00016B85" w:rsidRPr="00276BCA">
              <w:t xml:space="preserve"> </w:t>
            </w:r>
            <w:r w:rsidRPr="00276BCA">
              <w:t>mg</w:t>
            </w:r>
          </w:p>
        </w:tc>
        <w:tc>
          <w:tcPr>
            <w:tcW w:w="601" w:type="pct"/>
            <w:vAlign w:val="center"/>
          </w:tcPr>
          <w:p w14:paraId="5FA8E9FD" w14:textId="4C402673" w:rsidR="00C42FAB" w:rsidRPr="00276BCA" w:rsidRDefault="00C42FAB" w:rsidP="00C42FAB">
            <w:pPr>
              <w:pStyle w:val="TableText"/>
              <w:keepNext/>
              <w:jc w:val="center"/>
            </w:pPr>
            <w:r w:rsidRPr="00276BCA">
              <w:t>0</w:t>
            </w:r>
          </w:p>
        </w:tc>
      </w:tr>
      <w:tr w:rsidR="00E41328" w:rsidRPr="00276BCA" w14:paraId="21163AC7" w14:textId="77777777" w:rsidTr="00C42FAB">
        <w:trPr>
          <w:cantSplit/>
          <w:trHeight w:val="20"/>
        </w:trPr>
        <w:tc>
          <w:tcPr>
            <w:tcW w:w="1716" w:type="pct"/>
            <w:vAlign w:val="center"/>
          </w:tcPr>
          <w:p w14:paraId="4A8BA1A2" w14:textId="77777777" w:rsidR="00C42FAB" w:rsidRPr="00276BCA" w:rsidRDefault="00C42FAB" w:rsidP="00C42FAB">
            <w:pPr>
              <w:pStyle w:val="TableText"/>
              <w:keepNext/>
            </w:pPr>
            <w:r w:rsidRPr="00276BCA">
              <w:t>ZOLBETUXIMAB</w:t>
            </w:r>
          </w:p>
          <w:p w14:paraId="0D8774B1" w14:textId="6E9E5F9F" w:rsidR="00C42FAB" w:rsidRPr="00276BCA" w:rsidRDefault="00C42FAB" w:rsidP="00C42FAB">
            <w:pPr>
              <w:pStyle w:val="TableText"/>
              <w:keepNext/>
            </w:pPr>
            <w:r w:rsidRPr="00276BCA">
              <w:t>Injection 100 mg/20mL (vial)</w:t>
            </w:r>
          </w:p>
        </w:tc>
        <w:tc>
          <w:tcPr>
            <w:tcW w:w="1898" w:type="pct"/>
            <w:vAlign w:val="center"/>
          </w:tcPr>
          <w:p w14:paraId="2AFE509E" w14:textId="5639E31C" w:rsidR="00C42FAB" w:rsidRPr="00276BCA" w:rsidRDefault="00C42FAB" w:rsidP="00C42FAB">
            <w:pPr>
              <w:pStyle w:val="TableText"/>
              <w:keepNext/>
              <w:jc w:val="center"/>
            </w:pPr>
            <w:r w:rsidRPr="00276BCA">
              <w:t>$8,759.85 [Published, Private Hospital]</w:t>
            </w:r>
          </w:p>
          <w:p w14:paraId="209458AF" w14:textId="563ECD72" w:rsidR="00C42FAB" w:rsidRPr="00276BCA" w:rsidRDefault="00C42FAB" w:rsidP="00C42FAB">
            <w:pPr>
              <w:pStyle w:val="TableText"/>
              <w:keepNext/>
              <w:jc w:val="center"/>
            </w:pPr>
            <w:r w:rsidRPr="00276BCA">
              <w:t>$8,596.10 [Published, Public Hospital]</w:t>
            </w:r>
          </w:p>
        </w:tc>
        <w:tc>
          <w:tcPr>
            <w:tcW w:w="785" w:type="pct"/>
            <w:vAlign w:val="center"/>
          </w:tcPr>
          <w:p w14:paraId="761AF5C2" w14:textId="584AE03F" w:rsidR="00C42FAB" w:rsidRPr="00276BCA" w:rsidRDefault="00C42FAB" w:rsidP="00C42FAB">
            <w:pPr>
              <w:pStyle w:val="TableText"/>
              <w:keepNext/>
              <w:jc w:val="center"/>
            </w:pPr>
            <w:r w:rsidRPr="00276BCA">
              <w:t>1,100</w:t>
            </w:r>
            <w:r w:rsidR="00126DC3" w:rsidRPr="00276BCA">
              <w:t xml:space="preserve"> </w:t>
            </w:r>
            <w:r w:rsidRPr="00276BCA">
              <w:t>mg</w:t>
            </w:r>
          </w:p>
        </w:tc>
        <w:tc>
          <w:tcPr>
            <w:tcW w:w="601" w:type="pct"/>
            <w:vAlign w:val="center"/>
          </w:tcPr>
          <w:p w14:paraId="0352F88F" w14:textId="7EA20CD4" w:rsidR="00C42FAB" w:rsidRPr="00276BCA" w:rsidRDefault="00C42FAB" w:rsidP="00C42FAB">
            <w:pPr>
              <w:pStyle w:val="TableText"/>
              <w:keepNext/>
              <w:jc w:val="center"/>
            </w:pPr>
            <w:r w:rsidRPr="00276BCA">
              <w:t>8</w:t>
            </w:r>
          </w:p>
        </w:tc>
      </w:tr>
      <w:tr w:rsidR="00E41328" w:rsidRPr="00276BCA" w14:paraId="20955243" w14:textId="77777777" w:rsidTr="00C42FAB">
        <w:trPr>
          <w:cantSplit/>
          <w:trHeight w:val="20"/>
        </w:trPr>
        <w:tc>
          <w:tcPr>
            <w:tcW w:w="1716" w:type="pct"/>
            <w:vAlign w:val="center"/>
          </w:tcPr>
          <w:p w14:paraId="37B36769" w14:textId="77777777" w:rsidR="00C42FAB" w:rsidRPr="00276BCA" w:rsidRDefault="00C42FAB" w:rsidP="00C42FAB">
            <w:pPr>
              <w:pStyle w:val="TableText"/>
              <w:keepNext/>
            </w:pPr>
            <w:r w:rsidRPr="00276BCA">
              <w:t>ZOLBETUXIMAB</w:t>
            </w:r>
          </w:p>
          <w:p w14:paraId="41F23882" w14:textId="7892F3F1" w:rsidR="00C42FAB" w:rsidRPr="00276BCA" w:rsidRDefault="00C42FAB" w:rsidP="00C42FAB">
            <w:pPr>
              <w:pStyle w:val="TableText"/>
              <w:keepNext/>
            </w:pPr>
            <w:r w:rsidRPr="00276BCA">
              <w:t>Injection 100 mg/20mL (vial)</w:t>
            </w:r>
          </w:p>
        </w:tc>
        <w:tc>
          <w:tcPr>
            <w:tcW w:w="1898" w:type="pct"/>
            <w:vAlign w:val="center"/>
          </w:tcPr>
          <w:p w14:paraId="07AD942D" w14:textId="478FEF74" w:rsidR="00C42FAB" w:rsidRPr="00276BCA" w:rsidRDefault="00C42FAB" w:rsidP="00C42FAB">
            <w:pPr>
              <w:pStyle w:val="TableText"/>
              <w:keepNext/>
              <w:jc w:val="center"/>
            </w:pPr>
            <w:r w:rsidRPr="00276BCA">
              <w:t>$5,623.47 [Published, Private Hospital]</w:t>
            </w:r>
          </w:p>
          <w:p w14:paraId="046EA042" w14:textId="3EC41940" w:rsidR="00C42FAB" w:rsidRPr="00276BCA" w:rsidRDefault="00C42FAB" w:rsidP="00C42FAB">
            <w:pPr>
              <w:pStyle w:val="TableText"/>
              <w:keepNext/>
              <w:jc w:val="center"/>
            </w:pPr>
            <w:r w:rsidRPr="00276BCA">
              <w:t>$5,503.02 [Published, Public Hospital]</w:t>
            </w:r>
          </w:p>
        </w:tc>
        <w:tc>
          <w:tcPr>
            <w:tcW w:w="785" w:type="pct"/>
            <w:vAlign w:val="center"/>
          </w:tcPr>
          <w:p w14:paraId="2306ACF7" w14:textId="26553571" w:rsidR="00C42FAB" w:rsidRPr="00276BCA" w:rsidRDefault="00C42FAB" w:rsidP="00C42FAB">
            <w:pPr>
              <w:pStyle w:val="TableText"/>
              <w:keepNext/>
              <w:jc w:val="center"/>
            </w:pPr>
            <w:r w:rsidRPr="00276BCA">
              <w:t>700</w:t>
            </w:r>
            <w:r w:rsidR="00126DC3" w:rsidRPr="00276BCA">
              <w:t xml:space="preserve"> </w:t>
            </w:r>
            <w:r w:rsidRPr="00276BCA">
              <w:t>mg</w:t>
            </w:r>
          </w:p>
        </w:tc>
        <w:tc>
          <w:tcPr>
            <w:tcW w:w="601" w:type="pct"/>
            <w:vAlign w:val="center"/>
          </w:tcPr>
          <w:p w14:paraId="522640EB" w14:textId="2312FA14" w:rsidR="00C42FAB" w:rsidRPr="00276BCA" w:rsidRDefault="00C42FAB" w:rsidP="00C42FAB">
            <w:pPr>
              <w:pStyle w:val="TableText"/>
              <w:keepNext/>
              <w:jc w:val="center"/>
            </w:pPr>
            <w:r w:rsidRPr="00276BCA">
              <w:t>12</w:t>
            </w:r>
          </w:p>
        </w:tc>
      </w:tr>
      <w:tr w:rsidR="00E41328" w:rsidRPr="00276BCA" w14:paraId="42AC9D19" w14:textId="77777777" w:rsidTr="00D56403">
        <w:trPr>
          <w:cantSplit/>
          <w:trHeight w:val="255"/>
        </w:trPr>
        <w:tc>
          <w:tcPr>
            <w:tcW w:w="5000" w:type="pct"/>
            <w:gridSpan w:val="4"/>
            <w:vAlign w:val="center"/>
          </w:tcPr>
          <w:p w14:paraId="2EB72253" w14:textId="77777777" w:rsidR="000E0CF4" w:rsidRPr="00276BCA" w:rsidRDefault="000E0CF4" w:rsidP="00BF1257">
            <w:pPr>
              <w:keepNext/>
              <w:keepLines/>
              <w:spacing w:before="0" w:after="0"/>
              <w:rPr>
                <w:b/>
              </w:rPr>
            </w:pPr>
            <w:r w:rsidRPr="00276BCA">
              <w:rPr>
                <w:rFonts w:ascii="Arial Narrow" w:eastAsiaTheme="majorEastAsia" w:hAnsi="Arial Narrow" w:cs="Times New Roman"/>
                <w:b/>
                <w:sz w:val="20"/>
              </w:rPr>
              <w:t>Available brands</w:t>
            </w:r>
            <w:r w:rsidRPr="00276BCA">
              <w:rPr>
                <w:b/>
              </w:rPr>
              <w:t xml:space="preserve"> </w:t>
            </w:r>
          </w:p>
        </w:tc>
      </w:tr>
      <w:tr w:rsidR="000E0CF4" w:rsidRPr="00276BCA" w14:paraId="7236DCFC" w14:textId="77777777" w:rsidTr="00C42FAB">
        <w:trPr>
          <w:cantSplit/>
          <w:trHeight w:val="452"/>
        </w:trPr>
        <w:tc>
          <w:tcPr>
            <w:tcW w:w="5000" w:type="pct"/>
            <w:gridSpan w:val="4"/>
            <w:vAlign w:val="center"/>
          </w:tcPr>
          <w:p w14:paraId="39FD3D0D" w14:textId="660260FE" w:rsidR="00C42FAB" w:rsidRPr="00276BCA" w:rsidRDefault="00C42FAB" w:rsidP="00C42FAB">
            <w:pPr>
              <w:pStyle w:val="TableText"/>
              <w:keepNext/>
            </w:pPr>
            <w:r w:rsidRPr="00276BCA">
              <w:t>Vylov</w:t>
            </w:r>
          </w:p>
          <w:p w14:paraId="66980CFB" w14:textId="5E8E787F" w:rsidR="000E0CF4" w:rsidRPr="00276BCA" w:rsidRDefault="00C42FAB" w:rsidP="00C42FAB">
            <w:pPr>
              <w:pStyle w:val="TableText"/>
              <w:keepNext/>
            </w:pPr>
            <w:proofErr w:type="spellStart"/>
            <w:r w:rsidRPr="00276BCA">
              <w:t>zolbetuximab</w:t>
            </w:r>
            <w:proofErr w:type="spellEnd"/>
            <w:r w:rsidRPr="00276BCA">
              <w:t xml:space="preserve"> 100</w:t>
            </w:r>
            <w:r w:rsidR="00A13495" w:rsidRPr="00276BCA">
              <w:t xml:space="preserve"> </w:t>
            </w:r>
            <w:r w:rsidRPr="00276BCA">
              <w:t>mg</w:t>
            </w:r>
            <w:r w:rsidR="00A13495" w:rsidRPr="00276BCA">
              <w:t xml:space="preserve"> injection, </w:t>
            </w:r>
            <w:r w:rsidRPr="00276BCA">
              <w:t>1 vial</w:t>
            </w:r>
          </w:p>
        </w:tc>
      </w:tr>
    </w:tbl>
    <w:p w14:paraId="612E60A5" w14:textId="77777777" w:rsidR="00C42FAB" w:rsidRPr="00276BCA" w:rsidRDefault="00C42FAB" w:rsidP="00C42FAB">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Requested listing"/>
      </w:tblPr>
      <w:tblGrid>
        <w:gridCol w:w="9016"/>
      </w:tblGrid>
      <w:tr w:rsidR="00E41328" w:rsidRPr="00276BCA" w14:paraId="587131B1" w14:textId="77777777" w:rsidTr="77D89277">
        <w:trPr>
          <w:cantSplit/>
          <w:trHeight w:val="20"/>
        </w:trPr>
        <w:tc>
          <w:tcPr>
            <w:tcW w:w="5000" w:type="pct"/>
            <w:vAlign w:val="center"/>
          </w:tcPr>
          <w:p w14:paraId="49A19F83" w14:textId="77777777" w:rsidR="00C42FAB" w:rsidRPr="00276BCA" w:rsidRDefault="00C42FAB" w:rsidP="00EC79E8">
            <w:pPr>
              <w:pStyle w:val="TableText"/>
              <w:keepLines/>
            </w:pPr>
            <w:r w:rsidRPr="00276BCA">
              <w:rPr>
                <w:b/>
              </w:rPr>
              <w:t xml:space="preserve">Category / Program: </w:t>
            </w:r>
            <w:r w:rsidRPr="00276BCA">
              <w:t>Section 100 – Efficient Funding of Chemotherapy</w:t>
            </w:r>
          </w:p>
        </w:tc>
      </w:tr>
      <w:tr w:rsidR="00E41328" w:rsidRPr="00276BCA" w14:paraId="612575D4" w14:textId="77777777" w:rsidTr="77D89277">
        <w:trPr>
          <w:cantSplit/>
          <w:trHeight w:val="20"/>
        </w:trPr>
        <w:tc>
          <w:tcPr>
            <w:tcW w:w="5000" w:type="pct"/>
          </w:tcPr>
          <w:p w14:paraId="098C299F" w14:textId="77777777" w:rsidR="00C42FAB" w:rsidRPr="00276BCA" w:rsidRDefault="00C42FAB" w:rsidP="00EC79E8">
            <w:pPr>
              <w:pStyle w:val="TableText"/>
              <w:keepLines/>
              <w:rPr>
                <w:b/>
              </w:rPr>
            </w:pPr>
            <w:r w:rsidRPr="00276BCA">
              <w:rPr>
                <w:b/>
              </w:rPr>
              <w:t>Prescriber type:</w:t>
            </w:r>
            <w:r w:rsidRPr="00276BCA">
              <w:t xml:space="preserve"> </w:t>
            </w:r>
            <w:r w:rsidRPr="00276BCA">
              <w:fldChar w:fldCharType="begin">
                <w:ffData>
                  <w:name w:val=""/>
                  <w:enabled/>
                  <w:calcOnExit w:val="0"/>
                  <w:checkBox>
                    <w:sizeAuto/>
                    <w:default w:val="1"/>
                  </w:checkBox>
                </w:ffData>
              </w:fldChar>
            </w:r>
            <w:r w:rsidRPr="00276BCA">
              <w:instrText xml:space="preserve"> FORMCHECKBOX </w:instrText>
            </w:r>
            <w:r w:rsidRPr="00276BCA">
              <w:fldChar w:fldCharType="separate"/>
            </w:r>
            <w:r w:rsidRPr="00276BCA">
              <w:fldChar w:fldCharType="end"/>
            </w:r>
            <w:r w:rsidRPr="00276BCA">
              <w:t xml:space="preserve">Medical Practitioners </w:t>
            </w:r>
          </w:p>
        </w:tc>
      </w:tr>
      <w:tr w:rsidR="00E41328" w:rsidRPr="00276BCA" w14:paraId="52D783C6" w14:textId="77777777" w:rsidTr="77D89277">
        <w:trPr>
          <w:cantSplit/>
          <w:trHeight w:val="20"/>
        </w:trPr>
        <w:tc>
          <w:tcPr>
            <w:tcW w:w="5000" w:type="pct"/>
          </w:tcPr>
          <w:p w14:paraId="75262146" w14:textId="77777777" w:rsidR="00C42FAB" w:rsidRPr="00276BCA" w:rsidRDefault="00C42FAB" w:rsidP="00EC79E8">
            <w:pPr>
              <w:pStyle w:val="TableText"/>
              <w:keepLines/>
              <w:rPr>
                <w:rFonts w:eastAsia="Times New Roman"/>
              </w:rPr>
            </w:pPr>
            <w:r w:rsidRPr="00276BCA">
              <w:rPr>
                <w:b/>
              </w:rPr>
              <w:t xml:space="preserve">Restriction type: </w:t>
            </w:r>
            <w:r w:rsidRPr="00276BCA">
              <w:rPr>
                <w:rFonts w:eastAsia="Times New Roman"/>
              </w:rPr>
              <w:fldChar w:fldCharType="begin">
                <w:ffData>
                  <w:name w:val=""/>
                  <w:enabled/>
                  <w:calcOnExit w:val="0"/>
                  <w:checkBox>
                    <w:sizeAuto/>
                    <w:default w:val="1"/>
                  </w:checkBox>
                </w:ffData>
              </w:fldChar>
            </w:r>
            <w:r w:rsidRPr="00276BCA">
              <w:rPr>
                <w:rFonts w:eastAsia="Times New Roman"/>
              </w:rPr>
              <w:instrText xml:space="preserve"> FORMCHECKBOX </w:instrText>
            </w:r>
            <w:r w:rsidRPr="00276BCA">
              <w:rPr>
                <w:rFonts w:eastAsia="Times New Roman"/>
              </w:rPr>
            </w:r>
            <w:r w:rsidRPr="00276BCA">
              <w:rPr>
                <w:rFonts w:eastAsia="Times New Roman"/>
              </w:rPr>
              <w:fldChar w:fldCharType="separate"/>
            </w:r>
            <w:r w:rsidRPr="00276BCA">
              <w:rPr>
                <w:rFonts w:eastAsia="Times New Roman"/>
              </w:rPr>
              <w:fldChar w:fldCharType="end"/>
            </w:r>
            <w:r w:rsidRPr="00276BCA">
              <w:rPr>
                <w:rFonts w:eastAsia="Times New Roman"/>
              </w:rPr>
              <w:t xml:space="preserve">Authority Required (STREAMLINED) </w:t>
            </w:r>
          </w:p>
        </w:tc>
      </w:tr>
      <w:tr w:rsidR="00E41328" w:rsidRPr="00276BCA" w14:paraId="2CFCC69A" w14:textId="77777777" w:rsidTr="77D89277">
        <w:trPr>
          <w:cantSplit/>
          <w:trHeight w:val="20"/>
        </w:trPr>
        <w:tc>
          <w:tcPr>
            <w:tcW w:w="5000" w:type="pct"/>
            <w:vAlign w:val="center"/>
          </w:tcPr>
          <w:p w14:paraId="30E71AD2" w14:textId="77777777" w:rsidR="00C42FAB" w:rsidRPr="00276BCA" w:rsidRDefault="00C42FAB" w:rsidP="00EC79E8">
            <w:pPr>
              <w:pStyle w:val="TableText"/>
              <w:keepLines/>
              <w:rPr>
                <w:b/>
              </w:rPr>
            </w:pPr>
            <w:r w:rsidRPr="00276BCA">
              <w:rPr>
                <w:b/>
              </w:rPr>
              <w:t>Severity:</w:t>
            </w:r>
            <w:r w:rsidRPr="00276BCA">
              <w:t xml:space="preserve"> Locally advanced unresectable or metastatic</w:t>
            </w:r>
          </w:p>
        </w:tc>
      </w:tr>
      <w:tr w:rsidR="00E41328" w:rsidRPr="00276BCA" w14:paraId="75C98E2C" w14:textId="77777777" w:rsidTr="77D89277">
        <w:trPr>
          <w:cantSplit/>
          <w:trHeight w:val="20"/>
        </w:trPr>
        <w:tc>
          <w:tcPr>
            <w:tcW w:w="5000" w:type="pct"/>
            <w:vAlign w:val="center"/>
            <w:hideMark/>
          </w:tcPr>
          <w:p w14:paraId="785BD364" w14:textId="553A4B8B" w:rsidR="00C42FAB" w:rsidRPr="00276BCA" w:rsidRDefault="00C42FAB" w:rsidP="00EC79E8">
            <w:pPr>
              <w:pStyle w:val="TableText"/>
              <w:keepLines/>
            </w:pPr>
            <w:r w:rsidRPr="00276BCA">
              <w:rPr>
                <w:b/>
              </w:rPr>
              <w:t>Indication:</w:t>
            </w:r>
            <w:r w:rsidRPr="00276BCA">
              <w:t xml:space="preserve"> Gastric or gastro-oesophageal junction cancer</w:t>
            </w:r>
          </w:p>
        </w:tc>
      </w:tr>
      <w:tr w:rsidR="00E41328" w:rsidRPr="00276BCA" w14:paraId="14FB37A3" w14:textId="77777777" w:rsidTr="77D89277">
        <w:trPr>
          <w:cantSplit/>
          <w:trHeight w:val="20"/>
        </w:trPr>
        <w:tc>
          <w:tcPr>
            <w:tcW w:w="5000" w:type="pct"/>
            <w:vAlign w:val="center"/>
            <w:hideMark/>
          </w:tcPr>
          <w:p w14:paraId="50602F16" w14:textId="77777777" w:rsidR="00C42FAB" w:rsidRPr="00276BCA" w:rsidRDefault="00C42FAB" w:rsidP="00EC79E8">
            <w:pPr>
              <w:pStyle w:val="TableText"/>
              <w:keepLines/>
            </w:pPr>
            <w:r w:rsidRPr="00276BCA">
              <w:rPr>
                <w:b/>
              </w:rPr>
              <w:t>Treatment Phase:</w:t>
            </w:r>
            <w:r w:rsidRPr="00276BCA">
              <w:t xml:space="preserve"> Initial</w:t>
            </w:r>
          </w:p>
        </w:tc>
      </w:tr>
      <w:tr w:rsidR="00E41328" w:rsidRPr="00276BCA" w14:paraId="738DCEDC" w14:textId="77777777" w:rsidTr="77D89277">
        <w:trPr>
          <w:cantSplit/>
          <w:trHeight w:val="20"/>
        </w:trPr>
        <w:tc>
          <w:tcPr>
            <w:tcW w:w="5000" w:type="pct"/>
            <w:vAlign w:val="center"/>
            <w:hideMark/>
          </w:tcPr>
          <w:p w14:paraId="04921720" w14:textId="77777777" w:rsidR="00C42FAB" w:rsidRPr="00276BCA" w:rsidRDefault="00C42FAB" w:rsidP="00EC79E8">
            <w:pPr>
              <w:pStyle w:val="TableText"/>
              <w:keepLines/>
            </w:pPr>
            <w:r w:rsidRPr="00276BCA">
              <w:rPr>
                <w:b/>
              </w:rPr>
              <w:t>Clinical criteria:</w:t>
            </w:r>
          </w:p>
        </w:tc>
      </w:tr>
      <w:tr w:rsidR="00E41328" w:rsidRPr="00276BCA" w14:paraId="685DF1B0" w14:textId="77777777" w:rsidTr="77D89277">
        <w:trPr>
          <w:cantSplit/>
          <w:trHeight w:val="20"/>
        </w:trPr>
        <w:tc>
          <w:tcPr>
            <w:tcW w:w="5000" w:type="pct"/>
            <w:vAlign w:val="center"/>
            <w:hideMark/>
          </w:tcPr>
          <w:p w14:paraId="2245BC85" w14:textId="77777777" w:rsidR="00C42FAB" w:rsidRPr="00276BCA" w:rsidRDefault="00C42FAB" w:rsidP="00EC79E8">
            <w:pPr>
              <w:pStyle w:val="TableText"/>
              <w:keepLines/>
            </w:pPr>
            <w:r w:rsidRPr="00276BCA">
              <w:t>Patient must have/have had at the time of initiating treatment with this drug, a WHO performance status no higher than 1</w:t>
            </w:r>
          </w:p>
        </w:tc>
      </w:tr>
      <w:tr w:rsidR="00E41328" w:rsidRPr="00276BCA" w14:paraId="67E5A293" w14:textId="77777777" w:rsidTr="77D89277">
        <w:trPr>
          <w:cantSplit/>
          <w:trHeight w:val="20"/>
        </w:trPr>
        <w:tc>
          <w:tcPr>
            <w:tcW w:w="5000" w:type="pct"/>
            <w:vAlign w:val="center"/>
            <w:hideMark/>
          </w:tcPr>
          <w:p w14:paraId="770DCFB1" w14:textId="77777777" w:rsidR="00C42FAB" w:rsidRPr="00276BCA" w:rsidRDefault="00C42FAB" w:rsidP="00EC79E8">
            <w:pPr>
              <w:pStyle w:val="TableText"/>
              <w:keepLines/>
            </w:pPr>
            <w:r w:rsidRPr="00276BCA">
              <w:rPr>
                <w:b/>
              </w:rPr>
              <w:t>AND</w:t>
            </w:r>
          </w:p>
        </w:tc>
      </w:tr>
      <w:tr w:rsidR="00E41328" w:rsidRPr="00276BCA" w14:paraId="1F3EBD7D" w14:textId="77777777" w:rsidTr="77D89277">
        <w:trPr>
          <w:cantSplit/>
          <w:trHeight w:val="20"/>
        </w:trPr>
        <w:tc>
          <w:tcPr>
            <w:tcW w:w="5000" w:type="pct"/>
            <w:vAlign w:val="center"/>
            <w:hideMark/>
          </w:tcPr>
          <w:p w14:paraId="6F9AC32E" w14:textId="77777777" w:rsidR="00C42FAB" w:rsidRPr="00276BCA" w:rsidRDefault="00C42FAB" w:rsidP="00EC79E8">
            <w:pPr>
              <w:pStyle w:val="TableText"/>
              <w:keepLines/>
            </w:pPr>
            <w:r w:rsidRPr="00276BCA">
              <w:rPr>
                <w:b/>
              </w:rPr>
              <w:t>Clinical criteria:</w:t>
            </w:r>
          </w:p>
        </w:tc>
      </w:tr>
      <w:tr w:rsidR="00E41328" w:rsidRPr="00276BCA" w14:paraId="002E894F" w14:textId="77777777" w:rsidTr="77D89277">
        <w:trPr>
          <w:cantSplit/>
          <w:trHeight w:val="20"/>
        </w:trPr>
        <w:tc>
          <w:tcPr>
            <w:tcW w:w="5000" w:type="pct"/>
            <w:vAlign w:val="center"/>
            <w:hideMark/>
          </w:tcPr>
          <w:p w14:paraId="44F82EF7" w14:textId="7B65D227" w:rsidR="00C42FAB" w:rsidRPr="00276BCA" w:rsidRDefault="00C42FAB" w:rsidP="00EC79E8">
            <w:pPr>
              <w:pStyle w:val="TableText"/>
              <w:keepLines/>
            </w:pPr>
            <w:r w:rsidRPr="00276BCA">
              <w:t>The condition must have evidence of CLDN18 expression as demonstrated by immunohistochemistry in tumour material– retain this evidence on the patient’s medical records; do not submit a copy of this evidence in this authority application</w:t>
            </w:r>
          </w:p>
        </w:tc>
      </w:tr>
      <w:tr w:rsidR="00E41328" w:rsidRPr="00276BCA" w14:paraId="4D98897D" w14:textId="77777777" w:rsidTr="77D89277">
        <w:trPr>
          <w:cantSplit/>
          <w:trHeight w:val="20"/>
        </w:trPr>
        <w:tc>
          <w:tcPr>
            <w:tcW w:w="5000" w:type="pct"/>
            <w:vAlign w:val="center"/>
          </w:tcPr>
          <w:p w14:paraId="14564B6E" w14:textId="77777777" w:rsidR="00C42FAB" w:rsidRPr="00276BCA" w:rsidRDefault="00C42FAB" w:rsidP="00EC79E8">
            <w:pPr>
              <w:pStyle w:val="TableText"/>
              <w:keepLines/>
            </w:pPr>
            <w:r w:rsidRPr="00276BCA">
              <w:rPr>
                <w:b/>
              </w:rPr>
              <w:t>Clinical criteria:</w:t>
            </w:r>
          </w:p>
        </w:tc>
      </w:tr>
      <w:tr w:rsidR="00E41328" w:rsidRPr="00276BCA" w14:paraId="650E748F" w14:textId="77777777" w:rsidTr="77D89277">
        <w:trPr>
          <w:cantSplit/>
          <w:trHeight w:val="20"/>
        </w:trPr>
        <w:tc>
          <w:tcPr>
            <w:tcW w:w="5000" w:type="pct"/>
            <w:vAlign w:val="center"/>
          </w:tcPr>
          <w:p w14:paraId="6FDF500A" w14:textId="7E92E9DC" w:rsidR="00C42FAB" w:rsidRPr="00276BCA" w:rsidRDefault="00C42FAB" w:rsidP="00EC79E8">
            <w:pPr>
              <w:pStyle w:val="TableText"/>
              <w:keepLines/>
            </w:pPr>
            <w:r w:rsidRPr="00276BCA">
              <w:t>Patient must be untreated (up until initiating this drug) with programmed cell death-1/ligand-1 (PD-1/PD-L1) inhibitor therapy for gastro-oesophageal cancer</w:t>
            </w:r>
          </w:p>
        </w:tc>
      </w:tr>
      <w:tr w:rsidR="00E41328" w:rsidRPr="00276BCA" w14:paraId="2102C992" w14:textId="77777777" w:rsidTr="77D89277">
        <w:trPr>
          <w:cantSplit/>
          <w:trHeight w:val="20"/>
        </w:trPr>
        <w:tc>
          <w:tcPr>
            <w:tcW w:w="5000" w:type="pct"/>
            <w:vAlign w:val="center"/>
            <w:hideMark/>
          </w:tcPr>
          <w:p w14:paraId="769A8590" w14:textId="77777777" w:rsidR="00C42FAB" w:rsidRPr="00276BCA" w:rsidRDefault="00C42FAB" w:rsidP="00EC79E8">
            <w:pPr>
              <w:pStyle w:val="TableText"/>
              <w:keepLines/>
            </w:pPr>
            <w:r w:rsidRPr="00276BCA">
              <w:rPr>
                <w:b/>
              </w:rPr>
              <w:t xml:space="preserve">Treatment criteria: </w:t>
            </w:r>
            <w:r w:rsidRPr="00276BCA">
              <w:t>Induction dose</w:t>
            </w:r>
          </w:p>
        </w:tc>
      </w:tr>
      <w:tr w:rsidR="00E41328" w:rsidRPr="00276BCA" w14:paraId="0976AC0B" w14:textId="77777777" w:rsidTr="77D89277">
        <w:trPr>
          <w:cantSplit/>
          <w:trHeight w:val="20"/>
        </w:trPr>
        <w:tc>
          <w:tcPr>
            <w:tcW w:w="5000" w:type="pct"/>
            <w:vAlign w:val="center"/>
            <w:hideMark/>
          </w:tcPr>
          <w:p w14:paraId="02FB9B04" w14:textId="57C8678F" w:rsidR="00C42FAB" w:rsidRPr="00276BCA" w:rsidRDefault="00C42FAB" w:rsidP="00EC79E8">
            <w:pPr>
              <w:pStyle w:val="TableText"/>
              <w:keepLines/>
              <w:rPr>
                <w:i/>
                <w:iCs/>
              </w:rPr>
            </w:pPr>
            <w:r w:rsidRPr="00276BCA">
              <w:t>Patient must not be undergoing treatment with this drug as a PBS benefit where the treatment duration extends beyond the following, whichever comes first: (</w:t>
            </w:r>
            <w:proofErr w:type="spellStart"/>
            <w:r w:rsidRPr="00276BCA">
              <w:t>i</w:t>
            </w:r>
            <w:proofErr w:type="spellEnd"/>
            <w:r w:rsidRPr="00276BCA">
              <w:t>) disease progression despite treatment with this drug, (ii) 24 months from treatment initiation; annotate any remaining repeat prescriptions with the word 'cancelled' where this occurs</w:t>
            </w:r>
          </w:p>
        </w:tc>
      </w:tr>
      <w:tr w:rsidR="00E41328" w:rsidRPr="00276BCA" w14:paraId="6EC8B63A" w14:textId="77777777" w:rsidTr="77D89277">
        <w:trPr>
          <w:cantSplit/>
          <w:trHeight w:val="20"/>
        </w:trPr>
        <w:tc>
          <w:tcPr>
            <w:tcW w:w="5000" w:type="pct"/>
            <w:vAlign w:val="center"/>
          </w:tcPr>
          <w:p w14:paraId="28B2CF55" w14:textId="77777777" w:rsidR="00C42FAB" w:rsidRPr="00276BCA" w:rsidRDefault="00C42FAB" w:rsidP="00EC79E8">
            <w:pPr>
              <w:pStyle w:val="TableText"/>
              <w:keepLines/>
            </w:pPr>
            <w:r w:rsidRPr="00276BCA">
              <w:rPr>
                <w:b/>
              </w:rPr>
              <w:t>AND</w:t>
            </w:r>
          </w:p>
        </w:tc>
      </w:tr>
      <w:tr w:rsidR="00E41328" w:rsidRPr="00276BCA" w14:paraId="1963C9A2" w14:textId="77777777" w:rsidTr="77D89277">
        <w:trPr>
          <w:cantSplit/>
          <w:trHeight w:val="20"/>
        </w:trPr>
        <w:tc>
          <w:tcPr>
            <w:tcW w:w="5000" w:type="pct"/>
            <w:vAlign w:val="center"/>
          </w:tcPr>
          <w:p w14:paraId="2503AF2B" w14:textId="55255758" w:rsidR="00C42FAB" w:rsidRPr="00276BCA" w:rsidRDefault="00C42FAB" w:rsidP="00EC79E8">
            <w:pPr>
              <w:pStyle w:val="TableText"/>
              <w:keepLines/>
            </w:pPr>
            <w:r w:rsidRPr="00276BCA">
              <w:t>Patient must be undergoing treatment with this drug for the first time</w:t>
            </w:r>
          </w:p>
        </w:tc>
      </w:tr>
      <w:tr w:rsidR="00E41328" w:rsidRPr="00276BCA" w14:paraId="080E57EC" w14:textId="77777777" w:rsidTr="77D89277">
        <w:trPr>
          <w:cantSplit/>
          <w:trHeight w:val="20"/>
        </w:trPr>
        <w:tc>
          <w:tcPr>
            <w:tcW w:w="5000" w:type="pct"/>
            <w:vAlign w:val="center"/>
            <w:hideMark/>
          </w:tcPr>
          <w:p w14:paraId="243B0A7E" w14:textId="77777777" w:rsidR="00C42FAB" w:rsidRPr="00276BCA" w:rsidRDefault="00C42FAB" w:rsidP="00EC79E8">
            <w:pPr>
              <w:pStyle w:val="TableText"/>
              <w:keepLines/>
            </w:pPr>
            <w:r w:rsidRPr="00276BCA">
              <w:rPr>
                <w:b/>
              </w:rPr>
              <w:t>Population criteria:</w:t>
            </w:r>
          </w:p>
        </w:tc>
      </w:tr>
      <w:tr w:rsidR="00E41328" w:rsidRPr="00276BCA" w14:paraId="5EC20E76" w14:textId="77777777" w:rsidTr="77D89277">
        <w:trPr>
          <w:cantSplit/>
          <w:trHeight w:val="20"/>
        </w:trPr>
        <w:tc>
          <w:tcPr>
            <w:tcW w:w="5000" w:type="pct"/>
            <w:vAlign w:val="center"/>
          </w:tcPr>
          <w:p w14:paraId="294FAB8A" w14:textId="77777777" w:rsidR="00C42FAB" w:rsidRPr="00276BCA" w:rsidRDefault="00C42FAB" w:rsidP="00EC79E8">
            <w:pPr>
              <w:pStyle w:val="TableText"/>
              <w:keepLines/>
            </w:pPr>
            <w:r w:rsidRPr="00276BCA">
              <w:t>Conditions: gastric cancer, gastro-oesophageal junction cancer, oesophageal adenocarcinoma</w:t>
            </w:r>
          </w:p>
          <w:p w14:paraId="70748673" w14:textId="6C7DF41B" w:rsidR="00C42FAB" w:rsidRPr="00276BCA" w:rsidRDefault="00C42FAB" w:rsidP="00EC79E8">
            <w:pPr>
              <w:pStyle w:val="TableText"/>
              <w:keepLines/>
            </w:pPr>
            <w:r w:rsidRPr="00276BCA">
              <w:t>Concomitant therapies: chemotherapy containing at least a fluoropyrimidine drug plus a platinum drug</w:t>
            </w:r>
          </w:p>
          <w:p w14:paraId="4156E842" w14:textId="77777777" w:rsidR="00C42FAB" w:rsidRPr="00276BCA" w:rsidRDefault="00C42FAB" w:rsidP="00EC79E8">
            <w:pPr>
              <w:pStyle w:val="TableText"/>
              <w:keepLines/>
            </w:pPr>
            <w:r w:rsidRPr="00276BCA">
              <w:t>Line of treatment: first-line drug treatment</w:t>
            </w:r>
          </w:p>
          <w:p w14:paraId="3E18F6D5" w14:textId="5120B4AE" w:rsidR="00C42FAB" w:rsidRPr="00276BCA" w:rsidRDefault="00C42FAB" w:rsidP="00EC79E8">
            <w:pPr>
              <w:pStyle w:val="TableText"/>
              <w:keepLines/>
            </w:pPr>
            <w:r w:rsidRPr="00276BCA">
              <w:t>Additional clinical finding: HER2-negative</w:t>
            </w:r>
          </w:p>
        </w:tc>
      </w:tr>
      <w:tr w:rsidR="00E41328" w:rsidRPr="00276BCA" w14:paraId="1CD9F822" w14:textId="77777777" w:rsidTr="77D89277">
        <w:trPr>
          <w:cantSplit/>
          <w:trHeight w:val="20"/>
        </w:trPr>
        <w:tc>
          <w:tcPr>
            <w:tcW w:w="5000" w:type="pct"/>
            <w:vAlign w:val="center"/>
            <w:hideMark/>
          </w:tcPr>
          <w:p w14:paraId="55B1B0D6" w14:textId="599B891C" w:rsidR="00C42FAB" w:rsidRPr="00276BCA" w:rsidRDefault="00C42FAB" w:rsidP="00EC79E8">
            <w:pPr>
              <w:pStyle w:val="TableText"/>
              <w:keepLines/>
            </w:pPr>
            <w:r w:rsidRPr="00276BCA">
              <w:rPr>
                <w:b/>
                <w:bCs/>
              </w:rPr>
              <w:t xml:space="preserve">Prescribing Instructions: </w:t>
            </w:r>
            <w:r w:rsidRPr="00276BCA">
              <w:t>The treatment must be prescribed in accordance with the drug's 'Indications' section of the approved Australian Production Information with respect to each of: (</w:t>
            </w:r>
            <w:proofErr w:type="spellStart"/>
            <w:r w:rsidRPr="00276BCA">
              <w:t>i</w:t>
            </w:r>
            <w:proofErr w:type="spellEnd"/>
            <w:r w:rsidRPr="00276BCA">
              <w:t>) concomitant drugs/therapies, (ii) line of therapy (i.e. prior treatments, if any)</w:t>
            </w:r>
          </w:p>
        </w:tc>
      </w:tr>
      <w:tr w:rsidR="00E41328" w:rsidRPr="00276BCA" w14:paraId="2FF58E35" w14:textId="77777777" w:rsidTr="77D89277">
        <w:trPr>
          <w:cantSplit/>
          <w:trHeight w:val="20"/>
        </w:trPr>
        <w:tc>
          <w:tcPr>
            <w:tcW w:w="5000" w:type="pct"/>
            <w:vAlign w:val="center"/>
          </w:tcPr>
          <w:p w14:paraId="7110E386" w14:textId="77777777" w:rsidR="00C42FAB" w:rsidRPr="00276BCA" w:rsidRDefault="00C42FAB" w:rsidP="00EC79E8">
            <w:pPr>
              <w:pStyle w:val="TableText"/>
              <w:keepLines/>
              <w:rPr>
                <w:b/>
              </w:rPr>
            </w:pPr>
            <w:r w:rsidRPr="00276BCA">
              <w:rPr>
                <w:b/>
              </w:rPr>
              <w:t>Treatment Phase:</w:t>
            </w:r>
            <w:r w:rsidRPr="00276BCA">
              <w:t xml:space="preserve"> Continuing</w:t>
            </w:r>
          </w:p>
        </w:tc>
      </w:tr>
      <w:tr w:rsidR="00E41328" w:rsidRPr="00276BCA" w14:paraId="680FCDAB" w14:textId="77777777" w:rsidTr="77D89277">
        <w:trPr>
          <w:cantSplit/>
          <w:trHeight w:val="20"/>
        </w:trPr>
        <w:tc>
          <w:tcPr>
            <w:tcW w:w="5000" w:type="pct"/>
            <w:vAlign w:val="center"/>
          </w:tcPr>
          <w:p w14:paraId="7A5D4AE9" w14:textId="77777777" w:rsidR="00C42FAB" w:rsidRPr="00276BCA" w:rsidRDefault="00C42FAB" w:rsidP="00EC79E8">
            <w:pPr>
              <w:pStyle w:val="TableText"/>
              <w:keepLines/>
              <w:rPr>
                <w:b/>
              </w:rPr>
            </w:pPr>
            <w:r w:rsidRPr="00276BCA">
              <w:rPr>
                <w:b/>
              </w:rPr>
              <w:t>Clinical criteria:</w:t>
            </w:r>
          </w:p>
        </w:tc>
      </w:tr>
      <w:tr w:rsidR="00E41328" w:rsidRPr="00276BCA" w14:paraId="046BE4CC" w14:textId="77777777" w:rsidTr="77D89277">
        <w:trPr>
          <w:cantSplit/>
          <w:trHeight w:val="20"/>
        </w:trPr>
        <w:tc>
          <w:tcPr>
            <w:tcW w:w="5000" w:type="pct"/>
            <w:vAlign w:val="center"/>
          </w:tcPr>
          <w:p w14:paraId="4152113B" w14:textId="3FFAA5FD" w:rsidR="00C42FAB" w:rsidRPr="00276BCA" w:rsidRDefault="00C42FAB" w:rsidP="00EC79E8">
            <w:pPr>
              <w:pStyle w:val="TableText"/>
              <w:keepLines/>
              <w:rPr>
                <w:b/>
              </w:rPr>
            </w:pPr>
            <w:r w:rsidRPr="00276BCA">
              <w:t>The condition must not have progressed</w:t>
            </w:r>
          </w:p>
        </w:tc>
      </w:tr>
      <w:tr w:rsidR="00E41328" w:rsidRPr="00276BCA" w14:paraId="1FC7BC53" w14:textId="77777777" w:rsidTr="77D89277">
        <w:trPr>
          <w:cantSplit/>
          <w:trHeight w:val="20"/>
        </w:trPr>
        <w:tc>
          <w:tcPr>
            <w:tcW w:w="5000" w:type="pct"/>
            <w:vAlign w:val="center"/>
          </w:tcPr>
          <w:p w14:paraId="3A3509DA" w14:textId="77777777" w:rsidR="00C42FAB" w:rsidRPr="00276BCA" w:rsidRDefault="00C42FAB" w:rsidP="00EC79E8">
            <w:pPr>
              <w:pStyle w:val="TableText"/>
              <w:keepLines/>
              <w:rPr>
                <w:b/>
              </w:rPr>
            </w:pPr>
            <w:r w:rsidRPr="00276BCA">
              <w:rPr>
                <w:b/>
              </w:rPr>
              <w:t>Treatment criteria:</w:t>
            </w:r>
          </w:p>
        </w:tc>
      </w:tr>
      <w:tr w:rsidR="00E41328" w:rsidRPr="00276BCA" w14:paraId="5F3C20F3" w14:textId="77777777" w:rsidTr="77D89277">
        <w:trPr>
          <w:cantSplit/>
          <w:trHeight w:val="20"/>
        </w:trPr>
        <w:tc>
          <w:tcPr>
            <w:tcW w:w="5000" w:type="pct"/>
            <w:vAlign w:val="center"/>
          </w:tcPr>
          <w:p w14:paraId="4C90849C" w14:textId="1B2EAFBE" w:rsidR="00C42FAB" w:rsidRPr="00276BCA" w:rsidRDefault="00C42FAB" w:rsidP="00EC79E8">
            <w:pPr>
              <w:pStyle w:val="TableText"/>
              <w:keepLines/>
              <w:rPr>
                <w:b/>
                <w:bCs/>
              </w:rPr>
            </w:pPr>
            <w:r w:rsidRPr="00276BCA">
              <w:t>Patient must be undergoing current treatment with this drug through the PBS for this PBS-indication, evidenced by at least 1 PBS claim under the ‘Initial treatment’ phase</w:t>
            </w:r>
          </w:p>
        </w:tc>
      </w:tr>
      <w:tr w:rsidR="00C42FAB" w:rsidRPr="00276BCA" w14:paraId="5BB4C775" w14:textId="77777777" w:rsidTr="77D89277">
        <w:trPr>
          <w:cantSplit/>
          <w:trHeight w:val="20"/>
        </w:trPr>
        <w:tc>
          <w:tcPr>
            <w:tcW w:w="5000" w:type="pct"/>
            <w:vAlign w:val="center"/>
          </w:tcPr>
          <w:p w14:paraId="20C8E0AC" w14:textId="0A64C1AD" w:rsidR="00C42FAB" w:rsidRPr="00276BCA" w:rsidRDefault="00C42FAB" w:rsidP="00EC79E8">
            <w:pPr>
              <w:pStyle w:val="TableText"/>
              <w:keepLines/>
              <w:rPr>
                <w:b/>
              </w:rPr>
            </w:pPr>
            <w:r w:rsidRPr="00276BCA">
              <w:rPr>
                <w:b/>
              </w:rPr>
              <w:lastRenderedPageBreak/>
              <w:t xml:space="preserve">Prescriber Instructions: </w:t>
            </w:r>
          </w:p>
          <w:p w14:paraId="555FEA85" w14:textId="14BFFFC4" w:rsidR="00C42FAB" w:rsidRPr="00276BCA" w:rsidRDefault="00C42FAB" w:rsidP="00EC79E8">
            <w:pPr>
              <w:pStyle w:val="TableText"/>
              <w:keepLines/>
            </w:pPr>
            <w:r w:rsidRPr="00276BCA">
              <w:t>Patient must not be undergoing treatment with this drug as a PBS benefit where the treatment duration extends beyond the following, whichever comes first: (</w:t>
            </w:r>
            <w:proofErr w:type="spellStart"/>
            <w:r w:rsidRPr="00276BCA">
              <w:t>i</w:t>
            </w:r>
            <w:proofErr w:type="spellEnd"/>
            <w:r w:rsidRPr="00276BCA">
              <w:t>) disease progression despite treatment with this drug, (ii) 24 months from treatment initiation; annotate any remaining repeat prescriptions with the word 'cancelled' where this occurs.</w:t>
            </w:r>
          </w:p>
        </w:tc>
      </w:tr>
    </w:tbl>
    <w:p w14:paraId="76E61838" w14:textId="1D6D4B73" w:rsidR="004B31B6" w:rsidRPr="00276BCA" w:rsidRDefault="004B31B6" w:rsidP="00EC79E8">
      <w:pPr>
        <w:pStyle w:val="paragraph"/>
        <w:spacing w:before="0" w:beforeAutospacing="0" w:after="0" w:afterAutospacing="0"/>
        <w:jc w:val="both"/>
        <w:textAlignment w:val="baseline"/>
      </w:pPr>
      <w:bookmarkStart w:id="17" w:name="_Ref187945798"/>
      <w:bookmarkEnd w:id="16"/>
    </w:p>
    <w:p w14:paraId="16FB54DB" w14:textId="77777777" w:rsidR="008130D2" w:rsidRPr="00276BCA" w:rsidRDefault="008130D2" w:rsidP="00BF1257">
      <w:pPr>
        <w:pStyle w:val="ListParagraph"/>
        <w:numPr>
          <w:ilvl w:val="4"/>
          <w:numId w:val="8"/>
        </w:numPr>
        <w:spacing w:before="0"/>
        <w:rPr>
          <w:color w:val="auto"/>
        </w:rPr>
      </w:pPr>
      <w:r w:rsidRPr="00276BCA">
        <w:rPr>
          <w:color w:val="auto"/>
        </w:rPr>
        <w:t xml:space="preserve">The submission did not propose an effective price for </w:t>
      </w:r>
      <w:proofErr w:type="spellStart"/>
      <w:r w:rsidRPr="00276BCA">
        <w:rPr>
          <w:color w:val="auto"/>
        </w:rPr>
        <w:t>zolbetuximab</w:t>
      </w:r>
      <w:proofErr w:type="spellEnd"/>
      <w:r w:rsidRPr="00276BCA">
        <w:rPr>
          <w:color w:val="auto"/>
        </w:rPr>
        <w:t xml:space="preserve"> as the effective price of nivolumab was unknown to the Sponsor. The Sponsor requested to </w:t>
      </w:r>
      <w:proofErr w:type="gramStart"/>
      <w:r w:rsidRPr="00276BCA">
        <w:rPr>
          <w:color w:val="auto"/>
        </w:rPr>
        <w:t>enter into</w:t>
      </w:r>
      <w:proofErr w:type="gramEnd"/>
      <w:r w:rsidRPr="00276BCA">
        <w:rPr>
          <w:color w:val="auto"/>
        </w:rPr>
        <w:t xml:space="preserve"> a Special Pricing Arrangement (SPA) </w:t>
      </w:r>
      <w:proofErr w:type="gramStart"/>
      <w:r w:rsidRPr="00276BCA">
        <w:rPr>
          <w:color w:val="auto"/>
        </w:rPr>
        <w:t>similar to</w:t>
      </w:r>
      <w:proofErr w:type="gramEnd"/>
      <w:r w:rsidRPr="00276BCA">
        <w:rPr>
          <w:color w:val="auto"/>
        </w:rPr>
        <w:t xml:space="preserve"> that of nivolumab upon receiving a recommendation from the PBAC. </w:t>
      </w:r>
    </w:p>
    <w:p w14:paraId="061A9AED" w14:textId="6CA4821A" w:rsidR="002339C8" w:rsidRPr="00276BCA" w:rsidRDefault="002339C8" w:rsidP="002339C8">
      <w:pPr>
        <w:pStyle w:val="ListParagraph"/>
        <w:numPr>
          <w:ilvl w:val="4"/>
          <w:numId w:val="8"/>
        </w:numPr>
        <w:rPr>
          <w:color w:val="auto"/>
        </w:rPr>
      </w:pPr>
      <w:r w:rsidRPr="00276BCA">
        <w:rPr>
          <w:color w:val="auto"/>
        </w:rPr>
        <w:t>The submission proposed</w:t>
      </w:r>
      <w:r w:rsidRPr="00276BCA" w:rsidDel="00093CF0">
        <w:rPr>
          <w:color w:val="auto"/>
        </w:rPr>
        <w:t xml:space="preserve"> </w:t>
      </w:r>
      <w:r w:rsidRPr="00276BCA">
        <w:rPr>
          <w:color w:val="auto"/>
        </w:rPr>
        <w:t xml:space="preserve">initial and continuing criteria. For the initial criteria, </w:t>
      </w:r>
      <w:r w:rsidRPr="00276BCA">
        <w:t>the submission requested a maximum amount of 1,400 mg with no repeats. This was based on a single loading dose of 800 mg/m</w:t>
      </w:r>
      <w:r w:rsidRPr="00276BCA">
        <w:rPr>
          <w:color w:val="auto"/>
          <w:vertAlign w:val="superscript"/>
        </w:rPr>
        <w:t>2</w:t>
      </w:r>
      <w:r w:rsidRPr="00276BCA">
        <w:t xml:space="preserve"> (regardless of chemotherapy backbone) and a weighted body surface area (BSA) of 1.70 m</w:t>
      </w:r>
      <w:r w:rsidRPr="00276BCA">
        <w:rPr>
          <w:vertAlign w:val="superscript"/>
        </w:rPr>
        <w:t>2</w:t>
      </w:r>
      <w:r w:rsidRPr="00276BCA">
        <w:t xml:space="preserve"> from the GLOW and SPOTLIGHT trials. For the continuing criteria, the submission requested a maximum amount of 1,100 mg with 8 repeats for the three weekly (Q3W) dose </w:t>
      </w:r>
      <w:r w:rsidR="00645430" w:rsidRPr="00276BCA">
        <w:t>(</w:t>
      </w:r>
      <w:r w:rsidR="003D53BE" w:rsidRPr="00276BCA">
        <w:t xml:space="preserve">if used with CAPOX) </w:t>
      </w:r>
      <w:r w:rsidRPr="00276BCA">
        <w:t>and 700 mg with 12 repeats for the two weekly (Q2W) dose</w:t>
      </w:r>
      <w:r w:rsidR="003D53BE" w:rsidRPr="00276BCA">
        <w:t xml:space="preserve"> (if used with FOLFOX)</w:t>
      </w:r>
      <w:r w:rsidRPr="00276BCA">
        <w:t>. Th</w:t>
      </w:r>
      <w:r w:rsidR="005F2861" w:rsidRPr="00276BCA">
        <w:t>is</w:t>
      </w:r>
      <w:r w:rsidRPr="00276BCA">
        <w:t xml:space="preserve"> was based on a dose of 600 mg/m</w:t>
      </w:r>
      <w:r w:rsidRPr="00276BCA">
        <w:rPr>
          <w:vertAlign w:val="superscript"/>
        </w:rPr>
        <w:t>2</w:t>
      </w:r>
      <w:r w:rsidRPr="00276BCA">
        <w:t xml:space="preserve"> for the Q3W dose and 400 mg/m</w:t>
      </w:r>
      <w:r w:rsidRPr="00276BCA">
        <w:rPr>
          <w:vertAlign w:val="superscript"/>
        </w:rPr>
        <w:t>2</w:t>
      </w:r>
      <w:r w:rsidRPr="00276BCA">
        <w:t xml:space="preserve"> for the Q2W dose and a weighted BSA of 1.70 m</w:t>
      </w:r>
      <w:r w:rsidRPr="00276BCA">
        <w:rPr>
          <w:vertAlign w:val="superscript"/>
        </w:rPr>
        <w:t>2</w:t>
      </w:r>
      <w:r w:rsidRPr="00276BCA">
        <w:t xml:space="preserve">. The submission rounded each maximum amount to the nearest whole vial, but this was not appropriate as EFC rules for chemotherapy mean that whole vials do not need to be dispensed. </w:t>
      </w:r>
    </w:p>
    <w:p w14:paraId="3CF36D03" w14:textId="14EF2027" w:rsidR="00724757" w:rsidRPr="00276BCA" w:rsidRDefault="00724757" w:rsidP="00724757">
      <w:pPr>
        <w:pStyle w:val="ListParagraph"/>
        <w:numPr>
          <w:ilvl w:val="4"/>
          <w:numId w:val="8"/>
        </w:numPr>
        <w:rPr>
          <w:color w:val="auto"/>
        </w:rPr>
      </w:pPr>
      <w:bookmarkStart w:id="18" w:name="_Ref195687026"/>
      <w:r w:rsidRPr="00276BCA">
        <w:rPr>
          <w:color w:val="auto"/>
        </w:rPr>
        <w:t xml:space="preserve">The dosing regimen proposed by the submission was consistent with the draft PI for </w:t>
      </w:r>
      <w:proofErr w:type="spellStart"/>
      <w:r w:rsidRPr="00276BCA">
        <w:rPr>
          <w:color w:val="auto"/>
        </w:rPr>
        <w:t>zolbetuximab</w:t>
      </w:r>
      <w:proofErr w:type="spellEnd"/>
      <w:r w:rsidR="00297059" w:rsidRPr="00276BCA">
        <w:rPr>
          <w:color w:val="auto"/>
        </w:rPr>
        <w:t>; however</w:t>
      </w:r>
      <w:r w:rsidRPr="00276BCA">
        <w:rPr>
          <w:color w:val="auto"/>
        </w:rPr>
        <w:t>, the SPOTLIGHT and GLOW trials utilised maintenance doses of 600 mg/m</w:t>
      </w:r>
      <w:r w:rsidRPr="00276BCA">
        <w:rPr>
          <w:color w:val="auto"/>
          <w:vertAlign w:val="superscript"/>
        </w:rPr>
        <w:t>2</w:t>
      </w:r>
      <w:r w:rsidRPr="00276BCA">
        <w:rPr>
          <w:color w:val="auto"/>
        </w:rPr>
        <w:t xml:space="preserve"> Q3W with both CAPOX and mFOLFOX6. </w:t>
      </w:r>
      <w:r w:rsidR="00297059" w:rsidRPr="00276BCA">
        <w:rPr>
          <w:color w:val="auto"/>
        </w:rPr>
        <w:t xml:space="preserve">The TGA Delegate </w:t>
      </w:r>
      <w:r w:rsidR="00274FE8" w:rsidRPr="00276BCA">
        <w:rPr>
          <w:color w:val="auto"/>
        </w:rPr>
        <w:t xml:space="preserve">was satisfied that the </w:t>
      </w:r>
      <w:r w:rsidR="00170F5D" w:rsidRPr="00276BCA">
        <w:rPr>
          <w:color w:val="auto"/>
        </w:rPr>
        <w:t xml:space="preserve">efficacy and safety of the proposed alternative </w:t>
      </w:r>
      <w:r w:rsidR="00274FE8" w:rsidRPr="00276BCA">
        <w:rPr>
          <w:color w:val="auto"/>
        </w:rPr>
        <w:t>dosing</w:t>
      </w:r>
      <w:r w:rsidR="00297059" w:rsidRPr="00276BCA">
        <w:rPr>
          <w:color w:val="auto"/>
        </w:rPr>
        <w:t xml:space="preserve"> </w:t>
      </w:r>
      <w:r w:rsidR="00170F5D" w:rsidRPr="00276BCA">
        <w:rPr>
          <w:color w:val="auto"/>
        </w:rPr>
        <w:t xml:space="preserve">regimen [Q2W] </w:t>
      </w:r>
      <w:r w:rsidR="00585EAC" w:rsidRPr="00276BCA">
        <w:rPr>
          <w:color w:val="auto"/>
        </w:rPr>
        <w:t>is established and acceptable.</w:t>
      </w:r>
      <w:bookmarkEnd w:id="18"/>
      <w:r w:rsidR="00585EAC" w:rsidRPr="00276BCA">
        <w:rPr>
          <w:color w:val="auto"/>
        </w:rPr>
        <w:t xml:space="preserve"> </w:t>
      </w:r>
    </w:p>
    <w:p w14:paraId="45B63C4E" w14:textId="527C396B" w:rsidR="002339C8" w:rsidRPr="00276BCA" w:rsidRDefault="002339C8" w:rsidP="002339C8">
      <w:pPr>
        <w:pStyle w:val="ListParagraph"/>
        <w:numPr>
          <w:ilvl w:val="4"/>
          <w:numId w:val="8"/>
        </w:numPr>
        <w:rPr>
          <w:color w:val="auto"/>
        </w:rPr>
      </w:pPr>
      <w:bookmarkStart w:id="19" w:name="_Ref195621547"/>
      <w:r w:rsidRPr="00276BCA">
        <w:rPr>
          <w:color w:val="auto"/>
        </w:rPr>
        <w:t xml:space="preserve">The </w:t>
      </w:r>
      <w:r w:rsidR="00F41754" w:rsidRPr="00276BCA">
        <w:rPr>
          <w:color w:val="auto"/>
        </w:rPr>
        <w:t>Pre-Sub-Committee Response (</w:t>
      </w:r>
      <w:r w:rsidRPr="00276BCA">
        <w:rPr>
          <w:color w:val="auto"/>
        </w:rPr>
        <w:t>PSCR) agreed to the Secretariat’s proposal to include two separate continuing treatment phases, to clearly outline to prescribers the circumstances under which maximum amounts and repeats should be prescribed (i.e. different dosage regimens).</w:t>
      </w:r>
      <w:bookmarkEnd w:id="19"/>
    </w:p>
    <w:p w14:paraId="43BC6955" w14:textId="02B39F0F" w:rsidR="00DD299C" w:rsidRPr="00276BCA" w:rsidRDefault="00DD299C" w:rsidP="00DD299C">
      <w:pPr>
        <w:pStyle w:val="ListParagraph"/>
        <w:numPr>
          <w:ilvl w:val="4"/>
          <w:numId w:val="8"/>
        </w:numPr>
      </w:pPr>
      <w:bookmarkStart w:id="20" w:name="_Ref195621597"/>
      <w:r w:rsidRPr="00276BCA">
        <w:t>The requested restriction included patients with oesophageal adenocarcinoma</w:t>
      </w:r>
      <w:r w:rsidR="00B13BA7" w:rsidRPr="00276BCA">
        <w:t xml:space="preserve"> </w:t>
      </w:r>
      <w:r w:rsidR="006E652A" w:rsidRPr="00276BCA">
        <w:t>(as part of the Conditions population criteria)</w:t>
      </w:r>
      <w:r w:rsidRPr="00276BCA">
        <w:t xml:space="preserve"> in addition to those with G/GOJ adenocarcinoma. </w:t>
      </w:r>
      <w:r w:rsidR="00B13BA7" w:rsidRPr="00276BCA">
        <w:t>T</w:t>
      </w:r>
      <w:r w:rsidRPr="00276BCA">
        <w:t xml:space="preserve">he evaluation noted that this was inconsistent with the proposed TGA indication for </w:t>
      </w:r>
      <w:proofErr w:type="spellStart"/>
      <w:r w:rsidRPr="00276BCA">
        <w:t>zolbetuximab</w:t>
      </w:r>
      <w:proofErr w:type="spellEnd"/>
      <w:r w:rsidRPr="00276BCA">
        <w:t xml:space="preserve">. </w:t>
      </w:r>
      <w:r w:rsidR="00B13BA7" w:rsidRPr="00276BCA">
        <w:t>T</w:t>
      </w:r>
      <w:r w:rsidRPr="00276BCA">
        <w:t>he PSCR stated that the oesophageal cancer indication was mistakenly added in the proposed population criteria.</w:t>
      </w:r>
      <w:bookmarkEnd w:id="20"/>
    </w:p>
    <w:p w14:paraId="0086298E" w14:textId="7B6DBD28" w:rsidR="005A2131" w:rsidRPr="00276BCA" w:rsidRDefault="001E3AAD" w:rsidP="00173A55">
      <w:pPr>
        <w:pStyle w:val="ListParagraph"/>
        <w:numPr>
          <w:ilvl w:val="4"/>
          <w:numId w:val="8"/>
        </w:numPr>
        <w:rPr>
          <w:color w:val="auto"/>
        </w:rPr>
      </w:pPr>
      <w:bookmarkStart w:id="21" w:name="_Ref195621401"/>
      <w:r w:rsidRPr="00276BCA">
        <w:t>Noting the above paragraph, t</w:t>
      </w:r>
      <w:r w:rsidR="00F34380" w:rsidRPr="00276BCA">
        <w:t>he PBAC advised the population criteria that include</w:t>
      </w:r>
      <w:r w:rsidR="00DC6822" w:rsidRPr="00276BCA">
        <w:t>d</w:t>
      </w:r>
      <w:r w:rsidR="00F34380" w:rsidRPr="00276BCA">
        <w:t xml:space="preserve"> Conditions, Concomitant therapies, Line of treatment and Additional clinical finding was unnecessary and could be removed from the proposed restriction. </w:t>
      </w:r>
      <w:r w:rsidR="00DF7681" w:rsidRPr="00276BCA">
        <w:t xml:space="preserve">Additionally, the PBAC considered the Prescribing Instructions </w:t>
      </w:r>
      <w:proofErr w:type="gramStart"/>
      <w:r w:rsidR="00DF7681" w:rsidRPr="00276BCA">
        <w:t>‘”The</w:t>
      </w:r>
      <w:proofErr w:type="gramEnd"/>
      <w:r w:rsidR="00DF7681" w:rsidRPr="00276BCA">
        <w:t xml:space="preserve"> treatment must be prescribed in accordance with the drug's 'Indications' section of the approved Australian Production Information with respect to each of: (</w:t>
      </w:r>
      <w:proofErr w:type="spellStart"/>
      <w:r w:rsidR="00DF7681" w:rsidRPr="00276BCA">
        <w:t>i</w:t>
      </w:r>
      <w:proofErr w:type="spellEnd"/>
      <w:r w:rsidR="00DF7681" w:rsidRPr="00276BCA">
        <w:t>) concomitant drugs/therapies, (ii) line of therapy (i.e. prior treatments, if any)” could be removed.</w:t>
      </w:r>
      <w:bookmarkEnd w:id="21"/>
    </w:p>
    <w:p w14:paraId="28304C87" w14:textId="3FE9A61E" w:rsidR="00FE244E" w:rsidRPr="00276BCA" w:rsidRDefault="00FE244E" w:rsidP="00FE244E">
      <w:pPr>
        <w:pStyle w:val="ListParagraph"/>
        <w:numPr>
          <w:ilvl w:val="4"/>
          <w:numId w:val="8"/>
        </w:numPr>
        <w:rPr>
          <w:color w:val="auto"/>
        </w:rPr>
      </w:pPr>
      <w:bookmarkStart w:id="22" w:name="_Ref195621630"/>
      <w:r w:rsidRPr="00276BCA">
        <w:rPr>
          <w:color w:val="auto"/>
        </w:rPr>
        <w:lastRenderedPageBreak/>
        <w:t>The evaluation noted that the requested restriction proposed a stopping rule at 24</w:t>
      </w:r>
      <w:r w:rsidR="00884A3F" w:rsidRPr="00276BCA">
        <w:rPr>
          <w:color w:val="auto"/>
        </w:rPr>
        <w:t> </w:t>
      </w:r>
      <w:r w:rsidRPr="00276BCA">
        <w:rPr>
          <w:color w:val="auto"/>
        </w:rPr>
        <w:t xml:space="preserve">months from initiation, which it considered to be inappropriate. Although this was consistent with the restriction for nivolumab it was not included in the </w:t>
      </w:r>
      <w:proofErr w:type="spellStart"/>
      <w:r w:rsidRPr="00276BCA">
        <w:rPr>
          <w:color w:val="auto"/>
        </w:rPr>
        <w:t>zolbetuximab</w:t>
      </w:r>
      <w:proofErr w:type="spellEnd"/>
      <w:r w:rsidRPr="00276BCA">
        <w:rPr>
          <w:color w:val="auto"/>
        </w:rPr>
        <w:t xml:space="preserve"> PI. </w:t>
      </w:r>
      <w:r w:rsidR="00004058" w:rsidRPr="00276BCA">
        <w:rPr>
          <w:color w:val="auto"/>
        </w:rPr>
        <w:t>Additionally, t</w:t>
      </w:r>
      <w:r w:rsidR="001E3AAD" w:rsidRPr="00276BCA">
        <w:rPr>
          <w:color w:val="auto"/>
        </w:rPr>
        <w:t xml:space="preserve">he requested restriction specified that ‘patient must be untreated (up until initiating this drug) with programmed cell death-1/ligand-1 (PD-1/PD-L1) inhibitor therapy for gastro-oesophageal cancer.’ However, the evaluation noted that this restriction is likely not applicable to </w:t>
      </w:r>
      <w:proofErr w:type="spellStart"/>
      <w:r w:rsidR="001E3AAD" w:rsidRPr="00276BCA">
        <w:rPr>
          <w:color w:val="auto"/>
        </w:rPr>
        <w:t>zolbetuximab</w:t>
      </w:r>
      <w:proofErr w:type="spellEnd"/>
      <w:r w:rsidR="00F97EFC" w:rsidRPr="00276BCA">
        <w:rPr>
          <w:color w:val="auto"/>
        </w:rPr>
        <w:t xml:space="preserve">. </w:t>
      </w:r>
      <w:r w:rsidR="00501DA1" w:rsidRPr="00276BCA">
        <w:rPr>
          <w:color w:val="auto"/>
        </w:rPr>
        <w:t>The P</w:t>
      </w:r>
      <w:r w:rsidR="00797140" w:rsidRPr="00276BCA">
        <w:rPr>
          <w:color w:val="auto"/>
        </w:rPr>
        <w:t xml:space="preserve">BAC agreed with the evaluation </w:t>
      </w:r>
      <w:r w:rsidR="00004058" w:rsidRPr="00276BCA">
        <w:rPr>
          <w:color w:val="auto"/>
        </w:rPr>
        <w:t xml:space="preserve">that both </w:t>
      </w:r>
      <w:r w:rsidR="00797140" w:rsidRPr="00276BCA">
        <w:rPr>
          <w:color w:val="auto"/>
        </w:rPr>
        <w:t>these criteria were unnecessary and could be removed.</w:t>
      </w:r>
      <w:bookmarkEnd w:id="22"/>
      <w:r w:rsidR="00797140" w:rsidRPr="00276BCA">
        <w:rPr>
          <w:color w:val="auto"/>
        </w:rPr>
        <w:t xml:space="preserve"> </w:t>
      </w:r>
      <w:r w:rsidR="00501DA1" w:rsidRPr="00276BCA">
        <w:rPr>
          <w:color w:val="auto"/>
        </w:rPr>
        <w:t xml:space="preserve"> </w:t>
      </w:r>
    </w:p>
    <w:p w14:paraId="7273DF64" w14:textId="6BE878BA" w:rsidR="00FD7859" w:rsidRPr="00276BCA" w:rsidRDefault="00734BCB" w:rsidP="00FD7859">
      <w:pPr>
        <w:pStyle w:val="ListParagraph"/>
        <w:numPr>
          <w:ilvl w:val="4"/>
          <w:numId w:val="8"/>
        </w:numPr>
        <w:rPr>
          <w:color w:val="auto"/>
        </w:rPr>
      </w:pPr>
      <w:bookmarkStart w:id="23" w:name="_Ref195621640"/>
      <w:r w:rsidRPr="00276BCA">
        <w:rPr>
          <w:color w:val="auto"/>
        </w:rPr>
        <w:t>The PSCR agreed with the Secretariat</w:t>
      </w:r>
      <w:r w:rsidR="007325ED" w:rsidRPr="00276BCA">
        <w:rPr>
          <w:color w:val="auto"/>
        </w:rPr>
        <w:t xml:space="preserve">’s </w:t>
      </w:r>
      <w:r w:rsidR="00FD7859" w:rsidRPr="00276BCA">
        <w:rPr>
          <w:color w:val="auto"/>
        </w:rPr>
        <w:t>proposed</w:t>
      </w:r>
      <w:r w:rsidR="00610C00" w:rsidRPr="00276BCA">
        <w:rPr>
          <w:color w:val="auto"/>
        </w:rPr>
        <w:t xml:space="preserve"> amendment to </w:t>
      </w:r>
      <w:r w:rsidR="00561169" w:rsidRPr="00276BCA">
        <w:rPr>
          <w:color w:val="auto"/>
        </w:rPr>
        <w:t xml:space="preserve">the </w:t>
      </w:r>
      <w:r w:rsidR="00FD7859" w:rsidRPr="00276BCA">
        <w:rPr>
          <w:color w:val="auto"/>
        </w:rPr>
        <w:t xml:space="preserve">clinical criterion in the continuing treatment phase: </w:t>
      </w:r>
      <w:r w:rsidR="00610C00" w:rsidRPr="00276BCA">
        <w:rPr>
          <w:color w:val="auto"/>
        </w:rPr>
        <w:t xml:space="preserve">“The condition must not have progressed” to </w:t>
      </w:r>
      <w:r w:rsidR="00FD7859" w:rsidRPr="00276BCA">
        <w:rPr>
          <w:color w:val="auto"/>
        </w:rPr>
        <w:t>“The condition must not have progressed while receiving PBS-subsidised treatment with this drug for this condition.”</w:t>
      </w:r>
      <w:bookmarkEnd w:id="23"/>
      <w:r w:rsidR="00FD7859" w:rsidRPr="00276BCA">
        <w:rPr>
          <w:color w:val="auto"/>
        </w:rPr>
        <w:t xml:space="preserve"> </w:t>
      </w:r>
    </w:p>
    <w:p w14:paraId="18014641" w14:textId="487A8B22" w:rsidR="001E3D37" w:rsidRPr="00276BCA" w:rsidRDefault="004C4A48" w:rsidP="00126183">
      <w:pPr>
        <w:pStyle w:val="ListParagraph"/>
        <w:numPr>
          <w:ilvl w:val="4"/>
          <w:numId w:val="8"/>
        </w:numPr>
        <w:rPr>
          <w:color w:val="auto"/>
        </w:rPr>
      </w:pPr>
      <w:bookmarkStart w:id="24" w:name="_Ref187314033"/>
      <w:bookmarkEnd w:id="17"/>
      <w:r w:rsidRPr="00276BCA">
        <w:rPr>
          <w:color w:val="auto"/>
        </w:rPr>
        <w:t xml:space="preserve">The evaluation noted that </w:t>
      </w:r>
      <w:r w:rsidR="00347CE2" w:rsidRPr="00276BCA">
        <w:rPr>
          <w:color w:val="auto"/>
        </w:rPr>
        <w:t xml:space="preserve">CLDN18.2 positivity in the draft TGA Product Information and the key clinical trials was defined as ≥75% of tumour cells demonstrating moderate to strong membranous CLDN18 IHC staining, but this was not described in the requested restriction. </w:t>
      </w:r>
      <w:r w:rsidR="007505EA" w:rsidRPr="00276BCA">
        <w:rPr>
          <w:color w:val="auto"/>
        </w:rPr>
        <w:t>The evaluation</w:t>
      </w:r>
      <w:r w:rsidR="008A3E1B" w:rsidRPr="00276BCA">
        <w:rPr>
          <w:color w:val="auto"/>
        </w:rPr>
        <w:t xml:space="preserve"> and the ESCs</w:t>
      </w:r>
      <w:r w:rsidR="007505EA" w:rsidRPr="00276BCA">
        <w:rPr>
          <w:color w:val="auto"/>
        </w:rPr>
        <w:t xml:space="preserve"> considered that e</w:t>
      </w:r>
      <w:r w:rsidR="00347CE2" w:rsidRPr="00276BCA">
        <w:rPr>
          <w:color w:val="auto"/>
        </w:rPr>
        <w:t xml:space="preserve">xcluding the threshold may lead to </w:t>
      </w:r>
      <w:r w:rsidR="00E01C5E" w:rsidRPr="00276BCA">
        <w:rPr>
          <w:color w:val="auto"/>
        </w:rPr>
        <w:t>use</w:t>
      </w:r>
      <w:r w:rsidR="00347CE2" w:rsidRPr="00276BCA">
        <w:rPr>
          <w:color w:val="auto"/>
        </w:rPr>
        <w:t xml:space="preserve"> </w:t>
      </w:r>
      <w:r w:rsidR="00E01C5E" w:rsidRPr="00276BCA">
        <w:rPr>
          <w:color w:val="auto"/>
        </w:rPr>
        <w:t xml:space="preserve">in </w:t>
      </w:r>
      <w:r w:rsidR="00347CE2" w:rsidRPr="00276BCA">
        <w:rPr>
          <w:color w:val="auto"/>
        </w:rPr>
        <w:t xml:space="preserve">patients with &lt;75% of tumour cells demonstrating moderate to strong membranous CLDN18 IHC staining, resulting in its use in populations where the efficacy of </w:t>
      </w:r>
      <w:proofErr w:type="spellStart"/>
      <w:r w:rsidR="00347CE2" w:rsidRPr="00276BCA">
        <w:rPr>
          <w:color w:val="auto"/>
        </w:rPr>
        <w:t>zolbetuximab</w:t>
      </w:r>
      <w:proofErr w:type="spellEnd"/>
      <w:r w:rsidR="00347CE2" w:rsidRPr="00276BCA">
        <w:rPr>
          <w:color w:val="auto"/>
        </w:rPr>
        <w:t xml:space="preserve"> + chemotherapy was not significantly different from chemotherapy alone (refer to paragraph </w:t>
      </w:r>
      <w:r w:rsidR="00F76AC7" w:rsidRPr="00276BCA">
        <w:rPr>
          <w:color w:val="auto"/>
        </w:rPr>
        <w:fldChar w:fldCharType="begin"/>
      </w:r>
      <w:r w:rsidR="00F76AC7" w:rsidRPr="00276BCA">
        <w:rPr>
          <w:color w:val="auto"/>
        </w:rPr>
        <w:instrText xml:space="preserve"> REF _Ref184119250 \n \h  \* MERGEFORMAT </w:instrText>
      </w:r>
      <w:r w:rsidR="00F76AC7" w:rsidRPr="00276BCA">
        <w:rPr>
          <w:color w:val="auto"/>
        </w:rPr>
      </w:r>
      <w:r w:rsidR="00F76AC7" w:rsidRPr="00276BCA">
        <w:rPr>
          <w:color w:val="auto"/>
        </w:rPr>
        <w:fldChar w:fldCharType="separate"/>
      </w:r>
      <w:r w:rsidR="0011458F">
        <w:rPr>
          <w:color w:val="auto"/>
        </w:rPr>
        <w:t>6.33</w:t>
      </w:r>
      <w:r w:rsidR="00F76AC7" w:rsidRPr="00276BCA">
        <w:rPr>
          <w:color w:val="auto"/>
        </w:rPr>
        <w:fldChar w:fldCharType="end"/>
      </w:r>
      <w:r w:rsidR="00F76AC7" w:rsidRPr="00276BCA">
        <w:rPr>
          <w:color w:val="auto"/>
        </w:rPr>
        <w:t xml:space="preserve"> </w:t>
      </w:r>
      <w:r w:rsidR="00347CE2" w:rsidRPr="00276BCA">
        <w:rPr>
          <w:color w:val="auto"/>
        </w:rPr>
        <w:t xml:space="preserve">for more details). </w:t>
      </w:r>
      <w:r w:rsidR="006D7D63" w:rsidRPr="00276BCA">
        <w:rPr>
          <w:color w:val="auto"/>
        </w:rPr>
        <w:t xml:space="preserve">The PSCR argued </w:t>
      </w:r>
      <w:r w:rsidR="00E2035B" w:rsidRPr="00276BCA">
        <w:rPr>
          <w:color w:val="auto"/>
        </w:rPr>
        <w:t xml:space="preserve">for </w:t>
      </w:r>
      <w:r w:rsidR="00AD07F5" w:rsidRPr="00276BCA">
        <w:rPr>
          <w:color w:val="auto"/>
        </w:rPr>
        <w:t>flexibility</w:t>
      </w:r>
      <w:r w:rsidR="00E2035B" w:rsidRPr="00276BCA">
        <w:rPr>
          <w:color w:val="auto"/>
        </w:rPr>
        <w:t xml:space="preserve"> in the threshold </w:t>
      </w:r>
      <w:r w:rsidR="00430F92" w:rsidRPr="00276BCA">
        <w:rPr>
          <w:color w:val="auto"/>
        </w:rPr>
        <w:t xml:space="preserve">to accommodate evolving evidence or future applications of the test, </w:t>
      </w:r>
      <w:r w:rsidR="00867B15" w:rsidRPr="00276BCA">
        <w:rPr>
          <w:color w:val="auto"/>
        </w:rPr>
        <w:t>in this</w:t>
      </w:r>
      <w:r w:rsidR="00430F92" w:rsidRPr="00276BCA">
        <w:rPr>
          <w:color w:val="auto"/>
        </w:rPr>
        <w:t xml:space="preserve"> </w:t>
      </w:r>
      <w:r w:rsidR="00071E91" w:rsidRPr="00276BCA">
        <w:rPr>
          <w:color w:val="auto"/>
        </w:rPr>
        <w:t>rapidly</w:t>
      </w:r>
      <w:r w:rsidR="00593196" w:rsidRPr="00276BCA">
        <w:rPr>
          <w:color w:val="auto"/>
        </w:rPr>
        <w:t xml:space="preserve"> </w:t>
      </w:r>
      <w:r w:rsidR="00867B15" w:rsidRPr="00276BCA">
        <w:rPr>
          <w:color w:val="auto"/>
        </w:rPr>
        <w:t>advancing field</w:t>
      </w:r>
      <w:r w:rsidR="00E04D8C" w:rsidRPr="00276BCA">
        <w:rPr>
          <w:color w:val="auto"/>
        </w:rPr>
        <w:t xml:space="preserve">, noting </w:t>
      </w:r>
      <w:r w:rsidR="00877EED" w:rsidRPr="00276BCA">
        <w:rPr>
          <w:color w:val="auto"/>
        </w:rPr>
        <w:t>that the approach was supported at the April 2024 PASC meeting</w:t>
      </w:r>
      <w:r w:rsidR="00F755C4" w:rsidRPr="00276BCA">
        <w:rPr>
          <w:color w:val="auto"/>
        </w:rPr>
        <w:t xml:space="preserve">. </w:t>
      </w:r>
      <w:r w:rsidR="00D23751" w:rsidRPr="00276BCA">
        <w:rPr>
          <w:color w:val="auto"/>
        </w:rPr>
        <w:t xml:space="preserve">However, </w:t>
      </w:r>
      <w:r w:rsidR="00A96B2E" w:rsidRPr="00276BCA">
        <w:rPr>
          <w:color w:val="auto"/>
        </w:rPr>
        <w:t xml:space="preserve">the PSCR </w:t>
      </w:r>
      <w:r w:rsidR="00014DEC" w:rsidRPr="00276BCA">
        <w:rPr>
          <w:color w:val="auto"/>
        </w:rPr>
        <w:t xml:space="preserve">also </w:t>
      </w:r>
      <w:r w:rsidR="00486BEB" w:rsidRPr="00276BCA">
        <w:rPr>
          <w:color w:val="auto"/>
        </w:rPr>
        <w:t xml:space="preserve">stated that the stringent selection of patients with </w:t>
      </w:r>
      <w:r w:rsidR="00CE4503" w:rsidRPr="00276BCA">
        <w:rPr>
          <w:color w:val="auto"/>
        </w:rPr>
        <w:t xml:space="preserve">CLDN18.2 positivity </w:t>
      </w:r>
      <w:r w:rsidR="00486BEB" w:rsidRPr="00276BCA">
        <w:rPr>
          <w:color w:val="auto"/>
        </w:rPr>
        <w:t>≥</w:t>
      </w:r>
      <w:r w:rsidR="00CE4503" w:rsidRPr="00276BCA">
        <w:rPr>
          <w:color w:val="auto"/>
        </w:rPr>
        <w:t>75</w:t>
      </w:r>
      <w:r w:rsidR="00486BEB" w:rsidRPr="00276BCA">
        <w:rPr>
          <w:color w:val="auto"/>
        </w:rPr>
        <w:t>%</w:t>
      </w:r>
      <w:r w:rsidR="00CE4503" w:rsidRPr="00276BCA">
        <w:rPr>
          <w:color w:val="auto"/>
        </w:rPr>
        <w:t xml:space="preserve"> ensures targeting </w:t>
      </w:r>
      <w:r w:rsidR="00486BEB" w:rsidRPr="00276BCA">
        <w:rPr>
          <w:color w:val="auto"/>
        </w:rPr>
        <w:t xml:space="preserve">of </w:t>
      </w:r>
      <w:r w:rsidR="00CE4503" w:rsidRPr="00276BCA">
        <w:rPr>
          <w:color w:val="auto"/>
        </w:rPr>
        <w:t xml:space="preserve">patients most likely to benefit from </w:t>
      </w:r>
      <w:proofErr w:type="spellStart"/>
      <w:r w:rsidR="00AD07F5" w:rsidRPr="00276BCA">
        <w:rPr>
          <w:color w:val="auto"/>
        </w:rPr>
        <w:t>zolbetuximab</w:t>
      </w:r>
      <w:proofErr w:type="spellEnd"/>
      <w:r w:rsidR="00CE4503" w:rsidRPr="00276BCA">
        <w:rPr>
          <w:color w:val="auto"/>
        </w:rPr>
        <w:t xml:space="preserve"> therapy. </w:t>
      </w:r>
      <w:r w:rsidR="006D7D63" w:rsidRPr="00276BCA">
        <w:rPr>
          <w:color w:val="auto"/>
        </w:rPr>
        <w:t>T</w:t>
      </w:r>
      <w:r w:rsidR="007505EA" w:rsidRPr="00276BCA">
        <w:rPr>
          <w:color w:val="auto"/>
        </w:rPr>
        <w:t xml:space="preserve">he evaluation </w:t>
      </w:r>
      <w:r w:rsidR="00A72FC5" w:rsidRPr="00276BCA">
        <w:rPr>
          <w:color w:val="auto"/>
        </w:rPr>
        <w:t xml:space="preserve">and the ESCs </w:t>
      </w:r>
      <w:r w:rsidR="007505EA" w:rsidRPr="00276BCA">
        <w:rPr>
          <w:color w:val="auto"/>
        </w:rPr>
        <w:t>considered that</w:t>
      </w:r>
      <w:r w:rsidR="00347CE2" w:rsidRPr="00276BCA">
        <w:rPr>
          <w:color w:val="auto"/>
        </w:rPr>
        <w:t xml:space="preserve"> the definition of CLDN18.2 positivity</w:t>
      </w:r>
      <w:r w:rsidR="00AF475D" w:rsidRPr="00276BCA">
        <w:rPr>
          <w:color w:val="auto"/>
        </w:rPr>
        <w:t>,</w:t>
      </w:r>
      <w:r w:rsidR="00347CE2" w:rsidRPr="00276BCA">
        <w:rPr>
          <w:color w:val="auto"/>
        </w:rPr>
        <w:t xml:space="preserve"> </w:t>
      </w:r>
      <w:r w:rsidR="00AF475D" w:rsidRPr="00276BCA">
        <w:rPr>
          <w:color w:val="auto"/>
        </w:rPr>
        <w:t>including</w:t>
      </w:r>
      <w:r w:rsidR="00A82238" w:rsidRPr="00276BCA">
        <w:rPr>
          <w:color w:val="auto"/>
        </w:rPr>
        <w:t xml:space="preserve"> </w:t>
      </w:r>
      <w:r w:rsidR="00AF475D" w:rsidRPr="00276BCA">
        <w:rPr>
          <w:bCs/>
          <w:color w:val="auto"/>
        </w:rPr>
        <w:t xml:space="preserve">expression in </w:t>
      </w:r>
      <w:r w:rsidR="00A82238" w:rsidRPr="00276BCA">
        <w:rPr>
          <w:bCs/>
          <w:color w:val="auto"/>
        </w:rPr>
        <w:t xml:space="preserve">≥75% </w:t>
      </w:r>
      <w:r w:rsidR="00AF475D" w:rsidRPr="00276BCA">
        <w:rPr>
          <w:bCs/>
          <w:color w:val="auto"/>
        </w:rPr>
        <w:t>tumour cells,</w:t>
      </w:r>
      <w:r w:rsidR="00AF475D" w:rsidRPr="00276BCA">
        <w:rPr>
          <w:color w:val="auto"/>
        </w:rPr>
        <w:t xml:space="preserve"> </w:t>
      </w:r>
      <w:r w:rsidR="00347CE2" w:rsidRPr="00276BCA">
        <w:rPr>
          <w:color w:val="auto"/>
        </w:rPr>
        <w:t xml:space="preserve">should be reflected in the requested restriction to determine eligibility for </w:t>
      </w:r>
      <w:proofErr w:type="spellStart"/>
      <w:r w:rsidR="00347CE2" w:rsidRPr="00276BCA">
        <w:rPr>
          <w:color w:val="auto"/>
        </w:rPr>
        <w:t>zolbetuximab</w:t>
      </w:r>
      <w:proofErr w:type="spellEnd"/>
      <w:r w:rsidR="00AF475D" w:rsidRPr="00276BCA">
        <w:rPr>
          <w:color w:val="auto"/>
        </w:rPr>
        <w:t>, in line with the TGA PI</w:t>
      </w:r>
      <w:r w:rsidR="00347CE2" w:rsidRPr="00276BCA">
        <w:rPr>
          <w:color w:val="auto"/>
        </w:rPr>
        <w:t>.</w:t>
      </w:r>
      <w:bookmarkEnd w:id="24"/>
      <w:r w:rsidR="00347CE2" w:rsidRPr="00276BCA">
        <w:rPr>
          <w:color w:val="auto"/>
        </w:rPr>
        <w:t xml:space="preserve"> </w:t>
      </w:r>
    </w:p>
    <w:p w14:paraId="0E2A1D55" w14:textId="4E851B91" w:rsidR="00347CE2" w:rsidRPr="00276BCA" w:rsidRDefault="46AD8BC0" w:rsidP="77D89277">
      <w:pPr>
        <w:pStyle w:val="ListParagraph"/>
        <w:numPr>
          <w:ilvl w:val="4"/>
          <w:numId w:val="8"/>
        </w:numPr>
        <w:rPr>
          <w:color w:val="auto"/>
        </w:rPr>
      </w:pPr>
      <w:bookmarkStart w:id="25" w:name="_Hlk187060029"/>
      <w:r w:rsidRPr="00276BCA">
        <w:rPr>
          <w:color w:val="auto"/>
        </w:rPr>
        <w:t xml:space="preserve">The submission </w:t>
      </w:r>
      <w:r w:rsidR="007014A8" w:rsidRPr="00276BCA">
        <w:rPr>
          <w:color w:val="auto"/>
        </w:rPr>
        <w:t>estimated</w:t>
      </w:r>
      <w:r w:rsidRPr="00276BCA">
        <w:rPr>
          <w:color w:val="auto"/>
        </w:rPr>
        <w:t xml:space="preserve"> that approximately 15 patients will transition from non-PBS to PBS-subsidised supply for </w:t>
      </w:r>
      <w:proofErr w:type="spellStart"/>
      <w:r w:rsidRPr="00276BCA">
        <w:rPr>
          <w:color w:val="auto"/>
        </w:rPr>
        <w:t>zolbetuximab</w:t>
      </w:r>
      <w:proofErr w:type="spellEnd"/>
      <w:r w:rsidRPr="00276BCA">
        <w:rPr>
          <w:color w:val="auto"/>
        </w:rPr>
        <w:t xml:space="preserve"> as grandfather patients. However</w:t>
      </w:r>
      <w:r w:rsidR="00CB1291" w:rsidRPr="00276BCA">
        <w:rPr>
          <w:color w:val="auto"/>
        </w:rPr>
        <w:t>,</w:t>
      </w:r>
      <w:r w:rsidRPr="00276BCA">
        <w:rPr>
          <w:color w:val="auto"/>
        </w:rPr>
        <w:t xml:space="preserve"> </w:t>
      </w:r>
      <w:r w:rsidR="2B892AD4" w:rsidRPr="00276BCA">
        <w:rPr>
          <w:color w:val="auto"/>
        </w:rPr>
        <w:t>a</w:t>
      </w:r>
      <w:r w:rsidRPr="00276BCA">
        <w:rPr>
          <w:color w:val="auto"/>
        </w:rPr>
        <w:t xml:space="preserve"> grandfather restriction was </w:t>
      </w:r>
      <w:r w:rsidR="2B892AD4" w:rsidRPr="00276BCA">
        <w:rPr>
          <w:color w:val="auto"/>
        </w:rPr>
        <w:t xml:space="preserve">not </w:t>
      </w:r>
      <w:r w:rsidRPr="00276BCA">
        <w:rPr>
          <w:color w:val="auto"/>
        </w:rPr>
        <w:t>proposed in the submission.</w:t>
      </w:r>
      <w:r w:rsidR="00FE6B65" w:rsidRPr="00276BCA">
        <w:rPr>
          <w:color w:val="auto"/>
        </w:rPr>
        <w:t xml:space="preserve"> </w:t>
      </w:r>
    </w:p>
    <w:p w14:paraId="60AAD62E" w14:textId="145EE245" w:rsidR="00BA5397" w:rsidRPr="00276BCA" w:rsidRDefault="00BA5397" w:rsidP="00B730D4">
      <w:pPr>
        <w:ind w:firstLine="720"/>
        <w:rPr>
          <w:i/>
        </w:rPr>
      </w:pPr>
      <w:r w:rsidRPr="00276BCA">
        <w:rPr>
          <w:i/>
        </w:rPr>
        <w:t>For more detail on PBAC’s view, see section 7 PBAC outcome.</w:t>
      </w:r>
    </w:p>
    <w:p w14:paraId="6229A638" w14:textId="14B86BDE" w:rsidR="008D7BF5" w:rsidRPr="00276BCA" w:rsidRDefault="008D7BF5" w:rsidP="42EE98A3">
      <w:pPr>
        <w:pStyle w:val="PBACESHeading1"/>
        <w:numPr>
          <w:ilvl w:val="0"/>
          <w:numId w:val="15"/>
        </w:numPr>
      </w:pPr>
      <w:bookmarkStart w:id="26" w:name="_Toc187863743"/>
      <w:bookmarkStart w:id="27" w:name="_Toc188441227"/>
      <w:bookmarkEnd w:id="25"/>
      <w:r w:rsidRPr="00276BCA">
        <w:t>Population and disease</w:t>
      </w:r>
      <w:bookmarkEnd w:id="14"/>
      <w:bookmarkEnd w:id="26"/>
      <w:bookmarkEnd w:id="27"/>
    </w:p>
    <w:p w14:paraId="408BC788" w14:textId="43077FEB" w:rsidR="00BB3F9A" w:rsidRPr="00276BCA" w:rsidRDefault="6EBF1D98" w:rsidP="77D89277">
      <w:pPr>
        <w:pStyle w:val="ListParagraph"/>
        <w:numPr>
          <w:ilvl w:val="4"/>
          <w:numId w:val="8"/>
        </w:numPr>
        <w:rPr>
          <w:color w:val="auto"/>
        </w:rPr>
      </w:pPr>
      <w:r w:rsidRPr="00276BCA">
        <w:rPr>
          <w:color w:val="auto"/>
        </w:rPr>
        <w:t>G/GOJ cancer originates in the lining of the stomach and the GOJ (the area located between the stomach and the oesophagus). Gastric cancer (GC) is the fifth most common cancer and GOJ cancer is the ninth most common cancer.</w:t>
      </w:r>
      <w:r w:rsidR="4F17D193" w:rsidRPr="00276BCA">
        <w:rPr>
          <w:color w:val="auto"/>
        </w:rPr>
        <w:t xml:space="preserve"> In 2023, Cancer Australia estimated 2,576 new stomach cancer cases and 1,153 related deaths. Males are twice as likely to be diagnosed as females. Eastern Asia, primarily China, accounts for 60% of global gastric cancer cases and 57% of related deaths. Key risk factors </w:t>
      </w:r>
      <w:r w:rsidR="4F17D193" w:rsidRPr="00276BCA">
        <w:rPr>
          <w:color w:val="auto"/>
        </w:rPr>
        <w:lastRenderedPageBreak/>
        <w:t>include family history, older age, tobacco use, high alcohol consumption, and dietary factors.</w:t>
      </w:r>
    </w:p>
    <w:p w14:paraId="0C1D730F" w14:textId="616EF800" w:rsidR="00BB3F9A" w:rsidRPr="00276BCA" w:rsidRDefault="79E3A4F6" w:rsidP="77D89277">
      <w:pPr>
        <w:pStyle w:val="ListParagraph"/>
        <w:numPr>
          <w:ilvl w:val="4"/>
          <w:numId w:val="8"/>
        </w:numPr>
        <w:rPr>
          <w:color w:val="auto"/>
        </w:rPr>
      </w:pPr>
      <w:r w:rsidRPr="00276BCA">
        <w:rPr>
          <w:color w:val="auto"/>
        </w:rPr>
        <w:t>G</w:t>
      </w:r>
      <w:r w:rsidR="37D9721E" w:rsidRPr="00276BCA">
        <w:rPr>
          <w:color w:val="auto"/>
        </w:rPr>
        <w:t>/GOJ adenocarcinomas are associated with poor prognosis, with a five-year survival rate of 38%</w:t>
      </w:r>
      <w:r w:rsidR="00F10A0A" w:rsidRPr="00276BCA">
        <w:rPr>
          <w:vertAlign w:val="superscript"/>
        </w:rPr>
        <w:footnoteReference w:id="4"/>
      </w:r>
      <w:r w:rsidR="39FFC9DC" w:rsidRPr="00276BCA">
        <w:rPr>
          <w:color w:val="auto"/>
        </w:rPr>
        <w:t>,</w:t>
      </w:r>
      <w:r w:rsidR="7F46E915" w:rsidRPr="00276BCA">
        <w:rPr>
          <w:color w:val="auto"/>
        </w:rPr>
        <w:t xml:space="preserve"> </w:t>
      </w:r>
      <w:r w:rsidR="37D9721E" w:rsidRPr="00276BCA">
        <w:rPr>
          <w:color w:val="auto"/>
        </w:rPr>
        <w:t>which decline</w:t>
      </w:r>
      <w:r w:rsidR="7F46E915" w:rsidRPr="00276BCA">
        <w:rPr>
          <w:color w:val="auto"/>
        </w:rPr>
        <w:t>s</w:t>
      </w:r>
      <w:r w:rsidR="37D9721E" w:rsidRPr="00276BCA">
        <w:rPr>
          <w:color w:val="auto"/>
        </w:rPr>
        <w:t xml:space="preserve"> further in advanced stages. The mortality burden of locally advanced unresectable or metastatic G/GOJ</w:t>
      </w:r>
      <w:r w:rsidR="2D140033" w:rsidRPr="00276BCA">
        <w:rPr>
          <w:color w:val="auto"/>
        </w:rPr>
        <w:t xml:space="preserve"> </w:t>
      </w:r>
      <w:r w:rsidR="048B72FB" w:rsidRPr="00276BCA">
        <w:rPr>
          <w:color w:val="auto"/>
        </w:rPr>
        <w:t>(hereafter advanced G/GOJ)</w:t>
      </w:r>
      <w:r w:rsidR="2D140033" w:rsidRPr="00276BCA">
        <w:rPr>
          <w:color w:val="auto"/>
        </w:rPr>
        <w:t xml:space="preserve"> </w:t>
      </w:r>
      <w:r w:rsidR="6DE526B9" w:rsidRPr="00276BCA">
        <w:rPr>
          <w:color w:val="auto"/>
        </w:rPr>
        <w:t>cancer</w:t>
      </w:r>
      <w:r w:rsidR="37D9721E" w:rsidRPr="00276BCA">
        <w:rPr>
          <w:color w:val="auto"/>
        </w:rPr>
        <w:t xml:space="preserve"> is significant, with global average five-year survival rates of only 5–10% for patients with Stage IV disease.</w:t>
      </w:r>
      <w:r w:rsidR="0076607B" w:rsidRPr="00276BCA">
        <w:rPr>
          <w:vertAlign w:val="superscript"/>
        </w:rPr>
        <w:footnoteReference w:id="5"/>
      </w:r>
      <w:r w:rsidR="308450A9" w:rsidRPr="00276BCA">
        <w:rPr>
          <w:color w:val="auto"/>
        </w:rPr>
        <w:t xml:space="preserve"> G/GOJ adenocarcinoma</w:t>
      </w:r>
      <w:r w:rsidR="591FCD3C" w:rsidRPr="00276BCA">
        <w:rPr>
          <w:color w:val="auto"/>
        </w:rPr>
        <w:t>s</w:t>
      </w:r>
      <w:r w:rsidR="308450A9" w:rsidRPr="00276BCA">
        <w:rPr>
          <w:color w:val="auto"/>
        </w:rPr>
        <w:t xml:space="preserve"> are aggressive malignancies that significantly impact quality of life (QoL) and result in high healthcare resource utilisation.</w:t>
      </w:r>
    </w:p>
    <w:p w14:paraId="2E460F6C" w14:textId="101A6C3F" w:rsidR="00BB3F9A" w:rsidRPr="00276BCA" w:rsidRDefault="1B27D8A7" w:rsidP="77D89277">
      <w:pPr>
        <w:pStyle w:val="ListParagraph"/>
        <w:numPr>
          <w:ilvl w:val="4"/>
          <w:numId w:val="8"/>
        </w:numPr>
        <w:rPr>
          <w:color w:val="auto"/>
        </w:rPr>
      </w:pPr>
      <w:r w:rsidRPr="00276BCA">
        <w:rPr>
          <w:color w:val="auto"/>
        </w:rPr>
        <w:t>In</w:t>
      </w:r>
      <w:r w:rsidR="3708C131" w:rsidRPr="00276BCA">
        <w:rPr>
          <w:color w:val="auto"/>
        </w:rPr>
        <w:t xml:space="preserve"> the current clinical management algorithm presented in the submission, patients with advanced or metastatic G/GOJ adenocarcinoma receive a combination of fluoropyrimidine- and platinum-containing chemotherapy</w:t>
      </w:r>
      <w:r w:rsidR="09C74B96" w:rsidRPr="00276BCA">
        <w:rPr>
          <w:color w:val="auto"/>
        </w:rPr>
        <w:t>, typically CAPOX or mFOLFOX6.</w:t>
      </w:r>
      <w:r w:rsidR="3708C131" w:rsidRPr="00276BCA">
        <w:rPr>
          <w:color w:val="auto"/>
        </w:rPr>
        <w:t xml:space="preserve"> For patients with HER2-positive tumours, trastuzumab is added to chemotherapy. For patients with HER2-negative tumours, nivolumab is added to chemotherapy. For the subgroup of the population with HER2-negative tumours who have relapsed after early-stage disease</w:t>
      </w:r>
      <w:r w:rsidR="50AE67E5" w:rsidRPr="00276BCA">
        <w:rPr>
          <w:color w:val="auto"/>
        </w:rPr>
        <w:t xml:space="preserve"> </w:t>
      </w:r>
      <w:r w:rsidR="3708C131" w:rsidRPr="00276BCA">
        <w:rPr>
          <w:color w:val="auto"/>
        </w:rPr>
        <w:t xml:space="preserve">treatment with nivolumab or have contraindications to PD-1 inhibitors, </w:t>
      </w:r>
      <w:r w:rsidR="46A98A70" w:rsidRPr="00276BCA">
        <w:rPr>
          <w:color w:val="auto"/>
        </w:rPr>
        <w:t xml:space="preserve">the treatment is generally </w:t>
      </w:r>
      <w:r w:rsidR="3708C131" w:rsidRPr="00276BCA">
        <w:rPr>
          <w:color w:val="auto"/>
        </w:rPr>
        <w:t>chemotherapy alone.</w:t>
      </w:r>
      <w:bookmarkStart w:id="28" w:name="_Ref184102238"/>
    </w:p>
    <w:p w14:paraId="67FF47CA" w14:textId="251ACD06" w:rsidR="00BB3F9A" w:rsidRPr="00276BCA" w:rsidRDefault="4988C111" w:rsidP="77D89277">
      <w:pPr>
        <w:pStyle w:val="ListParagraph"/>
        <w:numPr>
          <w:ilvl w:val="4"/>
          <w:numId w:val="8"/>
        </w:numPr>
        <w:rPr>
          <w:color w:val="auto"/>
        </w:rPr>
      </w:pPr>
      <w:r w:rsidRPr="00276BCA">
        <w:rPr>
          <w:color w:val="auto"/>
        </w:rPr>
        <w:t>The</w:t>
      </w:r>
      <w:r w:rsidR="05B9755F" w:rsidRPr="00276BCA">
        <w:rPr>
          <w:color w:val="auto"/>
        </w:rPr>
        <w:t xml:space="preserve"> submission stated that MBS listing of IHC CLDN18 testing and PBS listing of </w:t>
      </w:r>
      <w:proofErr w:type="spellStart"/>
      <w:r w:rsidR="05B9755F" w:rsidRPr="00276BCA">
        <w:rPr>
          <w:color w:val="auto"/>
        </w:rPr>
        <w:t>zolbetuximab</w:t>
      </w:r>
      <w:proofErr w:type="spellEnd"/>
      <w:r w:rsidR="05B9755F" w:rsidRPr="00276BCA">
        <w:rPr>
          <w:color w:val="auto"/>
        </w:rPr>
        <w:t xml:space="preserve"> will provide an additional </w:t>
      </w:r>
      <w:r w:rsidR="10F18216" w:rsidRPr="00276BCA">
        <w:rPr>
          <w:color w:val="auto"/>
        </w:rPr>
        <w:t xml:space="preserve">first-line </w:t>
      </w:r>
      <w:r w:rsidR="05B9755F" w:rsidRPr="00276BCA">
        <w:rPr>
          <w:color w:val="auto"/>
        </w:rPr>
        <w:t xml:space="preserve">treatment option for patients with HER2-negative </w:t>
      </w:r>
      <w:r w:rsidR="10F18216" w:rsidRPr="00276BCA">
        <w:rPr>
          <w:color w:val="auto"/>
        </w:rPr>
        <w:t xml:space="preserve">advanced or metastatic </w:t>
      </w:r>
      <w:r w:rsidR="05B9755F" w:rsidRPr="00276BCA">
        <w:rPr>
          <w:color w:val="auto"/>
        </w:rPr>
        <w:t xml:space="preserve">G/GOJ cancers. </w:t>
      </w:r>
      <w:r w:rsidR="10C3B322" w:rsidRPr="00276BCA">
        <w:rPr>
          <w:color w:val="auto"/>
        </w:rPr>
        <w:t>The evaluation considered that t</w:t>
      </w:r>
      <w:r w:rsidR="48602EC0" w:rsidRPr="00276BCA">
        <w:rPr>
          <w:color w:val="auto"/>
        </w:rPr>
        <w:t>his was</w:t>
      </w:r>
      <w:r w:rsidR="439705DD" w:rsidRPr="00276BCA">
        <w:rPr>
          <w:color w:val="auto"/>
        </w:rPr>
        <w:t xml:space="preserve"> </w:t>
      </w:r>
      <w:r w:rsidR="48602EC0" w:rsidRPr="00276BCA">
        <w:rPr>
          <w:color w:val="auto"/>
        </w:rPr>
        <w:t>in line with t</w:t>
      </w:r>
      <w:r w:rsidR="7096178E" w:rsidRPr="00276BCA">
        <w:rPr>
          <w:color w:val="auto"/>
        </w:rPr>
        <w:t xml:space="preserve">he </w:t>
      </w:r>
      <w:r w:rsidR="01FCE1FC" w:rsidRPr="00276BCA">
        <w:rPr>
          <w:color w:val="auto"/>
        </w:rPr>
        <w:t xml:space="preserve">National Comprehensive Cancer Network (NCCN) guideline for </w:t>
      </w:r>
      <w:r w:rsidR="79F67D90" w:rsidRPr="00276BCA">
        <w:rPr>
          <w:color w:val="auto"/>
        </w:rPr>
        <w:t>G</w:t>
      </w:r>
      <w:r w:rsidR="01FCE1FC" w:rsidRPr="00276BCA">
        <w:rPr>
          <w:color w:val="auto"/>
        </w:rPr>
        <w:t xml:space="preserve">astric </w:t>
      </w:r>
      <w:r w:rsidR="79F67D90" w:rsidRPr="00276BCA">
        <w:rPr>
          <w:color w:val="auto"/>
        </w:rPr>
        <w:t>Cancer</w:t>
      </w:r>
      <w:r w:rsidR="01FCE1FC" w:rsidRPr="00276BCA">
        <w:rPr>
          <w:color w:val="auto"/>
        </w:rPr>
        <w:t xml:space="preserve"> </w:t>
      </w:r>
      <w:r w:rsidR="79F67D90" w:rsidRPr="00276BCA">
        <w:rPr>
          <w:color w:val="auto"/>
        </w:rPr>
        <w:t>(Version 5.2024)</w:t>
      </w:r>
      <w:r w:rsidR="00834B02" w:rsidRPr="00276BCA">
        <w:rPr>
          <w:vertAlign w:val="superscript"/>
        </w:rPr>
        <w:footnoteReference w:id="6"/>
      </w:r>
      <w:r w:rsidR="7096178E" w:rsidRPr="00276BCA">
        <w:rPr>
          <w:color w:val="auto"/>
        </w:rPr>
        <w:t xml:space="preserve"> </w:t>
      </w:r>
      <w:r w:rsidR="48602EC0" w:rsidRPr="00276BCA">
        <w:rPr>
          <w:color w:val="auto"/>
        </w:rPr>
        <w:t xml:space="preserve">which </w:t>
      </w:r>
      <w:r w:rsidR="7096178E" w:rsidRPr="00276BCA">
        <w:rPr>
          <w:color w:val="auto"/>
        </w:rPr>
        <w:t xml:space="preserve">recommends </w:t>
      </w:r>
      <w:proofErr w:type="spellStart"/>
      <w:r w:rsidR="7096178E" w:rsidRPr="00276BCA">
        <w:rPr>
          <w:color w:val="auto"/>
        </w:rPr>
        <w:t>zolbetuximab</w:t>
      </w:r>
      <w:proofErr w:type="spellEnd"/>
      <w:r w:rsidR="7096178E" w:rsidRPr="00276BCA">
        <w:rPr>
          <w:color w:val="auto"/>
        </w:rPr>
        <w:t xml:space="preserve"> + chemotherapy for patients </w:t>
      </w:r>
      <w:r w:rsidR="11C56FB2" w:rsidRPr="00276BCA">
        <w:rPr>
          <w:color w:val="auto"/>
        </w:rPr>
        <w:t>who are</w:t>
      </w:r>
      <w:r w:rsidR="783E8795" w:rsidRPr="00276BCA">
        <w:rPr>
          <w:color w:val="auto"/>
        </w:rPr>
        <w:t xml:space="preserve"> </w:t>
      </w:r>
      <w:r w:rsidR="340B4D24" w:rsidRPr="00276BCA">
        <w:rPr>
          <w:color w:val="auto"/>
        </w:rPr>
        <w:t>HER2</w:t>
      </w:r>
      <w:r w:rsidR="65B582BE" w:rsidRPr="00276BCA">
        <w:rPr>
          <w:color w:val="auto"/>
        </w:rPr>
        <w:t>-</w:t>
      </w:r>
      <w:r w:rsidR="439705DD" w:rsidRPr="00276BCA">
        <w:rPr>
          <w:color w:val="auto"/>
        </w:rPr>
        <w:t xml:space="preserve">negative </w:t>
      </w:r>
      <w:r w:rsidR="26B20CEB" w:rsidRPr="00276BCA">
        <w:rPr>
          <w:color w:val="auto"/>
        </w:rPr>
        <w:t xml:space="preserve">and </w:t>
      </w:r>
      <w:r w:rsidR="7096178E" w:rsidRPr="00276BCA">
        <w:rPr>
          <w:color w:val="auto"/>
        </w:rPr>
        <w:t xml:space="preserve">tested positive for CLDN18.2 expression (≥75%) in the first-line metastatic setting. </w:t>
      </w:r>
    </w:p>
    <w:p w14:paraId="11602F04" w14:textId="139119BB" w:rsidR="00BB3F9A" w:rsidRPr="00276BCA" w:rsidRDefault="008F5341" w:rsidP="43B696FE">
      <w:pPr>
        <w:pStyle w:val="ListParagraph"/>
        <w:numPr>
          <w:ilvl w:val="4"/>
          <w:numId w:val="8"/>
        </w:numPr>
        <w:rPr>
          <w:color w:val="auto"/>
        </w:rPr>
      </w:pPr>
      <w:proofErr w:type="spellStart"/>
      <w:r w:rsidRPr="00276BCA">
        <w:rPr>
          <w:color w:val="auto"/>
        </w:rPr>
        <w:t>Zolbetuximab</w:t>
      </w:r>
      <w:proofErr w:type="spellEnd"/>
      <w:r w:rsidRPr="00276BCA">
        <w:rPr>
          <w:color w:val="auto"/>
        </w:rPr>
        <w:t xml:space="preserve"> is a genetically engineered, highly purified chimeric (mouse/human immunoglobulin G1 [IgG1]) monoclonal antibody </w:t>
      </w:r>
      <w:r w:rsidR="002A2614" w:rsidRPr="00276BCA">
        <w:rPr>
          <w:color w:val="auto"/>
        </w:rPr>
        <w:t>(</w:t>
      </w:r>
      <w:proofErr w:type="spellStart"/>
      <w:r w:rsidR="002A2614" w:rsidRPr="00276BCA">
        <w:rPr>
          <w:color w:val="auto"/>
        </w:rPr>
        <w:t>mAb</w:t>
      </w:r>
      <w:proofErr w:type="spellEnd"/>
      <w:r w:rsidR="002A2614" w:rsidRPr="00276BCA">
        <w:rPr>
          <w:color w:val="auto"/>
        </w:rPr>
        <w:t xml:space="preserve">) </w:t>
      </w:r>
      <w:r w:rsidRPr="00276BCA">
        <w:rPr>
          <w:color w:val="auto"/>
        </w:rPr>
        <w:t xml:space="preserve">targeted against CLDN18.2. Upon binding, </w:t>
      </w:r>
      <w:proofErr w:type="spellStart"/>
      <w:r w:rsidRPr="00276BCA">
        <w:rPr>
          <w:color w:val="auto"/>
        </w:rPr>
        <w:t>zolbetuximab</w:t>
      </w:r>
      <w:proofErr w:type="spellEnd"/>
      <w:r w:rsidRPr="00276BCA">
        <w:rPr>
          <w:color w:val="auto"/>
        </w:rPr>
        <w:t xml:space="preserve"> induces cancer cell death through antibody-dependent cellular cytotoxicity and complement-dependent cytotoxicity.</w:t>
      </w:r>
      <w:r w:rsidR="001D0030" w:rsidRPr="00276BCA">
        <w:rPr>
          <w:color w:val="auto"/>
        </w:rPr>
        <w:t xml:space="preserve"> </w:t>
      </w:r>
    </w:p>
    <w:p w14:paraId="24D30054" w14:textId="784AE16E" w:rsidR="00672BE4" w:rsidRPr="00276BCA" w:rsidRDefault="61A61EF0" w:rsidP="77D89277">
      <w:pPr>
        <w:pStyle w:val="ListParagraph"/>
        <w:numPr>
          <w:ilvl w:val="4"/>
          <w:numId w:val="8"/>
        </w:numPr>
        <w:rPr>
          <w:color w:val="auto"/>
        </w:rPr>
      </w:pPr>
      <w:r w:rsidRPr="00276BCA">
        <w:rPr>
          <w:color w:val="auto"/>
        </w:rPr>
        <w:t>The CLDN18.2 threshold for a positive result was ≥75% tumour cells showing moderate-to-strong membranous staining, while &lt;75% indicated a negative result. This ≥75%</w:t>
      </w:r>
      <w:r w:rsidR="4D5BE165" w:rsidRPr="00276BCA">
        <w:rPr>
          <w:color w:val="auto"/>
        </w:rPr>
        <w:t xml:space="preserve"> </w:t>
      </w:r>
      <w:r w:rsidR="191DA886" w:rsidRPr="00276BCA">
        <w:rPr>
          <w:color w:val="auto"/>
        </w:rPr>
        <w:t>threshold</w:t>
      </w:r>
      <w:r w:rsidR="6FE67258" w:rsidRPr="00276BCA">
        <w:rPr>
          <w:color w:val="auto"/>
        </w:rPr>
        <w:t xml:space="preserve"> </w:t>
      </w:r>
      <w:r w:rsidR="4D5BE165" w:rsidRPr="00276BCA">
        <w:rPr>
          <w:color w:val="auto"/>
        </w:rPr>
        <w:t xml:space="preserve">was </w:t>
      </w:r>
      <w:r w:rsidRPr="00276BCA">
        <w:rPr>
          <w:color w:val="auto"/>
        </w:rPr>
        <w:t xml:space="preserve">based on evidence from </w:t>
      </w:r>
      <w:r w:rsidR="4D5BE165" w:rsidRPr="00276BCA">
        <w:rPr>
          <w:color w:val="auto"/>
        </w:rPr>
        <w:t xml:space="preserve">SPOTLIGHT and GLOW trials. </w:t>
      </w:r>
      <w:r w:rsidR="6FE67258" w:rsidRPr="00276BCA">
        <w:rPr>
          <w:color w:val="auto"/>
        </w:rPr>
        <w:t>Additionally, this was supported by the</w:t>
      </w:r>
      <w:r w:rsidR="28CFB337" w:rsidRPr="00276BCA">
        <w:rPr>
          <w:color w:val="auto"/>
        </w:rPr>
        <w:t xml:space="preserve"> FAST phase II study, which demonstrated better treatment outcomes in patients with higher CLDN18.2 expression when </w:t>
      </w:r>
      <w:proofErr w:type="spellStart"/>
      <w:r w:rsidR="28CFB337" w:rsidRPr="00276BCA">
        <w:rPr>
          <w:color w:val="auto"/>
        </w:rPr>
        <w:lastRenderedPageBreak/>
        <w:t>zolbetuximab</w:t>
      </w:r>
      <w:proofErr w:type="spellEnd"/>
      <w:r w:rsidR="28CFB337" w:rsidRPr="00276BCA">
        <w:rPr>
          <w:color w:val="auto"/>
        </w:rPr>
        <w:t xml:space="preserve"> was</w:t>
      </w:r>
      <w:r w:rsidR="7045E344" w:rsidRPr="00276BCA">
        <w:rPr>
          <w:color w:val="auto"/>
        </w:rPr>
        <w:t xml:space="preserve"> </w:t>
      </w:r>
      <w:r w:rsidR="28CFB337" w:rsidRPr="00276BCA">
        <w:rPr>
          <w:color w:val="auto"/>
        </w:rPr>
        <w:t>added to standard chemotherapy. In the FAST study, c</w:t>
      </w:r>
      <w:r w:rsidR="3CF86B2A" w:rsidRPr="00276BCA">
        <w:rPr>
          <w:color w:val="auto"/>
        </w:rPr>
        <w:t xml:space="preserve">ompared to chemotherapy alone, there were significant improvements in PFS and OS in patients with CLDN18.2 expression in ≥70% of </w:t>
      </w:r>
      <w:r w:rsidR="42EA46C5" w:rsidRPr="00276BCA">
        <w:rPr>
          <w:color w:val="auto"/>
        </w:rPr>
        <w:t>tumour</w:t>
      </w:r>
      <w:r w:rsidR="3CF86B2A" w:rsidRPr="00276BCA">
        <w:rPr>
          <w:color w:val="auto"/>
        </w:rPr>
        <w:t xml:space="preserve"> cells. However, no significant differences were observed between the two arms in patients with CLDN18.2 expression ranging from 40%</w:t>
      </w:r>
      <w:r w:rsidR="187886EF" w:rsidRPr="00276BCA">
        <w:rPr>
          <w:color w:val="auto"/>
        </w:rPr>
        <w:t>-</w:t>
      </w:r>
      <w:r w:rsidR="3CF86B2A" w:rsidRPr="00276BCA">
        <w:rPr>
          <w:color w:val="auto"/>
        </w:rPr>
        <w:t>69%</w:t>
      </w:r>
      <w:r w:rsidRPr="00276BCA">
        <w:rPr>
          <w:color w:val="auto"/>
        </w:rPr>
        <w:t xml:space="preserve">. </w:t>
      </w:r>
    </w:p>
    <w:p w14:paraId="5B1D8C51" w14:textId="29BB6ECA" w:rsidR="00C3375D" w:rsidRPr="00276BCA" w:rsidRDefault="00C3375D" w:rsidP="0089150D">
      <w:pPr>
        <w:ind w:firstLine="720"/>
        <w:rPr>
          <w:i/>
        </w:rPr>
      </w:pPr>
      <w:r w:rsidRPr="00276BCA">
        <w:rPr>
          <w:i/>
        </w:rPr>
        <w:t>For more detail on PBAC’s view, see section 7 PBAC outcome.</w:t>
      </w:r>
    </w:p>
    <w:p w14:paraId="6CD92403" w14:textId="44C724B4" w:rsidR="00672BE4" w:rsidRPr="00276BCA" w:rsidRDefault="00C317F3" w:rsidP="004A6219">
      <w:pPr>
        <w:pStyle w:val="PBACESHeading1"/>
        <w:numPr>
          <w:ilvl w:val="0"/>
          <w:numId w:val="15"/>
        </w:numPr>
      </w:pPr>
      <w:r w:rsidRPr="00276BCA">
        <w:t>Comparator</w:t>
      </w:r>
    </w:p>
    <w:p w14:paraId="5B315F20" w14:textId="457133AE" w:rsidR="004F56DB" w:rsidRPr="00276BCA" w:rsidRDefault="14134F84" w:rsidP="77D89277">
      <w:pPr>
        <w:pStyle w:val="ListParagraph"/>
        <w:numPr>
          <w:ilvl w:val="4"/>
          <w:numId w:val="8"/>
        </w:numPr>
        <w:rPr>
          <w:color w:val="auto"/>
        </w:rPr>
      </w:pPr>
      <w:bookmarkStart w:id="29" w:name="_Ref191393270"/>
      <w:r w:rsidRPr="00276BCA">
        <w:rPr>
          <w:color w:val="auto"/>
        </w:rPr>
        <w:t xml:space="preserve">The submission nominated nivolumab with fluoropyrimidine- and platinum-based </w:t>
      </w:r>
      <w:r w:rsidR="00E43E77" w:rsidRPr="00276BCA">
        <w:rPr>
          <w:color w:val="auto"/>
        </w:rPr>
        <w:t xml:space="preserve">chemotherapy </w:t>
      </w:r>
      <w:r w:rsidRPr="00276BCA">
        <w:rPr>
          <w:color w:val="auto"/>
        </w:rPr>
        <w:t xml:space="preserve">(hereafter nivolumab + chemotherapy) as the main comparator for the proposed drug. For patients who received nivolumab therapy </w:t>
      </w:r>
      <w:r w:rsidR="00910410" w:rsidRPr="00276BCA">
        <w:rPr>
          <w:color w:val="auto"/>
        </w:rPr>
        <w:t xml:space="preserve">for </w:t>
      </w:r>
      <w:r w:rsidR="0539A362" w:rsidRPr="00276BCA">
        <w:rPr>
          <w:color w:val="auto"/>
        </w:rPr>
        <w:t xml:space="preserve">early-stage disease </w:t>
      </w:r>
      <w:r w:rsidRPr="00276BCA">
        <w:rPr>
          <w:color w:val="auto"/>
        </w:rPr>
        <w:t>and subsequently relapsed</w:t>
      </w:r>
      <w:r w:rsidR="00387E19" w:rsidRPr="00276BCA">
        <w:rPr>
          <w:color w:val="auto"/>
        </w:rPr>
        <w:t>,</w:t>
      </w:r>
      <w:r w:rsidRPr="00276BCA">
        <w:rPr>
          <w:color w:val="auto"/>
        </w:rPr>
        <w:t xml:space="preserve"> or </w:t>
      </w:r>
      <w:r w:rsidR="00F72C5E" w:rsidRPr="00276BCA">
        <w:rPr>
          <w:color w:val="auto"/>
        </w:rPr>
        <w:t xml:space="preserve">who </w:t>
      </w:r>
      <w:r w:rsidRPr="00276BCA">
        <w:rPr>
          <w:color w:val="auto"/>
        </w:rPr>
        <w:t>have contraindications to PD-1</w:t>
      </w:r>
      <w:r w:rsidR="0A563337" w:rsidRPr="00276BCA">
        <w:rPr>
          <w:color w:val="auto"/>
        </w:rPr>
        <w:t>/PD-L1</w:t>
      </w:r>
      <w:r w:rsidRPr="00276BCA">
        <w:rPr>
          <w:color w:val="auto"/>
        </w:rPr>
        <w:t xml:space="preserve"> inhibitors, chemotherapy alone was </w:t>
      </w:r>
      <w:r w:rsidR="00501CD5" w:rsidRPr="00276BCA">
        <w:rPr>
          <w:color w:val="auto"/>
        </w:rPr>
        <w:t>nomi</w:t>
      </w:r>
      <w:r w:rsidR="00342E9B" w:rsidRPr="00276BCA">
        <w:rPr>
          <w:color w:val="auto"/>
        </w:rPr>
        <w:t xml:space="preserve">nated as </w:t>
      </w:r>
      <w:r w:rsidRPr="00276BCA">
        <w:rPr>
          <w:color w:val="auto"/>
        </w:rPr>
        <w:t>the comparator</w:t>
      </w:r>
      <w:r w:rsidR="00D36EE6" w:rsidRPr="00276BCA">
        <w:rPr>
          <w:color w:val="auto"/>
        </w:rPr>
        <w:t xml:space="preserve">, but no economic evaluation was </w:t>
      </w:r>
      <w:r w:rsidR="001723AC" w:rsidRPr="00276BCA">
        <w:rPr>
          <w:color w:val="auto"/>
        </w:rPr>
        <w:t xml:space="preserve">presented for </w:t>
      </w:r>
      <w:r w:rsidR="000511E1" w:rsidRPr="00276BCA">
        <w:rPr>
          <w:color w:val="auto"/>
        </w:rPr>
        <w:t>this comparison</w:t>
      </w:r>
      <w:r w:rsidRPr="00276BCA">
        <w:rPr>
          <w:color w:val="auto"/>
        </w:rPr>
        <w:t xml:space="preserve">. The main arguments provided in support of this nomination </w:t>
      </w:r>
      <w:r w:rsidR="33A0E6CA" w:rsidRPr="00276BCA">
        <w:rPr>
          <w:color w:val="auto"/>
        </w:rPr>
        <w:t>were</w:t>
      </w:r>
      <w:r w:rsidRPr="00276BCA">
        <w:rPr>
          <w:color w:val="auto"/>
        </w:rPr>
        <w:t>:</w:t>
      </w:r>
      <w:bookmarkEnd w:id="29"/>
    </w:p>
    <w:bookmarkEnd w:id="15"/>
    <w:bookmarkEnd w:id="28"/>
    <w:p w14:paraId="6731AC08" w14:textId="1AA06A13" w:rsidR="00104619" w:rsidRPr="00276BCA" w:rsidRDefault="7C40CE5A" w:rsidP="77D89277">
      <w:pPr>
        <w:pStyle w:val="PBACESParagraphBulletPoint"/>
        <w:rPr>
          <w:color w:val="auto"/>
        </w:rPr>
      </w:pPr>
      <w:r w:rsidRPr="00276BCA">
        <w:rPr>
          <w:color w:val="auto"/>
        </w:rPr>
        <w:t>N</w:t>
      </w:r>
      <w:r w:rsidR="68E03468" w:rsidRPr="00276BCA">
        <w:rPr>
          <w:color w:val="auto"/>
        </w:rPr>
        <w:t>ivolumab + chemotherapy is the standard of care for the first-line treatment of</w:t>
      </w:r>
      <w:r w:rsidR="4083701C" w:rsidRPr="00276BCA">
        <w:rPr>
          <w:color w:val="auto"/>
        </w:rPr>
        <w:t xml:space="preserve"> HER2-negative</w:t>
      </w:r>
      <w:r w:rsidR="68E03468" w:rsidRPr="00276BCA">
        <w:rPr>
          <w:color w:val="auto"/>
        </w:rPr>
        <w:t xml:space="preserve"> advanced </w:t>
      </w:r>
      <w:r w:rsidR="4083701C" w:rsidRPr="00276BCA">
        <w:rPr>
          <w:color w:val="auto"/>
        </w:rPr>
        <w:t xml:space="preserve">or metastatic </w:t>
      </w:r>
      <w:r w:rsidR="68E03468" w:rsidRPr="00276BCA">
        <w:rPr>
          <w:color w:val="auto"/>
        </w:rPr>
        <w:t>G/GOJ cancer</w:t>
      </w:r>
      <w:r w:rsidR="3D8F7451" w:rsidRPr="00276BCA">
        <w:rPr>
          <w:color w:val="auto"/>
        </w:rPr>
        <w:t xml:space="preserve">, demonstrating improved overall survival </w:t>
      </w:r>
      <w:r w:rsidR="0CC7BCD3" w:rsidRPr="00276BCA">
        <w:rPr>
          <w:color w:val="auto"/>
        </w:rPr>
        <w:t xml:space="preserve">(OS) </w:t>
      </w:r>
      <w:r w:rsidR="0C9BF905" w:rsidRPr="00276BCA">
        <w:rPr>
          <w:color w:val="auto"/>
        </w:rPr>
        <w:t>in</w:t>
      </w:r>
      <w:r w:rsidR="72182143" w:rsidRPr="00276BCA">
        <w:rPr>
          <w:color w:val="auto"/>
        </w:rPr>
        <w:t xml:space="preserve"> the</w:t>
      </w:r>
      <w:r w:rsidR="0C9BF905" w:rsidRPr="00276BCA">
        <w:rPr>
          <w:color w:val="auto"/>
        </w:rPr>
        <w:t xml:space="preserve"> </w:t>
      </w:r>
      <w:proofErr w:type="spellStart"/>
      <w:r w:rsidR="0C9BF905" w:rsidRPr="00276BCA">
        <w:rPr>
          <w:color w:val="auto"/>
        </w:rPr>
        <w:t>CheckMate</w:t>
      </w:r>
      <w:proofErr w:type="spellEnd"/>
      <w:r w:rsidR="0C9BF905" w:rsidRPr="00276BCA">
        <w:rPr>
          <w:color w:val="auto"/>
        </w:rPr>
        <w:t xml:space="preserve"> 649 trial</w:t>
      </w:r>
      <w:r w:rsidR="68E03468" w:rsidRPr="00276BCA">
        <w:rPr>
          <w:color w:val="auto"/>
        </w:rPr>
        <w:t>.</w:t>
      </w:r>
    </w:p>
    <w:p w14:paraId="109998EB" w14:textId="6440EB96" w:rsidR="00104619" w:rsidRPr="00276BCA" w:rsidRDefault="68E03468" w:rsidP="77D89277">
      <w:pPr>
        <w:pStyle w:val="PBACESParagraphBulletPoint"/>
        <w:rPr>
          <w:color w:val="auto"/>
        </w:rPr>
      </w:pPr>
      <w:r w:rsidRPr="00276BCA">
        <w:rPr>
          <w:color w:val="auto"/>
        </w:rPr>
        <w:t xml:space="preserve">Nivolumab + chemotherapy was recommended for listing for the same indication </w:t>
      </w:r>
      <w:r w:rsidR="291831E3" w:rsidRPr="00276BCA">
        <w:rPr>
          <w:color w:val="auto"/>
        </w:rPr>
        <w:t xml:space="preserve">at </w:t>
      </w:r>
      <w:r w:rsidRPr="00276BCA">
        <w:rPr>
          <w:color w:val="auto"/>
        </w:rPr>
        <w:t>the March 2022 PBAC Meeting.</w:t>
      </w:r>
    </w:p>
    <w:p w14:paraId="20E18A8F" w14:textId="117682BE" w:rsidR="0023155D" w:rsidRPr="00276BCA" w:rsidRDefault="3E0B0832" w:rsidP="77D89277">
      <w:pPr>
        <w:pStyle w:val="PBACESParagraphBulletPoint"/>
        <w:rPr>
          <w:color w:val="auto"/>
        </w:rPr>
      </w:pPr>
      <w:r w:rsidRPr="00276BCA">
        <w:rPr>
          <w:color w:val="auto"/>
        </w:rPr>
        <w:t>F</w:t>
      </w:r>
      <w:r w:rsidR="0E367308" w:rsidRPr="00276BCA">
        <w:rPr>
          <w:color w:val="auto"/>
        </w:rPr>
        <w:t>or patients who relapse after early-stage treatment with nivolumab or have contraindications to PD-1 inhibitors, chemotherapy alone is the most appropriate treatment option, as PBS restrictions prevent the repeated use of PD-1/PD-L1 inhibitors for this condition.</w:t>
      </w:r>
    </w:p>
    <w:p w14:paraId="6C626920" w14:textId="6CD1515D" w:rsidR="00865F45" w:rsidRPr="00276BCA" w:rsidRDefault="732682AC" w:rsidP="77D89277">
      <w:pPr>
        <w:pStyle w:val="ListParagraph"/>
        <w:numPr>
          <w:ilvl w:val="4"/>
          <w:numId w:val="8"/>
        </w:numPr>
        <w:rPr>
          <w:color w:val="auto"/>
        </w:rPr>
      </w:pPr>
      <w:r w:rsidRPr="00276BCA">
        <w:rPr>
          <w:color w:val="auto"/>
        </w:rPr>
        <w:t>The submission identified pembrolizumab, another PD-1 inhibitor</w:t>
      </w:r>
      <w:r w:rsidR="5E8E44CB" w:rsidRPr="00276BCA">
        <w:rPr>
          <w:color w:val="auto"/>
        </w:rPr>
        <w:t>, combined</w:t>
      </w:r>
      <w:r w:rsidRPr="00276BCA">
        <w:rPr>
          <w:color w:val="auto"/>
        </w:rPr>
        <w:t xml:space="preserve"> with chemotherapy</w:t>
      </w:r>
      <w:r w:rsidR="5E8E44CB" w:rsidRPr="00276BCA">
        <w:rPr>
          <w:color w:val="auto"/>
        </w:rPr>
        <w:t xml:space="preserve"> </w:t>
      </w:r>
      <w:r w:rsidRPr="00276BCA">
        <w:rPr>
          <w:color w:val="auto"/>
        </w:rPr>
        <w:t xml:space="preserve">as </w:t>
      </w:r>
      <w:r w:rsidR="00B876C7" w:rsidRPr="00276BCA">
        <w:rPr>
          <w:color w:val="auto"/>
        </w:rPr>
        <w:t xml:space="preserve">a </w:t>
      </w:r>
      <w:r w:rsidRPr="00276BCA">
        <w:rPr>
          <w:color w:val="auto"/>
        </w:rPr>
        <w:t xml:space="preserve">near-market comparator given its similar mechanism and potential future availability. </w:t>
      </w:r>
      <w:r w:rsidR="4668C593" w:rsidRPr="00276BCA">
        <w:rPr>
          <w:color w:val="auto"/>
        </w:rPr>
        <w:t>The evaluation noted that t</w:t>
      </w:r>
      <w:r w:rsidRPr="00276BCA">
        <w:rPr>
          <w:color w:val="auto"/>
        </w:rPr>
        <w:t>he PBAC</w:t>
      </w:r>
      <w:r w:rsidR="4668C593" w:rsidRPr="00276BCA">
        <w:rPr>
          <w:color w:val="auto"/>
        </w:rPr>
        <w:t xml:space="preserve"> </w:t>
      </w:r>
      <w:r w:rsidR="5E8E44CB" w:rsidRPr="00276BCA">
        <w:rPr>
          <w:color w:val="auto"/>
        </w:rPr>
        <w:t>recommend</w:t>
      </w:r>
      <w:r w:rsidR="0C138E95" w:rsidRPr="00276BCA">
        <w:rPr>
          <w:color w:val="auto"/>
        </w:rPr>
        <w:t>ed</w:t>
      </w:r>
      <w:r w:rsidR="5E8E44CB" w:rsidRPr="00276BCA">
        <w:rPr>
          <w:color w:val="auto"/>
        </w:rPr>
        <w:t xml:space="preserve"> </w:t>
      </w:r>
      <w:r w:rsidR="0C138E95" w:rsidRPr="00276BCA">
        <w:rPr>
          <w:color w:val="auto"/>
        </w:rPr>
        <w:t xml:space="preserve">the listing of </w:t>
      </w:r>
      <w:r w:rsidR="5E8E44CB" w:rsidRPr="00276BCA">
        <w:rPr>
          <w:color w:val="auto"/>
        </w:rPr>
        <w:t>p</w:t>
      </w:r>
      <w:r w:rsidRPr="00276BCA">
        <w:rPr>
          <w:color w:val="auto"/>
        </w:rPr>
        <w:t>embrolizumab</w:t>
      </w:r>
      <w:r w:rsidR="776C6077" w:rsidRPr="00276BCA">
        <w:rPr>
          <w:color w:val="auto"/>
        </w:rPr>
        <w:t xml:space="preserve"> in combination with chemotherapy</w:t>
      </w:r>
      <w:r w:rsidRPr="00276BCA">
        <w:rPr>
          <w:color w:val="auto"/>
        </w:rPr>
        <w:t xml:space="preserve"> for the first-line treatment of advanced or metastatic G/GOJ cancers </w:t>
      </w:r>
      <w:r w:rsidR="7E7EB7FF" w:rsidRPr="00276BCA">
        <w:rPr>
          <w:color w:val="auto"/>
        </w:rPr>
        <w:t>in May 2022</w:t>
      </w:r>
      <w:r w:rsidRPr="00276BCA">
        <w:rPr>
          <w:color w:val="auto"/>
        </w:rPr>
        <w:t xml:space="preserve"> (paragraph </w:t>
      </w:r>
      <w:r w:rsidR="58C3B3F7" w:rsidRPr="00276BCA">
        <w:rPr>
          <w:color w:val="auto"/>
        </w:rPr>
        <w:t>14</w:t>
      </w:r>
      <w:r w:rsidRPr="00276BCA">
        <w:rPr>
          <w:color w:val="auto"/>
        </w:rPr>
        <w:t xml:space="preserve">.1, pembrolizumab, </w:t>
      </w:r>
      <w:r w:rsidR="006A4B71" w:rsidRPr="00276BCA">
        <w:rPr>
          <w:color w:val="auto"/>
        </w:rPr>
        <w:t>Public Summary Document (</w:t>
      </w:r>
      <w:r w:rsidRPr="00276BCA">
        <w:rPr>
          <w:color w:val="auto"/>
        </w:rPr>
        <w:t>PSD</w:t>
      </w:r>
      <w:r w:rsidR="006A4B71" w:rsidRPr="00276BCA">
        <w:rPr>
          <w:color w:val="auto"/>
        </w:rPr>
        <w:t>)</w:t>
      </w:r>
      <w:r w:rsidRPr="00276BCA">
        <w:rPr>
          <w:color w:val="auto"/>
        </w:rPr>
        <w:t>, November 2021 PBAC Meeting with March</w:t>
      </w:r>
      <w:r w:rsidR="003D5647" w:rsidRPr="00276BCA">
        <w:rPr>
          <w:color w:val="auto"/>
        </w:rPr>
        <w:t> </w:t>
      </w:r>
      <w:r w:rsidRPr="00276BCA">
        <w:rPr>
          <w:color w:val="auto"/>
        </w:rPr>
        <w:t>2022</w:t>
      </w:r>
      <w:r w:rsidR="0C138E95" w:rsidRPr="00276BCA">
        <w:rPr>
          <w:color w:val="auto"/>
        </w:rPr>
        <w:t xml:space="preserve"> and May 2022</w:t>
      </w:r>
      <w:r w:rsidRPr="00276BCA">
        <w:rPr>
          <w:color w:val="auto"/>
        </w:rPr>
        <w:t xml:space="preserve"> Addendum</w:t>
      </w:r>
      <w:r w:rsidR="0C138E95" w:rsidRPr="00276BCA">
        <w:rPr>
          <w:color w:val="auto"/>
        </w:rPr>
        <w:t>s</w:t>
      </w:r>
      <w:r w:rsidRPr="00276BCA">
        <w:rPr>
          <w:color w:val="auto"/>
        </w:rPr>
        <w:t>)</w:t>
      </w:r>
      <w:r w:rsidR="6BD1D557" w:rsidRPr="00276BCA">
        <w:rPr>
          <w:color w:val="auto"/>
        </w:rPr>
        <w:t xml:space="preserve"> however it is not PBS listed</w:t>
      </w:r>
      <w:r w:rsidRPr="00276BCA">
        <w:rPr>
          <w:color w:val="auto"/>
        </w:rPr>
        <w:t xml:space="preserve">. </w:t>
      </w:r>
    </w:p>
    <w:p w14:paraId="26FC4152" w14:textId="41978806" w:rsidR="00F17A3F" w:rsidRPr="00276BCA" w:rsidRDefault="7656768E" w:rsidP="008E424C">
      <w:pPr>
        <w:pStyle w:val="ListParagraph"/>
        <w:numPr>
          <w:ilvl w:val="4"/>
          <w:numId w:val="8"/>
        </w:numPr>
        <w:rPr>
          <w:color w:val="auto"/>
        </w:rPr>
      </w:pPr>
      <w:r w:rsidRPr="00276BCA">
        <w:rPr>
          <w:color w:val="auto"/>
        </w:rPr>
        <w:t xml:space="preserve">Additionally, </w:t>
      </w:r>
      <w:r w:rsidR="00DB6557" w:rsidRPr="00276BCA">
        <w:rPr>
          <w:color w:val="auto"/>
        </w:rPr>
        <w:t xml:space="preserve">the evaluation considered that </w:t>
      </w:r>
      <w:r w:rsidRPr="00276BCA">
        <w:rPr>
          <w:color w:val="auto"/>
        </w:rPr>
        <w:t>tislelizumab, another PD-1 inhibitor</w:t>
      </w:r>
      <w:r w:rsidR="55AD8AA9" w:rsidRPr="00276BCA">
        <w:rPr>
          <w:color w:val="auto"/>
        </w:rPr>
        <w:t>,</w:t>
      </w:r>
      <w:r w:rsidRPr="00276BCA">
        <w:rPr>
          <w:color w:val="auto"/>
        </w:rPr>
        <w:t xml:space="preserve"> may be a relevant </w:t>
      </w:r>
      <w:r w:rsidR="3F0C1968" w:rsidRPr="00276BCA">
        <w:rPr>
          <w:color w:val="auto"/>
        </w:rPr>
        <w:t xml:space="preserve">near market </w:t>
      </w:r>
      <w:r w:rsidR="00BA2F5A" w:rsidRPr="00276BCA">
        <w:rPr>
          <w:color w:val="auto"/>
        </w:rPr>
        <w:t>comparator</w:t>
      </w:r>
      <w:r w:rsidRPr="00276BCA">
        <w:rPr>
          <w:color w:val="auto"/>
        </w:rPr>
        <w:t>.</w:t>
      </w:r>
      <w:r w:rsidR="00D84FA9" w:rsidRPr="00276BCA">
        <w:rPr>
          <w:color w:val="auto"/>
        </w:rPr>
        <w:t xml:space="preserve"> </w:t>
      </w:r>
      <w:r w:rsidR="00865F45" w:rsidRPr="00276BCA">
        <w:rPr>
          <w:color w:val="auto"/>
        </w:rPr>
        <w:t xml:space="preserve">The PBAC recommended the PBS listing of tislelizumab for advanced or metastatic gastro-oesophageal cancer, noting that the </w:t>
      </w:r>
      <w:r w:rsidR="00865F45" w:rsidRPr="00276BCA">
        <w:rPr>
          <w:color w:val="auto"/>
        </w:rPr>
        <w:lastRenderedPageBreak/>
        <w:t>cost-effectiveness of tislelizumab in this population would be acceptable if it were cost-minimised to nivolumab</w:t>
      </w:r>
      <w:r w:rsidR="00045E58" w:rsidRPr="00276BCA">
        <w:rPr>
          <w:vertAlign w:val="superscript"/>
        </w:rPr>
        <w:footnoteReference w:id="7"/>
      </w:r>
      <w:r w:rsidR="00865F45" w:rsidRPr="00276BCA">
        <w:rPr>
          <w:color w:val="auto"/>
        </w:rPr>
        <w:t xml:space="preserve">. </w:t>
      </w:r>
    </w:p>
    <w:p w14:paraId="12D52691" w14:textId="1C68C4D9" w:rsidR="0019151C" w:rsidRPr="00276BCA" w:rsidRDefault="005F64FD" w:rsidP="008E424C">
      <w:pPr>
        <w:pStyle w:val="ListParagraph"/>
        <w:numPr>
          <w:ilvl w:val="4"/>
          <w:numId w:val="8"/>
        </w:numPr>
        <w:rPr>
          <w:color w:val="auto"/>
        </w:rPr>
      </w:pPr>
      <w:r w:rsidRPr="00276BCA">
        <w:rPr>
          <w:color w:val="auto"/>
        </w:rPr>
        <w:t xml:space="preserve">The evaluation </w:t>
      </w:r>
      <w:r w:rsidR="00CC5A17" w:rsidRPr="00276BCA">
        <w:rPr>
          <w:color w:val="auto"/>
        </w:rPr>
        <w:t xml:space="preserve">and the ESCs </w:t>
      </w:r>
      <w:r w:rsidRPr="00276BCA">
        <w:rPr>
          <w:color w:val="auto"/>
        </w:rPr>
        <w:t>considered that o</w:t>
      </w:r>
      <w:r w:rsidR="0044608B" w:rsidRPr="00276BCA">
        <w:rPr>
          <w:color w:val="auto"/>
        </w:rPr>
        <w:t>verall, the submission's nomination of nivolumab + chemotherapy as the main comparator, and chemotherapy alone for the subgroup of patients who relapsed after early-stage nivolumab treatment or have contraindications to PD-1/PD-L1 inhibitors, appeared reasonable.</w:t>
      </w:r>
    </w:p>
    <w:p w14:paraId="271552BC" w14:textId="68709C42" w:rsidR="00C3375D" w:rsidRPr="00276BCA" w:rsidRDefault="00C3375D" w:rsidP="00FF669B">
      <w:pPr>
        <w:ind w:firstLine="720"/>
        <w:rPr>
          <w:i/>
        </w:rPr>
      </w:pPr>
      <w:r w:rsidRPr="00276BCA">
        <w:rPr>
          <w:i/>
        </w:rPr>
        <w:t>For more detail on PBAC’s view, see section 7 PBAC outcome.</w:t>
      </w:r>
    </w:p>
    <w:p w14:paraId="1D7F58E5" w14:textId="50995CC5" w:rsidR="00015290" w:rsidRPr="00276BCA" w:rsidRDefault="00015290" w:rsidP="006A5DC6">
      <w:pPr>
        <w:pStyle w:val="PBACESHeading1"/>
        <w:numPr>
          <w:ilvl w:val="0"/>
          <w:numId w:val="15"/>
        </w:numPr>
      </w:pPr>
      <w:bookmarkStart w:id="30" w:name="_Toc187863745"/>
      <w:bookmarkStart w:id="31" w:name="_Toc188441229"/>
      <w:r w:rsidRPr="00276BCA">
        <w:t>Consideration of the evidence</w:t>
      </w:r>
      <w:bookmarkEnd w:id="30"/>
      <w:bookmarkEnd w:id="31"/>
    </w:p>
    <w:p w14:paraId="18761265" w14:textId="77777777" w:rsidR="00437AA0" w:rsidRPr="00276BCA" w:rsidRDefault="00437AA0" w:rsidP="00014595">
      <w:pPr>
        <w:pStyle w:val="OutlineHeading2"/>
        <w:rPr>
          <w:rFonts w:ascii="Calibri" w:hAnsi="Calibri" w:cs="Calibri"/>
          <w:iCs/>
        </w:rPr>
      </w:pPr>
      <w:bookmarkStart w:id="32" w:name="_Hlk76375935"/>
      <w:r w:rsidRPr="00276BCA">
        <w:rPr>
          <w:rFonts w:ascii="Calibri" w:hAnsi="Calibri" w:cs="Calibri"/>
          <w:iCs/>
        </w:rPr>
        <w:t>Sponsor hearing</w:t>
      </w:r>
    </w:p>
    <w:p w14:paraId="195ACD10" w14:textId="6822DE7F" w:rsidR="00221A99" w:rsidRPr="00276BCA" w:rsidRDefault="00254989" w:rsidP="00654E68">
      <w:pPr>
        <w:pStyle w:val="ListParagraph"/>
        <w:numPr>
          <w:ilvl w:val="4"/>
          <w:numId w:val="8"/>
        </w:numPr>
        <w:rPr>
          <w:color w:val="auto"/>
        </w:rPr>
      </w:pPr>
      <w:bookmarkStart w:id="33" w:name="_Hlk76382586"/>
      <w:r w:rsidRPr="00276BCA">
        <w:rPr>
          <w:bCs/>
          <w:snapToGrid w:val="0"/>
        </w:rPr>
        <w:t>The sponsor requested a hearing for this item</w:t>
      </w:r>
      <w:r w:rsidR="00BD0988" w:rsidRPr="00276BCA">
        <w:rPr>
          <w:color w:val="auto"/>
        </w:rPr>
        <w:t xml:space="preserve">. </w:t>
      </w:r>
      <w:r w:rsidRPr="00276BCA">
        <w:rPr>
          <w:color w:val="auto"/>
        </w:rPr>
        <w:t>Two</w:t>
      </w:r>
      <w:r w:rsidR="00221A99" w:rsidRPr="00276BCA">
        <w:rPr>
          <w:color w:val="auto"/>
        </w:rPr>
        <w:t xml:space="preserve"> clinicians supported the proposed listing, describing </w:t>
      </w:r>
      <w:r w:rsidR="00655ADB" w:rsidRPr="00276BCA">
        <w:rPr>
          <w:color w:val="auto"/>
        </w:rPr>
        <w:t xml:space="preserve">relevant clinical trial evidence, </w:t>
      </w:r>
      <w:r w:rsidR="00221A99" w:rsidRPr="00276BCA">
        <w:rPr>
          <w:color w:val="auto"/>
        </w:rPr>
        <w:t xml:space="preserve">the natural history of the disease, </w:t>
      </w:r>
      <w:r w:rsidR="00FC6D1E" w:rsidRPr="00276BCA">
        <w:rPr>
          <w:color w:val="auto"/>
        </w:rPr>
        <w:t xml:space="preserve">rationale for the </w:t>
      </w:r>
      <w:proofErr w:type="spellStart"/>
      <w:r w:rsidR="00655ADB" w:rsidRPr="00276BCA">
        <w:rPr>
          <w:color w:val="auto"/>
        </w:rPr>
        <w:t>codependency</w:t>
      </w:r>
      <w:proofErr w:type="spellEnd"/>
      <w:r w:rsidR="00655ADB" w:rsidRPr="00276BCA">
        <w:rPr>
          <w:color w:val="auto"/>
        </w:rPr>
        <w:t xml:space="preserve">, </w:t>
      </w:r>
      <w:r w:rsidR="00221A99" w:rsidRPr="00276BCA">
        <w:rPr>
          <w:color w:val="auto"/>
        </w:rPr>
        <w:t xml:space="preserve">and </w:t>
      </w:r>
      <w:r w:rsidR="00655ADB" w:rsidRPr="00276BCA">
        <w:rPr>
          <w:color w:val="auto"/>
        </w:rPr>
        <w:t>current treatment options</w:t>
      </w:r>
      <w:r w:rsidR="00221A99" w:rsidRPr="00276BCA">
        <w:rPr>
          <w:color w:val="auto"/>
        </w:rPr>
        <w:t xml:space="preserve"> in the Australian setting.</w:t>
      </w:r>
      <w:r w:rsidR="00655ADB" w:rsidRPr="00276BCA">
        <w:rPr>
          <w:color w:val="auto"/>
        </w:rPr>
        <w:t xml:space="preserve"> One clinician </w:t>
      </w:r>
      <w:r w:rsidR="00740A17" w:rsidRPr="00276BCA">
        <w:rPr>
          <w:color w:val="auto"/>
        </w:rPr>
        <w:t xml:space="preserve">indicated that they may prefer </w:t>
      </w:r>
      <w:proofErr w:type="spellStart"/>
      <w:r w:rsidR="00CD5FD1" w:rsidRPr="00276BCA">
        <w:rPr>
          <w:color w:val="auto"/>
        </w:rPr>
        <w:t>zolbetuximab</w:t>
      </w:r>
      <w:proofErr w:type="spellEnd"/>
      <w:r w:rsidR="00CD5FD1" w:rsidRPr="00276BCA">
        <w:rPr>
          <w:color w:val="auto"/>
        </w:rPr>
        <w:t xml:space="preserve"> in patients with </w:t>
      </w:r>
      <w:r w:rsidRPr="00276BCA">
        <w:rPr>
          <w:color w:val="auto"/>
        </w:rPr>
        <w:t>C</w:t>
      </w:r>
      <w:r w:rsidR="00CD5FD1" w:rsidRPr="00276BCA">
        <w:rPr>
          <w:color w:val="auto"/>
        </w:rPr>
        <w:t>laudin 18.2 positive cancers when the</w:t>
      </w:r>
      <w:r w:rsidR="00B92ADF" w:rsidRPr="00276BCA">
        <w:rPr>
          <w:color w:val="auto"/>
        </w:rPr>
        <w:t xml:space="preserve"> tumour</w:t>
      </w:r>
      <w:r w:rsidR="00CD5FD1" w:rsidRPr="00276BCA">
        <w:rPr>
          <w:color w:val="auto"/>
        </w:rPr>
        <w:t xml:space="preserve"> PD-L1 expression is </w:t>
      </w:r>
      <w:r w:rsidR="00B92ADF" w:rsidRPr="00276BCA">
        <w:rPr>
          <w:color w:val="auto"/>
        </w:rPr>
        <w:t>low (i</w:t>
      </w:r>
      <w:r w:rsidR="004B177B" w:rsidRPr="00276BCA">
        <w:rPr>
          <w:color w:val="auto"/>
        </w:rPr>
        <w:t>.</w:t>
      </w:r>
      <w:r w:rsidR="00B92ADF" w:rsidRPr="00276BCA">
        <w:rPr>
          <w:color w:val="auto"/>
        </w:rPr>
        <w:t>e</w:t>
      </w:r>
      <w:r w:rsidR="004B177B" w:rsidRPr="00276BCA">
        <w:rPr>
          <w:color w:val="auto"/>
        </w:rPr>
        <w:t>.</w:t>
      </w:r>
      <w:r w:rsidR="00B92ADF" w:rsidRPr="00276BCA">
        <w:rPr>
          <w:color w:val="auto"/>
        </w:rPr>
        <w:t xml:space="preserve"> </w:t>
      </w:r>
      <w:r w:rsidR="005861BC" w:rsidRPr="00276BCA">
        <w:rPr>
          <w:color w:val="auto"/>
        </w:rPr>
        <w:t>combined positive score (</w:t>
      </w:r>
      <w:r w:rsidR="00B92ADF" w:rsidRPr="00276BCA">
        <w:rPr>
          <w:color w:val="auto"/>
        </w:rPr>
        <w:t>CPS</w:t>
      </w:r>
      <w:r w:rsidR="005861BC" w:rsidRPr="00276BCA">
        <w:rPr>
          <w:color w:val="auto"/>
        </w:rPr>
        <w:t>)</w:t>
      </w:r>
      <w:r w:rsidR="00B92ADF" w:rsidRPr="00276BCA">
        <w:rPr>
          <w:color w:val="auto"/>
        </w:rPr>
        <w:t xml:space="preserve"> &lt; 5)</w:t>
      </w:r>
      <w:r w:rsidR="00B73C90" w:rsidRPr="00276BCA">
        <w:rPr>
          <w:color w:val="auto"/>
        </w:rPr>
        <w:t xml:space="preserve"> </w:t>
      </w:r>
      <w:r w:rsidR="00E56EAF" w:rsidRPr="00276BCA">
        <w:rPr>
          <w:color w:val="auto"/>
        </w:rPr>
        <w:t>as</w:t>
      </w:r>
      <w:r w:rsidR="00B73C90" w:rsidRPr="00276BCA">
        <w:rPr>
          <w:color w:val="auto"/>
        </w:rPr>
        <w:t xml:space="preserve"> these </w:t>
      </w:r>
      <w:r w:rsidR="00836236" w:rsidRPr="00276BCA">
        <w:rPr>
          <w:color w:val="auto"/>
        </w:rPr>
        <w:t>patients</w:t>
      </w:r>
      <w:r w:rsidR="00B73C90" w:rsidRPr="00276BCA">
        <w:rPr>
          <w:color w:val="auto"/>
        </w:rPr>
        <w:t xml:space="preserve"> </w:t>
      </w:r>
      <w:r w:rsidR="00E56EAF" w:rsidRPr="00276BCA">
        <w:rPr>
          <w:color w:val="auto"/>
        </w:rPr>
        <w:t xml:space="preserve">may be </w:t>
      </w:r>
      <w:r w:rsidR="00B73C90" w:rsidRPr="00276BCA">
        <w:rPr>
          <w:color w:val="auto"/>
        </w:rPr>
        <w:t>less likely to benefit from immune therapy</w:t>
      </w:r>
      <w:r w:rsidR="00836236" w:rsidRPr="00276BCA">
        <w:rPr>
          <w:color w:val="auto"/>
        </w:rPr>
        <w:t>, whereas for patients with a CPS ≥5, the decision is more complex</w:t>
      </w:r>
      <w:r w:rsidR="008903CB" w:rsidRPr="00276BCA">
        <w:rPr>
          <w:color w:val="auto"/>
        </w:rPr>
        <w:t xml:space="preserve"> and will take into account patient preference alongside the recognised side-effects of treatment. </w:t>
      </w:r>
      <w:r w:rsidR="00031450" w:rsidRPr="00276BCA">
        <w:rPr>
          <w:color w:val="auto"/>
        </w:rPr>
        <w:t xml:space="preserve">Both clinicians </w:t>
      </w:r>
      <w:r w:rsidR="002C32A2" w:rsidRPr="00276BCA">
        <w:rPr>
          <w:color w:val="auto"/>
        </w:rPr>
        <w:t>noted</w:t>
      </w:r>
      <w:r w:rsidR="00031450" w:rsidRPr="00276BCA">
        <w:rPr>
          <w:color w:val="auto"/>
        </w:rPr>
        <w:t xml:space="preserve"> that </w:t>
      </w:r>
      <w:r w:rsidR="00F56AA6" w:rsidRPr="00276BCA">
        <w:rPr>
          <w:color w:val="auto"/>
        </w:rPr>
        <w:t xml:space="preserve">the risks and side-effects of </w:t>
      </w:r>
      <w:proofErr w:type="spellStart"/>
      <w:r w:rsidR="00F56AA6" w:rsidRPr="00276BCA">
        <w:rPr>
          <w:color w:val="auto"/>
        </w:rPr>
        <w:t>zolbetuximab</w:t>
      </w:r>
      <w:proofErr w:type="spellEnd"/>
      <w:r w:rsidR="00F56AA6" w:rsidRPr="00276BCA">
        <w:rPr>
          <w:color w:val="auto"/>
        </w:rPr>
        <w:t xml:space="preserve"> are well understood, and </w:t>
      </w:r>
      <w:r w:rsidR="00031450" w:rsidRPr="00276BCA">
        <w:rPr>
          <w:color w:val="auto"/>
        </w:rPr>
        <w:t>they believe</w:t>
      </w:r>
      <w:r w:rsidR="00E520FE" w:rsidRPr="00276BCA">
        <w:rPr>
          <w:color w:val="auto"/>
        </w:rPr>
        <w:t>d</w:t>
      </w:r>
      <w:r w:rsidR="00031450" w:rsidRPr="00276BCA">
        <w:rPr>
          <w:color w:val="auto"/>
        </w:rPr>
        <w:t xml:space="preserve"> </w:t>
      </w:r>
      <w:r w:rsidR="00920211" w:rsidRPr="00276BCA">
        <w:rPr>
          <w:color w:val="auto"/>
        </w:rPr>
        <w:t xml:space="preserve">the </w:t>
      </w:r>
      <w:r w:rsidR="00761F32" w:rsidRPr="00276BCA">
        <w:rPr>
          <w:color w:val="auto"/>
        </w:rPr>
        <w:t>significant</w:t>
      </w:r>
      <w:r w:rsidR="00920211" w:rsidRPr="00276BCA">
        <w:rPr>
          <w:color w:val="auto"/>
        </w:rPr>
        <w:t xml:space="preserve"> </w:t>
      </w:r>
      <w:r w:rsidR="002C5C90" w:rsidRPr="00276BCA">
        <w:rPr>
          <w:color w:val="auto"/>
        </w:rPr>
        <w:t xml:space="preserve">associated </w:t>
      </w:r>
      <w:r w:rsidR="006F7750" w:rsidRPr="00276BCA">
        <w:rPr>
          <w:color w:val="auto"/>
        </w:rPr>
        <w:t xml:space="preserve">acute adverse events such as </w:t>
      </w:r>
      <w:r w:rsidR="00F56AA6" w:rsidRPr="00276BCA">
        <w:rPr>
          <w:color w:val="auto"/>
        </w:rPr>
        <w:t>naus</w:t>
      </w:r>
      <w:r w:rsidR="006A4431" w:rsidRPr="00276BCA">
        <w:rPr>
          <w:color w:val="auto"/>
        </w:rPr>
        <w:t>ea</w:t>
      </w:r>
      <w:r w:rsidR="005A4CE2" w:rsidRPr="00276BCA">
        <w:rPr>
          <w:color w:val="auto"/>
        </w:rPr>
        <w:t xml:space="preserve"> could be managed or prevented</w:t>
      </w:r>
      <w:r w:rsidR="003D40B9" w:rsidRPr="00276BCA">
        <w:rPr>
          <w:color w:val="auto"/>
        </w:rPr>
        <w:t xml:space="preserve"> (e</w:t>
      </w:r>
      <w:r w:rsidR="004B177B" w:rsidRPr="00276BCA">
        <w:rPr>
          <w:color w:val="auto"/>
        </w:rPr>
        <w:t>.</w:t>
      </w:r>
      <w:r w:rsidR="003D40B9" w:rsidRPr="00276BCA">
        <w:rPr>
          <w:color w:val="auto"/>
        </w:rPr>
        <w:t>g</w:t>
      </w:r>
      <w:r w:rsidR="004B177B" w:rsidRPr="00276BCA">
        <w:rPr>
          <w:color w:val="auto"/>
        </w:rPr>
        <w:t>.</w:t>
      </w:r>
      <w:r w:rsidR="003D40B9" w:rsidRPr="00276BCA">
        <w:rPr>
          <w:color w:val="auto"/>
        </w:rPr>
        <w:t xml:space="preserve"> with </w:t>
      </w:r>
      <w:r w:rsidR="004A49CF" w:rsidRPr="00276BCA">
        <w:rPr>
          <w:color w:val="auto"/>
        </w:rPr>
        <w:t>aggressive antiemetic regimens and changes in infusion rate)</w:t>
      </w:r>
      <w:r w:rsidR="00761F32" w:rsidRPr="00276BCA">
        <w:rPr>
          <w:color w:val="auto"/>
        </w:rPr>
        <w:t xml:space="preserve">. </w:t>
      </w:r>
    </w:p>
    <w:bookmarkEnd w:id="33"/>
    <w:p w14:paraId="65005722" w14:textId="77777777" w:rsidR="00437AA0" w:rsidRPr="00276BCA" w:rsidRDefault="00437AA0" w:rsidP="00014595">
      <w:pPr>
        <w:pStyle w:val="OutlineHeading2"/>
        <w:rPr>
          <w:rFonts w:ascii="Calibri" w:hAnsi="Calibri" w:cs="Calibri"/>
          <w:iCs/>
        </w:rPr>
      </w:pPr>
      <w:r w:rsidRPr="00276BCA">
        <w:rPr>
          <w:rFonts w:ascii="Calibri" w:hAnsi="Calibri" w:cs="Calibri"/>
          <w:iCs/>
        </w:rPr>
        <w:t>Consumer comments</w:t>
      </w:r>
    </w:p>
    <w:p w14:paraId="16CEA7DC" w14:textId="7A93E529" w:rsidR="004B01B9" w:rsidRPr="00276BCA" w:rsidRDefault="00437AA0" w:rsidP="00431F60">
      <w:pPr>
        <w:pStyle w:val="ListParagraph"/>
        <w:numPr>
          <w:ilvl w:val="4"/>
          <w:numId w:val="8"/>
        </w:numPr>
      </w:pPr>
      <w:bookmarkStart w:id="34" w:name="_Hlk76382618"/>
      <w:r w:rsidRPr="00276BCA">
        <w:rPr>
          <w:i/>
          <w:iCs/>
        </w:rPr>
        <w:t xml:space="preserve"> </w:t>
      </w:r>
      <w:r w:rsidRPr="00276BCA">
        <w:t>The PBAC noted and welcomed the input from health care professionals (1)</w:t>
      </w:r>
      <w:r w:rsidR="000F4E81" w:rsidRPr="00276BCA">
        <w:t>,</w:t>
      </w:r>
      <w:r w:rsidRPr="00276BCA">
        <w:t xml:space="preserve"> and organisations (</w:t>
      </w:r>
      <w:r w:rsidR="000F4E81" w:rsidRPr="00276BCA">
        <w:t>3</w:t>
      </w:r>
      <w:r w:rsidRPr="00276BCA">
        <w:t xml:space="preserve">) via the Consumer Comments facility on the PBS website. The comments described </w:t>
      </w:r>
      <w:r w:rsidR="00A278B8" w:rsidRPr="00276BCA">
        <w:t xml:space="preserve">the poor prognosis for the </w:t>
      </w:r>
      <w:r w:rsidR="00565F83" w:rsidRPr="00276BCA">
        <w:t xml:space="preserve">proposed population and considered it valuable to have an additional treatment option for these patients. </w:t>
      </w:r>
      <w:bookmarkStart w:id="35" w:name="_Hlk97141379"/>
    </w:p>
    <w:bookmarkEnd w:id="35"/>
    <w:p w14:paraId="16232781" w14:textId="417C5553" w:rsidR="00437AA0" w:rsidRPr="00276BCA" w:rsidRDefault="00437AA0" w:rsidP="00680284">
      <w:pPr>
        <w:pStyle w:val="ListParagraph"/>
        <w:numPr>
          <w:ilvl w:val="4"/>
          <w:numId w:val="8"/>
        </w:numPr>
      </w:pPr>
      <w:r w:rsidRPr="00276BCA">
        <w:t xml:space="preserve">The PBAC noted the advice received from </w:t>
      </w:r>
      <w:r w:rsidR="001F6B07" w:rsidRPr="00276BCA">
        <w:t xml:space="preserve">Rare Cancers Australia </w:t>
      </w:r>
      <w:r w:rsidR="00B3253F" w:rsidRPr="00276BCA">
        <w:t xml:space="preserve">(RCA) </w:t>
      </w:r>
      <w:r w:rsidR="001F6B07" w:rsidRPr="00276BCA">
        <w:t xml:space="preserve">and </w:t>
      </w:r>
      <w:proofErr w:type="spellStart"/>
      <w:r w:rsidR="001F6B07" w:rsidRPr="00276BCA">
        <w:t>Pancare</w:t>
      </w:r>
      <w:proofErr w:type="spellEnd"/>
      <w:r w:rsidR="00476E42" w:rsidRPr="00276BCA" w:rsidDel="002A37B5">
        <w:t xml:space="preserve"> </w:t>
      </w:r>
      <w:r w:rsidRPr="00276BCA">
        <w:t xml:space="preserve">clarifying the likely use of </w:t>
      </w:r>
      <w:proofErr w:type="spellStart"/>
      <w:r w:rsidR="00A663FE" w:rsidRPr="00276BCA">
        <w:t>zolbetuximab</w:t>
      </w:r>
      <w:proofErr w:type="spellEnd"/>
      <w:r w:rsidRPr="00276BCA">
        <w:t xml:space="preserve"> in clinical practice. The</w:t>
      </w:r>
      <w:r w:rsidRPr="00276BCA" w:rsidDel="00385875">
        <w:t xml:space="preserve"> </w:t>
      </w:r>
      <w:r w:rsidRPr="00276BCA">
        <w:t>advice</w:t>
      </w:r>
      <w:r w:rsidR="00385875" w:rsidRPr="00276BCA">
        <w:t xml:space="preserve"> included</w:t>
      </w:r>
      <w:r w:rsidRPr="00276BCA">
        <w:t xml:space="preserve"> that the use of </w:t>
      </w:r>
      <w:proofErr w:type="spellStart"/>
      <w:r w:rsidR="00A663FE" w:rsidRPr="00276BCA">
        <w:t>zolbetuximab</w:t>
      </w:r>
      <w:proofErr w:type="spellEnd"/>
      <w:r w:rsidRPr="00276BCA">
        <w:t xml:space="preserve"> may</w:t>
      </w:r>
      <w:r w:rsidR="00635D56" w:rsidRPr="00276BCA">
        <w:t xml:space="preserve"> provide another treatment option </w:t>
      </w:r>
      <w:r w:rsidR="00003CD6" w:rsidRPr="00276BCA">
        <w:t xml:space="preserve">for this small population </w:t>
      </w:r>
      <w:r w:rsidR="00C11E13" w:rsidRPr="00276BCA">
        <w:t xml:space="preserve">of </w:t>
      </w:r>
      <w:r w:rsidR="009220D6" w:rsidRPr="00276BCA">
        <w:t>patients</w:t>
      </w:r>
      <w:r w:rsidR="00C11E13" w:rsidRPr="00276BCA">
        <w:t xml:space="preserve"> with advanced disease </w:t>
      </w:r>
      <w:r w:rsidR="003414B4" w:rsidRPr="00276BCA">
        <w:t xml:space="preserve">and </w:t>
      </w:r>
      <w:r w:rsidR="00495E17" w:rsidRPr="00276BCA">
        <w:t xml:space="preserve">poor prognosis. </w:t>
      </w:r>
      <w:proofErr w:type="spellStart"/>
      <w:r w:rsidR="00141EBF" w:rsidRPr="00276BCA">
        <w:t>Pancare</w:t>
      </w:r>
      <w:proofErr w:type="spellEnd"/>
      <w:r w:rsidR="00141EBF" w:rsidRPr="00276BCA">
        <w:t xml:space="preserve"> noted </w:t>
      </w:r>
      <w:r w:rsidR="00572CE4" w:rsidRPr="00276BCA">
        <w:t>the improved PFS and OS compared to chemotherapy alone, which the PBAC noted was not the comparator for the submission.</w:t>
      </w:r>
    </w:p>
    <w:bookmarkEnd w:id="32"/>
    <w:bookmarkEnd w:id="34"/>
    <w:p w14:paraId="7602D4B4" w14:textId="51868079" w:rsidR="00437AA0" w:rsidRPr="00276BCA" w:rsidRDefault="00437AA0" w:rsidP="00431F60">
      <w:pPr>
        <w:pStyle w:val="ListParagraph"/>
        <w:numPr>
          <w:ilvl w:val="4"/>
          <w:numId w:val="8"/>
        </w:numPr>
      </w:pPr>
      <w:r w:rsidRPr="00276BCA">
        <w:lastRenderedPageBreak/>
        <w:t xml:space="preserve">The Medical Oncology Group of Australia (MOGA) also expressed its strong support for the </w:t>
      </w:r>
      <w:proofErr w:type="spellStart"/>
      <w:r w:rsidR="00142F53" w:rsidRPr="00276BCA">
        <w:t>zolbetuximab</w:t>
      </w:r>
      <w:proofErr w:type="spellEnd"/>
      <w:r w:rsidR="00142F53" w:rsidRPr="00276BCA">
        <w:t xml:space="preserve"> </w:t>
      </w:r>
      <w:r w:rsidRPr="00276BCA">
        <w:t xml:space="preserve">submission, categorising it as one of the therapies of “highest priority for PBS listing” </w:t>
      </w:r>
      <w:proofErr w:type="gramStart"/>
      <w:r w:rsidRPr="00276BCA">
        <w:t>on the basis of</w:t>
      </w:r>
      <w:proofErr w:type="gramEnd"/>
      <w:r w:rsidRPr="00276BCA">
        <w:t xml:space="preserve"> the </w:t>
      </w:r>
      <w:r w:rsidR="00142F53" w:rsidRPr="00276BCA">
        <w:t xml:space="preserve">SPOTLIGHT </w:t>
      </w:r>
      <w:r w:rsidRPr="00276BCA">
        <w:t xml:space="preserve">trial. The PBAC noted that the MOGA presented a European Society for Medical Oncology Magnitude of Clinical Benefit Scale (ESMO-MCBS) for </w:t>
      </w:r>
      <w:proofErr w:type="spellStart"/>
      <w:r w:rsidR="00FF2CBE" w:rsidRPr="00276BCA">
        <w:t>zolbetuximab</w:t>
      </w:r>
      <w:proofErr w:type="spellEnd"/>
      <w:r w:rsidRPr="00276BCA">
        <w:t xml:space="preserve">, which was limited to </w:t>
      </w:r>
      <w:r w:rsidR="00C9168E" w:rsidRPr="00276BCA">
        <w:t>4</w:t>
      </w:r>
      <w:r w:rsidRPr="00276BCA">
        <w:t xml:space="preserve"> (out of a maximum of 5, where 5 and 4 represent the grades with substantial improvement)</w:t>
      </w:r>
      <w:r w:rsidR="0095318C" w:rsidRPr="00276BCA">
        <w:rPr>
          <w:vertAlign w:val="superscript"/>
        </w:rPr>
        <w:footnoteReference w:id="8"/>
      </w:r>
      <w:r w:rsidRPr="00276BCA">
        <w:t xml:space="preserve">, based on a comparison with </w:t>
      </w:r>
      <w:r w:rsidR="002F0782" w:rsidRPr="00276BCA">
        <w:t>chemotherapy alone (FOLFOX)</w:t>
      </w:r>
      <w:r w:rsidR="009371B2" w:rsidRPr="00276BCA">
        <w:t xml:space="preserve">, which the PBAC noted was not the comparator </w:t>
      </w:r>
      <w:r w:rsidR="0023163A" w:rsidRPr="00276BCA">
        <w:t>for the submission</w:t>
      </w:r>
      <w:r w:rsidRPr="00276BCA">
        <w:t xml:space="preserve">.  </w:t>
      </w:r>
    </w:p>
    <w:p w14:paraId="39820EF3" w14:textId="49AA6365" w:rsidR="00214438" w:rsidRPr="00276BCA" w:rsidRDefault="00214438" w:rsidP="00074A38">
      <w:pPr>
        <w:pStyle w:val="OutlineHeading2"/>
        <w:rPr>
          <w:rFonts w:ascii="Calibri" w:hAnsi="Calibri" w:cs="Calibri"/>
          <w:iCs/>
        </w:rPr>
      </w:pPr>
      <w:r w:rsidRPr="00276BCA">
        <w:rPr>
          <w:rFonts w:ascii="Calibri" w:hAnsi="Calibri" w:cs="Calibri"/>
          <w:iCs/>
        </w:rPr>
        <w:t>Overview of the evidence base</w:t>
      </w:r>
    </w:p>
    <w:p w14:paraId="3CEBECD3" w14:textId="471F5D8C" w:rsidR="00FE5A68" w:rsidRPr="00276BCA" w:rsidRDefault="00FE5A68" w:rsidP="43B696FE">
      <w:pPr>
        <w:pStyle w:val="ListParagraph"/>
        <w:numPr>
          <w:ilvl w:val="4"/>
          <w:numId w:val="8"/>
        </w:numPr>
        <w:rPr>
          <w:rStyle w:val="InstructionalTextChar"/>
          <w:rFonts w:ascii="Arial" w:eastAsiaTheme="majorEastAsia" w:hAnsi="Arial" w:cstheme="minorBidi"/>
          <w:b/>
          <w:snapToGrid w:val="0"/>
          <w:color w:val="auto"/>
        </w:rPr>
      </w:pPr>
      <w:r w:rsidRPr="00276BCA">
        <w:rPr>
          <w:color w:val="auto"/>
        </w:rPr>
        <w:t>The</w:t>
      </w:r>
      <w:r w:rsidRPr="00276BCA">
        <w:t xml:space="preserve"> approach taken in the submission was to present evidence that has been linked to </w:t>
      </w:r>
      <w:r w:rsidRPr="00276BCA">
        <w:rPr>
          <w:color w:val="auto"/>
        </w:rPr>
        <w:t>support</w:t>
      </w:r>
      <w:r w:rsidRPr="00276BCA">
        <w:t xml:space="preserve"> </w:t>
      </w:r>
      <w:r w:rsidRPr="00276BCA">
        <w:rPr>
          <w:color w:val="auto"/>
        </w:rPr>
        <w:t>the</w:t>
      </w:r>
      <w:r w:rsidRPr="00276BCA">
        <w:t xml:space="preserve"> contention that targeting CLDN18.2 expression with </w:t>
      </w:r>
      <w:proofErr w:type="spellStart"/>
      <w:r w:rsidRPr="00276BCA">
        <w:t>zolbetuximab</w:t>
      </w:r>
      <w:proofErr w:type="spellEnd"/>
      <w:r w:rsidRPr="00276BCA">
        <w:t xml:space="preserve"> + chemotherapy produced noninferior clinical outcomes </w:t>
      </w:r>
      <w:r w:rsidR="001A4FF9" w:rsidRPr="00276BCA">
        <w:rPr>
          <w:color w:val="auto"/>
        </w:rPr>
        <w:t>compared</w:t>
      </w:r>
      <w:r w:rsidR="00AC56D7" w:rsidRPr="00276BCA">
        <w:t xml:space="preserve"> </w:t>
      </w:r>
      <w:r w:rsidRPr="00276BCA">
        <w:t xml:space="preserve">to </w:t>
      </w:r>
      <w:r w:rsidRPr="00276BCA" w:rsidDel="00883715">
        <w:t xml:space="preserve">no testing for CLDN18.2 expression and </w:t>
      </w:r>
      <w:r w:rsidRPr="00276BCA">
        <w:t>nivolumab + chemotherapy for patients with HER2-negative</w:t>
      </w:r>
      <w:r w:rsidR="003057CB" w:rsidRPr="00276BCA">
        <w:t>, CLDN18.2-agnostic</w:t>
      </w:r>
      <w:r w:rsidRPr="00276BCA">
        <w:t xml:space="preserve"> locally advanced or metastatic G/GOJ adenocarcinomas.</w:t>
      </w:r>
      <w:r w:rsidR="00B0548A" w:rsidRPr="00276BCA">
        <w:t xml:space="preserve"> </w:t>
      </w:r>
    </w:p>
    <w:p w14:paraId="6A201B75" w14:textId="5DEE0DC3" w:rsidR="00C164A4" w:rsidRPr="00276BCA" w:rsidRDefault="00C164A4" w:rsidP="00204461">
      <w:pPr>
        <w:pStyle w:val="Caption"/>
      </w:pPr>
      <w:bookmarkStart w:id="36" w:name="_Ref490140772"/>
      <w:bookmarkStart w:id="37" w:name="_Hlk183597728"/>
      <w:r w:rsidRPr="00276BCA">
        <w:t xml:space="preserve">Table </w:t>
      </w:r>
      <w:r w:rsidR="005E7C50">
        <w:fldChar w:fldCharType="begin"/>
      </w:r>
      <w:r w:rsidR="005E7C50">
        <w:instrText xml:space="preserve"> SEQ Table_PBAC. \* ARABIC </w:instrText>
      </w:r>
      <w:r w:rsidR="005E7C50">
        <w:fldChar w:fldCharType="separate"/>
      </w:r>
      <w:r w:rsidR="0011458F">
        <w:rPr>
          <w:noProof/>
        </w:rPr>
        <w:t>2</w:t>
      </w:r>
      <w:r w:rsidR="005E7C50">
        <w:rPr>
          <w:noProof/>
        </w:rPr>
        <w:fldChar w:fldCharType="end"/>
      </w:r>
      <w:bookmarkEnd w:id="36"/>
      <w:r w:rsidR="00A67718" w:rsidRPr="00276BCA">
        <w:t>:</w:t>
      </w:r>
      <w:r w:rsidR="007821CD" w:rsidRPr="00276BCA">
        <w:t xml:space="preserve"> </w:t>
      </w:r>
      <w:r w:rsidRPr="00276BCA">
        <w:t>Summary of the linked evidence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the linked evidence approach"/>
      </w:tblPr>
      <w:tblGrid>
        <w:gridCol w:w="2313"/>
        <w:gridCol w:w="4234"/>
        <w:gridCol w:w="2469"/>
      </w:tblGrid>
      <w:tr w:rsidR="00E41328" w:rsidRPr="00276BCA" w14:paraId="3F70AA81" w14:textId="77777777" w:rsidTr="77D89277">
        <w:tc>
          <w:tcPr>
            <w:tcW w:w="1283" w:type="pct"/>
            <w:tcBorders>
              <w:top w:val="single" w:sz="4" w:space="0" w:color="auto"/>
              <w:left w:val="single" w:sz="4" w:space="0" w:color="auto"/>
              <w:bottom w:val="single" w:sz="4" w:space="0" w:color="auto"/>
              <w:right w:val="single" w:sz="4" w:space="0" w:color="auto"/>
            </w:tcBorders>
            <w:vAlign w:val="bottom"/>
          </w:tcPr>
          <w:p w14:paraId="6CCA346A" w14:textId="77777777" w:rsidR="003645D5" w:rsidRPr="00276BCA" w:rsidRDefault="003645D5" w:rsidP="006F1030">
            <w:pPr>
              <w:pStyle w:val="TableText"/>
              <w:keepNext/>
              <w:rPr>
                <w:b/>
              </w:rPr>
            </w:pPr>
          </w:p>
        </w:tc>
        <w:tc>
          <w:tcPr>
            <w:tcW w:w="2348" w:type="pct"/>
            <w:tcBorders>
              <w:top w:val="single" w:sz="4" w:space="0" w:color="auto"/>
              <w:left w:val="single" w:sz="4" w:space="0" w:color="auto"/>
              <w:bottom w:val="single" w:sz="4" w:space="0" w:color="auto"/>
              <w:right w:val="single" w:sz="4" w:space="0" w:color="auto"/>
            </w:tcBorders>
            <w:vAlign w:val="bottom"/>
            <w:hideMark/>
          </w:tcPr>
          <w:p w14:paraId="2449A957" w14:textId="77777777" w:rsidR="003645D5" w:rsidRPr="00276BCA" w:rsidRDefault="003645D5" w:rsidP="006F1030">
            <w:pPr>
              <w:pStyle w:val="TableText"/>
              <w:keepNext/>
              <w:rPr>
                <w:b/>
              </w:rPr>
            </w:pPr>
            <w:r w:rsidRPr="00276BCA">
              <w:rPr>
                <w:b/>
              </w:rPr>
              <w:t>Type of evidence supplied</w:t>
            </w:r>
          </w:p>
        </w:tc>
        <w:tc>
          <w:tcPr>
            <w:tcW w:w="1369" w:type="pct"/>
            <w:tcBorders>
              <w:top w:val="single" w:sz="4" w:space="0" w:color="auto"/>
              <w:left w:val="single" w:sz="4" w:space="0" w:color="auto"/>
              <w:bottom w:val="single" w:sz="4" w:space="0" w:color="auto"/>
              <w:right w:val="single" w:sz="4" w:space="0" w:color="auto"/>
            </w:tcBorders>
            <w:vAlign w:val="bottom"/>
            <w:hideMark/>
          </w:tcPr>
          <w:p w14:paraId="38F2388F" w14:textId="77777777" w:rsidR="003645D5" w:rsidRPr="00276BCA" w:rsidRDefault="003645D5" w:rsidP="006F1030">
            <w:pPr>
              <w:pStyle w:val="TableText"/>
              <w:keepNext/>
              <w:rPr>
                <w:b/>
              </w:rPr>
            </w:pPr>
            <w:r w:rsidRPr="00276BCA">
              <w:rPr>
                <w:b/>
              </w:rPr>
              <w:t>Extent of evidence supplied</w:t>
            </w:r>
          </w:p>
        </w:tc>
      </w:tr>
      <w:tr w:rsidR="00E41328" w:rsidRPr="00276BCA" w14:paraId="3DA95661" w14:textId="77777777" w:rsidTr="77D89277">
        <w:tc>
          <w:tcPr>
            <w:tcW w:w="1283" w:type="pct"/>
            <w:tcBorders>
              <w:top w:val="single" w:sz="4" w:space="0" w:color="auto"/>
              <w:left w:val="single" w:sz="4" w:space="0" w:color="auto"/>
              <w:bottom w:val="single" w:sz="4" w:space="0" w:color="auto"/>
              <w:right w:val="single" w:sz="4" w:space="0" w:color="auto"/>
            </w:tcBorders>
            <w:hideMark/>
          </w:tcPr>
          <w:p w14:paraId="6049E78F" w14:textId="77777777" w:rsidR="000829F7" w:rsidRPr="00276BCA" w:rsidRDefault="000829F7" w:rsidP="006F1030">
            <w:pPr>
              <w:pStyle w:val="TableText"/>
              <w:keepNext/>
            </w:pPr>
            <w:r w:rsidRPr="00276BCA">
              <w:t>Accuracy and performance of the test (cross-sectional accuracy)</w:t>
            </w:r>
          </w:p>
        </w:tc>
        <w:tc>
          <w:tcPr>
            <w:tcW w:w="2348" w:type="pct"/>
            <w:tcBorders>
              <w:top w:val="single" w:sz="4" w:space="0" w:color="auto"/>
              <w:left w:val="single" w:sz="4" w:space="0" w:color="auto"/>
              <w:bottom w:val="single" w:sz="4" w:space="0" w:color="auto"/>
              <w:right w:val="single" w:sz="4" w:space="0" w:color="auto"/>
            </w:tcBorders>
            <w:hideMark/>
          </w:tcPr>
          <w:p w14:paraId="2D8E9C56" w14:textId="77777777" w:rsidR="000A1F51" w:rsidRPr="00276BCA" w:rsidRDefault="000A1F51" w:rsidP="006F1030">
            <w:pPr>
              <w:pStyle w:val="TableText"/>
              <w:keepNext/>
            </w:pPr>
            <w:r w:rsidRPr="00276BCA">
              <w:t>Concordance with clinical utility standard (Jasani et al., 2024)</w:t>
            </w:r>
          </w:p>
          <w:p w14:paraId="0E454AD8" w14:textId="26D824ED" w:rsidR="000A1F51" w:rsidRPr="00276BCA" w:rsidRDefault="7E24DF0E" w:rsidP="006F1030">
            <w:pPr>
              <w:pStyle w:val="TableText"/>
              <w:keepNext/>
            </w:pPr>
            <w:r w:rsidRPr="00276BCA">
              <w:t xml:space="preserve">Analytical performance and reproducibility of </w:t>
            </w:r>
            <w:r w:rsidR="4C7DD558" w:rsidRPr="00276BCA">
              <w:t>Ventana</w:t>
            </w:r>
            <w:r w:rsidR="718279F8" w:rsidRPr="00276BCA">
              <w:rPr>
                <w:vertAlign w:val="superscript"/>
              </w:rPr>
              <w:t>®</w:t>
            </w:r>
            <w:r w:rsidR="718279F8" w:rsidRPr="00276BCA">
              <w:t xml:space="preserve"> CLDN</w:t>
            </w:r>
            <w:r w:rsidRPr="00276BCA">
              <w:t xml:space="preserve">18 (43-14A) </w:t>
            </w:r>
            <w:proofErr w:type="spellStart"/>
            <w:r w:rsidRPr="00276BCA">
              <w:t>RxDx</w:t>
            </w:r>
            <w:proofErr w:type="spellEnd"/>
            <w:r w:rsidRPr="00276BCA">
              <w:t xml:space="preserve"> IHC assay (Stratton et al., 2023)</w:t>
            </w:r>
          </w:p>
        </w:tc>
        <w:tc>
          <w:tcPr>
            <w:tcW w:w="1369" w:type="pct"/>
            <w:tcBorders>
              <w:top w:val="single" w:sz="4" w:space="0" w:color="auto"/>
              <w:left w:val="single" w:sz="4" w:space="0" w:color="auto"/>
              <w:bottom w:val="single" w:sz="4" w:space="0" w:color="auto"/>
              <w:right w:val="single" w:sz="4" w:space="0" w:color="auto"/>
            </w:tcBorders>
            <w:hideMark/>
          </w:tcPr>
          <w:p w14:paraId="5C2B930F" w14:textId="17A13077" w:rsidR="000829F7" w:rsidRPr="00276BCA" w:rsidRDefault="006F07C3" w:rsidP="006F1030">
            <w:pPr>
              <w:pStyle w:val="TableText"/>
              <w:keepNext/>
            </w:pPr>
            <w:r w:rsidRPr="00276BCA">
              <w:rPr>
                <w:rFonts w:ascii="MS Gothic" w:eastAsia="MS Gothic" w:hAnsi="MS Gothic"/>
              </w:rPr>
              <w:t>☒</w:t>
            </w:r>
            <w:r w:rsidR="000829F7" w:rsidRPr="00276BCA">
              <w:tab/>
              <w:t>k=</w:t>
            </w:r>
            <w:r w:rsidR="000A1F51" w:rsidRPr="00276BCA">
              <w:t>1</w:t>
            </w:r>
            <w:r w:rsidR="000829F7" w:rsidRPr="00276BCA">
              <w:tab/>
              <w:t>n=</w:t>
            </w:r>
            <w:r w:rsidR="000A1F51" w:rsidRPr="00276BCA">
              <w:t>15</w:t>
            </w:r>
            <w:r w:rsidRPr="00276BCA">
              <w:rPr>
                <w:vertAlign w:val="superscript"/>
              </w:rPr>
              <w:t>a</w:t>
            </w:r>
          </w:p>
          <w:p w14:paraId="4F530AC3" w14:textId="77777777" w:rsidR="006F07C3" w:rsidRPr="00276BCA" w:rsidRDefault="006F07C3" w:rsidP="006F1030">
            <w:pPr>
              <w:pStyle w:val="TableText"/>
              <w:keepNext/>
            </w:pPr>
          </w:p>
          <w:p w14:paraId="1354F78B" w14:textId="1ADAF6DC" w:rsidR="006F07C3" w:rsidRPr="00276BCA" w:rsidRDefault="1981463D" w:rsidP="77D89277">
            <w:pPr>
              <w:pStyle w:val="TableText"/>
              <w:keepNext/>
              <w:rPr>
                <w:vertAlign w:val="superscript"/>
              </w:rPr>
            </w:pPr>
            <w:r w:rsidRPr="00276BCA">
              <w:rPr>
                <w:rFonts w:ascii="MS Gothic" w:eastAsia="MS Gothic" w:hAnsi="MS Gothic"/>
              </w:rPr>
              <w:t>☒</w:t>
            </w:r>
            <w:r w:rsidR="006F07C3" w:rsidRPr="00276BCA">
              <w:tab/>
            </w:r>
            <w:r w:rsidRPr="00276BCA">
              <w:t>k=1</w:t>
            </w:r>
            <w:r w:rsidR="006F07C3" w:rsidRPr="00276BCA">
              <w:tab/>
            </w:r>
            <w:r w:rsidRPr="00276BCA">
              <w:t>n=</w:t>
            </w:r>
            <w:proofErr w:type="spellStart"/>
            <w:r w:rsidRPr="00276BCA">
              <w:t>NR</w:t>
            </w:r>
            <w:r w:rsidRPr="00276BCA">
              <w:rPr>
                <w:vertAlign w:val="superscript"/>
              </w:rPr>
              <w:t>b</w:t>
            </w:r>
            <w:proofErr w:type="spellEnd"/>
          </w:p>
        </w:tc>
      </w:tr>
      <w:tr w:rsidR="00E41328" w:rsidRPr="00276BCA" w14:paraId="79D00F8D" w14:textId="77777777" w:rsidTr="77D89277">
        <w:tc>
          <w:tcPr>
            <w:tcW w:w="1283" w:type="pct"/>
            <w:tcBorders>
              <w:top w:val="single" w:sz="4" w:space="0" w:color="auto"/>
              <w:left w:val="single" w:sz="4" w:space="0" w:color="auto"/>
              <w:bottom w:val="single" w:sz="4" w:space="0" w:color="auto"/>
              <w:right w:val="single" w:sz="4" w:space="0" w:color="auto"/>
            </w:tcBorders>
            <w:hideMark/>
          </w:tcPr>
          <w:p w14:paraId="24639AA3" w14:textId="77777777" w:rsidR="000829F7" w:rsidRPr="00276BCA" w:rsidRDefault="000829F7" w:rsidP="006F1030">
            <w:pPr>
              <w:pStyle w:val="TableText"/>
              <w:keepNext/>
            </w:pPr>
            <w:r w:rsidRPr="00276BCA">
              <w:t>Prognostic evidence (longitudinal accuracy)</w:t>
            </w:r>
          </w:p>
        </w:tc>
        <w:tc>
          <w:tcPr>
            <w:tcW w:w="2348" w:type="pct"/>
            <w:tcBorders>
              <w:top w:val="single" w:sz="4" w:space="0" w:color="auto"/>
              <w:left w:val="single" w:sz="4" w:space="0" w:color="auto"/>
              <w:bottom w:val="single" w:sz="4" w:space="0" w:color="auto"/>
              <w:right w:val="single" w:sz="4" w:space="0" w:color="auto"/>
            </w:tcBorders>
            <w:hideMark/>
          </w:tcPr>
          <w:p w14:paraId="1C301910" w14:textId="367941EE" w:rsidR="000A1F51" w:rsidRPr="00276BCA" w:rsidRDefault="000A1F51" w:rsidP="006F1030">
            <w:pPr>
              <w:pStyle w:val="TableText"/>
              <w:keepNext/>
            </w:pPr>
            <w:r w:rsidRPr="00276BCA">
              <w:t>Comparison of health outcomes in patients receiving usual care</w:t>
            </w:r>
            <w:r w:rsidR="006F07C3" w:rsidRPr="00276BCA">
              <w:t xml:space="preserve"> (chemotherapy)</w:t>
            </w:r>
            <w:r w:rsidRPr="00276BCA">
              <w:t>, conditioned on the presence or absence of biomarker-positive status</w:t>
            </w:r>
          </w:p>
        </w:tc>
        <w:tc>
          <w:tcPr>
            <w:tcW w:w="1369" w:type="pct"/>
            <w:tcBorders>
              <w:top w:val="single" w:sz="4" w:space="0" w:color="auto"/>
              <w:left w:val="single" w:sz="4" w:space="0" w:color="auto"/>
              <w:bottom w:val="single" w:sz="4" w:space="0" w:color="auto"/>
              <w:right w:val="single" w:sz="4" w:space="0" w:color="auto"/>
            </w:tcBorders>
            <w:hideMark/>
          </w:tcPr>
          <w:p w14:paraId="7C3E36FA" w14:textId="6544C3DE" w:rsidR="000829F7" w:rsidRPr="00276BCA" w:rsidRDefault="000A1F51" w:rsidP="006F1030">
            <w:pPr>
              <w:pStyle w:val="TableText"/>
              <w:keepNext/>
            </w:pPr>
            <w:r w:rsidRPr="00276BCA">
              <w:rPr>
                <w:rFonts w:ascii="MS Gothic" w:eastAsia="MS Gothic" w:hAnsi="MS Gothic"/>
              </w:rPr>
              <w:t>☒</w:t>
            </w:r>
            <w:r w:rsidR="000829F7" w:rsidRPr="00276BCA">
              <w:tab/>
              <w:t>k=</w:t>
            </w:r>
            <w:r w:rsidR="00C929DA" w:rsidRPr="00276BCA">
              <w:t>3</w:t>
            </w:r>
            <w:r w:rsidR="000829F7" w:rsidRPr="00276BCA">
              <w:tab/>
              <w:t>n=</w:t>
            </w:r>
            <w:r w:rsidR="006F07C3" w:rsidRPr="00276BCA">
              <w:t>1,058</w:t>
            </w:r>
            <w:r w:rsidR="00851E27" w:rsidRPr="00276BCA">
              <w:rPr>
                <w:vertAlign w:val="superscript"/>
              </w:rPr>
              <w:t>c</w:t>
            </w:r>
          </w:p>
        </w:tc>
      </w:tr>
      <w:tr w:rsidR="00E41328" w:rsidRPr="00276BCA" w14:paraId="106C831C" w14:textId="77777777" w:rsidTr="77D89277">
        <w:tc>
          <w:tcPr>
            <w:tcW w:w="1283" w:type="pct"/>
            <w:tcBorders>
              <w:top w:val="single" w:sz="4" w:space="0" w:color="auto"/>
              <w:left w:val="single" w:sz="4" w:space="0" w:color="auto"/>
              <w:bottom w:val="single" w:sz="4" w:space="0" w:color="auto"/>
              <w:right w:val="single" w:sz="4" w:space="0" w:color="auto"/>
            </w:tcBorders>
            <w:hideMark/>
          </w:tcPr>
          <w:p w14:paraId="3DF18271" w14:textId="77777777" w:rsidR="000829F7" w:rsidRPr="00276BCA" w:rsidRDefault="000829F7" w:rsidP="006F1030">
            <w:pPr>
              <w:pStyle w:val="TableText"/>
              <w:keepNext/>
            </w:pPr>
            <w:r w:rsidRPr="00276BCA">
              <w:t xml:space="preserve">Change in patient management </w:t>
            </w:r>
          </w:p>
        </w:tc>
        <w:tc>
          <w:tcPr>
            <w:tcW w:w="2348" w:type="pct"/>
            <w:tcBorders>
              <w:top w:val="single" w:sz="4" w:space="0" w:color="auto"/>
              <w:left w:val="single" w:sz="4" w:space="0" w:color="auto"/>
              <w:bottom w:val="single" w:sz="4" w:space="0" w:color="auto"/>
              <w:right w:val="single" w:sz="4" w:space="0" w:color="auto"/>
            </w:tcBorders>
            <w:hideMark/>
          </w:tcPr>
          <w:p w14:paraId="1EAFE304" w14:textId="77777777" w:rsidR="000A1F51" w:rsidRPr="00276BCA" w:rsidRDefault="000A1F51" w:rsidP="006F1030">
            <w:pPr>
              <w:pStyle w:val="TableText"/>
              <w:keepNext/>
            </w:pPr>
            <w:r w:rsidRPr="00276BCA">
              <w:t>Not explicitly assessed.</w:t>
            </w:r>
          </w:p>
          <w:p w14:paraId="75260A61" w14:textId="766036C2" w:rsidR="000829F7" w:rsidRPr="00276BCA" w:rsidRDefault="000A1F51" w:rsidP="006F1030">
            <w:pPr>
              <w:pStyle w:val="TableText"/>
              <w:keepNext/>
            </w:pPr>
            <w:r w:rsidRPr="00276BCA">
              <w:t xml:space="preserve">Patients tested positive with CLDN18.2 would be eligible for treatment with </w:t>
            </w:r>
            <w:proofErr w:type="spellStart"/>
            <w:r w:rsidRPr="00276BCA">
              <w:t>zolbetuximab</w:t>
            </w:r>
            <w:proofErr w:type="spellEnd"/>
            <w:r w:rsidRPr="00276BCA">
              <w:t>.</w:t>
            </w:r>
          </w:p>
        </w:tc>
        <w:tc>
          <w:tcPr>
            <w:tcW w:w="1369" w:type="pct"/>
            <w:tcBorders>
              <w:top w:val="single" w:sz="4" w:space="0" w:color="auto"/>
              <w:left w:val="single" w:sz="4" w:space="0" w:color="auto"/>
              <w:bottom w:val="single" w:sz="4" w:space="0" w:color="auto"/>
              <w:right w:val="single" w:sz="4" w:space="0" w:color="auto"/>
            </w:tcBorders>
            <w:hideMark/>
          </w:tcPr>
          <w:p w14:paraId="4F692991" w14:textId="116732BC" w:rsidR="000829F7" w:rsidRPr="00276BCA" w:rsidRDefault="006F07C3" w:rsidP="006F1030">
            <w:pPr>
              <w:pStyle w:val="TableText"/>
              <w:keepNext/>
            </w:pPr>
            <w:r w:rsidRPr="00276BCA">
              <w:rPr>
                <w:rFonts w:ascii="MS Gothic" w:eastAsia="MS Gothic" w:hAnsi="MS Gothic"/>
              </w:rPr>
              <w:t>☐</w:t>
            </w:r>
            <w:r w:rsidR="000829F7" w:rsidRPr="00276BCA">
              <w:tab/>
              <w:t>k=</w:t>
            </w:r>
            <w:r w:rsidRPr="00276BCA">
              <w:t>0</w:t>
            </w:r>
            <w:r w:rsidR="000829F7" w:rsidRPr="00276BCA">
              <w:tab/>
              <w:t>n=</w:t>
            </w:r>
            <w:r w:rsidRPr="00276BCA">
              <w:t>0</w:t>
            </w:r>
          </w:p>
        </w:tc>
      </w:tr>
      <w:tr w:rsidR="00E41328" w:rsidRPr="00276BCA" w14:paraId="50B34EB2" w14:textId="77777777" w:rsidTr="77D89277">
        <w:tc>
          <w:tcPr>
            <w:tcW w:w="1283" w:type="pct"/>
            <w:tcBorders>
              <w:top w:val="single" w:sz="4" w:space="0" w:color="auto"/>
              <w:left w:val="single" w:sz="4" w:space="0" w:color="auto"/>
              <w:bottom w:val="nil"/>
              <w:right w:val="single" w:sz="4" w:space="0" w:color="auto"/>
            </w:tcBorders>
          </w:tcPr>
          <w:p w14:paraId="2DEE7E13" w14:textId="77777777" w:rsidR="000A1F51" w:rsidRPr="00276BCA" w:rsidRDefault="000A1F51" w:rsidP="006F1030">
            <w:pPr>
              <w:pStyle w:val="TableText"/>
              <w:keepNext/>
            </w:pPr>
            <w:r w:rsidRPr="00276BCA">
              <w:t xml:space="preserve">Health outcomes (clinical utility) </w:t>
            </w:r>
          </w:p>
        </w:tc>
        <w:tc>
          <w:tcPr>
            <w:tcW w:w="2348" w:type="pct"/>
            <w:tcBorders>
              <w:top w:val="single" w:sz="4" w:space="0" w:color="auto"/>
              <w:left w:val="single" w:sz="4" w:space="0" w:color="auto"/>
              <w:bottom w:val="nil"/>
              <w:right w:val="single" w:sz="4" w:space="0" w:color="auto"/>
            </w:tcBorders>
          </w:tcPr>
          <w:p w14:paraId="31675B85" w14:textId="782F7835" w:rsidR="000A1F51" w:rsidRPr="00276BCA" w:rsidRDefault="000A1F51" w:rsidP="006F1030">
            <w:pPr>
              <w:pStyle w:val="TableText"/>
              <w:keepNext/>
            </w:pPr>
            <w:r w:rsidRPr="00276BCA">
              <w:t>As per treatment effect (enriched).</w:t>
            </w:r>
          </w:p>
        </w:tc>
        <w:tc>
          <w:tcPr>
            <w:tcW w:w="1369" w:type="pct"/>
            <w:tcBorders>
              <w:top w:val="single" w:sz="4" w:space="0" w:color="auto"/>
              <w:left w:val="single" w:sz="4" w:space="0" w:color="auto"/>
              <w:bottom w:val="nil"/>
              <w:right w:val="single" w:sz="4" w:space="0" w:color="auto"/>
            </w:tcBorders>
          </w:tcPr>
          <w:p w14:paraId="1F346D51" w14:textId="20E51EFC" w:rsidR="000A1F51" w:rsidRPr="00276BCA" w:rsidRDefault="000A1F51" w:rsidP="006F1030">
            <w:pPr>
              <w:pStyle w:val="TableText"/>
              <w:keepNext/>
            </w:pPr>
            <w:r w:rsidRPr="00276BCA">
              <w:rPr>
                <w:rFonts w:ascii="MS Gothic" w:eastAsia="MS Gothic" w:hAnsi="MS Gothic"/>
              </w:rPr>
              <w:t>☒</w:t>
            </w:r>
            <w:r w:rsidRPr="00276BCA">
              <w:tab/>
              <w:t>k=2</w:t>
            </w:r>
            <w:r w:rsidRPr="00276BCA">
              <w:tab/>
              <w:t>n=1,072</w:t>
            </w:r>
          </w:p>
          <w:p w14:paraId="652ED521" w14:textId="77777777" w:rsidR="000A1F51" w:rsidRPr="00276BCA" w:rsidRDefault="000A1F51" w:rsidP="006F1030">
            <w:pPr>
              <w:pStyle w:val="TableText"/>
              <w:keepNext/>
            </w:pPr>
          </w:p>
        </w:tc>
      </w:tr>
      <w:tr w:rsidR="00E41328" w:rsidRPr="00276BCA" w14:paraId="48CE46FB" w14:textId="77777777" w:rsidTr="77D89277">
        <w:tc>
          <w:tcPr>
            <w:tcW w:w="1283" w:type="pct"/>
            <w:tcBorders>
              <w:top w:val="nil"/>
              <w:left w:val="single" w:sz="4" w:space="0" w:color="auto"/>
              <w:bottom w:val="nil"/>
              <w:right w:val="single" w:sz="4" w:space="0" w:color="auto"/>
            </w:tcBorders>
          </w:tcPr>
          <w:p w14:paraId="09DED83C" w14:textId="77777777" w:rsidR="000A1F51" w:rsidRPr="00276BCA" w:rsidRDefault="000A1F51" w:rsidP="006F1030">
            <w:pPr>
              <w:pStyle w:val="TableText"/>
              <w:keepNext/>
            </w:pPr>
            <w:r w:rsidRPr="00276BCA">
              <w:t xml:space="preserve">Predictive effect (treatment effect variation) </w:t>
            </w:r>
          </w:p>
        </w:tc>
        <w:tc>
          <w:tcPr>
            <w:tcW w:w="2348" w:type="pct"/>
            <w:tcBorders>
              <w:top w:val="nil"/>
              <w:left w:val="single" w:sz="4" w:space="0" w:color="auto"/>
              <w:bottom w:val="nil"/>
              <w:right w:val="single" w:sz="4" w:space="0" w:color="auto"/>
            </w:tcBorders>
          </w:tcPr>
          <w:p w14:paraId="451A39E8" w14:textId="1CD6D17D" w:rsidR="000A1F51" w:rsidRPr="00276BCA" w:rsidRDefault="000A1F51" w:rsidP="006F1030">
            <w:pPr>
              <w:pStyle w:val="TableText"/>
              <w:keepNext/>
            </w:pPr>
            <w:r w:rsidRPr="00276BCA">
              <w:t>No evidence presented.</w:t>
            </w:r>
          </w:p>
        </w:tc>
        <w:tc>
          <w:tcPr>
            <w:tcW w:w="1369" w:type="pct"/>
            <w:tcBorders>
              <w:top w:val="nil"/>
              <w:left w:val="single" w:sz="4" w:space="0" w:color="auto"/>
              <w:bottom w:val="nil"/>
              <w:right w:val="single" w:sz="4" w:space="0" w:color="auto"/>
            </w:tcBorders>
          </w:tcPr>
          <w:p w14:paraId="1A2C5765" w14:textId="6B46A877" w:rsidR="000A1F51" w:rsidRPr="00276BCA" w:rsidRDefault="000A1F51" w:rsidP="006F1030">
            <w:pPr>
              <w:pStyle w:val="TableText"/>
              <w:keepNext/>
            </w:pPr>
            <w:r w:rsidRPr="00276BCA">
              <w:rPr>
                <w:rFonts w:ascii="MS Gothic" w:eastAsia="MS Gothic" w:hAnsi="MS Gothic"/>
              </w:rPr>
              <w:t>☐</w:t>
            </w:r>
            <w:r w:rsidRPr="00276BCA">
              <w:tab/>
              <w:t>k=0</w:t>
            </w:r>
            <w:r w:rsidRPr="00276BCA">
              <w:tab/>
              <w:t>n=0</w:t>
            </w:r>
          </w:p>
          <w:p w14:paraId="32217690" w14:textId="77777777" w:rsidR="000A1F51" w:rsidRPr="00276BCA" w:rsidRDefault="000A1F51" w:rsidP="006F1030">
            <w:pPr>
              <w:pStyle w:val="TableText"/>
              <w:keepNext/>
            </w:pPr>
          </w:p>
        </w:tc>
      </w:tr>
      <w:tr w:rsidR="00E41328" w:rsidRPr="00276BCA" w14:paraId="086A1F15" w14:textId="77777777" w:rsidTr="77D89277">
        <w:tc>
          <w:tcPr>
            <w:tcW w:w="1283" w:type="pct"/>
            <w:tcBorders>
              <w:top w:val="nil"/>
              <w:left w:val="single" w:sz="4" w:space="0" w:color="auto"/>
              <w:bottom w:val="single" w:sz="4" w:space="0" w:color="auto"/>
              <w:right w:val="single" w:sz="4" w:space="0" w:color="auto"/>
            </w:tcBorders>
          </w:tcPr>
          <w:p w14:paraId="2C85EEC4" w14:textId="77777777" w:rsidR="000A1F51" w:rsidRPr="00276BCA" w:rsidRDefault="000A1F51" w:rsidP="006F1030">
            <w:pPr>
              <w:pStyle w:val="TableText"/>
              <w:keepNext/>
            </w:pPr>
            <w:r w:rsidRPr="00276BCA">
              <w:t>Treatment effect (enriched)</w:t>
            </w:r>
          </w:p>
        </w:tc>
        <w:tc>
          <w:tcPr>
            <w:tcW w:w="2348" w:type="pct"/>
            <w:tcBorders>
              <w:top w:val="nil"/>
              <w:left w:val="single" w:sz="4" w:space="0" w:color="auto"/>
              <w:bottom w:val="single" w:sz="4" w:space="0" w:color="auto"/>
              <w:right w:val="single" w:sz="4" w:space="0" w:color="auto"/>
            </w:tcBorders>
          </w:tcPr>
          <w:p w14:paraId="2925980A" w14:textId="4C6F72A4" w:rsidR="000A1F51" w:rsidRPr="00276BCA" w:rsidRDefault="000A1F51" w:rsidP="006F1030">
            <w:pPr>
              <w:pStyle w:val="TableText"/>
              <w:keepNext/>
            </w:pPr>
            <w:r w:rsidRPr="00276BCA">
              <w:t xml:space="preserve">Two RCTs with all patients tested positive for CLDN18.2, randomised to either </w:t>
            </w:r>
            <w:proofErr w:type="spellStart"/>
            <w:r w:rsidRPr="00276BCA">
              <w:t>zolbetuximab</w:t>
            </w:r>
            <w:proofErr w:type="spellEnd"/>
            <w:r w:rsidRPr="00276BCA">
              <w:t xml:space="preserve"> + CAPOX/mFOLFOX6, or CAPOX/mFOLFOX6.</w:t>
            </w:r>
          </w:p>
        </w:tc>
        <w:tc>
          <w:tcPr>
            <w:tcW w:w="1369" w:type="pct"/>
            <w:tcBorders>
              <w:top w:val="nil"/>
              <w:left w:val="single" w:sz="4" w:space="0" w:color="auto"/>
              <w:bottom w:val="single" w:sz="4" w:space="0" w:color="auto"/>
              <w:right w:val="single" w:sz="4" w:space="0" w:color="auto"/>
            </w:tcBorders>
          </w:tcPr>
          <w:p w14:paraId="22469260" w14:textId="3F26C43D" w:rsidR="000A1F51" w:rsidRPr="00276BCA" w:rsidRDefault="000A1F51" w:rsidP="006F1030">
            <w:pPr>
              <w:pStyle w:val="TableText"/>
              <w:keepNext/>
            </w:pPr>
            <w:r w:rsidRPr="00276BCA">
              <w:rPr>
                <w:rFonts w:ascii="MS Gothic" w:eastAsia="MS Gothic" w:hAnsi="MS Gothic"/>
              </w:rPr>
              <w:t>☒</w:t>
            </w:r>
            <w:r w:rsidRPr="00276BCA">
              <w:tab/>
              <w:t>k=2</w:t>
            </w:r>
            <w:r w:rsidRPr="00276BCA">
              <w:tab/>
              <w:t>n=1,072</w:t>
            </w:r>
          </w:p>
        </w:tc>
      </w:tr>
    </w:tbl>
    <w:p w14:paraId="6A371090" w14:textId="47EDF0F8" w:rsidR="006333C5" w:rsidRPr="00276BCA" w:rsidRDefault="006333C5" w:rsidP="006333C5">
      <w:pPr>
        <w:pStyle w:val="TableFooter"/>
      </w:pPr>
      <w:r w:rsidRPr="00276BCA">
        <w:t xml:space="preserve">Source: </w:t>
      </w:r>
      <w:r w:rsidR="006F07C3" w:rsidRPr="00276BCA">
        <w:t>Table 2-6, pp57-58; Table 2-13, p78; Table 2-14, p78; Table 2-15, p78 of the submission.</w:t>
      </w:r>
    </w:p>
    <w:p w14:paraId="1AFA9E94" w14:textId="5869EB3A" w:rsidR="006F07C3" w:rsidRPr="00276BCA" w:rsidRDefault="006F07C3" w:rsidP="006333C5">
      <w:pPr>
        <w:pStyle w:val="TableFooter"/>
      </w:pPr>
      <w:r w:rsidRPr="00276BCA">
        <w:t>CAPOX = capecitabine and oxaliplatin; CLDN18.2 = claudin 18.2; IHC = immunohistochemistry; k=number of studies; mFOLFOX6 = leucovorin calcium (folinic acid), fluorouracil, and oxaliplatin; n = number of patients; NR = not reported; QUADAS-2 = Quality Assessment of Diagnostic Accuracy Studies; RCT = randomised controlled trial</w:t>
      </w:r>
    </w:p>
    <w:p w14:paraId="5D835D65" w14:textId="1A61C654" w:rsidR="009C4F22" w:rsidRPr="00276BCA" w:rsidRDefault="009C4F22" w:rsidP="009C4F22">
      <w:pPr>
        <w:pStyle w:val="TableFooter"/>
      </w:pPr>
      <w:r w:rsidRPr="00276BCA">
        <w:rPr>
          <w:vertAlign w:val="superscript"/>
        </w:rPr>
        <w:t>a</w:t>
      </w:r>
      <w:r w:rsidRPr="00276BCA">
        <w:t xml:space="preserve"> </w:t>
      </w:r>
      <w:r w:rsidR="00851E27" w:rsidRPr="00276BCA">
        <w:t>15 resection samples were used to construct tissue microarray.</w:t>
      </w:r>
    </w:p>
    <w:p w14:paraId="1D249F6A" w14:textId="0E1A858D" w:rsidR="00851E27" w:rsidRPr="00276BCA" w:rsidRDefault="00851E27" w:rsidP="009C4F22">
      <w:pPr>
        <w:pStyle w:val="TableFooter"/>
      </w:pPr>
      <w:r w:rsidRPr="00276BCA">
        <w:rPr>
          <w:vertAlign w:val="superscript"/>
        </w:rPr>
        <w:t>b</w:t>
      </w:r>
      <w:r w:rsidRPr="00276BCA">
        <w:t xml:space="preserve"> 24 tissue cases were stained for repeatability analysis; 100 tissue cases were evaluated for inter- and intra-reader precision; and 28 tissue cases were stained for interlaboratory reproducibility tests (Stratton et al., 2023).</w:t>
      </w:r>
    </w:p>
    <w:p w14:paraId="5C88B9BA" w14:textId="45BAACBD" w:rsidR="00851E27" w:rsidRPr="00276BCA" w:rsidRDefault="00851E27" w:rsidP="009C4F22">
      <w:pPr>
        <w:pStyle w:val="TableFooter"/>
      </w:pPr>
      <w:r w:rsidRPr="00A06844">
        <w:rPr>
          <w:vertAlign w:val="superscript"/>
          <w:lang w:val="it-IT"/>
        </w:rPr>
        <w:t>c</w:t>
      </w:r>
      <w:r w:rsidRPr="00A06844">
        <w:rPr>
          <w:lang w:val="it-IT"/>
        </w:rPr>
        <w:t xml:space="preserve"> </w:t>
      </w:r>
      <w:r w:rsidR="00C929DA" w:rsidRPr="00A06844">
        <w:rPr>
          <w:lang w:val="it-IT"/>
        </w:rPr>
        <w:t xml:space="preserve">n=408 in Kubota et al. (2023); n=350 in Pellino et al. </w:t>
      </w:r>
      <w:r w:rsidR="00C929DA" w:rsidRPr="00276BCA">
        <w:t>(2021); n=300 in Waters et al., (2024).</w:t>
      </w:r>
    </w:p>
    <w:bookmarkEnd w:id="37"/>
    <w:p w14:paraId="1125FDE9" w14:textId="777B9A6B" w:rsidR="002771B4" w:rsidRPr="00276BCA" w:rsidRDefault="00581622">
      <w:pPr>
        <w:pStyle w:val="ListParagraph"/>
        <w:numPr>
          <w:ilvl w:val="4"/>
          <w:numId w:val="8"/>
        </w:numPr>
        <w:rPr>
          <w:color w:val="auto"/>
        </w:rPr>
      </w:pPr>
      <w:r w:rsidRPr="00276BCA">
        <w:rPr>
          <w:color w:val="auto"/>
        </w:rPr>
        <w:lastRenderedPageBreak/>
        <w:t xml:space="preserve">The data </w:t>
      </w:r>
      <w:r w:rsidRPr="00276BCA">
        <w:t>available</w:t>
      </w:r>
      <w:r w:rsidRPr="00276BCA">
        <w:rPr>
          <w:color w:val="auto"/>
        </w:rPr>
        <w:t xml:space="preserve"> to inform the comparison are summarised in</w:t>
      </w:r>
      <w:r w:rsidR="002470BB" w:rsidRPr="00276BCA">
        <w:rPr>
          <w:color w:val="auto"/>
        </w:rPr>
        <w:t xml:space="preserve"> </w:t>
      </w:r>
      <w:bookmarkStart w:id="38" w:name="_Ref183962457"/>
      <w:r w:rsidR="00DA7561" w:rsidRPr="00276BCA">
        <w:rPr>
          <w:color w:val="auto"/>
        </w:rPr>
        <w:fldChar w:fldCharType="begin"/>
      </w:r>
      <w:r w:rsidR="00DA7561" w:rsidRPr="00276BCA">
        <w:rPr>
          <w:color w:val="auto"/>
        </w:rPr>
        <w:instrText xml:space="preserve"> REF _Ref191466554 \h </w:instrText>
      </w:r>
      <w:r w:rsidR="00907075" w:rsidRPr="00276BCA">
        <w:rPr>
          <w:color w:val="auto"/>
        </w:rPr>
        <w:instrText xml:space="preserve"> \* MERGEFORMAT </w:instrText>
      </w:r>
      <w:r w:rsidR="00DA7561" w:rsidRPr="00276BCA">
        <w:rPr>
          <w:color w:val="auto"/>
        </w:rPr>
      </w:r>
      <w:r w:rsidR="00DA7561" w:rsidRPr="00276BCA">
        <w:rPr>
          <w:color w:val="auto"/>
        </w:rPr>
        <w:fldChar w:fldCharType="separate"/>
      </w:r>
      <w:r w:rsidR="0011458F" w:rsidRPr="00276BCA">
        <w:t xml:space="preserve">Table </w:t>
      </w:r>
      <w:r w:rsidR="0011458F">
        <w:t>3</w:t>
      </w:r>
      <w:r w:rsidR="00DA7561" w:rsidRPr="00276BCA">
        <w:rPr>
          <w:color w:val="auto"/>
        </w:rPr>
        <w:fldChar w:fldCharType="end"/>
      </w:r>
      <w:r w:rsidR="00DA7561" w:rsidRPr="00276BCA">
        <w:rPr>
          <w:color w:val="auto"/>
        </w:rPr>
        <w:t>.</w:t>
      </w:r>
    </w:p>
    <w:p w14:paraId="5C604430" w14:textId="1A8631CA" w:rsidR="000C3484" w:rsidRPr="00276BCA" w:rsidRDefault="000C3484" w:rsidP="00204461">
      <w:pPr>
        <w:pStyle w:val="Caption"/>
      </w:pPr>
      <w:bookmarkStart w:id="39" w:name="_Ref191466554"/>
      <w:r w:rsidRPr="00276BCA">
        <w:t xml:space="preserve">Table </w:t>
      </w:r>
      <w:r w:rsidR="005E7C50">
        <w:fldChar w:fldCharType="begin"/>
      </w:r>
      <w:r w:rsidR="005E7C50">
        <w:instrText xml:space="preserve"> SEQ Table_PBAC. \* ARABIC </w:instrText>
      </w:r>
      <w:r w:rsidR="005E7C50">
        <w:fldChar w:fldCharType="separate"/>
      </w:r>
      <w:r w:rsidR="0011458F">
        <w:rPr>
          <w:noProof/>
        </w:rPr>
        <w:t>3</w:t>
      </w:r>
      <w:r w:rsidR="005E7C50">
        <w:rPr>
          <w:noProof/>
        </w:rPr>
        <w:fldChar w:fldCharType="end"/>
      </w:r>
      <w:bookmarkEnd w:id="38"/>
      <w:bookmarkEnd w:id="39"/>
      <w:r w:rsidR="00A67718" w:rsidRPr="00276BCA">
        <w:t xml:space="preserve">: </w:t>
      </w:r>
      <w:r w:rsidRPr="00276BCA">
        <w:t>Data availability to inform comparisons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le 3: Data availability to inform comparisons"/>
      </w:tblPr>
      <w:tblGrid>
        <w:gridCol w:w="1414"/>
        <w:gridCol w:w="2692"/>
        <w:gridCol w:w="2294"/>
        <w:gridCol w:w="2616"/>
      </w:tblGrid>
      <w:tr w:rsidR="00E41328" w:rsidRPr="00276BCA" w14:paraId="0B38C789" w14:textId="77777777" w:rsidTr="77D89277">
        <w:tc>
          <w:tcPr>
            <w:tcW w:w="784" w:type="pct"/>
            <w:vMerge w:val="restart"/>
            <w:tcBorders>
              <w:top w:val="single" w:sz="4" w:space="0" w:color="000000" w:themeColor="text1"/>
              <w:left w:val="single" w:sz="4" w:space="0" w:color="000000" w:themeColor="text1"/>
              <w:right w:val="single" w:sz="4" w:space="0" w:color="000000" w:themeColor="text1"/>
            </w:tcBorders>
          </w:tcPr>
          <w:p w14:paraId="7A6D5571" w14:textId="77777777" w:rsidR="000C3484" w:rsidRPr="00276BCA" w:rsidRDefault="000C3484" w:rsidP="00010C83">
            <w:pPr>
              <w:pStyle w:val="TableText"/>
              <w:keepNext/>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3D3D9" w14:textId="20909E14" w:rsidR="000C3484" w:rsidRPr="00276BCA" w:rsidRDefault="000C3484" w:rsidP="00010C83">
            <w:pPr>
              <w:pStyle w:val="TableText"/>
              <w:keepNext/>
              <w:jc w:val="center"/>
              <w:rPr>
                <w:b/>
              </w:rPr>
            </w:pPr>
            <w:r w:rsidRPr="00276BCA">
              <w:rPr>
                <w:b/>
              </w:rPr>
              <w:t xml:space="preserve">Proposed </w:t>
            </w:r>
            <w:r w:rsidR="007E60D2" w:rsidRPr="00276BCA">
              <w:rPr>
                <w:b/>
              </w:rPr>
              <w:t>treatment</w:t>
            </w:r>
          </w:p>
        </w:tc>
        <w:tc>
          <w:tcPr>
            <w:tcW w:w="272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31927" w14:textId="42E5631A" w:rsidR="000C3484" w:rsidRPr="00276BCA" w:rsidRDefault="000C3484" w:rsidP="00010C83">
            <w:pPr>
              <w:pStyle w:val="TableText"/>
              <w:keepNext/>
              <w:jc w:val="center"/>
              <w:rPr>
                <w:b/>
              </w:rPr>
            </w:pPr>
            <w:r w:rsidRPr="00276BCA">
              <w:rPr>
                <w:b/>
              </w:rPr>
              <w:t xml:space="preserve">Comparator </w:t>
            </w:r>
            <w:r w:rsidR="007E60D2" w:rsidRPr="00276BCA">
              <w:rPr>
                <w:b/>
              </w:rPr>
              <w:t>treatments</w:t>
            </w:r>
          </w:p>
        </w:tc>
      </w:tr>
      <w:tr w:rsidR="00E41328" w:rsidRPr="00276BCA" w14:paraId="33397E34" w14:textId="77777777" w:rsidTr="77D89277">
        <w:tc>
          <w:tcPr>
            <w:tcW w:w="784" w:type="pct"/>
            <w:vMerge/>
          </w:tcPr>
          <w:p w14:paraId="1C4B887F" w14:textId="77777777" w:rsidR="000C3484" w:rsidRPr="00276BCA" w:rsidRDefault="000C3484" w:rsidP="00010C83">
            <w:pPr>
              <w:pStyle w:val="TableText"/>
              <w:keepNext/>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02CAE" w14:textId="77777777" w:rsidR="000C3484" w:rsidRPr="00276BCA" w:rsidRDefault="000C3484" w:rsidP="00010C83">
            <w:pPr>
              <w:pStyle w:val="TableText"/>
              <w:keepNext/>
              <w:rPr>
                <w:b/>
              </w:rPr>
            </w:pPr>
            <w:proofErr w:type="spellStart"/>
            <w:r w:rsidRPr="00276BCA">
              <w:rPr>
                <w:b/>
              </w:rPr>
              <w:t>Zolbetuximab</w:t>
            </w:r>
            <w:proofErr w:type="spellEnd"/>
            <w:r w:rsidRPr="00276BCA">
              <w:rPr>
                <w:b/>
              </w:rPr>
              <w:t xml:space="preserve"> + chemotherapy</w:t>
            </w:r>
          </w:p>
        </w:tc>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EE010" w14:textId="77777777" w:rsidR="000C3484" w:rsidRPr="00276BCA" w:rsidRDefault="000C3484" w:rsidP="00010C83">
            <w:pPr>
              <w:pStyle w:val="TableText"/>
              <w:keepNext/>
              <w:jc w:val="center"/>
              <w:rPr>
                <w:b/>
              </w:rPr>
            </w:pPr>
            <w:r w:rsidRPr="00276BCA">
              <w:rPr>
                <w:b/>
              </w:rPr>
              <w:t>Chemotherapy</w:t>
            </w:r>
          </w:p>
        </w:tc>
        <w:tc>
          <w:tcPr>
            <w:tcW w:w="14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678E9" w14:textId="77777777" w:rsidR="000C3484" w:rsidRPr="00276BCA" w:rsidRDefault="000C3484" w:rsidP="00010C83">
            <w:pPr>
              <w:pStyle w:val="TableText"/>
              <w:keepNext/>
              <w:jc w:val="center"/>
              <w:rPr>
                <w:b/>
              </w:rPr>
            </w:pPr>
            <w:r w:rsidRPr="00276BCA">
              <w:rPr>
                <w:b/>
              </w:rPr>
              <w:t>Nivolumab + chemotherapy</w:t>
            </w:r>
          </w:p>
        </w:tc>
      </w:tr>
      <w:tr w:rsidR="00E41328" w:rsidRPr="00276BCA" w14:paraId="056B3FC7" w14:textId="77777777" w:rsidTr="77D89277">
        <w:tc>
          <w:tcPr>
            <w:tcW w:w="7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B5886" w14:textId="77777777" w:rsidR="000C3484" w:rsidRPr="00276BCA" w:rsidRDefault="758FA362" w:rsidP="00010C83">
            <w:pPr>
              <w:pStyle w:val="TableText"/>
              <w:keepNext/>
            </w:pPr>
            <w:r w:rsidRPr="00276BCA">
              <w:t>Biomarker test positive</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FD908" w14:textId="77777777" w:rsidR="000C3484" w:rsidRPr="00276BCA" w:rsidRDefault="000C3484" w:rsidP="00010C83">
            <w:pPr>
              <w:pStyle w:val="TableText"/>
              <w:keepNext/>
            </w:pPr>
            <w:r w:rsidRPr="00276BCA">
              <w:t>SPOTLIGHT and GLOW trials</w:t>
            </w:r>
          </w:p>
        </w:tc>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5E543" w14:textId="77777777" w:rsidR="000C3484" w:rsidRPr="00276BCA" w:rsidRDefault="000C3484" w:rsidP="00010C83">
            <w:pPr>
              <w:pStyle w:val="TableText"/>
              <w:keepNext/>
            </w:pPr>
            <w:r w:rsidRPr="00276BCA">
              <w:t>SPOTLIGHT and GLOW trials</w:t>
            </w:r>
          </w:p>
        </w:tc>
        <w:tc>
          <w:tcPr>
            <w:tcW w:w="1451" w:type="pct"/>
            <w:vMerge w:val="restart"/>
            <w:tcBorders>
              <w:top w:val="single" w:sz="4" w:space="0" w:color="000000" w:themeColor="text1"/>
              <w:left w:val="single" w:sz="4" w:space="0" w:color="000000" w:themeColor="text1"/>
              <w:right w:val="single" w:sz="4" w:space="0" w:color="000000" w:themeColor="text1"/>
            </w:tcBorders>
          </w:tcPr>
          <w:p w14:paraId="1A9947FC" w14:textId="282F7A05" w:rsidR="000C3484" w:rsidRPr="00276BCA" w:rsidRDefault="758FA362" w:rsidP="00010C83">
            <w:pPr>
              <w:pStyle w:val="TableText"/>
              <w:keepNext/>
            </w:pPr>
            <w:proofErr w:type="spellStart"/>
            <w:r w:rsidRPr="00276BCA">
              <w:t>CheckMate</w:t>
            </w:r>
            <w:proofErr w:type="spellEnd"/>
            <w:r w:rsidRPr="00276BCA">
              <w:t xml:space="preserve"> 649 and ATTRACTION-4; however, the biomarker </w:t>
            </w:r>
            <w:r w:rsidR="2465AF8B" w:rsidRPr="00276BCA">
              <w:t xml:space="preserve">CLDN18.2 </w:t>
            </w:r>
            <w:r w:rsidRPr="00276BCA">
              <w:t>was not tested in these trials</w:t>
            </w:r>
            <w:r w:rsidR="45AD3825" w:rsidRPr="00276BCA">
              <w:t xml:space="preserve"> and the study participants’ CLDN18</w:t>
            </w:r>
            <w:r w:rsidR="1126C25B" w:rsidRPr="00276BCA">
              <w:t>.2</w:t>
            </w:r>
            <w:r w:rsidR="45AD3825" w:rsidRPr="00276BCA">
              <w:t xml:space="preserve"> status was unknown</w:t>
            </w:r>
            <w:r w:rsidRPr="00276BCA">
              <w:t xml:space="preserve">. </w:t>
            </w:r>
          </w:p>
        </w:tc>
      </w:tr>
      <w:tr w:rsidR="00E41328" w:rsidRPr="00276BCA" w14:paraId="7E830F41" w14:textId="77777777" w:rsidTr="77D89277">
        <w:tc>
          <w:tcPr>
            <w:tcW w:w="7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A75BA" w14:textId="77777777" w:rsidR="000C3484" w:rsidRPr="00276BCA" w:rsidRDefault="758FA362" w:rsidP="00010C83">
            <w:pPr>
              <w:pStyle w:val="TableText"/>
              <w:keepNext/>
            </w:pPr>
            <w:r w:rsidRPr="00276BCA">
              <w:t xml:space="preserve">Biomarker test negative </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368DE" w14:textId="77777777" w:rsidR="000C3484" w:rsidRPr="00276BCA" w:rsidRDefault="000C3484" w:rsidP="00010C83">
            <w:pPr>
              <w:pStyle w:val="TableText"/>
              <w:keepNext/>
            </w:pPr>
            <w:r w:rsidRPr="00276BCA">
              <w:t>No evidence presented</w:t>
            </w:r>
          </w:p>
        </w:tc>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ACFB6" w14:textId="77777777" w:rsidR="000C3484" w:rsidRPr="00276BCA" w:rsidRDefault="000C3484" w:rsidP="00010C83">
            <w:pPr>
              <w:pStyle w:val="TableText"/>
              <w:keepNext/>
            </w:pPr>
            <w:r w:rsidRPr="00276BCA">
              <w:t xml:space="preserve">No evidence presented </w:t>
            </w:r>
          </w:p>
        </w:tc>
        <w:tc>
          <w:tcPr>
            <w:tcW w:w="1451" w:type="pct"/>
            <w:vMerge/>
          </w:tcPr>
          <w:p w14:paraId="415F4266" w14:textId="77777777" w:rsidR="000C3484" w:rsidRPr="00276BCA" w:rsidRDefault="000C3484" w:rsidP="00010C83">
            <w:pPr>
              <w:pStyle w:val="TableText"/>
              <w:keepNext/>
            </w:pPr>
          </w:p>
        </w:tc>
      </w:tr>
    </w:tbl>
    <w:p w14:paraId="0357DE73" w14:textId="2F2A5676" w:rsidR="000C3484" w:rsidRPr="00276BCA" w:rsidRDefault="000C3484" w:rsidP="00F8767D">
      <w:pPr>
        <w:pStyle w:val="TableFooter"/>
      </w:pPr>
      <w:r w:rsidRPr="00276BCA">
        <w:t>Source: Complied during evaluation.</w:t>
      </w:r>
    </w:p>
    <w:p w14:paraId="706BD4D8" w14:textId="2719C16B" w:rsidR="00F8767D" w:rsidRPr="00276BCA" w:rsidRDefault="6B5FBB29" w:rsidP="77D89277">
      <w:pPr>
        <w:pStyle w:val="ListParagraph"/>
        <w:numPr>
          <w:ilvl w:val="4"/>
          <w:numId w:val="8"/>
        </w:numPr>
        <w:rPr>
          <w:color w:val="auto"/>
        </w:rPr>
      </w:pPr>
      <w:bookmarkStart w:id="40" w:name="_Ref184050910"/>
      <w:r w:rsidRPr="00276BCA">
        <w:rPr>
          <w:color w:val="auto"/>
        </w:rPr>
        <w:t xml:space="preserve">Notably, trials evaluating the efficacy and safety of </w:t>
      </w:r>
      <w:proofErr w:type="spellStart"/>
      <w:r w:rsidRPr="00276BCA">
        <w:rPr>
          <w:color w:val="auto"/>
        </w:rPr>
        <w:t>zolbetuximab</w:t>
      </w:r>
      <w:proofErr w:type="spellEnd"/>
      <w:r w:rsidRPr="00276BCA">
        <w:rPr>
          <w:color w:val="auto"/>
        </w:rPr>
        <w:t xml:space="preserve"> + chemotherapy </w:t>
      </w:r>
      <w:r w:rsidRPr="00276BCA">
        <w:t>exclusively</w:t>
      </w:r>
      <w:r w:rsidRPr="00276BCA">
        <w:rPr>
          <w:color w:val="auto"/>
        </w:rPr>
        <w:t xml:space="preserve"> included patients with CLDN18.2+ expression, while CLDN18.2 expression status was not assessed in the nivolumab + chemotherapy trials.</w:t>
      </w:r>
      <w:r w:rsidR="2A0A40F0" w:rsidRPr="00276BCA">
        <w:rPr>
          <w:color w:val="auto"/>
        </w:rPr>
        <w:t xml:space="preserve"> </w:t>
      </w:r>
      <w:bookmarkEnd w:id="40"/>
      <w:r w:rsidR="0ACF3113" w:rsidRPr="00276BCA">
        <w:rPr>
          <w:color w:val="auto"/>
        </w:rPr>
        <w:t>The evaluation</w:t>
      </w:r>
      <w:r w:rsidR="00920254" w:rsidRPr="00276BCA" w:rsidDel="007C6C8B">
        <w:rPr>
          <w:color w:val="auto"/>
        </w:rPr>
        <w:t xml:space="preserve"> </w:t>
      </w:r>
      <w:r w:rsidR="0ACF3113" w:rsidRPr="00276BCA">
        <w:rPr>
          <w:color w:val="auto"/>
        </w:rPr>
        <w:t>considered that t</w:t>
      </w:r>
      <w:r w:rsidR="439365C6" w:rsidRPr="00276BCA">
        <w:rPr>
          <w:color w:val="auto"/>
        </w:rPr>
        <w:t>he prognostic value of CLDN18.2 expression</w:t>
      </w:r>
      <w:r w:rsidR="6EE9F5FC" w:rsidRPr="00276BCA">
        <w:rPr>
          <w:color w:val="auto"/>
        </w:rPr>
        <w:t xml:space="preserve"> remains</w:t>
      </w:r>
      <w:r w:rsidR="439365C6" w:rsidRPr="00276BCA">
        <w:rPr>
          <w:color w:val="auto"/>
        </w:rPr>
        <w:t xml:space="preserve"> uncertain due to limitations in the evidence presented. </w:t>
      </w:r>
      <w:r w:rsidR="001476C6" w:rsidRPr="00276BCA">
        <w:rPr>
          <w:color w:val="auto"/>
        </w:rPr>
        <w:t>A</w:t>
      </w:r>
      <w:r w:rsidR="439365C6" w:rsidRPr="00276BCA">
        <w:rPr>
          <w:color w:val="auto"/>
        </w:rPr>
        <w:t xml:space="preserve"> recent systematic review and meta-analysis by Moraes et al. (2024) </w:t>
      </w:r>
      <w:r w:rsidR="4AC34A88" w:rsidRPr="00276BCA">
        <w:rPr>
          <w:color w:val="auto"/>
        </w:rPr>
        <w:t xml:space="preserve">found </w:t>
      </w:r>
      <w:r w:rsidR="439365C6" w:rsidRPr="00276BCA">
        <w:rPr>
          <w:color w:val="auto"/>
        </w:rPr>
        <w:t xml:space="preserve">CLDN18.2 expression </w:t>
      </w:r>
      <w:r w:rsidR="4AC34A88" w:rsidRPr="00276BCA">
        <w:rPr>
          <w:color w:val="auto"/>
        </w:rPr>
        <w:t>to be a</w:t>
      </w:r>
      <w:r w:rsidR="439365C6" w:rsidRPr="00276BCA">
        <w:rPr>
          <w:color w:val="auto"/>
        </w:rPr>
        <w:t xml:space="preserve"> negative prognostic indicator for overall survival in gastric cancer patients.</w:t>
      </w:r>
      <w:r w:rsidR="103077A5" w:rsidRPr="00276BCA">
        <w:rPr>
          <w:color w:val="auto"/>
        </w:rPr>
        <w:t xml:space="preserve"> </w:t>
      </w:r>
      <w:r w:rsidR="4B8E6860" w:rsidRPr="00276BCA">
        <w:rPr>
          <w:color w:val="auto"/>
        </w:rPr>
        <w:t xml:space="preserve">Overall, the ESCs concluded that the available evidence suggests that expressing CLDN18.2 is possibly prognostic of poorer health outcomes in gastric cancer, but the quality and applicability of this evidence to the proposed Australian clinical population is uncertain. </w:t>
      </w:r>
      <w:r w:rsidR="103077A5" w:rsidRPr="00276BCA">
        <w:rPr>
          <w:color w:val="auto"/>
        </w:rPr>
        <w:t xml:space="preserve">Additionally, </w:t>
      </w:r>
      <w:r w:rsidR="024FEF5E" w:rsidRPr="00276BCA">
        <w:rPr>
          <w:color w:val="auto"/>
        </w:rPr>
        <w:t xml:space="preserve">no predictive evidence was provided in the submission showing a differential effect of </w:t>
      </w:r>
      <w:proofErr w:type="spellStart"/>
      <w:r w:rsidR="024FEF5E" w:rsidRPr="00276BCA">
        <w:rPr>
          <w:color w:val="auto"/>
        </w:rPr>
        <w:t>zolbetuximab</w:t>
      </w:r>
      <w:proofErr w:type="spellEnd"/>
      <w:r w:rsidR="024FEF5E" w:rsidRPr="00276BCA">
        <w:rPr>
          <w:color w:val="auto"/>
        </w:rPr>
        <w:t xml:space="preserve"> in those with CLDN18.2-positive and CLDN18.2-negative </w:t>
      </w:r>
      <w:r w:rsidR="103077A5" w:rsidRPr="00276BCA">
        <w:rPr>
          <w:color w:val="auto"/>
        </w:rPr>
        <w:t>expression</w:t>
      </w:r>
      <w:r w:rsidR="11FF35AB" w:rsidRPr="00276BCA">
        <w:rPr>
          <w:color w:val="auto"/>
        </w:rPr>
        <w:t>, which</w:t>
      </w:r>
      <w:r w:rsidR="103077A5" w:rsidRPr="00276BCA">
        <w:rPr>
          <w:color w:val="auto"/>
        </w:rPr>
        <w:t xml:space="preserve"> was identified</w:t>
      </w:r>
      <w:r w:rsidR="322A0402" w:rsidRPr="00276BCA">
        <w:rPr>
          <w:color w:val="auto"/>
        </w:rPr>
        <w:t xml:space="preserve"> using the threshold of 75%</w:t>
      </w:r>
      <w:r w:rsidR="024FEF5E" w:rsidRPr="00276BCA">
        <w:rPr>
          <w:color w:val="auto"/>
        </w:rPr>
        <w:t>.</w:t>
      </w:r>
      <w:r w:rsidR="44E77CCB" w:rsidRPr="00276BCA">
        <w:rPr>
          <w:color w:val="auto"/>
        </w:rPr>
        <w:t xml:space="preserve"> The ESCs suggested that summarising the results of the early studies showing no effect in patients with CLDN18.2-</w:t>
      </w:r>
      <w:r w:rsidR="30CD16A9" w:rsidRPr="00276BCA">
        <w:rPr>
          <w:color w:val="auto"/>
        </w:rPr>
        <w:t xml:space="preserve"> </w:t>
      </w:r>
      <w:r w:rsidR="44E77CCB" w:rsidRPr="00276BCA">
        <w:rPr>
          <w:color w:val="auto"/>
        </w:rPr>
        <w:t xml:space="preserve">expression would support the claim that this biomarker has a predictive effect on the effectiveness of </w:t>
      </w:r>
      <w:proofErr w:type="spellStart"/>
      <w:r w:rsidR="44E77CCB" w:rsidRPr="00276BCA">
        <w:rPr>
          <w:color w:val="auto"/>
        </w:rPr>
        <w:t>zolbetuximab</w:t>
      </w:r>
      <w:proofErr w:type="spellEnd"/>
      <w:r w:rsidR="44E77CCB" w:rsidRPr="00276BCA">
        <w:rPr>
          <w:color w:val="auto"/>
        </w:rPr>
        <w:t>.</w:t>
      </w:r>
      <w:r w:rsidR="3854B7D6" w:rsidRPr="00276BCA">
        <w:rPr>
          <w:color w:val="auto"/>
        </w:rPr>
        <w:t xml:space="preserve"> </w:t>
      </w:r>
    </w:p>
    <w:p w14:paraId="1650EFB7" w14:textId="1E089FFD" w:rsidR="000C3484" w:rsidRPr="00276BCA" w:rsidRDefault="0ACF3113" w:rsidP="77D89277">
      <w:pPr>
        <w:pStyle w:val="ListParagraph"/>
        <w:numPr>
          <w:ilvl w:val="4"/>
          <w:numId w:val="8"/>
        </w:numPr>
        <w:rPr>
          <w:color w:val="auto"/>
        </w:rPr>
      </w:pPr>
      <w:bookmarkStart w:id="41" w:name="_Ref195618923"/>
      <w:r w:rsidRPr="00276BCA">
        <w:t>The evaluation noted that</w:t>
      </w:r>
      <w:r w:rsidR="48A0E0D0" w:rsidRPr="00276BCA">
        <w:t>,</w:t>
      </w:r>
      <w:r w:rsidR="00E46878" w:rsidRPr="00276BCA">
        <w:t xml:space="preserve"> </w:t>
      </w:r>
      <w:r w:rsidR="35B7B27F" w:rsidRPr="00276BCA">
        <w:t xml:space="preserve">the </w:t>
      </w:r>
      <w:r w:rsidR="439705DD" w:rsidRPr="00276BCA">
        <w:t>SPOTLIGHT and GLOW</w:t>
      </w:r>
      <w:r w:rsidR="35B7B27F" w:rsidRPr="00276BCA">
        <w:t xml:space="preserve"> trials</w:t>
      </w:r>
      <w:r w:rsidR="439705DD" w:rsidRPr="00276BCA">
        <w:t xml:space="preserve"> </w:t>
      </w:r>
      <w:r w:rsidR="35B7B27F" w:rsidRPr="00276BCA">
        <w:t>(</w:t>
      </w:r>
      <w:proofErr w:type="spellStart"/>
      <w:r w:rsidR="35B7B27F" w:rsidRPr="00276BCA">
        <w:t>zolbetuximab</w:t>
      </w:r>
      <w:proofErr w:type="spellEnd"/>
      <w:r w:rsidR="35B7B27F" w:rsidRPr="00276BCA">
        <w:t xml:space="preserve"> + chemotherapy) and ATTRACTION-4 (nivolumab trial) </w:t>
      </w:r>
      <w:r w:rsidR="439705DD" w:rsidRPr="00276BCA">
        <w:t xml:space="preserve">included patients with HER2-negative </w:t>
      </w:r>
      <w:r w:rsidR="35B7B27F" w:rsidRPr="00276BCA">
        <w:t xml:space="preserve">status, whereas the </w:t>
      </w:r>
      <w:proofErr w:type="spellStart"/>
      <w:r w:rsidR="64FDA46F" w:rsidRPr="00276BCA">
        <w:t>CheckMate</w:t>
      </w:r>
      <w:proofErr w:type="spellEnd"/>
      <w:r w:rsidR="39E7C01E" w:rsidRPr="00276BCA">
        <w:t xml:space="preserve"> </w:t>
      </w:r>
      <w:r w:rsidR="64FDA46F" w:rsidRPr="00276BCA">
        <w:t>649 trial included patients with non-HER2-positive patients (</w:t>
      </w:r>
      <w:r w:rsidR="36CFBBB7" w:rsidRPr="00276BCA">
        <w:t>HER2-negative or unknown HER2 status)</w:t>
      </w:r>
      <w:r w:rsidR="28905031" w:rsidRPr="00276BCA">
        <w:t xml:space="preserve">. </w:t>
      </w:r>
      <w:r w:rsidR="1F3B01DF" w:rsidRPr="00276BCA">
        <w:t>The evaluation considered that t</w:t>
      </w:r>
      <w:r w:rsidR="43112BC4" w:rsidRPr="00276BCA">
        <w:t xml:space="preserve">his difference is unlikely to impact the comparison, as </w:t>
      </w:r>
      <w:proofErr w:type="spellStart"/>
      <w:r w:rsidR="43112BC4" w:rsidRPr="00276BCA">
        <w:t>Janjigian</w:t>
      </w:r>
      <w:proofErr w:type="spellEnd"/>
      <w:r w:rsidR="43112BC4" w:rsidRPr="00276BCA">
        <w:t xml:space="preserve"> et al. (2020) suggested that </w:t>
      </w:r>
      <w:proofErr w:type="gramStart"/>
      <w:r w:rsidR="43112BC4" w:rsidRPr="00276BCA">
        <w:t>the majority of</w:t>
      </w:r>
      <w:proofErr w:type="gramEnd"/>
      <w:r w:rsidR="43112BC4" w:rsidRPr="00276BCA">
        <w:t xml:space="preserve"> patients with unknown HER2 status in the </w:t>
      </w:r>
      <w:proofErr w:type="spellStart"/>
      <w:r w:rsidR="43112BC4" w:rsidRPr="00276BCA">
        <w:t>CheckMate</w:t>
      </w:r>
      <w:proofErr w:type="spellEnd"/>
      <w:r w:rsidR="43112BC4" w:rsidRPr="00276BCA">
        <w:t xml:space="preserve"> 649 trial were likely HER2-negative, based on the known incidence of HER2-overexpressing tumours in gastric/GOJ cancer. </w:t>
      </w:r>
      <w:r w:rsidR="00E46878" w:rsidRPr="00276BCA">
        <w:t>Furthermore, all trial</w:t>
      </w:r>
      <w:r w:rsidR="39641911" w:rsidRPr="00276BCA">
        <w:t>s</w:t>
      </w:r>
      <w:r w:rsidR="00E46878" w:rsidRPr="00276BCA">
        <w:t xml:space="preserve"> included patients irrespective of the PD-L1 status. </w:t>
      </w:r>
      <w:r w:rsidR="46C4120F" w:rsidRPr="00276BCA">
        <w:t>As part of</w:t>
      </w:r>
      <w:r w:rsidR="40A85E7A" w:rsidRPr="00276BCA">
        <w:t xml:space="preserve"> the</w:t>
      </w:r>
      <w:r w:rsidR="5ABD48F4" w:rsidRPr="00276BCA">
        <w:t xml:space="preserve"> </w:t>
      </w:r>
      <w:r w:rsidR="56A478BE" w:rsidRPr="00276BCA">
        <w:t xml:space="preserve">National Institute of Care and </w:t>
      </w:r>
      <w:r w:rsidR="280A5AC5" w:rsidRPr="00276BCA">
        <w:t>Excellence</w:t>
      </w:r>
      <w:r w:rsidR="56A478BE" w:rsidRPr="00276BCA">
        <w:t xml:space="preserve"> (</w:t>
      </w:r>
      <w:r w:rsidR="5ABD48F4" w:rsidRPr="00276BCA">
        <w:t>NICE</w:t>
      </w:r>
      <w:r w:rsidR="56A478BE" w:rsidRPr="00276BCA">
        <w:t>)</w:t>
      </w:r>
      <w:r w:rsidR="5ABD48F4" w:rsidRPr="00276BCA">
        <w:t xml:space="preserve"> </w:t>
      </w:r>
      <w:r w:rsidR="39641911" w:rsidRPr="00276BCA">
        <w:t>evaluation</w:t>
      </w:r>
      <w:r w:rsidR="5ABD48F4" w:rsidRPr="00276BCA">
        <w:t xml:space="preserve"> of </w:t>
      </w:r>
      <w:proofErr w:type="spellStart"/>
      <w:r w:rsidR="5ABD48F4" w:rsidRPr="00276BCA">
        <w:t>zolbetuximab</w:t>
      </w:r>
      <w:proofErr w:type="spellEnd"/>
      <w:r w:rsidR="5ABD48F4" w:rsidRPr="00276BCA">
        <w:t xml:space="preserve">, the </w:t>
      </w:r>
      <w:r w:rsidR="068D352A" w:rsidRPr="00276BCA">
        <w:t>s</w:t>
      </w:r>
      <w:r w:rsidR="5ABD48F4" w:rsidRPr="00276BCA">
        <w:t xml:space="preserve">ponsor stated that </w:t>
      </w:r>
      <w:r w:rsidR="068D352A" w:rsidRPr="00276BCA">
        <w:t xml:space="preserve">the company </w:t>
      </w:r>
      <w:r w:rsidR="068D352A" w:rsidRPr="00276BCA">
        <w:lastRenderedPageBreak/>
        <w:t xml:space="preserve">was </w:t>
      </w:r>
      <w:r w:rsidR="5ABD48F4" w:rsidRPr="00276BCA">
        <w:t xml:space="preserve">unaware of any biological mechanism by which PD-L1 expression can affect the efficacy of </w:t>
      </w:r>
      <w:proofErr w:type="spellStart"/>
      <w:r w:rsidR="5ABD48F4" w:rsidRPr="00276BCA">
        <w:t>zolbetuximab</w:t>
      </w:r>
      <w:proofErr w:type="spellEnd"/>
      <w:r w:rsidR="5ABD48F4" w:rsidRPr="00276BCA">
        <w:t>.</w:t>
      </w:r>
      <w:r w:rsidR="00122E2F" w:rsidRPr="00276BCA">
        <w:rPr>
          <w:rStyle w:val="FootnoteReference"/>
        </w:rPr>
        <w:footnoteReference w:id="9"/>
      </w:r>
      <w:r w:rsidR="5ABD48F4" w:rsidRPr="00276BCA">
        <w:t xml:space="preserve"> </w:t>
      </w:r>
      <w:bookmarkEnd w:id="41"/>
    </w:p>
    <w:p w14:paraId="04A4BAE4" w14:textId="59E0C18C" w:rsidR="00CE7A3F" w:rsidRPr="00276BCA" w:rsidRDefault="00C6499E" w:rsidP="00074A38">
      <w:pPr>
        <w:pStyle w:val="OutlineHeading2"/>
        <w:rPr>
          <w:rFonts w:ascii="Calibri" w:hAnsi="Calibri" w:cs="Calibri"/>
          <w:iCs/>
        </w:rPr>
      </w:pPr>
      <w:r w:rsidRPr="00276BCA">
        <w:rPr>
          <w:rFonts w:ascii="Calibri" w:hAnsi="Calibri" w:cs="Calibri"/>
          <w:iCs/>
        </w:rPr>
        <w:t xml:space="preserve">Clinical trials on the safety/effectiveness of </w:t>
      </w:r>
      <w:proofErr w:type="spellStart"/>
      <w:r w:rsidR="00265D9E" w:rsidRPr="00276BCA">
        <w:rPr>
          <w:rFonts w:ascii="Calibri" w:hAnsi="Calibri" w:cs="Calibri"/>
          <w:iCs/>
        </w:rPr>
        <w:t>zolbetuximab</w:t>
      </w:r>
      <w:proofErr w:type="spellEnd"/>
      <w:r w:rsidRPr="00276BCA">
        <w:rPr>
          <w:rFonts w:ascii="Calibri" w:hAnsi="Calibri" w:cs="Calibri"/>
          <w:iCs/>
        </w:rPr>
        <w:t xml:space="preserve"> </w:t>
      </w:r>
    </w:p>
    <w:p w14:paraId="7E6D68B3" w14:textId="01863404" w:rsidR="00265D9E" w:rsidRPr="00276BCA" w:rsidRDefault="004D17F4" w:rsidP="00B10BA3">
      <w:pPr>
        <w:pStyle w:val="ListParagraph"/>
        <w:numPr>
          <w:ilvl w:val="4"/>
          <w:numId w:val="8"/>
        </w:numPr>
        <w:rPr>
          <w:color w:val="auto"/>
        </w:rPr>
      </w:pPr>
      <w:bookmarkStart w:id="42" w:name="_Ref184114658"/>
      <w:r w:rsidRPr="00276BCA">
        <w:rPr>
          <w:color w:val="auto"/>
        </w:rPr>
        <w:t xml:space="preserve">No direct head-to-head comparison </w:t>
      </w:r>
      <w:r w:rsidR="007C123C" w:rsidRPr="00276BCA">
        <w:rPr>
          <w:color w:val="auto"/>
        </w:rPr>
        <w:t xml:space="preserve">of </w:t>
      </w:r>
      <w:proofErr w:type="spellStart"/>
      <w:r w:rsidR="007C123C" w:rsidRPr="00276BCA">
        <w:rPr>
          <w:color w:val="auto"/>
        </w:rPr>
        <w:t>zolbetuximab</w:t>
      </w:r>
      <w:proofErr w:type="spellEnd"/>
      <w:r w:rsidR="007C123C" w:rsidRPr="00276BCA">
        <w:rPr>
          <w:color w:val="auto"/>
        </w:rPr>
        <w:t xml:space="preserve"> </w:t>
      </w:r>
      <w:r w:rsidR="003C160D" w:rsidRPr="00276BCA">
        <w:rPr>
          <w:color w:val="auto"/>
        </w:rPr>
        <w:t>v</w:t>
      </w:r>
      <w:r w:rsidR="00415122" w:rsidRPr="00276BCA">
        <w:rPr>
          <w:color w:val="auto"/>
        </w:rPr>
        <w:t>ersus</w:t>
      </w:r>
      <w:r w:rsidR="003C160D" w:rsidRPr="00276BCA">
        <w:rPr>
          <w:color w:val="auto"/>
        </w:rPr>
        <w:t xml:space="preserve"> </w:t>
      </w:r>
      <w:r w:rsidR="007C123C" w:rsidRPr="00276BCA">
        <w:rPr>
          <w:color w:val="auto"/>
        </w:rPr>
        <w:t>nivolumab</w:t>
      </w:r>
      <w:r w:rsidR="00814FF6" w:rsidRPr="00276BCA">
        <w:rPr>
          <w:color w:val="auto"/>
        </w:rPr>
        <w:t>, in combination with chemotherapy, was available.</w:t>
      </w:r>
      <w:r w:rsidR="007C123C" w:rsidRPr="00276BCA">
        <w:rPr>
          <w:color w:val="auto"/>
        </w:rPr>
        <w:t xml:space="preserve"> </w:t>
      </w:r>
      <w:r w:rsidR="00265D9E" w:rsidRPr="00276BCA">
        <w:rPr>
          <w:color w:val="auto"/>
        </w:rPr>
        <w:t xml:space="preserve">The submission was based on an </w:t>
      </w:r>
      <w:bookmarkStart w:id="43" w:name="_Hlk183682322"/>
      <w:r w:rsidR="00265D9E" w:rsidRPr="00276BCA">
        <w:rPr>
          <w:color w:val="auto"/>
        </w:rPr>
        <w:t xml:space="preserve">indirect </w:t>
      </w:r>
      <w:r w:rsidR="00143EEC" w:rsidRPr="00276BCA">
        <w:rPr>
          <w:color w:val="auto"/>
        </w:rPr>
        <w:t xml:space="preserve">treatment </w:t>
      </w:r>
      <w:r w:rsidR="00265D9E" w:rsidRPr="00276BCA">
        <w:rPr>
          <w:color w:val="auto"/>
        </w:rPr>
        <w:t>comparison</w:t>
      </w:r>
      <w:r w:rsidR="00143EEC" w:rsidRPr="00276BCA">
        <w:rPr>
          <w:color w:val="auto"/>
        </w:rPr>
        <w:t xml:space="preserve"> (ITC)</w:t>
      </w:r>
      <w:r w:rsidR="005560DD" w:rsidRPr="00276BCA">
        <w:rPr>
          <w:color w:val="auto"/>
        </w:rPr>
        <w:t xml:space="preserve"> </w:t>
      </w:r>
      <w:r w:rsidR="00265D9E" w:rsidRPr="00276BCA">
        <w:rPr>
          <w:color w:val="auto"/>
        </w:rPr>
        <w:t xml:space="preserve">of </w:t>
      </w:r>
      <w:proofErr w:type="spellStart"/>
      <w:r w:rsidR="00265D9E" w:rsidRPr="00276BCA">
        <w:rPr>
          <w:color w:val="auto"/>
        </w:rPr>
        <w:t>zolbetuximab</w:t>
      </w:r>
      <w:proofErr w:type="spellEnd"/>
      <w:r w:rsidR="00265D9E" w:rsidRPr="00276BCA">
        <w:rPr>
          <w:color w:val="auto"/>
        </w:rPr>
        <w:t xml:space="preserve"> + chemotherapy and nivolumab + chemotherapy </w:t>
      </w:r>
      <w:r w:rsidR="008505F9" w:rsidRPr="00276BCA">
        <w:rPr>
          <w:color w:val="auto"/>
        </w:rPr>
        <w:t>via network-meta-analysis (NMA).</w:t>
      </w:r>
      <w:r w:rsidR="00AC6556" w:rsidRPr="00276BCA">
        <w:rPr>
          <w:color w:val="auto"/>
        </w:rPr>
        <w:t xml:space="preserve"> </w:t>
      </w:r>
      <w:r w:rsidR="00814FF6" w:rsidRPr="00276BCA">
        <w:rPr>
          <w:color w:val="auto"/>
        </w:rPr>
        <w:t xml:space="preserve">While the NMA included 14 unique regimens to assess the relative treatment effect of </w:t>
      </w:r>
      <w:proofErr w:type="spellStart"/>
      <w:r w:rsidR="00814FF6" w:rsidRPr="00276BCA">
        <w:rPr>
          <w:color w:val="auto"/>
        </w:rPr>
        <w:t>zolbetuximab</w:t>
      </w:r>
      <w:proofErr w:type="spellEnd"/>
      <w:r w:rsidR="00814FF6" w:rsidRPr="00276BCA">
        <w:rPr>
          <w:color w:val="auto"/>
        </w:rPr>
        <w:t xml:space="preserve"> against other first-line treatments, </w:t>
      </w:r>
      <w:r w:rsidR="00CF224F" w:rsidRPr="00276BCA">
        <w:rPr>
          <w:color w:val="auto"/>
        </w:rPr>
        <w:t>the submission focused on the following trial</w:t>
      </w:r>
      <w:r w:rsidR="00FA0901" w:rsidRPr="00276BCA">
        <w:rPr>
          <w:color w:val="auto"/>
        </w:rPr>
        <w:t>s:</w:t>
      </w:r>
      <w:bookmarkEnd w:id="42"/>
    </w:p>
    <w:bookmarkEnd w:id="43"/>
    <w:p w14:paraId="4492F1E3" w14:textId="250445BA" w:rsidR="005560DD" w:rsidRPr="00276BCA" w:rsidRDefault="1804F239" w:rsidP="00010C83">
      <w:pPr>
        <w:pStyle w:val="PBACESParagraphBulletPoint"/>
        <w:rPr>
          <w:color w:val="auto"/>
        </w:rPr>
      </w:pPr>
      <w:r w:rsidRPr="00276BCA">
        <w:rPr>
          <w:color w:val="auto"/>
        </w:rPr>
        <w:t>SPOTLIGHT trial</w:t>
      </w:r>
      <w:r w:rsidR="413B07EC" w:rsidRPr="00276BCA">
        <w:rPr>
          <w:color w:val="auto"/>
        </w:rPr>
        <w:t>:</w:t>
      </w:r>
      <w:r w:rsidRPr="00276BCA">
        <w:rPr>
          <w:color w:val="auto"/>
        </w:rPr>
        <w:t xml:space="preserve"> a global, randomised, placebo-controlled, double-blind, phase III trial comparing </w:t>
      </w:r>
      <w:proofErr w:type="spellStart"/>
      <w:r w:rsidRPr="00276BCA">
        <w:rPr>
          <w:color w:val="auto"/>
        </w:rPr>
        <w:t>zolbetuximab</w:t>
      </w:r>
      <w:proofErr w:type="spellEnd"/>
      <w:r w:rsidRPr="00276BCA">
        <w:rPr>
          <w:color w:val="auto"/>
        </w:rPr>
        <w:t xml:space="preserve"> + </w:t>
      </w:r>
      <w:r w:rsidR="413B07EC" w:rsidRPr="00276BCA">
        <w:rPr>
          <w:color w:val="auto"/>
        </w:rPr>
        <w:t>chemotherapy (</w:t>
      </w:r>
      <w:r w:rsidRPr="00276BCA">
        <w:rPr>
          <w:color w:val="auto"/>
        </w:rPr>
        <w:t>mFOLFOX6</w:t>
      </w:r>
      <w:r w:rsidR="413B07EC" w:rsidRPr="00276BCA">
        <w:rPr>
          <w:color w:val="auto"/>
        </w:rPr>
        <w:t>)</w:t>
      </w:r>
      <w:r w:rsidRPr="00276BCA">
        <w:rPr>
          <w:color w:val="auto"/>
        </w:rPr>
        <w:t xml:space="preserve"> versus placebo + </w:t>
      </w:r>
      <w:r w:rsidR="44371FEB" w:rsidRPr="00276BCA">
        <w:rPr>
          <w:color w:val="auto"/>
        </w:rPr>
        <w:t>chemotherapy</w:t>
      </w:r>
      <w:r w:rsidR="24429AC3" w:rsidRPr="00276BCA">
        <w:rPr>
          <w:color w:val="auto"/>
        </w:rPr>
        <w:t xml:space="preserve"> </w:t>
      </w:r>
      <w:r w:rsidR="413B07EC" w:rsidRPr="00276BCA">
        <w:rPr>
          <w:color w:val="auto"/>
        </w:rPr>
        <w:t>in</w:t>
      </w:r>
      <w:r w:rsidRPr="00276BCA">
        <w:rPr>
          <w:color w:val="auto"/>
        </w:rPr>
        <w:t xml:space="preserve"> patients with CLDN18.2+, HER2-negative, previously untreated, </w:t>
      </w:r>
      <w:r w:rsidR="004E0CF9" w:rsidRPr="00276BCA">
        <w:rPr>
          <w:color w:val="auto"/>
        </w:rPr>
        <w:t>advanced</w:t>
      </w:r>
      <w:r w:rsidRPr="00276BCA">
        <w:rPr>
          <w:color w:val="auto"/>
        </w:rPr>
        <w:t xml:space="preserve"> G/GOJ adenocarcinoma. </w:t>
      </w:r>
    </w:p>
    <w:p w14:paraId="6D8D0AAC" w14:textId="1C453FB2" w:rsidR="005560DD" w:rsidRPr="00276BCA" w:rsidRDefault="7940951F" w:rsidP="77D89277">
      <w:pPr>
        <w:pStyle w:val="PBACESParagraphBulletPoint"/>
        <w:rPr>
          <w:color w:val="auto"/>
        </w:rPr>
      </w:pPr>
      <w:r w:rsidRPr="00276BCA">
        <w:rPr>
          <w:color w:val="auto"/>
        </w:rPr>
        <w:t>GLOW trial</w:t>
      </w:r>
      <w:r w:rsidR="5542F95F" w:rsidRPr="00276BCA">
        <w:rPr>
          <w:color w:val="auto"/>
        </w:rPr>
        <w:t>:</w:t>
      </w:r>
      <w:r w:rsidRPr="00276BCA">
        <w:rPr>
          <w:color w:val="auto"/>
        </w:rPr>
        <w:t xml:space="preserve"> a global, randomised, placebo-controlled, double-blind, phase III trial</w:t>
      </w:r>
      <w:r w:rsidR="080A87A4" w:rsidRPr="00276BCA">
        <w:rPr>
          <w:color w:val="auto"/>
        </w:rPr>
        <w:t xml:space="preserve"> comparing</w:t>
      </w:r>
      <w:r w:rsidRPr="00276BCA">
        <w:rPr>
          <w:color w:val="auto"/>
        </w:rPr>
        <w:t xml:space="preserve"> </w:t>
      </w:r>
      <w:proofErr w:type="spellStart"/>
      <w:r w:rsidRPr="00276BCA">
        <w:rPr>
          <w:color w:val="auto"/>
        </w:rPr>
        <w:t>zolbetuximab</w:t>
      </w:r>
      <w:proofErr w:type="spellEnd"/>
      <w:r w:rsidRPr="00276BCA">
        <w:rPr>
          <w:color w:val="auto"/>
        </w:rPr>
        <w:t xml:space="preserve"> + chemotherapy (CAPOX) with placebo + chemotherapy in patients with CLDN18.2+, HER2-negative, locally advanced or metastatic G/GOJ adenocarcinomas.</w:t>
      </w:r>
    </w:p>
    <w:p w14:paraId="56DF4A57" w14:textId="0C1D6FD7" w:rsidR="005560DD" w:rsidRPr="00276BCA" w:rsidRDefault="7940951F" w:rsidP="77D89277">
      <w:pPr>
        <w:pStyle w:val="PBACESParagraphBulletPoint"/>
        <w:rPr>
          <w:color w:val="auto"/>
        </w:rPr>
      </w:pPr>
      <w:proofErr w:type="spellStart"/>
      <w:r w:rsidRPr="00276BCA">
        <w:rPr>
          <w:color w:val="auto"/>
        </w:rPr>
        <w:t>CheckMate</w:t>
      </w:r>
      <w:proofErr w:type="spellEnd"/>
      <w:r w:rsidRPr="00276BCA">
        <w:rPr>
          <w:color w:val="auto"/>
        </w:rPr>
        <w:t xml:space="preserve"> 649 trial</w:t>
      </w:r>
      <w:r w:rsidR="5542F95F" w:rsidRPr="00276BCA">
        <w:rPr>
          <w:color w:val="auto"/>
        </w:rPr>
        <w:t>:</w:t>
      </w:r>
      <w:r w:rsidRPr="00276BCA">
        <w:rPr>
          <w:color w:val="auto"/>
        </w:rPr>
        <w:t xml:space="preserve"> a global, randomised, open-label, phase III study </w:t>
      </w:r>
      <w:r w:rsidR="080A87A4" w:rsidRPr="00276BCA">
        <w:rPr>
          <w:color w:val="auto"/>
        </w:rPr>
        <w:t>comparing</w:t>
      </w:r>
      <w:r w:rsidRPr="00276BCA">
        <w:rPr>
          <w:color w:val="auto"/>
        </w:rPr>
        <w:t xml:space="preserve"> nivolumab + chemotherapy (XELOX</w:t>
      </w:r>
      <w:r w:rsidR="57A24AE8" w:rsidRPr="00276BCA">
        <w:rPr>
          <w:color w:val="auto"/>
        </w:rPr>
        <w:t xml:space="preserve"> [also known as </w:t>
      </w:r>
      <w:r w:rsidR="080A87A4" w:rsidRPr="00276BCA">
        <w:rPr>
          <w:color w:val="auto"/>
        </w:rPr>
        <w:t>CAPOX</w:t>
      </w:r>
      <w:r w:rsidR="57A24AE8" w:rsidRPr="00276BCA">
        <w:rPr>
          <w:color w:val="auto"/>
        </w:rPr>
        <w:t>]</w:t>
      </w:r>
      <w:r w:rsidRPr="00276BCA">
        <w:rPr>
          <w:color w:val="auto"/>
        </w:rPr>
        <w:t xml:space="preserve"> or mFOLFOX6) with chemotherapy alone in patients with non-HER2-positive advanced or metastatic G/GOJ, or oesophageal adenocarcinoma.</w:t>
      </w:r>
    </w:p>
    <w:p w14:paraId="4F33CE23" w14:textId="79A1ED02" w:rsidR="005560DD" w:rsidRPr="00276BCA" w:rsidRDefault="005560DD" w:rsidP="005560DD">
      <w:pPr>
        <w:pStyle w:val="PBACESParagraphBulletPoint"/>
        <w:rPr>
          <w:color w:val="auto"/>
        </w:rPr>
      </w:pPr>
      <w:r w:rsidRPr="00276BCA">
        <w:rPr>
          <w:color w:val="auto"/>
        </w:rPr>
        <w:t>ATTRACTION-4</w:t>
      </w:r>
      <w:r w:rsidR="00FA0901" w:rsidRPr="00276BCA">
        <w:rPr>
          <w:color w:val="auto"/>
        </w:rPr>
        <w:t>:</w:t>
      </w:r>
      <w:r w:rsidRPr="00276BCA">
        <w:rPr>
          <w:color w:val="auto"/>
        </w:rPr>
        <w:t xml:space="preserve"> a randomised, double-blind, phase III, two-part study </w:t>
      </w:r>
      <w:r w:rsidR="00FF5ADA" w:rsidRPr="00276BCA">
        <w:rPr>
          <w:color w:val="auto"/>
        </w:rPr>
        <w:t>conducted in Japan, South Korea, and Taiwan, comparing</w:t>
      </w:r>
      <w:r w:rsidRPr="00276BCA">
        <w:rPr>
          <w:color w:val="auto"/>
        </w:rPr>
        <w:t xml:space="preserve"> nivolumab + chemotherapy (SOX </w:t>
      </w:r>
      <w:r w:rsidR="008409C0" w:rsidRPr="00276BCA">
        <w:rPr>
          <w:color w:val="auto"/>
        </w:rPr>
        <w:t>[S</w:t>
      </w:r>
      <w:r w:rsidR="00254301" w:rsidRPr="00276BCA">
        <w:rPr>
          <w:color w:val="auto"/>
        </w:rPr>
        <w:t xml:space="preserve">-1 and oxaliplatin] </w:t>
      </w:r>
      <w:r w:rsidRPr="00276BCA">
        <w:rPr>
          <w:color w:val="auto"/>
        </w:rPr>
        <w:t>or CAPOX) with placebo + chemotherapy in patients with HER2-negative, untreated, unresectable advanced or recurrent G/GOJ cancer.</w:t>
      </w:r>
    </w:p>
    <w:p w14:paraId="09FB6C4A" w14:textId="0E56C871" w:rsidR="00022A78" w:rsidRPr="00276BCA" w:rsidRDefault="457D6FE8" w:rsidP="77D89277">
      <w:pPr>
        <w:pStyle w:val="ListParagraph"/>
        <w:numPr>
          <w:ilvl w:val="4"/>
          <w:numId w:val="8"/>
        </w:numPr>
        <w:rPr>
          <w:color w:val="auto"/>
        </w:rPr>
      </w:pPr>
      <w:bookmarkStart w:id="44" w:name="_Ref195692239"/>
      <w:r w:rsidRPr="00276BCA">
        <w:rPr>
          <w:color w:val="auto"/>
        </w:rPr>
        <w:t>The</w:t>
      </w:r>
      <w:r w:rsidR="3B929E1C" w:rsidRPr="00276BCA" w:rsidDel="00583F6A">
        <w:rPr>
          <w:color w:val="auto"/>
        </w:rPr>
        <w:t xml:space="preserve"> </w:t>
      </w:r>
      <w:proofErr w:type="spellStart"/>
      <w:r w:rsidR="4D5A3D71" w:rsidRPr="00276BCA">
        <w:rPr>
          <w:color w:val="auto"/>
        </w:rPr>
        <w:t>CheckMate</w:t>
      </w:r>
      <w:proofErr w:type="spellEnd"/>
      <w:r w:rsidR="4D5A3D71" w:rsidRPr="00276BCA">
        <w:rPr>
          <w:color w:val="auto"/>
        </w:rPr>
        <w:t xml:space="preserve"> 649 and ATTRACTION-4</w:t>
      </w:r>
      <w:r w:rsidR="3B929E1C" w:rsidRPr="00276BCA">
        <w:rPr>
          <w:color w:val="auto"/>
        </w:rPr>
        <w:t xml:space="preserve"> trials</w:t>
      </w:r>
      <w:r w:rsidR="4D5A3D71" w:rsidRPr="00276BCA">
        <w:rPr>
          <w:color w:val="auto"/>
        </w:rPr>
        <w:t xml:space="preserve"> were previously reviewed by the PBAC as part of the nivolumab submission</w:t>
      </w:r>
      <w:r w:rsidR="3B929E1C" w:rsidRPr="00276BCA">
        <w:rPr>
          <w:color w:val="auto"/>
        </w:rPr>
        <w:t>s</w:t>
      </w:r>
      <w:r w:rsidR="4D5A3D71" w:rsidRPr="00276BCA">
        <w:rPr>
          <w:color w:val="auto"/>
        </w:rPr>
        <w:t xml:space="preserve"> in November 2021</w:t>
      </w:r>
      <w:r w:rsidR="264F6E20" w:rsidRPr="00276BCA">
        <w:rPr>
          <w:color w:val="auto"/>
        </w:rPr>
        <w:t xml:space="preserve"> and March 2022</w:t>
      </w:r>
      <w:r w:rsidR="4D5A3D71" w:rsidRPr="00276BCA">
        <w:rPr>
          <w:color w:val="auto"/>
        </w:rPr>
        <w:t xml:space="preserve">. While </w:t>
      </w:r>
      <w:proofErr w:type="spellStart"/>
      <w:r w:rsidR="4D5A3D71" w:rsidRPr="00276BCA">
        <w:rPr>
          <w:color w:val="auto"/>
        </w:rPr>
        <w:t>CheckMate</w:t>
      </w:r>
      <w:proofErr w:type="spellEnd"/>
      <w:r w:rsidR="4D5A3D71" w:rsidRPr="00276BCA">
        <w:rPr>
          <w:color w:val="auto"/>
        </w:rPr>
        <w:t xml:space="preserve"> 649 was included as the pivotal trial, the ATTRACTION-4 trial was excluded due to concerns regarding its applicability to Australian setting</w:t>
      </w:r>
      <w:r w:rsidR="0CB91CED" w:rsidRPr="00276BCA">
        <w:rPr>
          <w:color w:val="auto"/>
        </w:rPr>
        <w:t xml:space="preserve">, including </w:t>
      </w:r>
      <w:r w:rsidR="00AD1F43" w:rsidRPr="00276BCA">
        <w:rPr>
          <w:color w:val="auto"/>
        </w:rPr>
        <w:t>(</w:t>
      </w:r>
      <w:r w:rsidR="60316A51" w:rsidRPr="00276BCA">
        <w:rPr>
          <w:color w:val="auto"/>
        </w:rPr>
        <w:t xml:space="preserve">a) trial being conducted in only Asian population; (b) the exclusion of patients with oesophageal cancer; (c) the use of a different chemotherapy regimen; and (d) differences in </w:t>
      </w:r>
      <w:r w:rsidR="60316A51" w:rsidRPr="00276BCA">
        <w:rPr>
          <w:color w:val="auto"/>
        </w:rPr>
        <w:lastRenderedPageBreak/>
        <w:t>subsequent treatments</w:t>
      </w:r>
      <w:r w:rsidR="6938DD59" w:rsidRPr="00276BCA">
        <w:rPr>
          <w:color w:val="auto"/>
        </w:rPr>
        <w:t xml:space="preserve"> </w:t>
      </w:r>
      <w:r w:rsidR="519C97FA" w:rsidRPr="00276BCA">
        <w:rPr>
          <w:color w:val="auto"/>
        </w:rPr>
        <w:t xml:space="preserve">(paragraph 6.8, nivolumab, PSD, </w:t>
      </w:r>
      <w:r w:rsidR="3F2A5CC4" w:rsidRPr="00276BCA">
        <w:rPr>
          <w:color w:val="auto"/>
        </w:rPr>
        <w:t>November 2021 PBAC Meeting with Addendum from March 2022 PBAC Meeting</w:t>
      </w:r>
      <w:r w:rsidR="4D5A3D71" w:rsidRPr="00276BCA">
        <w:rPr>
          <w:color w:val="auto"/>
        </w:rPr>
        <w:t>).</w:t>
      </w:r>
      <w:bookmarkEnd w:id="44"/>
    </w:p>
    <w:p w14:paraId="762EAF5D" w14:textId="3CBF17A8" w:rsidR="00F72BF2" w:rsidRPr="00276BCA" w:rsidRDefault="00F72BF2" w:rsidP="008E424C">
      <w:pPr>
        <w:pStyle w:val="ListParagraph"/>
        <w:numPr>
          <w:ilvl w:val="4"/>
          <w:numId w:val="8"/>
        </w:numPr>
        <w:rPr>
          <w:color w:val="auto"/>
        </w:rPr>
      </w:pPr>
      <w:r w:rsidRPr="00276BCA">
        <w:rPr>
          <w:color w:val="auto"/>
        </w:rPr>
        <w:t xml:space="preserve">Details of the </w:t>
      </w:r>
      <w:r w:rsidR="00A31516" w:rsidRPr="00276BCA">
        <w:rPr>
          <w:color w:val="auto"/>
        </w:rPr>
        <w:t>t</w:t>
      </w:r>
      <w:r w:rsidRPr="00276BCA">
        <w:rPr>
          <w:color w:val="auto"/>
        </w:rPr>
        <w:t>rials</w:t>
      </w:r>
      <w:r w:rsidR="00A31516" w:rsidRPr="00276BCA">
        <w:rPr>
          <w:color w:val="auto"/>
        </w:rPr>
        <w:t xml:space="preserve"> </w:t>
      </w:r>
      <w:r w:rsidRPr="00276BCA">
        <w:rPr>
          <w:color w:val="auto"/>
        </w:rPr>
        <w:t xml:space="preserve">presented in the submission are provided in the table below. </w:t>
      </w:r>
    </w:p>
    <w:p w14:paraId="31E1CF2B" w14:textId="07E47D37" w:rsidR="00A31516" w:rsidRPr="00276BCA" w:rsidRDefault="00A31516" w:rsidP="00204461">
      <w:pPr>
        <w:pStyle w:val="Caption"/>
        <w:rPr>
          <w:rStyle w:val="CommentReference"/>
          <w:b/>
          <w:iCs w:val="0"/>
          <w:szCs w:val="18"/>
        </w:rPr>
      </w:pPr>
      <w:r w:rsidRPr="00276BCA">
        <w:t xml:space="preserve">Table </w:t>
      </w:r>
      <w:r w:rsidR="005E7C50">
        <w:fldChar w:fldCharType="begin"/>
      </w:r>
      <w:r w:rsidR="005E7C50">
        <w:instrText xml:space="preserve"> SEQ Table_PBAC. \* ARABIC </w:instrText>
      </w:r>
      <w:r w:rsidR="005E7C50">
        <w:fldChar w:fldCharType="separate"/>
      </w:r>
      <w:r w:rsidR="0011458F">
        <w:rPr>
          <w:noProof/>
        </w:rPr>
        <w:t>4</w:t>
      </w:r>
      <w:r w:rsidR="005E7C50">
        <w:rPr>
          <w:noProof/>
        </w:rPr>
        <w:fldChar w:fldCharType="end"/>
      </w:r>
      <w:r w:rsidR="003D5647" w:rsidRPr="00276BCA">
        <w:t xml:space="preserve">: </w:t>
      </w:r>
      <w:r w:rsidRPr="00276BCA">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Trials and associated reports presented in the submission"/>
      </w:tblPr>
      <w:tblGrid>
        <w:gridCol w:w="1414"/>
        <w:gridCol w:w="5384"/>
        <w:gridCol w:w="2218"/>
      </w:tblGrid>
      <w:tr w:rsidR="00E41328" w:rsidRPr="00276BCA" w14:paraId="4991EE27" w14:textId="77777777" w:rsidTr="77D89277">
        <w:trPr>
          <w:tblHeader/>
        </w:trPr>
        <w:tc>
          <w:tcPr>
            <w:tcW w:w="784" w:type="pct"/>
            <w:vAlign w:val="bottom"/>
          </w:tcPr>
          <w:p w14:paraId="75A8F1F8" w14:textId="77777777" w:rsidR="00A31516" w:rsidRPr="00276BCA" w:rsidRDefault="00A31516" w:rsidP="00010C83">
            <w:pPr>
              <w:pStyle w:val="TableText"/>
              <w:jc w:val="center"/>
              <w:rPr>
                <w:b/>
              </w:rPr>
            </w:pPr>
            <w:r w:rsidRPr="00276BCA">
              <w:rPr>
                <w:b/>
              </w:rPr>
              <w:t>Trial ID</w:t>
            </w:r>
          </w:p>
        </w:tc>
        <w:tc>
          <w:tcPr>
            <w:tcW w:w="2986" w:type="pct"/>
            <w:vAlign w:val="bottom"/>
          </w:tcPr>
          <w:p w14:paraId="6D57AE87" w14:textId="77777777" w:rsidR="00A31516" w:rsidRPr="00276BCA" w:rsidRDefault="00A31516" w:rsidP="00010C83">
            <w:pPr>
              <w:pStyle w:val="TableText"/>
              <w:jc w:val="center"/>
              <w:rPr>
                <w:b/>
              </w:rPr>
            </w:pPr>
            <w:r w:rsidRPr="00276BCA">
              <w:rPr>
                <w:b/>
              </w:rPr>
              <w:t>Protocol title/ Publication title</w:t>
            </w:r>
          </w:p>
        </w:tc>
        <w:tc>
          <w:tcPr>
            <w:tcW w:w="1230" w:type="pct"/>
            <w:vAlign w:val="bottom"/>
          </w:tcPr>
          <w:p w14:paraId="57CF5F90" w14:textId="77777777" w:rsidR="00A31516" w:rsidRPr="00276BCA" w:rsidRDefault="00A31516" w:rsidP="00010C83">
            <w:pPr>
              <w:pStyle w:val="TableText"/>
              <w:jc w:val="center"/>
              <w:rPr>
                <w:b/>
              </w:rPr>
            </w:pPr>
            <w:r w:rsidRPr="00276BCA">
              <w:rPr>
                <w:b/>
              </w:rPr>
              <w:t>Publication citation</w:t>
            </w:r>
          </w:p>
        </w:tc>
      </w:tr>
      <w:tr w:rsidR="00E41328" w:rsidRPr="00276BCA" w14:paraId="4C8D23DE" w14:textId="77777777" w:rsidTr="77D89277">
        <w:tc>
          <w:tcPr>
            <w:tcW w:w="5000" w:type="pct"/>
            <w:gridSpan w:val="3"/>
          </w:tcPr>
          <w:p w14:paraId="7E6A3C02" w14:textId="77777777" w:rsidR="00A31516" w:rsidRPr="00276BCA" w:rsidRDefault="00A31516" w:rsidP="00010C83">
            <w:pPr>
              <w:pStyle w:val="TableText"/>
              <w:rPr>
                <w:b/>
              </w:rPr>
            </w:pPr>
            <w:proofErr w:type="spellStart"/>
            <w:r w:rsidRPr="00276BCA">
              <w:rPr>
                <w:b/>
              </w:rPr>
              <w:t>Zolbetuximab</w:t>
            </w:r>
            <w:proofErr w:type="spellEnd"/>
          </w:p>
        </w:tc>
      </w:tr>
      <w:tr w:rsidR="00E41328" w:rsidRPr="00F8253F" w14:paraId="0B3A09DC" w14:textId="77777777" w:rsidTr="77D89277">
        <w:tc>
          <w:tcPr>
            <w:tcW w:w="784" w:type="pct"/>
            <w:vMerge w:val="restart"/>
          </w:tcPr>
          <w:p w14:paraId="5DA5E153" w14:textId="77777777" w:rsidR="00A31516" w:rsidRPr="00276BCA" w:rsidRDefault="00A31516" w:rsidP="00010C83">
            <w:pPr>
              <w:pStyle w:val="TableText"/>
            </w:pPr>
            <w:r w:rsidRPr="00276BCA">
              <w:t>GLOW</w:t>
            </w:r>
          </w:p>
          <w:p w14:paraId="3FC219A6" w14:textId="77777777" w:rsidR="00A31516" w:rsidRPr="00276BCA" w:rsidRDefault="00A31516" w:rsidP="00010C83">
            <w:pPr>
              <w:pStyle w:val="TableText"/>
            </w:pPr>
            <w:r w:rsidRPr="00276BCA">
              <w:t>(NCT03653507)</w:t>
            </w:r>
          </w:p>
        </w:tc>
        <w:tc>
          <w:tcPr>
            <w:tcW w:w="2986" w:type="pct"/>
          </w:tcPr>
          <w:p w14:paraId="145ECFBF" w14:textId="77777777" w:rsidR="00A31516" w:rsidRPr="00276BCA" w:rsidRDefault="00A31516" w:rsidP="00010C83">
            <w:pPr>
              <w:pStyle w:val="TableText"/>
            </w:pPr>
            <w:r w:rsidRPr="00276BCA">
              <w:t>A Phase 3, Global, Multi-</w:t>
            </w:r>
            <w:proofErr w:type="spellStart"/>
            <w:r w:rsidRPr="00276BCA">
              <w:t>Center</w:t>
            </w:r>
            <w:proofErr w:type="spellEnd"/>
            <w:r w:rsidRPr="00276BCA">
              <w:t xml:space="preserve">, Double-Blind, Randomized, Efficacy Study of </w:t>
            </w:r>
            <w:proofErr w:type="spellStart"/>
            <w:r w:rsidRPr="00276BCA">
              <w:t>Zolbetuximab</w:t>
            </w:r>
            <w:proofErr w:type="spellEnd"/>
            <w:r w:rsidRPr="00276BCA">
              <w:t xml:space="preserve"> (IMAB362) Plus CAPOX Compared with Placebo Plus CAPOX as First-line Treatment of Subjects with Claudin (CLDN) 18.2-Positive, HER2-Negative, Locally Advanced Unresectable or Metastatic Gastric or Gastroesophageal Junction (GEJ) Adenocarcinoma. </w:t>
            </w:r>
          </w:p>
        </w:tc>
        <w:tc>
          <w:tcPr>
            <w:tcW w:w="1230" w:type="pct"/>
          </w:tcPr>
          <w:p w14:paraId="604127FF" w14:textId="67C8702A" w:rsidR="00AB78D8" w:rsidRPr="00276BCA" w:rsidRDefault="00AB78D8" w:rsidP="00010C83">
            <w:pPr>
              <w:pStyle w:val="TableText"/>
            </w:pPr>
            <w:r w:rsidRPr="00276BCA">
              <w:t>Clinical Study Report</w:t>
            </w:r>
          </w:p>
          <w:p w14:paraId="5B9866EA" w14:textId="299622DD" w:rsidR="002D08AE" w:rsidRPr="00276BCA" w:rsidRDefault="002D08AE" w:rsidP="002D08AE">
            <w:pPr>
              <w:pStyle w:val="TableText"/>
            </w:pPr>
            <w:r w:rsidRPr="00276BCA">
              <w:t xml:space="preserve">Primary CSR (Data cutoff: October 2022). </w:t>
            </w:r>
          </w:p>
          <w:p w14:paraId="5FBDB0F1" w14:textId="037C2751" w:rsidR="00A31516" w:rsidRPr="002425ED" w:rsidRDefault="15E9D4BC" w:rsidP="00010C83">
            <w:pPr>
              <w:pStyle w:val="TableText"/>
            </w:pPr>
            <w:r w:rsidRPr="002425ED">
              <w:t xml:space="preserve">Final OS CSR </w:t>
            </w:r>
            <w:proofErr w:type="spellStart"/>
            <w:r w:rsidRPr="002425ED">
              <w:t>CSR</w:t>
            </w:r>
            <w:proofErr w:type="spellEnd"/>
            <w:r w:rsidRPr="002425ED">
              <w:t xml:space="preserve"> (Data cutoff: January 2024).</w:t>
            </w:r>
          </w:p>
        </w:tc>
      </w:tr>
      <w:tr w:rsidR="00E41328" w:rsidRPr="00276BCA" w14:paraId="7E367113" w14:textId="77777777" w:rsidTr="77D89277">
        <w:tc>
          <w:tcPr>
            <w:tcW w:w="784" w:type="pct"/>
            <w:vMerge/>
          </w:tcPr>
          <w:p w14:paraId="4C98FD82" w14:textId="77777777" w:rsidR="00A31516" w:rsidRPr="000C02B3" w:rsidRDefault="00A31516" w:rsidP="00010C83">
            <w:pPr>
              <w:pStyle w:val="TableText"/>
              <w:rPr>
                <w:lang w:val="pt-PT"/>
              </w:rPr>
            </w:pPr>
          </w:p>
        </w:tc>
        <w:tc>
          <w:tcPr>
            <w:tcW w:w="2986" w:type="pct"/>
          </w:tcPr>
          <w:p w14:paraId="24425419" w14:textId="77777777" w:rsidR="00A31516" w:rsidRPr="000C02B3" w:rsidRDefault="00A31516" w:rsidP="00010C83">
            <w:pPr>
              <w:pStyle w:val="TableText"/>
              <w:rPr>
                <w:lang w:val="pt-PT"/>
              </w:rPr>
            </w:pPr>
            <w:r w:rsidRPr="000C02B3">
              <w:rPr>
                <w:lang w:val="pt-PT"/>
              </w:rPr>
              <w:t>Shah, M., Shitara, K., et al. Zolbetuximab plus CAPOX in CLDN18.2-positive gastric or gastroesophageal junction adenocarcinoma: the randomized, phase 3 GLOW trial.</w:t>
            </w:r>
          </w:p>
        </w:tc>
        <w:tc>
          <w:tcPr>
            <w:tcW w:w="1230" w:type="pct"/>
          </w:tcPr>
          <w:p w14:paraId="1FA0FDD4" w14:textId="77777777" w:rsidR="00A31516" w:rsidRPr="00276BCA" w:rsidRDefault="00A31516" w:rsidP="00010C83">
            <w:pPr>
              <w:pStyle w:val="TableText"/>
            </w:pPr>
            <w:r w:rsidRPr="00276BCA">
              <w:t>Nature Medicine 2023; 29: 2133-2141</w:t>
            </w:r>
          </w:p>
        </w:tc>
      </w:tr>
      <w:tr w:rsidR="00E41328" w:rsidRPr="00276BCA" w14:paraId="09EF691A" w14:textId="77777777" w:rsidTr="77D89277">
        <w:tc>
          <w:tcPr>
            <w:tcW w:w="784" w:type="pct"/>
            <w:vMerge/>
          </w:tcPr>
          <w:p w14:paraId="099CD58D" w14:textId="77777777" w:rsidR="00A31516" w:rsidRPr="00276BCA" w:rsidRDefault="00A31516" w:rsidP="00010C83">
            <w:pPr>
              <w:pStyle w:val="TableText"/>
            </w:pPr>
          </w:p>
        </w:tc>
        <w:tc>
          <w:tcPr>
            <w:tcW w:w="2986" w:type="pct"/>
          </w:tcPr>
          <w:p w14:paraId="60B92836" w14:textId="77777777" w:rsidR="00A31516" w:rsidRPr="00276BCA" w:rsidRDefault="28030ED4" w:rsidP="00010C83">
            <w:pPr>
              <w:pStyle w:val="TableText"/>
            </w:pPr>
            <w:proofErr w:type="spellStart"/>
            <w:r w:rsidRPr="002425ED">
              <w:t>Lordick</w:t>
            </w:r>
            <w:proofErr w:type="spellEnd"/>
            <w:r w:rsidRPr="002425ED">
              <w:t xml:space="preserve">, F., Shah, M., et al. </w:t>
            </w:r>
            <w:r w:rsidRPr="00276BCA">
              <w:t>LBA81 Final OS CSR efficacy and safety results from phase III GLOW study evaluating VYLOY+ CAPOX as first-line (1L) treatment for patients with claudin-18 isoform 2-positive (CLDN18. 2+), HER2−, locally advanced (LA) unresectable or metastatic gastric or gastroesophageal junction (</w:t>
            </w:r>
            <w:proofErr w:type="spellStart"/>
            <w:r w:rsidRPr="00276BCA">
              <w:t>mG</w:t>
            </w:r>
            <w:proofErr w:type="spellEnd"/>
            <w:r w:rsidRPr="00276BCA">
              <w:t>/GEJ) adenocarcinoma.</w:t>
            </w:r>
          </w:p>
        </w:tc>
        <w:tc>
          <w:tcPr>
            <w:tcW w:w="1230" w:type="pct"/>
          </w:tcPr>
          <w:p w14:paraId="3A487CFA" w14:textId="77777777" w:rsidR="00A31516" w:rsidRPr="00276BCA" w:rsidRDefault="00A31516" w:rsidP="00010C83">
            <w:pPr>
              <w:pStyle w:val="TableText"/>
            </w:pPr>
            <w:r w:rsidRPr="00276BCA">
              <w:t>Annals of Oncology 2023; 34(S2): S1321</w:t>
            </w:r>
          </w:p>
        </w:tc>
      </w:tr>
      <w:tr w:rsidR="00E41328" w:rsidRPr="00276BCA" w14:paraId="18F29AED" w14:textId="77777777" w:rsidTr="77D89277">
        <w:tc>
          <w:tcPr>
            <w:tcW w:w="784" w:type="pct"/>
            <w:vMerge/>
          </w:tcPr>
          <w:p w14:paraId="409FBB99" w14:textId="77777777" w:rsidR="00A31516" w:rsidRPr="00276BCA" w:rsidRDefault="00A31516" w:rsidP="00010C83">
            <w:pPr>
              <w:pStyle w:val="TableText"/>
            </w:pPr>
          </w:p>
        </w:tc>
        <w:tc>
          <w:tcPr>
            <w:tcW w:w="2986" w:type="pct"/>
          </w:tcPr>
          <w:p w14:paraId="4AECBC6A" w14:textId="77777777" w:rsidR="00A31516" w:rsidRPr="00276BCA" w:rsidRDefault="28030ED4" w:rsidP="00010C83">
            <w:pPr>
              <w:pStyle w:val="TableText"/>
            </w:pPr>
            <w:proofErr w:type="spellStart"/>
            <w:r w:rsidRPr="00276BCA">
              <w:t>Lordick</w:t>
            </w:r>
            <w:proofErr w:type="spellEnd"/>
            <w:r w:rsidRPr="00276BCA">
              <w:t xml:space="preserve">, F., Shah, M., et al. 134MO Updated efficacy and safety results from phase III GLOW study evaluating </w:t>
            </w:r>
            <w:proofErr w:type="spellStart"/>
            <w:r w:rsidRPr="00276BCA">
              <w:t>zolbetuximab</w:t>
            </w:r>
            <w:proofErr w:type="spellEnd"/>
            <w:r w:rsidRPr="00276BCA">
              <w:t xml:space="preserve"> + CAPOX as first-line (1L) treatment for patients with claudin-18 isoform 2-positive (CLDN18.2+), HER2L, locally advanced (LA) unresectable or metastatic gastric or gastroesophageal junction (</w:t>
            </w:r>
            <w:proofErr w:type="spellStart"/>
            <w:r w:rsidRPr="00276BCA">
              <w:t>mG</w:t>
            </w:r>
            <w:proofErr w:type="spellEnd"/>
            <w:r w:rsidRPr="00276BCA">
              <w:t>/GEJ) adenocarcinoma</w:t>
            </w:r>
          </w:p>
        </w:tc>
        <w:tc>
          <w:tcPr>
            <w:tcW w:w="1230" w:type="pct"/>
          </w:tcPr>
          <w:p w14:paraId="7705148F" w14:textId="77777777" w:rsidR="00A31516" w:rsidRPr="00276BCA" w:rsidRDefault="00A31516" w:rsidP="00010C83">
            <w:pPr>
              <w:pStyle w:val="TableText"/>
            </w:pPr>
            <w:r w:rsidRPr="00276BCA">
              <w:t>Annals of Oncology 2023; 34(S4): S1524</w:t>
            </w:r>
          </w:p>
        </w:tc>
      </w:tr>
      <w:tr w:rsidR="00E41328" w:rsidRPr="00F8253F" w14:paraId="2BCEB115" w14:textId="77777777" w:rsidTr="77D89277">
        <w:tc>
          <w:tcPr>
            <w:tcW w:w="784" w:type="pct"/>
            <w:vMerge w:val="restart"/>
          </w:tcPr>
          <w:p w14:paraId="2E2E3C02" w14:textId="77777777" w:rsidR="00A31516" w:rsidRPr="00276BCA" w:rsidRDefault="00A31516" w:rsidP="00010C83">
            <w:pPr>
              <w:pStyle w:val="TableText"/>
            </w:pPr>
            <w:r w:rsidRPr="00276BCA">
              <w:t>SPOTLIGHT</w:t>
            </w:r>
          </w:p>
          <w:p w14:paraId="3EC0DE43" w14:textId="77777777" w:rsidR="00A31516" w:rsidRPr="00276BCA" w:rsidRDefault="00A31516" w:rsidP="00010C83">
            <w:pPr>
              <w:pStyle w:val="TableText"/>
            </w:pPr>
            <w:r w:rsidRPr="00276BCA">
              <w:t>(NCT03504397)</w:t>
            </w:r>
          </w:p>
        </w:tc>
        <w:tc>
          <w:tcPr>
            <w:tcW w:w="2986" w:type="pct"/>
          </w:tcPr>
          <w:p w14:paraId="081B7966" w14:textId="77777777" w:rsidR="00A31516" w:rsidRPr="00276BCA" w:rsidRDefault="28030ED4" w:rsidP="00010C83">
            <w:pPr>
              <w:pStyle w:val="TableText"/>
            </w:pPr>
            <w:r w:rsidRPr="00276BCA">
              <w:t xml:space="preserve">A Phase 3, Global, </w:t>
            </w:r>
            <w:proofErr w:type="spellStart"/>
            <w:r w:rsidRPr="00276BCA">
              <w:t>Multicenter</w:t>
            </w:r>
            <w:proofErr w:type="spellEnd"/>
            <w:r w:rsidRPr="00276BCA">
              <w:t xml:space="preserve">, Double-Blind, Randomized, Efficacy Study of </w:t>
            </w:r>
            <w:proofErr w:type="spellStart"/>
            <w:r w:rsidRPr="00276BCA">
              <w:t>Zolbetuximab</w:t>
            </w:r>
            <w:proofErr w:type="spellEnd"/>
            <w:r w:rsidRPr="00276BCA">
              <w:t xml:space="preserve"> (IMAB362) Plus mFOLFOX6 Compared with Placebo Plus mFOLFOX6 as First-line Treatment of Subjects with Claudin (CLDN) 18.2-Positive, HER2-Negative, Locally Advanced Unresectable or Metastatic Gastric or Gastroesophageal Junction (GEJ) Adenocarcinoma</w:t>
            </w:r>
          </w:p>
        </w:tc>
        <w:tc>
          <w:tcPr>
            <w:tcW w:w="1230" w:type="pct"/>
          </w:tcPr>
          <w:p w14:paraId="07CC0613" w14:textId="77777777" w:rsidR="00AB78D8" w:rsidRPr="00276BCA" w:rsidRDefault="00AB78D8" w:rsidP="00AB78D8">
            <w:pPr>
              <w:pStyle w:val="TableText"/>
            </w:pPr>
            <w:r w:rsidRPr="00276BCA">
              <w:t>Clinical Study Report</w:t>
            </w:r>
          </w:p>
          <w:p w14:paraId="01EF5EA2" w14:textId="140221FE" w:rsidR="002D08AE" w:rsidRPr="00276BCA" w:rsidRDefault="002D08AE" w:rsidP="002D08AE">
            <w:pPr>
              <w:pStyle w:val="TableText"/>
            </w:pPr>
            <w:r w:rsidRPr="00276BCA">
              <w:t xml:space="preserve">Primary CSR (Data cutoff: September 2022). </w:t>
            </w:r>
          </w:p>
          <w:p w14:paraId="092D597C" w14:textId="089216A4" w:rsidR="00A31516" w:rsidRPr="002425ED" w:rsidRDefault="002D08AE" w:rsidP="00010C83">
            <w:pPr>
              <w:pStyle w:val="TableText"/>
            </w:pPr>
            <w:r w:rsidRPr="002425ED">
              <w:t>Final OS CSR (Data cutoff: September 2023).</w:t>
            </w:r>
          </w:p>
        </w:tc>
      </w:tr>
      <w:tr w:rsidR="00E41328" w:rsidRPr="00276BCA" w14:paraId="4B1F6667" w14:textId="77777777" w:rsidTr="77D89277">
        <w:tc>
          <w:tcPr>
            <w:tcW w:w="784" w:type="pct"/>
            <w:vMerge/>
          </w:tcPr>
          <w:p w14:paraId="336C2D99" w14:textId="77777777" w:rsidR="00A31516" w:rsidRPr="000C02B3" w:rsidRDefault="00A31516" w:rsidP="00010C83">
            <w:pPr>
              <w:pStyle w:val="TableText"/>
              <w:rPr>
                <w:lang w:val="pt-PT"/>
              </w:rPr>
            </w:pPr>
          </w:p>
        </w:tc>
        <w:tc>
          <w:tcPr>
            <w:tcW w:w="2986" w:type="pct"/>
          </w:tcPr>
          <w:p w14:paraId="581E1E8C" w14:textId="77777777" w:rsidR="00A31516" w:rsidRPr="000C02B3" w:rsidRDefault="28030ED4" w:rsidP="00010C83">
            <w:pPr>
              <w:pStyle w:val="TableText"/>
              <w:rPr>
                <w:lang w:val="pt-PT"/>
              </w:rPr>
            </w:pPr>
            <w:r w:rsidRPr="000C02B3">
              <w:rPr>
                <w:lang w:val="pt-PT"/>
              </w:rPr>
              <w:t>Shitara, K., Lordick, F., et al. Zolbetuximab plus mFOLFOX6 in patients with CLDN18.2-positive, HER2-negative, untreated, locally advanced unresectable or metastatic gastric or gastro-oesophageal junction adenocarcinoma (SPOTLIGHT): a multicentre, randomised, double-blind, phase 3 trial</w:t>
            </w:r>
          </w:p>
        </w:tc>
        <w:tc>
          <w:tcPr>
            <w:tcW w:w="1230" w:type="pct"/>
          </w:tcPr>
          <w:p w14:paraId="1686C424" w14:textId="77777777" w:rsidR="00A31516" w:rsidRPr="00276BCA" w:rsidRDefault="00A31516" w:rsidP="00010C83">
            <w:pPr>
              <w:pStyle w:val="TableText"/>
            </w:pPr>
            <w:r w:rsidRPr="00276BCA">
              <w:t>Lancet 2023; 402(10398): 290</w:t>
            </w:r>
          </w:p>
        </w:tc>
      </w:tr>
      <w:tr w:rsidR="00E41328" w:rsidRPr="00276BCA" w14:paraId="24312F02" w14:textId="77777777" w:rsidTr="77D89277">
        <w:tc>
          <w:tcPr>
            <w:tcW w:w="784" w:type="pct"/>
            <w:vMerge/>
          </w:tcPr>
          <w:p w14:paraId="0EA868A5" w14:textId="77777777" w:rsidR="00A31516" w:rsidRPr="00276BCA" w:rsidRDefault="00A31516" w:rsidP="00010C83">
            <w:pPr>
              <w:pStyle w:val="TableText"/>
            </w:pPr>
          </w:p>
        </w:tc>
        <w:tc>
          <w:tcPr>
            <w:tcW w:w="2986" w:type="pct"/>
          </w:tcPr>
          <w:p w14:paraId="6DC332A4" w14:textId="77777777" w:rsidR="00A31516" w:rsidRPr="002425ED" w:rsidRDefault="28030ED4" w:rsidP="00010C83">
            <w:pPr>
              <w:pStyle w:val="TableText"/>
            </w:pPr>
            <w:r w:rsidRPr="002425ED">
              <w:t xml:space="preserve">Shitara, K., Van Cutsem, E., et al. Final overall survival results from phase 3 SPOTLIGHT study evaluating </w:t>
            </w:r>
            <w:proofErr w:type="spellStart"/>
            <w:r w:rsidRPr="002425ED">
              <w:t>zolbetuximab</w:t>
            </w:r>
            <w:proofErr w:type="spellEnd"/>
            <w:r w:rsidRPr="002425ED">
              <w:t xml:space="preserve"> +mFOLFOX6 as first-line (1L) treatment for patients (pts) with claudin 18 isoform 2(CLDN18.2) +, HER2−, locally advanced (LA) unresectable or metastatic gastric or gastroesophageal junction (</w:t>
            </w:r>
            <w:proofErr w:type="spellStart"/>
            <w:r w:rsidRPr="002425ED">
              <w:t>mG</w:t>
            </w:r>
            <w:proofErr w:type="spellEnd"/>
            <w:r w:rsidRPr="002425ED">
              <w:t>/GEJ) adenocarcinoma.</w:t>
            </w:r>
          </w:p>
        </w:tc>
        <w:tc>
          <w:tcPr>
            <w:tcW w:w="1230" w:type="pct"/>
          </w:tcPr>
          <w:p w14:paraId="747AC053" w14:textId="77777777" w:rsidR="00A31516" w:rsidRPr="00276BCA" w:rsidRDefault="00A31516" w:rsidP="00010C83">
            <w:pPr>
              <w:pStyle w:val="TableText"/>
            </w:pPr>
            <w:r w:rsidRPr="00276BCA">
              <w:t>Journal of Clinical Oncology 2024, 42: 4036</w:t>
            </w:r>
          </w:p>
        </w:tc>
      </w:tr>
      <w:tr w:rsidR="00E41328" w:rsidRPr="00276BCA" w14:paraId="43CE918D" w14:textId="77777777" w:rsidTr="77D89277">
        <w:tc>
          <w:tcPr>
            <w:tcW w:w="784" w:type="pct"/>
            <w:vMerge/>
          </w:tcPr>
          <w:p w14:paraId="0DE52723" w14:textId="77777777" w:rsidR="00A31516" w:rsidRPr="00276BCA" w:rsidRDefault="00A31516" w:rsidP="00010C83">
            <w:pPr>
              <w:pStyle w:val="TableText"/>
            </w:pPr>
          </w:p>
        </w:tc>
        <w:tc>
          <w:tcPr>
            <w:tcW w:w="2986" w:type="pct"/>
          </w:tcPr>
          <w:p w14:paraId="2B1B212A" w14:textId="77777777" w:rsidR="00A31516" w:rsidRPr="00276BCA" w:rsidRDefault="28030ED4" w:rsidP="00010C83">
            <w:pPr>
              <w:pStyle w:val="TableText"/>
            </w:pPr>
            <w:r w:rsidRPr="00F8253F">
              <w:t xml:space="preserve">Ajani, J., Shah, M., et al. </w:t>
            </w:r>
            <w:r w:rsidRPr="00276BCA">
              <w:t>LBA82 Final OS CSR efficacy and safety results from phase III SPOTLIGHT study evaluating VYLOY+ mFOLFOX6 as first-line (1L) treatment for patients with claudin-18 isoform 2-positive (CLDN18. 2+), HER2−, locally advanced (LA) unresectable or metastatic gastric or gastroesophageal junction (</w:t>
            </w:r>
            <w:proofErr w:type="spellStart"/>
            <w:r w:rsidRPr="00276BCA">
              <w:t>mG</w:t>
            </w:r>
            <w:proofErr w:type="spellEnd"/>
            <w:r w:rsidRPr="00276BCA">
              <w:t xml:space="preserve">/GEJ) adenocarcinoma." </w:t>
            </w:r>
          </w:p>
        </w:tc>
        <w:tc>
          <w:tcPr>
            <w:tcW w:w="1230" w:type="pct"/>
          </w:tcPr>
          <w:p w14:paraId="4AD40B9E" w14:textId="77777777" w:rsidR="00A31516" w:rsidRPr="00276BCA" w:rsidRDefault="00A31516" w:rsidP="00010C83">
            <w:pPr>
              <w:pStyle w:val="TableText"/>
            </w:pPr>
            <w:r w:rsidRPr="00276BCA">
              <w:t>Annals of Oncology 2023; 34(S4): S1525</w:t>
            </w:r>
          </w:p>
        </w:tc>
      </w:tr>
      <w:tr w:rsidR="00E41328" w:rsidRPr="00276BCA" w14:paraId="1AF17A4B" w14:textId="77777777" w:rsidTr="77D89277">
        <w:tc>
          <w:tcPr>
            <w:tcW w:w="784" w:type="pct"/>
            <w:vMerge/>
          </w:tcPr>
          <w:p w14:paraId="66B2B04D" w14:textId="77777777" w:rsidR="00A31516" w:rsidRPr="00276BCA" w:rsidRDefault="00A31516" w:rsidP="00010C83">
            <w:pPr>
              <w:pStyle w:val="TableText"/>
            </w:pPr>
          </w:p>
        </w:tc>
        <w:tc>
          <w:tcPr>
            <w:tcW w:w="2986" w:type="pct"/>
          </w:tcPr>
          <w:p w14:paraId="70227142" w14:textId="77777777" w:rsidR="00A31516" w:rsidRPr="00276BCA" w:rsidRDefault="28030ED4" w:rsidP="00010C83">
            <w:pPr>
              <w:pStyle w:val="TableText"/>
            </w:pPr>
            <w:r w:rsidRPr="00276BCA">
              <w:t xml:space="preserve">Ajani, J., </w:t>
            </w:r>
            <w:proofErr w:type="spellStart"/>
            <w:r w:rsidRPr="00276BCA">
              <w:t>Lordick</w:t>
            </w:r>
            <w:proofErr w:type="spellEnd"/>
            <w:r w:rsidRPr="00276BCA">
              <w:t xml:space="preserve">, F., et al. 135MO Final OS CSR efficacy and safety results from phase III SPOTLIGHT study evaluating VYLOY+ FOLFOX6 as first-line (1L) treatment for patients with claudin-18 isoform 2-positive (CLDN18.2+), HER2−, locally advanced (LA) unresectable or metastatic </w:t>
            </w:r>
            <w:r w:rsidRPr="00276BCA">
              <w:lastRenderedPageBreak/>
              <w:t>gastric or gastroesophageal junction (</w:t>
            </w:r>
            <w:proofErr w:type="spellStart"/>
            <w:r w:rsidRPr="00276BCA">
              <w:t>mG</w:t>
            </w:r>
            <w:proofErr w:type="spellEnd"/>
            <w:r w:rsidRPr="00276BCA">
              <w:t>/GEJ) adenocarcinoma</w:t>
            </w:r>
          </w:p>
        </w:tc>
        <w:tc>
          <w:tcPr>
            <w:tcW w:w="1230" w:type="pct"/>
          </w:tcPr>
          <w:p w14:paraId="745FD168" w14:textId="77777777" w:rsidR="00A31516" w:rsidRPr="00276BCA" w:rsidRDefault="00A31516" w:rsidP="00010C83">
            <w:pPr>
              <w:pStyle w:val="TableText"/>
            </w:pPr>
            <w:r w:rsidRPr="00276BCA">
              <w:lastRenderedPageBreak/>
              <w:t>Annals of Oncology 2023; 34(S4): S1524-S1525.</w:t>
            </w:r>
          </w:p>
        </w:tc>
      </w:tr>
      <w:tr w:rsidR="00E41328" w:rsidRPr="00276BCA" w14:paraId="4B1E5BE8" w14:textId="77777777" w:rsidTr="77D89277">
        <w:tc>
          <w:tcPr>
            <w:tcW w:w="784" w:type="pct"/>
            <w:vMerge w:val="restart"/>
          </w:tcPr>
          <w:p w14:paraId="3CED5E4C" w14:textId="77777777" w:rsidR="00A31516" w:rsidRPr="00276BCA" w:rsidRDefault="00A31516" w:rsidP="00010C83">
            <w:pPr>
              <w:pStyle w:val="TableText"/>
            </w:pPr>
            <w:r w:rsidRPr="00276BCA">
              <w:t>Pooled analyses (GLOW and SPOTLIGHT)</w:t>
            </w:r>
          </w:p>
        </w:tc>
        <w:tc>
          <w:tcPr>
            <w:tcW w:w="2986" w:type="pct"/>
          </w:tcPr>
          <w:p w14:paraId="79475549" w14:textId="77777777" w:rsidR="00A31516" w:rsidRPr="00276BCA" w:rsidRDefault="28030ED4" w:rsidP="00010C83">
            <w:pPr>
              <w:pStyle w:val="TableText"/>
            </w:pPr>
            <w:r w:rsidRPr="00276BCA">
              <w:t xml:space="preserve">Kang, Y., Shah, M., et al. 1438P First-line (1L) </w:t>
            </w:r>
            <w:proofErr w:type="spellStart"/>
            <w:r w:rsidRPr="00276BCA">
              <w:t>zolbetuximab</w:t>
            </w:r>
            <w:proofErr w:type="spellEnd"/>
            <w:r w:rsidRPr="00276BCA">
              <w:t>+ chemotherapy in patients (pts) with claudin 18.2 (CLDN18. 2)+, HER2-, locally advanced (LA) unresectable or metastatic gastric or gastroesophageal junction (</w:t>
            </w:r>
            <w:proofErr w:type="spellStart"/>
            <w:r w:rsidRPr="00276BCA">
              <w:t>mG</w:t>
            </w:r>
            <w:proofErr w:type="spellEnd"/>
            <w:r w:rsidRPr="00276BCA">
              <w:t>/GEJ) adenocarcinoma: A pooled final analysis of SPOTLIGHT+ GLOW</w:t>
            </w:r>
          </w:p>
        </w:tc>
        <w:tc>
          <w:tcPr>
            <w:tcW w:w="1230" w:type="pct"/>
          </w:tcPr>
          <w:p w14:paraId="409FBCE4" w14:textId="77777777" w:rsidR="00A31516" w:rsidRPr="00276BCA" w:rsidRDefault="00A31516" w:rsidP="00010C83">
            <w:pPr>
              <w:pStyle w:val="TableText"/>
            </w:pPr>
            <w:r w:rsidRPr="00276BCA">
              <w:t>Annals of Oncology 2024; 35(S2): S895.</w:t>
            </w:r>
          </w:p>
        </w:tc>
      </w:tr>
      <w:tr w:rsidR="00E41328" w:rsidRPr="00276BCA" w14:paraId="7BA728A6" w14:textId="77777777" w:rsidTr="77D89277">
        <w:tc>
          <w:tcPr>
            <w:tcW w:w="784" w:type="pct"/>
            <w:vMerge/>
          </w:tcPr>
          <w:p w14:paraId="66B8AE64" w14:textId="77777777" w:rsidR="00A31516" w:rsidRPr="00276BCA" w:rsidRDefault="00A31516" w:rsidP="00010C83">
            <w:pPr>
              <w:pStyle w:val="TableText"/>
            </w:pPr>
          </w:p>
        </w:tc>
        <w:tc>
          <w:tcPr>
            <w:tcW w:w="2986" w:type="pct"/>
          </w:tcPr>
          <w:p w14:paraId="56072DBC" w14:textId="77777777" w:rsidR="00A31516" w:rsidRPr="00276BCA" w:rsidRDefault="00A31516" w:rsidP="00010C83">
            <w:pPr>
              <w:pStyle w:val="TableText"/>
            </w:pPr>
            <w:r w:rsidRPr="002425ED">
              <w:t xml:space="preserve">Shitara, K., Shah, M., et al. </w:t>
            </w:r>
            <w:proofErr w:type="spellStart"/>
            <w:r w:rsidRPr="00276BCA">
              <w:t>Zolbetuximab</w:t>
            </w:r>
            <w:proofErr w:type="spellEnd"/>
            <w:r w:rsidRPr="00276BCA">
              <w:t xml:space="preserve"> in Gastric or Gastroesophageal Junction Adenocarcinoma. </w:t>
            </w:r>
          </w:p>
        </w:tc>
        <w:tc>
          <w:tcPr>
            <w:tcW w:w="1230" w:type="pct"/>
          </w:tcPr>
          <w:p w14:paraId="6C72655A" w14:textId="77777777" w:rsidR="00A31516" w:rsidRPr="00276BCA" w:rsidRDefault="00A31516" w:rsidP="00010C83">
            <w:pPr>
              <w:pStyle w:val="TableText"/>
            </w:pPr>
            <w:r w:rsidRPr="00276BCA">
              <w:t>New England Journal of Medicine 2024; 391(12): 1159-1162.</w:t>
            </w:r>
          </w:p>
        </w:tc>
      </w:tr>
      <w:tr w:rsidR="00E41328" w:rsidRPr="00276BCA" w14:paraId="38A027BC" w14:textId="77777777" w:rsidTr="77D89277">
        <w:tc>
          <w:tcPr>
            <w:tcW w:w="784" w:type="pct"/>
            <w:vMerge/>
          </w:tcPr>
          <w:p w14:paraId="56CF6B5A" w14:textId="77777777" w:rsidR="00A31516" w:rsidRPr="00276BCA" w:rsidRDefault="00A31516" w:rsidP="00010C83">
            <w:pPr>
              <w:pStyle w:val="TableText"/>
            </w:pPr>
          </w:p>
        </w:tc>
        <w:tc>
          <w:tcPr>
            <w:tcW w:w="2986" w:type="pct"/>
          </w:tcPr>
          <w:p w14:paraId="6E56500E" w14:textId="77777777" w:rsidR="00A31516" w:rsidRPr="00276BCA" w:rsidRDefault="28030ED4" w:rsidP="77D89277">
            <w:pPr>
              <w:pStyle w:val="TableText"/>
            </w:pPr>
            <w:r w:rsidRPr="00276BCA">
              <w:t xml:space="preserve">ESMO 2023 Presentation - Pooled </w:t>
            </w:r>
            <w:proofErr w:type="spellStart"/>
            <w:r w:rsidRPr="00276BCA">
              <w:t>HRQoL</w:t>
            </w:r>
            <w:proofErr w:type="spellEnd"/>
          </w:p>
        </w:tc>
        <w:tc>
          <w:tcPr>
            <w:tcW w:w="1230" w:type="pct"/>
          </w:tcPr>
          <w:p w14:paraId="004A2CAA" w14:textId="77777777" w:rsidR="00A31516" w:rsidRPr="00276BCA" w:rsidRDefault="00A31516" w:rsidP="00010C83">
            <w:pPr>
              <w:pStyle w:val="TableText"/>
            </w:pPr>
            <w:r w:rsidRPr="00276BCA">
              <w:t>Sponsor Database</w:t>
            </w:r>
          </w:p>
        </w:tc>
      </w:tr>
      <w:tr w:rsidR="00E41328" w:rsidRPr="00276BCA" w14:paraId="616E942E" w14:textId="77777777" w:rsidTr="77D89277">
        <w:tc>
          <w:tcPr>
            <w:tcW w:w="784" w:type="pct"/>
            <w:vMerge/>
          </w:tcPr>
          <w:p w14:paraId="7321370E" w14:textId="77777777" w:rsidR="00A31516" w:rsidRPr="00276BCA" w:rsidRDefault="00A31516" w:rsidP="00010C83">
            <w:pPr>
              <w:pStyle w:val="TableText"/>
            </w:pPr>
          </w:p>
        </w:tc>
        <w:tc>
          <w:tcPr>
            <w:tcW w:w="2986" w:type="pct"/>
          </w:tcPr>
          <w:p w14:paraId="5C4A018E" w14:textId="77777777" w:rsidR="00A31516" w:rsidRPr="00276BCA" w:rsidRDefault="28030ED4" w:rsidP="00010C83">
            <w:pPr>
              <w:pStyle w:val="TableText"/>
            </w:pPr>
            <w:proofErr w:type="spellStart"/>
            <w:r w:rsidRPr="00276BCA">
              <w:t>Lordick</w:t>
            </w:r>
            <w:proofErr w:type="spellEnd"/>
            <w:r w:rsidRPr="00276BCA">
              <w:t>, F., Van Cutsem, E. et al. "1530P Health-related quality of life (</w:t>
            </w:r>
            <w:proofErr w:type="spellStart"/>
            <w:r w:rsidRPr="00276BCA">
              <w:t>hrqol</w:t>
            </w:r>
            <w:proofErr w:type="spellEnd"/>
            <w:r w:rsidRPr="00276BCA">
              <w:t xml:space="preserve">) in patients with claudin-18 isoform 2-positive (CLDN18. 2+) locally advanced (LA) unresectable or metastatic gastric or gastroesophageal junction (mg/GEJ) adenocarcinoma: Results from SPOTLIGHT and GLOW." </w:t>
            </w:r>
          </w:p>
        </w:tc>
        <w:tc>
          <w:tcPr>
            <w:tcW w:w="1230" w:type="pct"/>
          </w:tcPr>
          <w:p w14:paraId="1E2A8CF7" w14:textId="77777777" w:rsidR="00A31516" w:rsidRPr="00276BCA" w:rsidRDefault="00A31516" w:rsidP="00010C83">
            <w:pPr>
              <w:pStyle w:val="TableText"/>
            </w:pPr>
            <w:r w:rsidRPr="00276BCA">
              <w:t>Annals of Oncology 2023; 34(S2): S860-S861.</w:t>
            </w:r>
          </w:p>
        </w:tc>
      </w:tr>
      <w:tr w:rsidR="00E41328" w:rsidRPr="00276BCA" w14:paraId="6F72A310" w14:textId="77777777" w:rsidTr="77D89277">
        <w:tc>
          <w:tcPr>
            <w:tcW w:w="5000" w:type="pct"/>
            <w:gridSpan w:val="3"/>
          </w:tcPr>
          <w:p w14:paraId="6A37883E" w14:textId="77777777" w:rsidR="00A31516" w:rsidRPr="00276BCA" w:rsidRDefault="00A31516" w:rsidP="00010C83">
            <w:pPr>
              <w:pStyle w:val="TableText"/>
              <w:rPr>
                <w:b/>
              </w:rPr>
            </w:pPr>
            <w:r w:rsidRPr="00276BCA">
              <w:rPr>
                <w:b/>
              </w:rPr>
              <w:t>Nivolumab</w:t>
            </w:r>
          </w:p>
        </w:tc>
      </w:tr>
      <w:tr w:rsidR="00E41328" w:rsidRPr="00276BCA" w14:paraId="6207B408" w14:textId="77777777" w:rsidTr="77D89277">
        <w:tc>
          <w:tcPr>
            <w:tcW w:w="784" w:type="pct"/>
            <w:vMerge w:val="restart"/>
          </w:tcPr>
          <w:p w14:paraId="1BE69646" w14:textId="77777777" w:rsidR="00A31516" w:rsidRPr="00276BCA" w:rsidRDefault="00A31516" w:rsidP="00010C83">
            <w:pPr>
              <w:pStyle w:val="TableText"/>
            </w:pPr>
            <w:r w:rsidRPr="00276BCA">
              <w:t>ATTRACTION-4</w:t>
            </w:r>
          </w:p>
          <w:p w14:paraId="781FBFD6" w14:textId="77777777" w:rsidR="00A31516" w:rsidRPr="00276BCA" w:rsidRDefault="00A31516" w:rsidP="00010C83">
            <w:pPr>
              <w:pStyle w:val="TableText"/>
            </w:pPr>
            <w:r w:rsidRPr="00276BCA">
              <w:t>(NCT02746796)</w:t>
            </w:r>
          </w:p>
        </w:tc>
        <w:tc>
          <w:tcPr>
            <w:tcW w:w="2986" w:type="pct"/>
          </w:tcPr>
          <w:p w14:paraId="750F6EB9" w14:textId="77777777" w:rsidR="00A31516" w:rsidRPr="00276BCA" w:rsidRDefault="00A31516" w:rsidP="00010C83">
            <w:pPr>
              <w:pStyle w:val="TableText"/>
            </w:pPr>
            <w:r w:rsidRPr="002425ED">
              <w:t xml:space="preserve">Kang, Y., Chen, L., et al. </w:t>
            </w:r>
            <w:r w:rsidRPr="00276BCA">
              <w:t xml:space="preserve">Nivolumab plus chemotherapy versus placebo plus chemotherapy in patients with HER2-negative, untreated, unresectable advanced or recurrent gastric or gastro-oesophageal junction cancer (ATTRACTION-4): a randomised, multicentre, double-blind, placebo-controlled, phase 3 trial. </w:t>
            </w:r>
          </w:p>
        </w:tc>
        <w:tc>
          <w:tcPr>
            <w:tcW w:w="1230" w:type="pct"/>
          </w:tcPr>
          <w:p w14:paraId="6C17A451" w14:textId="77777777" w:rsidR="00A31516" w:rsidRPr="00276BCA" w:rsidRDefault="00A31516" w:rsidP="00010C83">
            <w:pPr>
              <w:pStyle w:val="TableText"/>
            </w:pPr>
            <w:r w:rsidRPr="00276BCA">
              <w:t>Lancet Oncology 2022; 23(2): 234-247.</w:t>
            </w:r>
          </w:p>
        </w:tc>
      </w:tr>
      <w:tr w:rsidR="00E41328" w:rsidRPr="00276BCA" w14:paraId="6D405CDC" w14:textId="77777777" w:rsidTr="77D89277">
        <w:tc>
          <w:tcPr>
            <w:tcW w:w="784" w:type="pct"/>
            <w:vMerge/>
          </w:tcPr>
          <w:p w14:paraId="5C927371" w14:textId="77777777" w:rsidR="00A31516" w:rsidRPr="00276BCA" w:rsidRDefault="00A31516" w:rsidP="00010C83">
            <w:pPr>
              <w:pStyle w:val="TableText"/>
            </w:pPr>
          </w:p>
        </w:tc>
        <w:tc>
          <w:tcPr>
            <w:tcW w:w="2986" w:type="pct"/>
          </w:tcPr>
          <w:p w14:paraId="79639C66" w14:textId="77777777" w:rsidR="00A31516" w:rsidRPr="00276BCA" w:rsidRDefault="00A31516" w:rsidP="00010C83">
            <w:pPr>
              <w:pStyle w:val="TableText"/>
            </w:pPr>
            <w:r w:rsidRPr="002425ED">
              <w:t xml:space="preserve">Boku, N., Ryu. M., et al. </w:t>
            </w:r>
            <w:r w:rsidRPr="00276BCA">
              <w:t xml:space="preserve">Safety and efficacy of nivolumab in combination with S-1/capecitabine plus oxaliplatin in patients with previously untreated, unresectable, advanced, or recurrent gastric/ gastroesophageal junction cancer: interim results of a randomized, phase II trial (ATTRACTION-4). </w:t>
            </w:r>
          </w:p>
        </w:tc>
        <w:tc>
          <w:tcPr>
            <w:tcW w:w="1230" w:type="pct"/>
          </w:tcPr>
          <w:p w14:paraId="7D73F9E6" w14:textId="77777777" w:rsidR="00A31516" w:rsidRPr="00276BCA" w:rsidRDefault="00A31516" w:rsidP="00010C83">
            <w:pPr>
              <w:pStyle w:val="TableText"/>
            </w:pPr>
            <w:r w:rsidRPr="00276BCA">
              <w:t>Annals of Oncology 2019; 30(2): 250-258.</w:t>
            </w:r>
          </w:p>
          <w:p w14:paraId="6546EEB4" w14:textId="77777777" w:rsidR="00A31516" w:rsidRPr="00276BCA" w:rsidRDefault="00A31516" w:rsidP="00010C83">
            <w:pPr>
              <w:pStyle w:val="TableText"/>
            </w:pPr>
          </w:p>
        </w:tc>
      </w:tr>
      <w:tr w:rsidR="00E41328" w:rsidRPr="00276BCA" w14:paraId="44C33F8B" w14:textId="77777777" w:rsidTr="77D89277">
        <w:tc>
          <w:tcPr>
            <w:tcW w:w="784" w:type="pct"/>
            <w:vMerge/>
          </w:tcPr>
          <w:p w14:paraId="59374C39" w14:textId="77777777" w:rsidR="00A31516" w:rsidRPr="00276BCA" w:rsidRDefault="00A31516" w:rsidP="00010C83">
            <w:pPr>
              <w:pStyle w:val="TableText"/>
            </w:pPr>
          </w:p>
        </w:tc>
        <w:tc>
          <w:tcPr>
            <w:tcW w:w="2986" w:type="pct"/>
          </w:tcPr>
          <w:p w14:paraId="3973FA8D" w14:textId="74712189" w:rsidR="00A31516" w:rsidRPr="00276BCA" w:rsidRDefault="00A31516" w:rsidP="00010C83">
            <w:pPr>
              <w:pStyle w:val="TableText"/>
            </w:pPr>
            <w:r w:rsidRPr="002425ED">
              <w:t xml:space="preserve">Ryu, M., Kang, Y., et al. </w:t>
            </w:r>
            <w:r w:rsidRPr="00276BCA">
              <w:t>PP213 Three-year follow-up of the ATTRACTION-4 Korean subgroup analysis: First-line (1L) nivolumab plus chemotherapy versus placebo plus chemotherapy in patients with previously untreated, advanced, or recurrent gastric/gastro-</w:t>
            </w:r>
            <w:proofErr w:type="spellStart"/>
            <w:r w:rsidRPr="00276BCA">
              <w:t>esophageal</w:t>
            </w:r>
            <w:proofErr w:type="spellEnd"/>
            <w:r w:rsidRPr="00276BCA">
              <w:t xml:space="preserve"> junction (G/GEJ) cancer.</w:t>
            </w:r>
          </w:p>
        </w:tc>
        <w:tc>
          <w:tcPr>
            <w:tcW w:w="1230" w:type="pct"/>
          </w:tcPr>
          <w:p w14:paraId="315FD6E1" w14:textId="77777777" w:rsidR="00A31516" w:rsidRPr="00276BCA" w:rsidRDefault="00A31516" w:rsidP="00010C83">
            <w:pPr>
              <w:pStyle w:val="TableText"/>
            </w:pPr>
            <w:r w:rsidRPr="00276BCA">
              <w:t>ESMO Open 2023; 8(1S6): 14</w:t>
            </w:r>
          </w:p>
        </w:tc>
      </w:tr>
      <w:tr w:rsidR="00E41328" w:rsidRPr="00276BCA" w14:paraId="6AD8C98F" w14:textId="77777777" w:rsidTr="77D89277">
        <w:tc>
          <w:tcPr>
            <w:tcW w:w="784" w:type="pct"/>
            <w:vMerge/>
          </w:tcPr>
          <w:p w14:paraId="11698E1E" w14:textId="77777777" w:rsidR="00A31516" w:rsidRPr="00276BCA" w:rsidRDefault="00A31516" w:rsidP="00010C83">
            <w:pPr>
              <w:pStyle w:val="TableText"/>
            </w:pPr>
          </w:p>
        </w:tc>
        <w:tc>
          <w:tcPr>
            <w:tcW w:w="2986" w:type="pct"/>
          </w:tcPr>
          <w:p w14:paraId="197DC77A" w14:textId="77777777" w:rsidR="00A31516" w:rsidRPr="00276BCA" w:rsidRDefault="00A31516" w:rsidP="00010C83">
            <w:pPr>
              <w:pStyle w:val="TableText"/>
            </w:pPr>
            <w:r w:rsidRPr="002425ED">
              <w:t xml:space="preserve">Boku, N., Ryu. M., et al. </w:t>
            </w:r>
            <w:r w:rsidRPr="00276BCA">
              <w:t xml:space="preserve">LBA7_PR Nivolumab plus chemotherapy versus chemotherapy alone in patients with previously untreated advanced or recurrent gastric/gastroesophageal junction (G/GEJ) cancer: ATTRACTION-4 (ONO-4538-37) study. </w:t>
            </w:r>
          </w:p>
        </w:tc>
        <w:tc>
          <w:tcPr>
            <w:tcW w:w="1230" w:type="pct"/>
          </w:tcPr>
          <w:p w14:paraId="095A5E1A" w14:textId="77777777" w:rsidR="00A31516" w:rsidRPr="00276BCA" w:rsidRDefault="00A31516" w:rsidP="00010C83">
            <w:pPr>
              <w:pStyle w:val="TableText"/>
            </w:pPr>
            <w:r w:rsidRPr="00276BCA">
              <w:t>Annals of Oncology 2020; 31(S4): S1192.</w:t>
            </w:r>
          </w:p>
        </w:tc>
      </w:tr>
      <w:tr w:rsidR="00E41328" w:rsidRPr="00276BCA" w14:paraId="4D60E1F2" w14:textId="77777777" w:rsidTr="77D89277">
        <w:tc>
          <w:tcPr>
            <w:tcW w:w="784" w:type="pct"/>
            <w:vMerge w:val="restart"/>
          </w:tcPr>
          <w:p w14:paraId="19B9630B" w14:textId="77777777" w:rsidR="00A31516" w:rsidRPr="00276BCA" w:rsidRDefault="28030ED4" w:rsidP="00010C83">
            <w:pPr>
              <w:pStyle w:val="TableText"/>
            </w:pPr>
            <w:proofErr w:type="spellStart"/>
            <w:r w:rsidRPr="00276BCA">
              <w:t>CheckMate</w:t>
            </w:r>
            <w:proofErr w:type="spellEnd"/>
            <w:r w:rsidRPr="00276BCA">
              <w:t xml:space="preserve"> 649</w:t>
            </w:r>
          </w:p>
          <w:p w14:paraId="78196CA4" w14:textId="77777777" w:rsidR="00A31516" w:rsidRPr="00276BCA" w:rsidRDefault="00A31516" w:rsidP="00010C83">
            <w:pPr>
              <w:pStyle w:val="TableText"/>
            </w:pPr>
            <w:r w:rsidRPr="00276BCA">
              <w:t>(NCT02872116)</w:t>
            </w:r>
          </w:p>
        </w:tc>
        <w:tc>
          <w:tcPr>
            <w:tcW w:w="2986" w:type="pct"/>
          </w:tcPr>
          <w:p w14:paraId="0269D302" w14:textId="77777777" w:rsidR="00A31516" w:rsidRPr="002425ED" w:rsidRDefault="28030ED4" w:rsidP="00010C83">
            <w:pPr>
              <w:pStyle w:val="TableText"/>
            </w:pPr>
            <w:proofErr w:type="spellStart"/>
            <w:r w:rsidRPr="002425ED">
              <w:t>Janjigian</w:t>
            </w:r>
            <w:proofErr w:type="spellEnd"/>
            <w:r w:rsidRPr="002425ED">
              <w:t>, Y., Shitara, K., et al. First-line nivolumab plus chemotherapy versus chemotherapy alone for advanced gastric, gastro-oesophageal junction, and oesophageal adenocarcinoma (</w:t>
            </w:r>
            <w:proofErr w:type="spellStart"/>
            <w:r w:rsidRPr="002425ED">
              <w:t>CheckMate</w:t>
            </w:r>
            <w:proofErr w:type="spellEnd"/>
            <w:r w:rsidRPr="002425ED">
              <w:t xml:space="preserve"> 649): a randomised, open-label, phase 3 trial. </w:t>
            </w:r>
          </w:p>
        </w:tc>
        <w:tc>
          <w:tcPr>
            <w:tcW w:w="1230" w:type="pct"/>
          </w:tcPr>
          <w:p w14:paraId="30D097EB" w14:textId="77777777" w:rsidR="00A31516" w:rsidRPr="00276BCA" w:rsidRDefault="00A31516" w:rsidP="00010C83">
            <w:pPr>
              <w:pStyle w:val="TableText"/>
            </w:pPr>
            <w:r w:rsidRPr="00276BCA">
              <w:t>Lancet 2021;398(10294): 27-40.</w:t>
            </w:r>
          </w:p>
        </w:tc>
      </w:tr>
      <w:tr w:rsidR="00E41328" w:rsidRPr="00276BCA" w14:paraId="65AFCDA1" w14:textId="77777777" w:rsidTr="77D89277">
        <w:tc>
          <w:tcPr>
            <w:tcW w:w="784" w:type="pct"/>
            <w:vMerge/>
          </w:tcPr>
          <w:p w14:paraId="18C8EE03" w14:textId="77777777" w:rsidR="00A31516" w:rsidRPr="00276BCA" w:rsidRDefault="00A31516" w:rsidP="00010C83">
            <w:pPr>
              <w:pStyle w:val="TableText"/>
            </w:pPr>
          </w:p>
        </w:tc>
        <w:tc>
          <w:tcPr>
            <w:tcW w:w="2986" w:type="pct"/>
          </w:tcPr>
          <w:p w14:paraId="6F5FAE8C" w14:textId="77777777" w:rsidR="00A31516" w:rsidRPr="00276BCA" w:rsidRDefault="28030ED4" w:rsidP="00010C83">
            <w:pPr>
              <w:pStyle w:val="TableText"/>
            </w:pPr>
            <w:proofErr w:type="spellStart"/>
            <w:r w:rsidRPr="00F8253F">
              <w:t>Janjigian</w:t>
            </w:r>
            <w:proofErr w:type="spellEnd"/>
            <w:r w:rsidRPr="00F8253F">
              <w:t xml:space="preserve">, Y., Ajani, J., et al. </w:t>
            </w:r>
            <w:r w:rsidRPr="00276BCA">
              <w:t xml:space="preserve">First-Line Nivolumab Plus Chemotherapy for Advanced Gastric, Gastroesophageal Junction, and </w:t>
            </w:r>
            <w:proofErr w:type="spellStart"/>
            <w:r w:rsidRPr="00276BCA">
              <w:t>Esophageal</w:t>
            </w:r>
            <w:proofErr w:type="spellEnd"/>
            <w:r w:rsidRPr="00276BCA">
              <w:t xml:space="preserve"> Adenocarcinoma: 3-Year Follow-Up of the Phase III </w:t>
            </w:r>
            <w:proofErr w:type="spellStart"/>
            <w:r w:rsidRPr="00276BCA">
              <w:t>CheckMate</w:t>
            </w:r>
            <w:proofErr w:type="spellEnd"/>
            <w:r w:rsidRPr="00276BCA">
              <w:t xml:space="preserve"> 649 Trial</w:t>
            </w:r>
          </w:p>
        </w:tc>
        <w:tc>
          <w:tcPr>
            <w:tcW w:w="1230" w:type="pct"/>
          </w:tcPr>
          <w:p w14:paraId="44B8194F" w14:textId="77777777" w:rsidR="00A31516" w:rsidRPr="00276BCA" w:rsidRDefault="00A31516" w:rsidP="00010C83">
            <w:pPr>
              <w:pStyle w:val="TableText"/>
            </w:pPr>
            <w:r w:rsidRPr="00276BCA">
              <w:t>Journal of Clinical Oncology 2024; 42(17): 2012-2020.</w:t>
            </w:r>
          </w:p>
        </w:tc>
      </w:tr>
      <w:tr w:rsidR="00E41328" w:rsidRPr="00276BCA" w14:paraId="0F69F637" w14:textId="77777777" w:rsidTr="77D89277">
        <w:tc>
          <w:tcPr>
            <w:tcW w:w="784" w:type="pct"/>
            <w:vMerge/>
          </w:tcPr>
          <w:p w14:paraId="247082D7" w14:textId="77777777" w:rsidR="00A31516" w:rsidRPr="00276BCA" w:rsidRDefault="00A31516" w:rsidP="00010C83">
            <w:pPr>
              <w:pStyle w:val="TableText"/>
            </w:pPr>
          </w:p>
        </w:tc>
        <w:tc>
          <w:tcPr>
            <w:tcW w:w="2986" w:type="pct"/>
          </w:tcPr>
          <w:p w14:paraId="0B58346C" w14:textId="77777777" w:rsidR="00A31516" w:rsidRPr="00276BCA" w:rsidRDefault="00A31516" w:rsidP="00010C83">
            <w:pPr>
              <w:pStyle w:val="TableText"/>
            </w:pPr>
            <w:r w:rsidRPr="002425ED">
              <w:t xml:space="preserve">Lin, D., Nguyen, H., et al. </w:t>
            </w:r>
            <w:r w:rsidRPr="00276BCA">
              <w:t xml:space="preserve">Quality-adjusted time without symptoms or toxicity analysis of nivolumab plus chemotherapy versus chemotherapy alone for the management of previously untreated patients with advanced gastric cancer, gastroesophageal junction cancer, or </w:t>
            </w:r>
            <w:proofErr w:type="spellStart"/>
            <w:r w:rsidRPr="00276BCA">
              <w:t>esophageal</w:t>
            </w:r>
            <w:proofErr w:type="spellEnd"/>
            <w:r w:rsidRPr="00276BCA">
              <w:t xml:space="preserve"> adenocarcinoma. </w:t>
            </w:r>
          </w:p>
        </w:tc>
        <w:tc>
          <w:tcPr>
            <w:tcW w:w="1230" w:type="pct"/>
          </w:tcPr>
          <w:p w14:paraId="51DFBD32" w14:textId="77777777" w:rsidR="00A31516" w:rsidRPr="00276BCA" w:rsidRDefault="00A31516" w:rsidP="00010C83">
            <w:pPr>
              <w:pStyle w:val="TableText"/>
            </w:pPr>
            <w:r w:rsidRPr="00276BCA">
              <w:t>Gastric Cancer 2023; 26(3): 415-424.</w:t>
            </w:r>
          </w:p>
        </w:tc>
      </w:tr>
      <w:tr w:rsidR="00E41328" w:rsidRPr="00276BCA" w14:paraId="5A704253" w14:textId="77777777" w:rsidTr="77D89277">
        <w:tc>
          <w:tcPr>
            <w:tcW w:w="784" w:type="pct"/>
            <w:vMerge/>
          </w:tcPr>
          <w:p w14:paraId="6F1767A8" w14:textId="77777777" w:rsidR="00A31516" w:rsidRPr="00276BCA" w:rsidRDefault="00A31516" w:rsidP="00010C83">
            <w:pPr>
              <w:pStyle w:val="TableText"/>
            </w:pPr>
          </w:p>
        </w:tc>
        <w:tc>
          <w:tcPr>
            <w:tcW w:w="2986" w:type="pct"/>
          </w:tcPr>
          <w:p w14:paraId="6FF08367" w14:textId="77777777" w:rsidR="00A31516" w:rsidRPr="00276BCA" w:rsidRDefault="00A31516" w:rsidP="00010C83">
            <w:pPr>
              <w:pStyle w:val="TableText"/>
            </w:pPr>
            <w:r w:rsidRPr="00F8253F">
              <w:t xml:space="preserve">Liu, T., Bai, Y., et al. </w:t>
            </w:r>
            <w:r w:rsidRPr="00276BCA">
              <w:t xml:space="preserve">First-line nivolumab plus chemotherapy vs chemotherapy in patients with advanced gastric, gastroesophageal junction and </w:t>
            </w:r>
            <w:proofErr w:type="spellStart"/>
            <w:r w:rsidRPr="00276BCA">
              <w:t>esophageal</w:t>
            </w:r>
            <w:proofErr w:type="spellEnd"/>
            <w:r w:rsidRPr="00276BCA">
              <w:t xml:space="preserve"> adenocarcinoma: </w:t>
            </w:r>
            <w:proofErr w:type="spellStart"/>
            <w:r w:rsidRPr="00276BCA">
              <w:t>CheckMate</w:t>
            </w:r>
            <w:proofErr w:type="spellEnd"/>
            <w:r w:rsidRPr="00276BCA">
              <w:t xml:space="preserve"> 649 Chinese subgroup analysis. </w:t>
            </w:r>
          </w:p>
        </w:tc>
        <w:tc>
          <w:tcPr>
            <w:tcW w:w="1230" w:type="pct"/>
          </w:tcPr>
          <w:p w14:paraId="78EDEB7E" w14:textId="77777777" w:rsidR="00A31516" w:rsidRPr="00276BCA" w:rsidRDefault="00A31516" w:rsidP="00010C83">
            <w:pPr>
              <w:pStyle w:val="TableText"/>
            </w:pPr>
            <w:r w:rsidRPr="00276BCA">
              <w:t>International Journal of Cancer 2023; 152(4):749-760.</w:t>
            </w:r>
          </w:p>
        </w:tc>
      </w:tr>
      <w:tr w:rsidR="00E41328" w:rsidRPr="00276BCA" w14:paraId="26F965A5" w14:textId="77777777" w:rsidTr="77D89277">
        <w:tc>
          <w:tcPr>
            <w:tcW w:w="784" w:type="pct"/>
            <w:vMerge/>
          </w:tcPr>
          <w:p w14:paraId="1FAD463E" w14:textId="77777777" w:rsidR="00A31516" w:rsidRPr="00276BCA" w:rsidRDefault="00A31516" w:rsidP="00010C83">
            <w:pPr>
              <w:pStyle w:val="TableText"/>
            </w:pPr>
          </w:p>
        </w:tc>
        <w:tc>
          <w:tcPr>
            <w:tcW w:w="2986" w:type="pct"/>
          </w:tcPr>
          <w:p w14:paraId="556C7511" w14:textId="77777777" w:rsidR="00A31516" w:rsidRPr="00276BCA" w:rsidRDefault="00A31516" w:rsidP="00010C83">
            <w:pPr>
              <w:pStyle w:val="TableText"/>
            </w:pPr>
            <w:r w:rsidRPr="002425ED">
              <w:t xml:space="preserve">Shitara, K., Ajani, J., et al. </w:t>
            </w:r>
            <w:r w:rsidRPr="00276BCA">
              <w:t xml:space="preserve">Nivolumab plus chemotherapy or ipilimumab </w:t>
            </w:r>
            <w:r w:rsidRPr="00276BCA">
              <w:lastRenderedPageBreak/>
              <w:t xml:space="preserve">in gastro-oesophageal cancer. </w:t>
            </w:r>
          </w:p>
        </w:tc>
        <w:tc>
          <w:tcPr>
            <w:tcW w:w="1230" w:type="pct"/>
          </w:tcPr>
          <w:p w14:paraId="3CD3DE06" w14:textId="77777777" w:rsidR="00A31516" w:rsidRPr="00276BCA" w:rsidRDefault="00A31516" w:rsidP="00010C83">
            <w:pPr>
              <w:pStyle w:val="TableText"/>
            </w:pPr>
            <w:r w:rsidRPr="00276BCA">
              <w:lastRenderedPageBreak/>
              <w:t xml:space="preserve">Nature (2022); 603, 942–948 </w:t>
            </w:r>
            <w:r w:rsidRPr="00276BCA">
              <w:lastRenderedPageBreak/>
              <w:t>(2022).</w:t>
            </w:r>
          </w:p>
        </w:tc>
      </w:tr>
      <w:tr w:rsidR="00E41328" w:rsidRPr="00276BCA" w14:paraId="63F866EF" w14:textId="77777777" w:rsidTr="77D89277">
        <w:tc>
          <w:tcPr>
            <w:tcW w:w="784" w:type="pct"/>
            <w:vMerge/>
          </w:tcPr>
          <w:p w14:paraId="48BD4022" w14:textId="77777777" w:rsidR="00A31516" w:rsidRPr="00276BCA" w:rsidRDefault="00A31516" w:rsidP="00010C83">
            <w:pPr>
              <w:pStyle w:val="TableText"/>
            </w:pPr>
          </w:p>
        </w:tc>
        <w:tc>
          <w:tcPr>
            <w:tcW w:w="2986" w:type="pct"/>
          </w:tcPr>
          <w:p w14:paraId="1F524659" w14:textId="2A0E3AE5" w:rsidR="00A31516" w:rsidRPr="002425ED" w:rsidRDefault="28030ED4" w:rsidP="00010C83">
            <w:pPr>
              <w:pStyle w:val="TableText"/>
            </w:pPr>
            <w:r w:rsidRPr="002425ED">
              <w:t>Shen, L., Bai, Y., et al. CT184: First-Line (1L) nivolumab (NIVO) plus chemotherapy (chemo) versus chemo in patients (pts) with advanced gastric cancer/gastroesophageal junction cancer/</w:t>
            </w:r>
            <w:proofErr w:type="spellStart"/>
            <w:r w:rsidRPr="002425ED">
              <w:t>esophageal</w:t>
            </w:r>
            <w:proofErr w:type="spellEnd"/>
            <w:r w:rsidRPr="002425ED">
              <w:t xml:space="preserve"> adenocarcinoma (GC/GEJC/EAC): </w:t>
            </w:r>
            <w:proofErr w:type="spellStart"/>
            <w:r w:rsidRPr="002425ED">
              <w:t>CheckMate</w:t>
            </w:r>
            <w:proofErr w:type="spellEnd"/>
            <w:r w:rsidRPr="002425ED">
              <w:t xml:space="preserve"> 649 Chinese subgroup analysis. </w:t>
            </w:r>
          </w:p>
        </w:tc>
        <w:tc>
          <w:tcPr>
            <w:tcW w:w="1230" w:type="pct"/>
          </w:tcPr>
          <w:p w14:paraId="326190AF" w14:textId="77777777" w:rsidR="00A31516" w:rsidRPr="00276BCA" w:rsidRDefault="00A31516" w:rsidP="00010C83">
            <w:pPr>
              <w:pStyle w:val="TableText"/>
            </w:pPr>
            <w:r w:rsidRPr="00276BCA">
              <w:t>Cancer Research 2021; 81(S13)</w:t>
            </w:r>
          </w:p>
        </w:tc>
      </w:tr>
      <w:tr w:rsidR="00E41328" w:rsidRPr="00276BCA" w14:paraId="77E4A894" w14:textId="77777777" w:rsidTr="77D89277">
        <w:tc>
          <w:tcPr>
            <w:tcW w:w="784" w:type="pct"/>
            <w:vMerge/>
          </w:tcPr>
          <w:p w14:paraId="4B91C51A" w14:textId="77777777" w:rsidR="00A31516" w:rsidRPr="00276BCA" w:rsidRDefault="00A31516" w:rsidP="00010C83">
            <w:pPr>
              <w:pStyle w:val="TableText"/>
            </w:pPr>
          </w:p>
        </w:tc>
        <w:tc>
          <w:tcPr>
            <w:tcW w:w="2986" w:type="pct"/>
          </w:tcPr>
          <w:p w14:paraId="32434DF6" w14:textId="77777777" w:rsidR="00A31516" w:rsidRPr="002425ED" w:rsidRDefault="00A31516" w:rsidP="00010C83">
            <w:pPr>
              <w:pStyle w:val="TableText"/>
            </w:pPr>
            <w:r w:rsidRPr="002425ED">
              <w:t>Moehler, M., Shitara, K., et al. LBA6_PR Nivolumab (</w:t>
            </w:r>
            <w:proofErr w:type="spellStart"/>
            <w:r w:rsidRPr="002425ED">
              <w:t>nivo</w:t>
            </w:r>
            <w:proofErr w:type="spellEnd"/>
            <w:r w:rsidRPr="002425ED">
              <w:t>) plus chemotherapy (chemo) versus chemo as first-line (1L) treatment for advanced gastric cancer/gastroesophageal junction cancer (GC/GEJC)/</w:t>
            </w:r>
            <w:proofErr w:type="spellStart"/>
            <w:r w:rsidRPr="002425ED">
              <w:t>esophageal</w:t>
            </w:r>
            <w:proofErr w:type="spellEnd"/>
            <w:r w:rsidRPr="002425ED">
              <w:t xml:space="preserve"> adenocarcinoma (EAC): First results of the </w:t>
            </w:r>
            <w:proofErr w:type="spellStart"/>
            <w:r w:rsidRPr="002425ED">
              <w:t>CheckMate</w:t>
            </w:r>
            <w:proofErr w:type="spellEnd"/>
            <w:r w:rsidRPr="002425ED">
              <w:t xml:space="preserve"> 649 study.</w:t>
            </w:r>
          </w:p>
        </w:tc>
        <w:tc>
          <w:tcPr>
            <w:tcW w:w="1230" w:type="pct"/>
          </w:tcPr>
          <w:p w14:paraId="5B12B633" w14:textId="77777777" w:rsidR="00A31516" w:rsidRPr="00276BCA" w:rsidRDefault="00A31516" w:rsidP="00010C83">
            <w:pPr>
              <w:pStyle w:val="TableText"/>
            </w:pPr>
            <w:r w:rsidRPr="00276BCA">
              <w:t>Annals of Oncology 2020; 31 (S4): S1191</w:t>
            </w:r>
          </w:p>
        </w:tc>
      </w:tr>
      <w:tr w:rsidR="00E41328" w:rsidRPr="00276BCA" w14:paraId="76BC24EE" w14:textId="77777777" w:rsidTr="77D89277">
        <w:tc>
          <w:tcPr>
            <w:tcW w:w="5000" w:type="pct"/>
            <w:gridSpan w:val="3"/>
          </w:tcPr>
          <w:p w14:paraId="1A241EBE" w14:textId="77777777" w:rsidR="00A31516" w:rsidRPr="00276BCA" w:rsidRDefault="00A31516" w:rsidP="00010C83">
            <w:pPr>
              <w:pStyle w:val="TableText"/>
              <w:rPr>
                <w:b/>
              </w:rPr>
            </w:pPr>
            <w:r w:rsidRPr="00276BCA">
              <w:rPr>
                <w:b/>
              </w:rPr>
              <w:t>Network meta-analyses</w:t>
            </w:r>
          </w:p>
        </w:tc>
      </w:tr>
      <w:tr w:rsidR="00E41328" w:rsidRPr="00276BCA" w14:paraId="29DFDDF9" w14:textId="77777777" w:rsidTr="77D89277">
        <w:tc>
          <w:tcPr>
            <w:tcW w:w="784" w:type="pct"/>
          </w:tcPr>
          <w:p w14:paraId="2AE1AA5C" w14:textId="77777777" w:rsidR="00A31516" w:rsidRPr="00276BCA" w:rsidRDefault="00A31516" w:rsidP="00010C83">
            <w:pPr>
              <w:pStyle w:val="TableText"/>
            </w:pPr>
            <w:r w:rsidRPr="00276BCA">
              <w:t>Technical Study Report</w:t>
            </w:r>
          </w:p>
        </w:tc>
        <w:tc>
          <w:tcPr>
            <w:tcW w:w="2986" w:type="pct"/>
          </w:tcPr>
          <w:p w14:paraId="2E51547A" w14:textId="77777777" w:rsidR="00A31516" w:rsidRPr="00276BCA" w:rsidRDefault="00A31516" w:rsidP="00010C83">
            <w:pPr>
              <w:pStyle w:val="TableText"/>
            </w:pPr>
            <w:r w:rsidRPr="00276BCA">
              <w:t>Network Meta-Analysis (NMA) of First-Line Treatments for Locally Advanced or Metastatic Gastric and Gastroesophageal Junction Cancer (Attachment 04 - NMA for GC 1L Treatments - Study Report – 05312024).</w:t>
            </w:r>
          </w:p>
        </w:tc>
        <w:tc>
          <w:tcPr>
            <w:tcW w:w="1230" w:type="pct"/>
          </w:tcPr>
          <w:p w14:paraId="0122A9FC" w14:textId="77777777" w:rsidR="00A31516" w:rsidRPr="00276BCA" w:rsidRDefault="00A31516" w:rsidP="00010C83">
            <w:pPr>
              <w:pStyle w:val="TableText"/>
            </w:pPr>
            <w:r w:rsidRPr="00276BCA">
              <w:t>Sponsor database</w:t>
            </w:r>
          </w:p>
        </w:tc>
      </w:tr>
      <w:tr w:rsidR="00E41328" w:rsidRPr="00276BCA" w14:paraId="40EBB772" w14:textId="77777777" w:rsidTr="77D89277">
        <w:tc>
          <w:tcPr>
            <w:tcW w:w="784" w:type="pct"/>
          </w:tcPr>
          <w:p w14:paraId="0C53607E" w14:textId="77777777" w:rsidR="00A31516" w:rsidRPr="00276BCA" w:rsidRDefault="00A31516" w:rsidP="00010C83">
            <w:pPr>
              <w:pStyle w:val="TableText"/>
            </w:pPr>
            <w:r w:rsidRPr="00276BCA">
              <w:t>Shah (2024)</w:t>
            </w:r>
          </w:p>
        </w:tc>
        <w:tc>
          <w:tcPr>
            <w:tcW w:w="2986" w:type="pct"/>
          </w:tcPr>
          <w:p w14:paraId="75A9883E" w14:textId="77777777" w:rsidR="00A31516" w:rsidRPr="00276BCA" w:rsidRDefault="28030ED4" w:rsidP="00010C83">
            <w:pPr>
              <w:pStyle w:val="TableText"/>
            </w:pPr>
            <w:r w:rsidRPr="00276BCA">
              <w:t>Shah, M., Shitara, K., et al., Network meta-analysis of global trials of 1L therapies in locally advanced (LA) unresectable or metastatic gastric or gastroesophageal junction (</w:t>
            </w:r>
            <w:proofErr w:type="spellStart"/>
            <w:r w:rsidRPr="00276BCA">
              <w:t>mG</w:t>
            </w:r>
            <w:proofErr w:type="spellEnd"/>
            <w:r w:rsidRPr="00276BCA">
              <w:t>/GEJ) adenocarcinoma.</w:t>
            </w:r>
          </w:p>
        </w:tc>
        <w:tc>
          <w:tcPr>
            <w:tcW w:w="1230" w:type="pct"/>
          </w:tcPr>
          <w:p w14:paraId="03DC9924" w14:textId="77777777" w:rsidR="00A31516" w:rsidRPr="00276BCA" w:rsidRDefault="00A31516" w:rsidP="00010C83">
            <w:pPr>
              <w:pStyle w:val="TableText"/>
            </w:pPr>
            <w:r w:rsidRPr="00276BCA">
              <w:t>Journal of Clinical Oncology 2024; 42: 325-325</w:t>
            </w:r>
          </w:p>
        </w:tc>
      </w:tr>
    </w:tbl>
    <w:p w14:paraId="3E844D36" w14:textId="7DF47E63" w:rsidR="00A31516" w:rsidRPr="00276BCA" w:rsidRDefault="00A31516" w:rsidP="00A31516">
      <w:pPr>
        <w:pStyle w:val="TableFigureFooter"/>
      </w:pPr>
      <w:r w:rsidRPr="00276BCA">
        <w:rPr>
          <w:szCs w:val="20"/>
          <w:lang w:eastAsia="en-US"/>
        </w:rPr>
        <w:t>Source: Table 2-3, pp50-52 of the submission.</w:t>
      </w:r>
    </w:p>
    <w:p w14:paraId="328F2FF6" w14:textId="2BA5585D" w:rsidR="0039045D" w:rsidRPr="00276BCA" w:rsidRDefault="00A5453C" w:rsidP="008E424C">
      <w:pPr>
        <w:pStyle w:val="ListParagraph"/>
        <w:numPr>
          <w:ilvl w:val="4"/>
          <w:numId w:val="8"/>
        </w:numPr>
        <w:rPr>
          <w:color w:val="auto"/>
        </w:rPr>
      </w:pPr>
      <w:r w:rsidRPr="00276BCA">
        <w:rPr>
          <w:color w:val="auto"/>
        </w:rPr>
        <w:t xml:space="preserve">The key features of the included evidence are summarised in the table below. </w:t>
      </w:r>
    </w:p>
    <w:p w14:paraId="030DB181" w14:textId="65C92300" w:rsidR="00C164A4" w:rsidRPr="00276BCA" w:rsidRDefault="00C164A4" w:rsidP="00204461">
      <w:pPr>
        <w:pStyle w:val="Caption"/>
      </w:pPr>
      <w:bookmarkStart w:id="45" w:name="_Ref492312105"/>
      <w:r w:rsidRPr="00276BCA">
        <w:lastRenderedPageBreak/>
        <w:t xml:space="preserve">Table </w:t>
      </w:r>
      <w:r w:rsidR="005E7C50">
        <w:fldChar w:fldCharType="begin"/>
      </w:r>
      <w:r w:rsidR="005E7C50">
        <w:instrText xml:space="preserve"> SEQ Table_PBAC. \* ARABIC </w:instrText>
      </w:r>
      <w:r w:rsidR="005E7C50">
        <w:fldChar w:fldCharType="separate"/>
      </w:r>
      <w:r w:rsidR="0011458F">
        <w:rPr>
          <w:noProof/>
        </w:rPr>
        <w:t>5</w:t>
      </w:r>
      <w:r w:rsidR="005E7C50">
        <w:rPr>
          <w:noProof/>
        </w:rPr>
        <w:fldChar w:fldCharType="end"/>
      </w:r>
      <w:bookmarkEnd w:id="45"/>
      <w:r w:rsidR="00A67718" w:rsidRPr="00276BCA">
        <w:t>:</w:t>
      </w:r>
      <w:r w:rsidRPr="00276BCA">
        <w:t xml:space="preserve"> Key features of the included evidence – indirect comparison</w:t>
      </w:r>
      <w:r w:rsidR="0039045D" w:rsidRPr="00276BCA">
        <w:t xml:space="preserve"> </w:t>
      </w:r>
    </w:p>
    <w:tbl>
      <w:tblPr>
        <w:tblStyle w:val="PBACTableStyle"/>
        <w:tblW w:w="5000" w:type="pct"/>
        <w:tblLook w:val="04A0" w:firstRow="1" w:lastRow="0" w:firstColumn="1" w:lastColumn="0" w:noHBand="0" w:noVBand="1"/>
        <w:tblCaption w:val="Table 5: Key features of the included evidence – indirect comparison "/>
      </w:tblPr>
      <w:tblGrid>
        <w:gridCol w:w="1319"/>
        <w:gridCol w:w="627"/>
        <w:gridCol w:w="2160"/>
        <w:gridCol w:w="3520"/>
        <w:gridCol w:w="1390"/>
      </w:tblGrid>
      <w:tr w:rsidR="00E154BD" w:rsidRPr="00276BCA" w14:paraId="5B33E0B0" w14:textId="77777777" w:rsidTr="00D706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1" w:type="pct"/>
            <w:tcBorders>
              <w:top w:val="single" w:sz="4" w:space="0" w:color="auto"/>
              <w:left w:val="single" w:sz="4" w:space="0" w:color="auto"/>
              <w:bottom w:val="single" w:sz="4" w:space="0" w:color="auto"/>
              <w:right w:val="single" w:sz="4" w:space="0" w:color="auto"/>
            </w:tcBorders>
            <w:vAlign w:val="bottom"/>
            <w:hideMark/>
          </w:tcPr>
          <w:p w14:paraId="3F5F5B7C" w14:textId="77777777" w:rsidR="009A23D7" w:rsidRPr="00276BCA" w:rsidRDefault="009A23D7" w:rsidP="002928A1">
            <w:pPr>
              <w:pStyle w:val="TableText"/>
              <w:keepNext/>
              <w:keepLines/>
              <w:rPr>
                <w:color w:val="auto"/>
                <w:lang w:val="en-AU"/>
              </w:rPr>
            </w:pPr>
            <w:r w:rsidRPr="00276BCA">
              <w:rPr>
                <w:lang w:val="en-AU"/>
              </w:rPr>
              <w:t>Trial</w:t>
            </w:r>
          </w:p>
        </w:tc>
        <w:tc>
          <w:tcPr>
            <w:tcW w:w="348" w:type="pct"/>
            <w:tcBorders>
              <w:top w:val="single" w:sz="4" w:space="0" w:color="auto"/>
              <w:left w:val="single" w:sz="4" w:space="0" w:color="auto"/>
              <w:bottom w:val="single" w:sz="4" w:space="0" w:color="auto"/>
              <w:right w:val="single" w:sz="4" w:space="0" w:color="auto"/>
            </w:tcBorders>
            <w:vAlign w:val="bottom"/>
            <w:hideMark/>
          </w:tcPr>
          <w:p w14:paraId="484571AD" w14:textId="77777777" w:rsidR="009A23D7" w:rsidRPr="00276BCA" w:rsidRDefault="009A23D7" w:rsidP="002928A1">
            <w:pPr>
              <w:pStyle w:val="TableText"/>
              <w:keepNext/>
              <w:keepLines/>
              <w:cnfStyle w:val="100000000000" w:firstRow="1" w:lastRow="0" w:firstColumn="0" w:lastColumn="0" w:oddVBand="0" w:evenVBand="0" w:oddHBand="0" w:evenHBand="0" w:firstRowFirstColumn="0" w:firstRowLastColumn="0" w:lastRowFirstColumn="0" w:lastRowLastColumn="0"/>
              <w:rPr>
                <w:b w:val="0"/>
                <w:color w:val="auto"/>
                <w:lang w:val="en-AU"/>
              </w:rPr>
            </w:pPr>
            <w:r w:rsidRPr="00276BCA">
              <w:rPr>
                <w:lang w:val="en-AU"/>
              </w:rPr>
              <w:t>N</w:t>
            </w:r>
          </w:p>
        </w:tc>
        <w:tc>
          <w:tcPr>
            <w:tcW w:w="1198" w:type="pct"/>
            <w:tcBorders>
              <w:top w:val="single" w:sz="4" w:space="0" w:color="auto"/>
              <w:left w:val="single" w:sz="4" w:space="0" w:color="auto"/>
              <w:bottom w:val="single" w:sz="4" w:space="0" w:color="auto"/>
              <w:right w:val="single" w:sz="4" w:space="0" w:color="auto"/>
            </w:tcBorders>
            <w:vAlign w:val="bottom"/>
            <w:hideMark/>
          </w:tcPr>
          <w:p w14:paraId="153CF41C" w14:textId="77777777" w:rsidR="00196A30" w:rsidRPr="00276BCA" w:rsidRDefault="009A23D7" w:rsidP="002928A1">
            <w:pPr>
              <w:pStyle w:val="TableText"/>
              <w:keepNext/>
              <w:keepLines/>
              <w:cnfStyle w:val="100000000000" w:firstRow="1" w:lastRow="0" w:firstColumn="0" w:lastColumn="0" w:oddVBand="0" w:evenVBand="0" w:oddHBand="0" w:evenHBand="0" w:firstRowFirstColumn="0" w:firstRowLastColumn="0" w:lastRowFirstColumn="0" w:lastRowLastColumn="0"/>
              <w:rPr>
                <w:b w:val="0"/>
                <w:color w:val="auto"/>
                <w:lang w:val="en-AU"/>
              </w:rPr>
            </w:pPr>
            <w:r w:rsidRPr="00276BCA">
              <w:rPr>
                <w:lang w:val="en-AU"/>
              </w:rPr>
              <w:t>Design/</w:t>
            </w:r>
          </w:p>
          <w:p w14:paraId="2B26CB39" w14:textId="6E746050" w:rsidR="009A23D7" w:rsidRPr="00276BCA" w:rsidRDefault="7C5BFD08" w:rsidP="002928A1">
            <w:pPr>
              <w:pStyle w:val="TableText"/>
              <w:keepNext/>
              <w:keepLines/>
              <w:cnfStyle w:val="100000000000" w:firstRow="1" w:lastRow="0" w:firstColumn="0" w:lastColumn="0" w:oddVBand="0" w:evenVBand="0" w:oddHBand="0" w:evenHBand="0" w:firstRowFirstColumn="0" w:firstRowLastColumn="0" w:lastRowFirstColumn="0" w:lastRowLastColumn="0"/>
              <w:rPr>
                <w:b w:val="0"/>
                <w:color w:val="auto"/>
                <w:lang w:val="en-AU"/>
              </w:rPr>
            </w:pPr>
            <w:r w:rsidRPr="00276BCA">
              <w:rPr>
                <w:lang w:val="en-AU"/>
              </w:rPr>
              <w:t xml:space="preserve">Median duration of follow-up for </w:t>
            </w:r>
            <w:proofErr w:type="spellStart"/>
            <w:r w:rsidRPr="00276BCA">
              <w:rPr>
                <w:lang w:val="en-AU"/>
              </w:rPr>
              <w:t>OS</w:t>
            </w:r>
            <w:r w:rsidR="00BD40D9" w:rsidRPr="00276BCA">
              <w:rPr>
                <w:vertAlign w:val="superscript"/>
                <w:lang w:val="en-AU"/>
              </w:rPr>
              <w:t>a</w:t>
            </w:r>
            <w:proofErr w:type="spellEnd"/>
          </w:p>
        </w:tc>
        <w:tc>
          <w:tcPr>
            <w:tcW w:w="1952" w:type="pct"/>
            <w:tcBorders>
              <w:top w:val="single" w:sz="4" w:space="0" w:color="auto"/>
              <w:left w:val="single" w:sz="4" w:space="0" w:color="auto"/>
              <w:bottom w:val="single" w:sz="4" w:space="0" w:color="auto"/>
              <w:right w:val="single" w:sz="4" w:space="0" w:color="auto"/>
            </w:tcBorders>
            <w:vAlign w:val="bottom"/>
            <w:hideMark/>
          </w:tcPr>
          <w:p w14:paraId="0A4F073A" w14:textId="3800E95E" w:rsidR="009A23D7" w:rsidRPr="00276BCA" w:rsidRDefault="009A23D7" w:rsidP="002928A1">
            <w:pPr>
              <w:pStyle w:val="TableText"/>
              <w:keepNext/>
              <w:keepLines/>
              <w:cnfStyle w:val="100000000000" w:firstRow="1" w:lastRow="0" w:firstColumn="0" w:lastColumn="0" w:oddVBand="0" w:evenVBand="0" w:oddHBand="0" w:evenHBand="0" w:firstRowFirstColumn="0" w:firstRowLastColumn="0" w:lastRowFirstColumn="0" w:lastRowLastColumn="0"/>
              <w:rPr>
                <w:b w:val="0"/>
                <w:color w:val="auto"/>
                <w:lang w:val="en-AU"/>
              </w:rPr>
            </w:pPr>
            <w:r w:rsidRPr="00276BCA">
              <w:rPr>
                <w:lang w:val="en-AU"/>
              </w:rPr>
              <w:t>Patient population</w:t>
            </w:r>
          </w:p>
        </w:tc>
        <w:tc>
          <w:tcPr>
            <w:tcW w:w="771" w:type="pct"/>
            <w:tcBorders>
              <w:top w:val="single" w:sz="4" w:space="0" w:color="auto"/>
              <w:left w:val="single" w:sz="4" w:space="0" w:color="auto"/>
              <w:bottom w:val="single" w:sz="4" w:space="0" w:color="auto"/>
              <w:right w:val="single" w:sz="4" w:space="0" w:color="auto"/>
            </w:tcBorders>
            <w:vAlign w:val="bottom"/>
            <w:hideMark/>
          </w:tcPr>
          <w:p w14:paraId="14D4F46B" w14:textId="007D1AED" w:rsidR="009A23D7" w:rsidRPr="00276BCA" w:rsidRDefault="009A23D7" w:rsidP="002928A1">
            <w:pPr>
              <w:pStyle w:val="TableText"/>
              <w:keepNext/>
              <w:keepLines/>
              <w:cnfStyle w:val="100000000000" w:firstRow="1" w:lastRow="0" w:firstColumn="0" w:lastColumn="0" w:oddVBand="0" w:evenVBand="0" w:oddHBand="0" w:evenHBand="0" w:firstRowFirstColumn="0" w:firstRowLastColumn="0" w:lastRowFirstColumn="0" w:lastRowLastColumn="0"/>
              <w:rPr>
                <w:b w:val="0"/>
                <w:color w:val="auto"/>
                <w:lang w:val="en-AU"/>
              </w:rPr>
            </w:pPr>
            <w:r w:rsidRPr="00276BCA">
              <w:rPr>
                <w:lang w:val="en-AU"/>
              </w:rPr>
              <w:t>Outcomes</w:t>
            </w:r>
          </w:p>
        </w:tc>
      </w:tr>
      <w:tr w:rsidR="00E41328" w:rsidRPr="00276BCA" w14:paraId="54E3E2FA" w14:textId="77777777" w:rsidTr="00E154BD">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4" w:space="0" w:color="auto"/>
              <w:left w:val="single" w:sz="4" w:space="0" w:color="auto"/>
              <w:bottom w:val="single" w:sz="4" w:space="0" w:color="auto"/>
              <w:right w:val="single" w:sz="4" w:space="0" w:color="auto"/>
            </w:tcBorders>
            <w:hideMark/>
          </w:tcPr>
          <w:p w14:paraId="23B63D4C" w14:textId="77777777" w:rsidR="009A23D7" w:rsidRPr="00276BCA" w:rsidRDefault="009A23D7" w:rsidP="002928A1">
            <w:pPr>
              <w:pStyle w:val="TableText"/>
              <w:keepNext/>
              <w:keepLines/>
              <w:rPr>
                <w:b/>
                <w:color w:val="auto"/>
                <w:lang w:val="en-AU"/>
              </w:rPr>
            </w:pPr>
            <w:proofErr w:type="spellStart"/>
            <w:r w:rsidRPr="00276BCA">
              <w:rPr>
                <w:b/>
                <w:lang w:val="en-AU"/>
              </w:rPr>
              <w:t>Zolbetuximab</w:t>
            </w:r>
            <w:proofErr w:type="spellEnd"/>
            <w:r w:rsidRPr="00276BCA">
              <w:rPr>
                <w:b/>
                <w:lang w:val="en-AU"/>
              </w:rPr>
              <w:t xml:space="preserve"> versus chemotherapy</w:t>
            </w:r>
          </w:p>
        </w:tc>
      </w:tr>
      <w:tr w:rsidR="00E154BD" w:rsidRPr="00276BCA" w14:paraId="56DE4A09" w14:textId="77777777" w:rsidTr="00D706A2">
        <w:tc>
          <w:tcPr>
            <w:cnfStyle w:val="001000000000" w:firstRow="0" w:lastRow="0" w:firstColumn="1" w:lastColumn="0" w:oddVBand="0" w:evenVBand="0" w:oddHBand="0" w:evenHBand="0" w:firstRowFirstColumn="0" w:firstRowLastColumn="0" w:lastRowFirstColumn="0" w:lastRowLastColumn="0"/>
            <w:tcW w:w="731" w:type="pct"/>
            <w:tcBorders>
              <w:top w:val="single" w:sz="4" w:space="0" w:color="auto"/>
              <w:left w:val="single" w:sz="4" w:space="0" w:color="auto"/>
              <w:bottom w:val="single" w:sz="4" w:space="0" w:color="auto"/>
              <w:right w:val="single" w:sz="4" w:space="0" w:color="auto"/>
            </w:tcBorders>
            <w:hideMark/>
          </w:tcPr>
          <w:p w14:paraId="45878688" w14:textId="7F2B6DC7" w:rsidR="009A23D7" w:rsidRPr="00276BCA" w:rsidRDefault="009A23D7" w:rsidP="002928A1">
            <w:pPr>
              <w:pStyle w:val="TableText"/>
              <w:keepNext/>
              <w:keepLines/>
              <w:rPr>
                <w:color w:val="auto"/>
                <w:lang w:val="en-AU"/>
              </w:rPr>
            </w:pPr>
            <w:r w:rsidRPr="00276BCA">
              <w:rPr>
                <w:lang w:val="en-AU"/>
              </w:rPr>
              <w:t>SPOTLIGHT</w:t>
            </w:r>
          </w:p>
        </w:tc>
        <w:tc>
          <w:tcPr>
            <w:tcW w:w="348" w:type="pct"/>
            <w:tcBorders>
              <w:top w:val="single" w:sz="4" w:space="0" w:color="auto"/>
              <w:left w:val="single" w:sz="4" w:space="0" w:color="auto"/>
              <w:bottom w:val="single" w:sz="4" w:space="0" w:color="auto"/>
              <w:right w:val="single" w:sz="4" w:space="0" w:color="auto"/>
            </w:tcBorders>
            <w:hideMark/>
          </w:tcPr>
          <w:p w14:paraId="7B40F6F4" w14:textId="0B981517" w:rsidR="009A23D7" w:rsidRPr="00276BCA" w:rsidRDefault="009A23D7" w:rsidP="002928A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565</w:t>
            </w:r>
          </w:p>
        </w:tc>
        <w:tc>
          <w:tcPr>
            <w:tcW w:w="1198" w:type="pct"/>
            <w:tcBorders>
              <w:top w:val="single" w:sz="4" w:space="0" w:color="auto"/>
              <w:left w:val="single" w:sz="4" w:space="0" w:color="auto"/>
              <w:bottom w:val="single" w:sz="4" w:space="0" w:color="auto"/>
              <w:right w:val="single" w:sz="4" w:space="0" w:color="auto"/>
            </w:tcBorders>
            <w:hideMark/>
          </w:tcPr>
          <w:p w14:paraId="790B435C" w14:textId="77777777" w:rsidR="009A23D7" w:rsidRPr="00276BCA" w:rsidRDefault="009A23D7" w:rsidP="002928A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R, DB, PC, MN, MC phase III</w:t>
            </w:r>
          </w:p>
          <w:p w14:paraId="1D55E468" w14:textId="11FCAE98" w:rsidR="009A23D7" w:rsidRPr="00276BCA" w:rsidRDefault="00CA787D" w:rsidP="00EE2DCB">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 xml:space="preserve">31.38-33.28 </w:t>
            </w:r>
            <w:proofErr w:type="spellStart"/>
            <w:r w:rsidR="00BD40D9" w:rsidRPr="00276BCA">
              <w:rPr>
                <w:lang w:val="en-AU"/>
              </w:rPr>
              <w:t>months</w:t>
            </w:r>
            <w:r w:rsidR="00BD40D9" w:rsidRPr="00276BCA">
              <w:rPr>
                <w:vertAlign w:val="superscript"/>
                <w:lang w:val="en-AU"/>
              </w:rPr>
              <w:t>b</w:t>
            </w:r>
            <w:proofErr w:type="spellEnd"/>
          </w:p>
        </w:tc>
        <w:tc>
          <w:tcPr>
            <w:tcW w:w="1952" w:type="pct"/>
            <w:tcBorders>
              <w:top w:val="single" w:sz="4" w:space="0" w:color="auto"/>
              <w:left w:val="single" w:sz="4" w:space="0" w:color="auto"/>
              <w:bottom w:val="single" w:sz="4" w:space="0" w:color="auto"/>
              <w:right w:val="single" w:sz="4" w:space="0" w:color="auto"/>
            </w:tcBorders>
            <w:hideMark/>
          </w:tcPr>
          <w:p w14:paraId="032836D0" w14:textId="24646600" w:rsidR="009A23D7" w:rsidRPr="00276BCA" w:rsidRDefault="009A23D7" w:rsidP="002928A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CLDN18.2+, HER2-negative, previously untreated, locally advanced unresectable or metastatic G/GOJ adenocarcinoma.</w:t>
            </w:r>
          </w:p>
        </w:tc>
        <w:tc>
          <w:tcPr>
            <w:tcW w:w="771" w:type="pct"/>
            <w:tcBorders>
              <w:top w:val="single" w:sz="4" w:space="0" w:color="auto"/>
              <w:left w:val="single" w:sz="4" w:space="0" w:color="auto"/>
              <w:bottom w:val="single" w:sz="4" w:space="0" w:color="auto"/>
              <w:right w:val="single" w:sz="4" w:space="0" w:color="auto"/>
            </w:tcBorders>
            <w:hideMark/>
          </w:tcPr>
          <w:p w14:paraId="38CB728D" w14:textId="07C40FE9" w:rsidR="009A23D7" w:rsidRPr="00F8253F" w:rsidRDefault="009A23D7" w:rsidP="002928A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F8253F">
              <w:t xml:space="preserve">PFS, OS, TTCD, ORR, DOR, </w:t>
            </w:r>
            <w:proofErr w:type="spellStart"/>
            <w:r w:rsidRPr="00F8253F">
              <w:t>HRQoL</w:t>
            </w:r>
            <w:proofErr w:type="spellEnd"/>
            <w:r w:rsidRPr="00F8253F">
              <w:t>, Safety</w:t>
            </w:r>
          </w:p>
        </w:tc>
      </w:tr>
      <w:tr w:rsidR="00E154BD" w:rsidRPr="00276BCA" w14:paraId="7B0CF902" w14:textId="77777777" w:rsidTr="00D706A2">
        <w:tc>
          <w:tcPr>
            <w:cnfStyle w:val="001000000000" w:firstRow="0" w:lastRow="0" w:firstColumn="1" w:lastColumn="0" w:oddVBand="0" w:evenVBand="0" w:oddHBand="0" w:evenHBand="0" w:firstRowFirstColumn="0" w:firstRowLastColumn="0" w:lastRowFirstColumn="0" w:lastRowLastColumn="0"/>
            <w:tcW w:w="731" w:type="pct"/>
            <w:tcBorders>
              <w:top w:val="single" w:sz="4" w:space="0" w:color="auto"/>
              <w:left w:val="single" w:sz="4" w:space="0" w:color="auto"/>
              <w:bottom w:val="single" w:sz="4" w:space="0" w:color="auto"/>
              <w:right w:val="single" w:sz="4" w:space="0" w:color="auto"/>
            </w:tcBorders>
            <w:hideMark/>
          </w:tcPr>
          <w:p w14:paraId="28CB18B5" w14:textId="7E6E5572" w:rsidR="009A23D7" w:rsidRPr="00276BCA" w:rsidRDefault="009A23D7" w:rsidP="002928A1">
            <w:pPr>
              <w:pStyle w:val="TableText"/>
              <w:keepNext/>
              <w:keepLines/>
              <w:rPr>
                <w:color w:val="auto"/>
                <w:lang w:val="en-AU"/>
              </w:rPr>
            </w:pPr>
            <w:r w:rsidRPr="00276BCA">
              <w:rPr>
                <w:lang w:val="en-AU"/>
              </w:rPr>
              <w:t>GLOW</w:t>
            </w:r>
          </w:p>
        </w:tc>
        <w:tc>
          <w:tcPr>
            <w:tcW w:w="348" w:type="pct"/>
            <w:tcBorders>
              <w:top w:val="single" w:sz="4" w:space="0" w:color="auto"/>
              <w:left w:val="single" w:sz="4" w:space="0" w:color="auto"/>
              <w:bottom w:val="single" w:sz="4" w:space="0" w:color="auto"/>
              <w:right w:val="single" w:sz="4" w:space="0" w:color="auto"/>
            </w:tcBorders>
            <w:hideMark/>
          </w:tcPr>
          <w:p w14:paraId="127F9EA4" w14:textId="1BD8E7D9" w:rsidR="009A23D7" w:rsidRPr="00276BCA" w:rsidRDefault="009A23D7" w:rsidP="002928A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507</w:t>
            </w:r>
          </w:p>
        </w:tc>
        <w:tc>
          <w:tcPr>
            <w:tcW w:w="1198" w:type="pct"/>
            <w:tcBorders>
              <w:top w:val="single" w:sz="4" w:space="0" w:color="auto"/>
              <w:left w:val="single" w:sz="4" w:space="0" w:color="auto"/>
              <w:bottom w:val="single" w:sz="4" w:space="0" w:color="auto"/>
              <w:right w:val="single" w:sz="4" w:space="0" w:color="auto"/>
            </w:tcBorders>
            <w:hideMark/>
          </w:tcPr>
          <w:p w14:paraId="4607203B" w14:textId="77777777" w:rsidR="009A23D7" w:rsidRPr="00276BCA" w:rsidRDefault="009A23D7" w:rsidP="002928A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R, DB, PC, MN, MC phase III</w:t>
            </w:r>
          </w:p>
          <w:p w14:paraId="1F058EE2" w14:textId="2492158E" w:rsidR="009A23D7" w:rsidRPr="00276BCA" w:rsidRDefault="003649DA" w:rsidP="00EE2DCB">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 xml:space="preserve">31.70-32.95 </w:t>
            </w:r>
            <w:proofErr w:type="spellStart"/>
            <w:r w:rsidR="00BD40D9" w:rsidRPr="00276BCA">
              <w:rPr>
                <w:lang w:val="en-AU"/>
              </w:rPr>
              <w:t>months</w:t>
            </w:r>
            <w:r w:rsidR="00BD40D9" w:rsidRPr="00276BCA">
              <w:rPr>
                <w:vertAlign w:val="superscript"/>
                <w:lang w:val="en-AU"/>
              </w:rPr>
              <w:t>c</w:t>
            </w:r>
            <w:proofErr w:type="spellEnd"/>
          </w:p>
        </w:tc>
        <w:tc>
          <w:tcPr>
            <w:tcW w:w="1952" w:type="pct"/>
            <w:tcBorders>
              <w:top w:val="single" w:sz="4" w:space="0" w:color="auto"/>
              <w:left w:val="single" w:sz="4" w:space="0" w:color="auto"/>
              <w:bottom w:val="single" w:sz="4" w:space="0" w:color="auto"/>
              <w:right w:val="single" w:sz="4" w:space="0" w:color="auto"/>
            </w:tcBorders>
            <w:hideMark/>
          </w:tcPr>
          <w:p w14:paraId="33473045" w14:textId="3AA9C3E0" w:rsidR="009A23D7" w:rsidRPr="00276BCA" w:rsidRDefault="009A23D7" w:rsidP="002928A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CLDN18.2+, HER2-negative, previously untreated, locally advanced unresectable or metastatic G/GOJ adenocarcinoma.</w:t>
            </w:r>
          </w:p>
        </w:tc>
        <w:tc>
          <w:tcPr>
            <w:tcW w:w="771" w:type="pct"/>
            <w:tcBorders>
              <w:top w:val="single" w:sz="4" w:space="0" w:color="auto"/>
              <w:left w:val="single" w:sz="4" w:space="0" w:color="auto"/>
              <w:bottom w:val="single" w:sz="4" w:space="0" w:color="auto"/>
              <w:right w:val="single" w:sz="4" w:space="0" w:color="auto"/>
            </w:tcBorders>
            <w:hideMark/>
          </w:tcPr>
          <w:p w14:paraId="4D139B6F" w14:textId="42B1BDE3" w:rsidR="009A23D7" w:rsidRPr="00F8253F" w:rsidRDefault="009A23D7" w:rsidP="002928A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F8253F">
              <w:t xml:space="preserve">PFS, OS, TTCD, ORR, DOR, </w:t>
            </w:r>
            <w:proofErr w:type="spellStart"/>
            <w:r w:rsidRPr="00F8253F">
              <w:t>HRQoL</w:t>
            </w:r>
            <w:proofErr w:type="spellEnd"/>
            <w:r w:rsidRPr="00F8253F">
              <w:t>, Safety</w:t>
            </w:r>
          </w:p>
        </w:tc>
      </w:tr>
      <w:tr w:rsidR="00E41328" w:rsidRPr="00276BCA" w14:paraId="3A5C6015" w14:textId="77777777" w:rsidTr="00E154BD">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4" w:space="0" w:color="auto"/>
              <w:left w:val="single" w:sz="4" w:space="0" w:color="auto"/>
              <w:bottom w:val="single" w:sz="4" w:space="0" w:color="auto"/>
              <w:right w:val="single" w:sz="4" w:space="0" w:color="auto"/>
            </w:tcBorders>
            <w:hideMark/>
          </w:tcPr>
          <w:p w14:paraId="37032CE2" w14:textId="77777777" w:rsidR="009A23D7" w:rsidRPr="00276BCA" w:rsidRDefault="009A23D7" w:rsidP="002928A1">
            <w:pPr>
              <w:pStyle w:val="TableText"/>
              <w:keepNext/>
              <w:keepLines/>
              <w:rPr>
                <w:b/>
                <w:color w:val="auto"/>
                <w:lang w:val="en-AU"/>
              </w:rPr>
            </w:pPr>
            <w:r w:rsidRPr="00276BCA">
              <w:rPr>
                <w:b/>
                <w:lang w:val="en-AU"/>
              </w:rPr>
              <w:t>Nivolumab versus chemotherapy</w:t>
            </w:r>
          </w:p>
        </w:tc>
      </w:tr>
      <w:tr w:rsidR="00E154BD" w:rsidRPr="00F8253F" w14:paraId="4F287C36" w14:textId="77777777" w:rsidTr="00D706A2">
        <w:tc>
          <w:tcPr>
            <w:cnfStyle w:val="001000000000" w:firstRow="0" w:lastRow="0" w:firstColumn="1" w:lastColumn="0" w:oddVBand="0" w:evenVBand="0" w:oddHBand="0" w:evenHBand="0" w:firstRowFirstColumn="0" w:firstRowLastColumn="0" w:lastRowFirstColumn="0" w:lastRowLastColumn="0"/>
            <w:tcW w:w="731" w:type="pct"/>
            <w:tcBorders>
              <w:top w:val="single" w:sz="4" w:space="0" w:color="auto"/>
              <w:left w:val="single" w:sz="4" w:space="0" w:color="auto"/>
              <w:bottom w:val="single" w:sz="4" w:space="0" w:color="auto"/>
              <w:right w:val="single" w:sz="4" w:space="0" w:color="auto"/>
            </w:tcBorders>
          </w:tcPr>
          <w:p w14:paraId="04DEC8B2" w14:textId="1A892969" w:rsidR="009A23D7" w:rsidRPr="00276BCA" w:rsidRDefault="009A23D7" w:rsidP="002928A1">
            <w:pPr>
              <w:pStyle w:val="TableText"/>
              <w:keepNext/>
              <w:keepLines/>
              <w:rPr>
                <w:color w:val="auto"/>
                <w:lang w:val="en-AU"/>
              </w:rPr>
            </w:pPr>
            <w:proofErr w:type="spellStart"/>
            <w:r w:rsidRPr="00276BCA">
              <w:rPr>
                <w:lang w:val="en-AU"/>
              </w:rPr>
              <w:t>CheckMate</w:t>
            </w:r>
            <w:proofErr w:type="spellEnd"/>
            <w:r w:rsidRPr="00276BCA">
              <w:rPr>
                <w:lang w:val="en-AU"/>
              </w:rPr>
              <w:t xml:space="preserve"> 649</w:t>
            </w:r>
          </w:p>
        </w:tc>
        <w:tc>
          <w:tcPr>
            <w:tcW w:w="348" w:type="pct"/>
            <w:tcBorders>
              <w:top w:val="single" w:sz="4" w:space="0" w:color="auto"/>
              <w:left w:val="single" w:sz="4" w:space="0" w:color="auto"/>
              <w:bottom w:val="single" w:sz="4" w:space="0" w:color="auto"/>
              <w:right w:val="single" w:sz="4" w:space="0" w:color="auto"/>
            </w:tcBorders>
          </w:tcPr>
          <w:p w14:paraId="71C5F794" w14:textId="11CDAA57" w:rsidR="009A23D7" w:rsidRPr="00276BCA" w:rsidRDefault="009A23D7" w:rsidP="002928A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1,581</w:t>
            </w:r>
          </w:p>
        </w:tc>
        <w:tc>
          <w:tcPr>
            <w:tcW w:w="1198" w:type="pct"/>
            <w:tcBorders>
              <w:top w:val="single" w:sz="4" w:space="0" w:color="auto"/>
              <w:left w:val="single" w:sz="4" w:space="0" w:color="auto"/>
              <w:bottom w:val="single" w:sz="4" w:space="0" w:color="auto"/>
              <w:right w:val="single" w:sz="4" w:space="0" w:color="auto"/>
            </w:tcBorders>
          </w:tcPr>
          <w:p w14:paraId="43B0CBB9" w14:textId="021E451D" w:rsidR="009A23D7" w:rsidRPr="00276BCA" w:rsidRDefault="009A23D7" w:rsidP="002928A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 xml:space="preserve">R, </w:t>
            </w:r>
            <w:r w:rsidR="000552E0" w:rsidRPr="00276BCA">
              <w:rPr>
                <w:lang w:val="en-AU"/>
              </w:rPr>
              <w:t xml:space="preserve">OL, </w:t>
            </w:r>
            <w:r w:rsidRPr="00276BCA">
              <w:rPr>
                <w:lang w:val="en-AU"/>
              </w:rPr>
              <w:t>MN, MC, phase III</w:t>
            </w:r>
          </w:p>
          <w:p w14:paraId="40AECA90" w14:textId="348C6CE5" w:rsidR="00D10FE4" w:rsidRPr="00276BCA" w:rsidRDefault="002E2D53" w:rsidP="002928A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 xml:space="preserve">11.1-13.1 </w:t>
            </w:r>
            <w:proofErr w:type="spellStart"/>
            <w:r w:rsidR="00BD40D9" w:rsidRPr="00276BCA">
              <w:rPr>
                <w:lang w:val="en-AU"/>
              </w:rPr>
              <w:t>months</w:t>
            </w:r>
            <w:r w:rsidR="00BD40D9" w:rsidRPr="00276BCA">
              <w:rPr>
                <w:vertAlign w:val="superscript"/>
                <w:lang w:val="en-AU"/>
              </w:rPr>
              <w:t>d</w:t>
            </w:r>
            <w:proofErr w:type="spellEnd"/>
          </w:p>
          <w:p w14:paraId="46015CD2" w14:textId="77777777" w:rsidR="009A23D7" w:rsidRPr="00276BCA" w:rsidRDefault="0012122E" w:rsidP="002928A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Three-year follow-up:</w:t>
            </w:r>
          </w:p>
          <w:p w14:paraId="52B7DB55" w14:textId="30DEC5C5" w:rsidR="0012122E" w:rsidRPr="00276BCA" w:rsidRDefault="009D3F46" w:rsidP="002928A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 xml:space="preserve">47.3-47.4 </w:t>
            </w:r>
            <w:proofErr w:type="spellStart"/>
            <w:r w:rsidRPr="00276BCA">
              <w:rPr>
                <w:lang w:val="en-AU"/>
              </w:rPr>
              <w:t>months</w:t>
            </w:r>
            <w:r w:rsidR="000248F6" w:rsidRPr="00276BCA">
              <w:rPr>
                <w:vertAlign w:val="superscript"/>
                <w:lang w:val="en-AU"/>
              </w:rPr>
              <w:t>d</w:t>
            </w:r>
            <w:proofErr w:type="spellEnd"/>
          </w:p>
        </w:tc>
        <w:tc>
          <w:tcPr>
            <w:tcW w:w="1952" w:type="pct"/>
            <w:tcBorders>
              <w:top w:val="single" w:sz="4" w:space="0" w:color="auto"/>
              <w:left w:val="single" w:sz="4" w:space="0" w:color="auto"/>
              <w:bottom w:val="single" w:sz="4" w:space="0" w:color="auto"/>
              <w:right w:val="single" w:sz="4" w:space="0" w:color="auto"/>
            </w:tcBorders>
            <w:vAlign w:val="top"/>
          </w:tcPr>
          <w:p w14:paraId="72661B60" w14:textId="6E902C36" w:rsidR="009A23D7" w:rsidRPr="00276BCA" w:rsidRDefault="009C2294" w:rsidP="002928A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 xml:space="preserve">CLDN18.2 and PD-L1 agnostic, </w:t>
            </w:r>
            <w:r w:rsidR="009A23D7" w:rsidRPr="00276BCA">
              <w:rPr>
                <w:lang w:val="en-AU"/>
              </w:rPr>
              <w:t>HER2</w:t>
            </w:r>
            <w:r w:rsidR="00131F3E" w:rsidRPr="00276BCA">
              <w:rPr>
                <w:lang w:val="en-AU"/>
              </w:rPr>
              <w:t>-negative</w:t>
            </w:r>
            <w:r w:rsidR="00E01702" w:rsidRPr="00276BCA">
              <w:rPr>
                <w:lang w:val="en-AU"/>
              </w:rPr>
              <w:t>/unknown</w:t>
            </w:r>
            <w:r w:rsidR="009A23D7" w:rsidRPr="00276BCA">
              <w:rPr>
                <w:lang w:val="en-AU"/>
              </w:rPr>
              <w:t>,</w:t>
            </w:r>
            <w:r w:rsidR="00B83B96" w:rsidRPr="00276BCA">
              <w:rPr>
                <w:lang w:val="en-AU"/>
              </w:rPr>
              <w:t xml:space="preserve"> previously untreated,</w:t>
            </w:r>
            <w:r w:rsidR="009A23D7" w:rsidRPr="00276BCA">
              <w:rPr>
                <w:lang w:val="en-AU"/>
              </w:rPr>
              <w:t xml:space="preserve"> </w:t>
            </w:r>
            <w:r w:rsidR="002C6787" w:rsidRPr="00276BCA">
              <w:rPr>
                <w:lang w:val="en-AU"/>
              </w:rPr>
              <w:t xml:space="preserve">advanced </w:t>
            </w:r>
            <w:r w:rsidR="00DE4E33" w:rsidRPr="00276BCA">
              <w:rPr>
                <w:lang w:val="en-AU"/>
              </w:rPr>
              <w:t xml:space="preserve">unresectable </w:t>
            </w:r>
            <w:r w:rsidR="002C6787" w:rsidRPr="00276BCA">
              <w:rPr>
                <w:lang w:val="en-AU"/>
              </w:rPr>
              <w:t xml:space="preserve">or metastatic </w:t>
            </w:r>
            <w:r w:rsidR="009A23D7" w:rsidRPr="00276BCA">
              <w:rPr>
                <w:lang w:val="en-AU"/>
              </w:rPr>
              <w:t>G/GOJ or oesophageal adenocarcinoma</w:t>
            </w:r>
            <w:r w:rsidRPr="00276BCA">
              <w:rPr>
                <w:lang w:val="en-AU"/>
              </w:rPr>
              <w:t>.</w:t>
            </w:r>
          </w:p>
        </w:tc>
        <w:tc>
          <w:tcPr>
            <w:tcW w:w="771" w:type="pct"/>
            <w:tcBorders>
              <w:top w:val="single" w:sz="4" w:space="0" w:color="auto"/>
              <w:left w:val="single" w:sz="4" w:space="0" w:color="auto"/>
              <w:bottom w:val="single" w:sz="4" w:space="0" w:color="auto"/>
              <w:right w:val="single" w:sz="4" w:space="0" w:color="auto"/>
            </w:tcBorders>
            <w:vAlign w:val="top"/>
          </w:tcPr>
          <w:p w14:paraId="5235275D" w14:textId="66A56D57" w:rsidR="009A23D7" w:rsidRPr="002425ED" w:rsidRDefault="009A23D7" w:rsidP="002928A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425ED">
              <w:t xml:space="preserve">PFS, OS, ORR, </w:t>
            </w:r>
            <w:proofErr w:type="spellStart"/>
            <w:r w:rsidR="00B36D3A" w:rsidRPr="002425ED">
              <w:t>HRQoL</w:t>
            </w:r>
            <w:proofErr w:type="spellEnd"/>
            <w:r w:rsidR="00D92445" w:rsidRPr="002425ED">
              <w:t>,</w:t>
            </w:r>
            <w:r w:rsidR="005F1C34" w:rsidRPr="002425ED">
              <w:t xml:space="preserve"> s</w:t>
            </w:r>
            <w:r w:rsidR="00D92445" w:rsidRPr="002425ED">
              <w:t>afety</w:t>
            </w:r>
          </w:p>
        </w:tc>
      </w:tr>
      <w:tr w:rsidR="00E154BD" w:rsidRPr="00276BCA" w14:paraId="09E87076" w14:textId="77777777" w:rsidTr="00D706A2">
        <w:tc>
          <w:tcPr>
            <w:cnfStyle w:val="001000000000" w:firstRow="0" w:lastRow="0" w:firstColumn="1" w:lastColumn="0" w:oddVBand="0" w:evenVBand="0" w:oddHBand="0" w:evenHBand="0" w:firstRowFirstColumn="0" w:firstRowLastColumn="0" w:lastRowFirstColumn="0" w:lastRowLastColumn="0"/>
            <w:tcW w:w="731" w:type="pct"/>
            <w:tcBorders>
              <w:top w:val="single" w:sz="4" w:space="0" w:color="auto"/>
              <w:left w:val="single" w:sz="4" w:space="0" w:color="auto"/>
              <w:bottom w:val="single" w:sz="4" w:space="0" w:color="auto"/>
              <w:right w:val="single" w:sz="4" w:space="0" w:color="auto"/>
            </w:tcBorders>
          </w:tcPr>
          <w:p w14:paraId="5F3208FE" w14:textId="21105029" w:rsidR="009A23D7" w:rsidRPr="00276BCA" w:rsidRDefault="009A23D7" w:rsidP="002928A1">
            <w:pPr>
              <w:pStyle w:val="TableText"/>
              <w:keepNext/>
              <w:keepLines/>
              <w:rPr>
                <w:color w:val="auto"/>
                <w:lang w:val="en-AU"/>
              </w:rPr>
            </w:pPr>
            <w:r w:rsidRPr="00276BCA">
              <w:rPr>
                <w:lang w:val="en-AU"/>
              </w:rPr>
              <w:t>ATTRACTION-4</w:t>
            </w:r>
          </w:p>
        </w:tc>
        <w:tc>
          <w:tcPr>
            <w:tcW w:w="348" w:type="pct"/>
            <w:tcBorders>
              <w:top w:val="single" w:sz="4" w:space="0" w:color="auto"/>
              <w:left w:val="single" w:sz="4" w:space="0" w:color="auto"/>
              <w:bottom w:val="single" w:sz="4" w:space="0" w:color="auto"/>
              <w:right w:val="single" w:sz="4" w:space="0" w:color="auto"/>
            </w:tcBorders>
          </w:tcPr>
          <w:p w14:paraId="1D8FEF43" w14:textId="3B3AF14D" w:rsidR="009A23D7" w:rsidRPr="00276BCA" w:rsidRDefault="009A23D7" w:rsidP="002928A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724</w:t>
            </w:r>
          </w:p>
        </w:tc>
        <w:tc>
          <w:tcPr>
            <w:tcW w:w="1198" w:type="pct"/>
            <w:tcBorders>
              <w:top w:val="single" w:sz="4" w:space="0" w:color="auto"/>
              <w:left w:val="single" w:sz="4" w:space="0" w:color="auto"/>
              <w:bottom w:val="single" w:sz="4" w:space="0" w:color="auto"/>
              <w:right w:val="single" w:sz="4" w:space="0" w:color="auto"/>
            </w:tcBorders>
          </w:tcPr>
          <w:p w14:paraId="53A69338" w14:textId="2BFCF8B2" w:rsidR="00B06046" w:rsidRPr="00276BCA" w:rsidRDefault="009A23D7" w:rsidP="002928A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 xml:space="preserve">R, DB, PC, </w:t>
            </w:r>
            <w:proofErr w:type="spellStart"/>
            <w:r w:rsidR="00342D49" w:rsidRPr="00276BCA">
              <w:rPr>
                <w:lang w:val="en-AU"/>
              </w:rPr>
              <w:t>MN</w:t>
            </w:r>
            <w:r w:rsidR="008C4686" w:rsidRPr="00276BCA">
              <w:rPr>
                <w:vertAlign w:val="superscript"/>
                <w:lang w:val="en-AU"/>
              </w:rPr>
              <w:t>f</w:t>
            </w:r>
            <w:proofErr w:type="spellEnd"/>
            <w:r w:rsidRPr="00276BCA">
              <w:rPr>
                <w:lang w:val="en-AU"/>
              </w:rPr>
              <w:t>,</w:t>
            </w:r>
            <w:r w:rsidR="00342D49" w:rsidRPr="00276BCA">
              <w:rPr>
                <w:lang w:val="en-AU"/>
              </w:rPr>
              <w:t xml:space="preserve"> MC</w:t>
            </w:r>
            <w:r w:rsidRPr="00276BCA">
              <w:rPr>
                <w:lang w:val="en-AU"/>
              </w:rPr>
              <w:t xml:space="preserve"> </w:t>
            </w:r>
          </w:p>
          <w:p w14:paraId="74770F9C" w14:textId="5C0DAF31" w:rsidR="00460EDD" w:rsidRPr="00276BCA" w:rsidRDefault="009A23D7" w:rsidP="002928A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phase III</w:t>
            </w:r>
            <w:r w:rsidR="00070C76" w:rsidRPr="00276BCA">
              <w:rPr>
                <w:lang w:val="en-AU"/>
              </w:rPr>
              <w:t xml:space="preserve"> </w:t>
            </w:r>
          </w:p>
          <w:p w14:paraId="35DAA1E6" w14:textId="6AE52987" w:rsidR="009A23D7" w:rsidRPr="00276BCA" w:rsidRDefault="00BC6042" w:rsidP="002928A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 xml:space="preserve">26.6 </w:t>
            </w:r>
            <w:proofErr w:type="spellStart"/>
            <w:r w:rsidR="00BD40D9" w:rsidRPr="00276BCA">
              <w:rPr>
                <w:lang w:val="en-AU"/>
              </w:rPr>
              <w:t>months</w:t>
            </w:r>
            <w:r w:rsidR="00BD40D9" w:rsidRPr="00276BCA">
              <w:rPr>
                <w:vertAlign w:val="superscript"/>
                <w:lang w:val="en-AU"/>
              </w:rPr>
              <w:t>e</w:t>
            </w:r>
            <w:proofErr w:type="spellEnd"/>
          </w:p>
        </w:tc>
        <w:tc>
          <w:tcPr>
            <w:tcW w:w="1952" w:type="pct"/>
            <w:tcBorders>
              <w:top w:val="single" w:sz="4" w:space="0" w:color="auto"/>
              <w:left w:val="single" w:sz="4" w:space="0" w:color="auto"/>
              <w:bottom w:val="single" w:sz="4" w:space="0" w:color="auto"/>
              <w:right w:val="single" w:sz="4" w:space="0" w:color="auto"/>
            </w:tcBorders>
            <w:vAlign w:val="top"/>
          </w:tcPr>
          <w:p w14:paraId="1F81D61D" w14:textId="78CD22BE" w:rsidR="009A23D7" w:rsidRPr="00276BCA" w:rsidRDefault="007E17B9" w:rsidP="002928A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 xml:space="preserve">CLDN18.2 and PD-L1 agnostic, </w:t>
            </w:r>
            <w:r w:rsidR="009A23D7" w:rsidRPr="00276BCA">
              <w:rPr>
                <w:lang w:val="en-AU"/>
              </w:rPr>
              <w:t>HER2-negative</w:t>
            </w:r>
            <w:r w:rsidRPr="00276BCA">
              <w:rPr>
                <w:lang w:val="en-AU"/>
              </w:rPr>
              <w:t>, previously untreated</w:t>
            </w:r>
            <w:r w:rsidR="004E59E5" w:rsidRPr="00276BCA">
              <w:rPr>
                <w:lang w:val="en-AU"/>
              </w:rPr>
              <w:t>,</w:t>
            </w:r>
            <w:r w:rsidR="009A23D7" w:rsidRPr="00276BCA">
              <w:rPr>
                <w:lang w:val="en-AU"/>
              </w:rPr>
              <w:t xml:space="preserve"> </w:t>
            </w:r>
            <w:r w:rsidRPr="00276BCA">
              <w:rPr>
                <w:lang w:val="en-AU"/>
              </w:rPr>
              <w:t xml:space="preserve">unresectable, advanced, or recurrent </w:t>
            </w:r>
            <w:r w:rsidR="009A23D7" w:rsidRPr="00276BCA">
              <w:rPr>
                <w:lang w:val="en-AU"/>
              </w:rPr>
              <w:t>G/GOJ</w:t>
            </w:r>
          </w:p>
        </w:tc>
        <w:tc>
          <w:tcPr>
            <w:tcW w:w="771" w:type="pct"/>
            <w:tcBorders>
              <w:top w:val="single" w:sz="4" w:space="0" w:color="auto"/>
              <w:left w:val="single" w:sz="4" w:space="0" w:color="auto"/>
              <w:bottom w:val="single" w:sz="4" w:space="0" w:color="auto"/>
              <w:right w:val="single" w:sz="4" w:space="0" w:color="auto"/>
            </w:tcBorders>
            <w:vAlign w:val="top"/>
          </w:tcPr>
          <w:p w14:paraId="52FFDD0B" w14:textId="0DE68FB2" w:rsidR="009A23D7" w:rsidRPr="00276BCA" w:rsidRDefault="009A23D7" w:rsidP="002928A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PFS, OS, ORR DOR</w:t>
            </w:r>
          </w:p>
        </w:tc>
      </w:tr>
    </w:tbl>
    <w:p w14:paraId="352F192A" w14:textId="77777777" w:rsidR="006333C5" w:rsidRPr="00276BCA" w:rsidRDefault="006333C5" w:rsidP="002928A1">
      <w:pPr>
        <w:pStyle w:val="TableFooter"/>
        <w:keepNext/>
        <w:keepLines/>
      </w:pPr>
      <w:r w:rsidRPr="00276BCA">
        <w:t>Source: compiled during the evaluation</w:t>
      </w:r>
    </w:p>
    <w:p w14:paraId="6AE51FDF" w14:textId="4DC87773" w:rsidR="0039045D" w:rsidRPr="00276BCA" w:rsidRDefault="534A5CF5" w:rsidP="002928A1">
      <w:pPr>
        <w:pStyle w:val="TableFooter"/>
        <w:keepNext/>
        <w:keepLines/>
      </w:pPr>
      <w:r w:rsidRPr="00276BCA">
        <w:t xml:space="preserve">CLDN18.2 = Claudin 18.2; </w:t>
      </w:r>
      <w:r w:rsidR="357EB4FC" w:rsidRPr="00276BCA">
        <w:t>DB</w:t>
      </w:r>
      <w:r w:rsidR="49B51214" w:rsidRPr="00276BCA">
        <w:t xml:space="preserve"> </w:t>
      </w:r>
      <w:r w:rsidR="357EB4FC" w:rsidRPr="00276BCA">
        <w:t>=</w:t>
      </w:r>
      <w:r w:rsidR="49B51214" w:rsidRPr="00276BCA">
        <w:t xml:space="preserve"> </w:t>
      </w:r>
      <w:r w:rsidR="357EB4FC" w:rsidRPr="00276BCA">
        <w:t>double blind;</w:t>
      </w:r>
      <w:r w:rsidR="49B51214" w:rsidRPr="00276BCA">
        <w:t xml:space="preserve"> DOR = duration of response;</w:t>
      </w:r>
      <w:r w:rsidR="357EB4FC" w:rsidRPr="00276BCA">
        <w:t xml:space="preserve"> </w:t>
      </w:r>
      <w:r w:rsidR="49F77CC1" w:rsidRPr="00276BCA">
        <w:t>G/GOJ = gastric or gastroesophageal junction;</w:t>
      </w:r>
      <w:r w:rsidR="590F69F9" w:rsidRPr="00276BCA">
        <w:t xml:space="preserve"> </w:t>
      </w:r>
      <w:r w:rsidR="7A1F3677" w:rsidRPr="00276BCA">
        <w:t xml:space="preserve">HER2 = human epidermal growth factor receptor 2; </w:t>
      </w:r>
      <w:proofErr w:type="spellStart"/>
      <w:r w:rsidR="094A8C18" w:rsidRPr="00276BCA">
        <w:t>HRQoL</w:t>
      </w:r>
      <w:proofErr w:type="spellEnd"/>
      <w:r w:rsidR="094A8C18" w:rsidRPr="00276BCA">
        <w:t xml:space="preserve"> = health-related quality of life; </w:t>
      </w:r>
      <w:r w:rsidR="357EB4FC" w:rsidRPr="00276BCA">
        <w:t>MC</w:t>
      </w:r>
      <w:r w:rsidR="49B51214" w:rsidRPr="00276BCA">
        <w:t xml:space="preserve"> </w:t>
      </w:r>
      <w:r w:rsidR="357EB4FC" w:rsidRPr="00276BCA">
        <w:t>=</w:t>
      </w:r>
      <w:r w:rsidR="49B51214" w:rsidRPr="00276BCA">
        <w:t xml:space="preserve"> </w:t>
      </w:r>
      <w:r w:rsidR="357EB4FC" w:rsidRPr="00276BCA">
        <w:t>multicentre;</w:t>
      </w:r>
      <w:r w:rsidR="24D73737" w:rsidRPr="00276BCA">
        <w:t xml:space="preserve"> MN = multinational;</w:t>
      </w:r>
      <w:r w:rsidR="357EB4FC" w:rsidRPr="00276BCA">
        <w:t xml:space="preserve"> </w:t>
      </w:r>
      <w:r w:rsidR="00552EA9" w:rsidRPr="00276BCA">
        <w:t xml:space="preserve">N = total participants in the group; </w:t>
      </w:r>
      <w:r w:rsidR="357EB4FC" w:rsidRPr="00276BCA">
        <w:t>OL</w:t>
      </w:r>
      <w:r w:rsidR="49B51214" w:rsidRPr="00276BCA">
        <w:t xml:space="preserve"> </w:t>
      </w:r>
      <w:r w:rsidR="357EB4FC" w:rsidRPr="00276BCA">
        <w:t>=</w:t>
      </w:r>
      <w:r w:rsidR="49B51214" w:rsidRPr="00276BCA">
        <w:t xml:space="preserve"> </w:t>
      </w:r>
      <w:r w:rsidR="357EB4FC" w:rsidRPr="00276BCA">
        <w:t xml:space="preserve">open label; </w:t>
      </w:r>
      <w:r w:rsidR="73E0EAF5" w:rsidRPr="00276BCA">
        <w:t xml:space="preserve">ORR = overall response rate; </w:t>
      </w:r>
      <w:r w:rsidR="357EB4FC" w:rsidRPr="00276BCA">
        <w:t>OS</w:t>
      </w:r>
      <w:r w:rsidR="49B51214" w:rsidRPr="00276BCA">
        <w:t xml:space="preserve"> </w:t>
      </w:r>
      <w:r w:rsidR="357EB4FC" w:rsidRPr="00276BCA">
        <w:t>=</w:t>
      </w:r>
      <w:r w:rsidR="49B51214" w:rsidRPr="00276BCA">
        <w:t xml:space="preserve"> </w:t>
      </w:r>
      <w:r w:rsidR="357EB4FC" w:rsidRPr="00276BCA">
        <w:t>overall survival;</w:t>
      </w:r>
      <w:r w:rsidR="18A9CBAD" w:rsidRPr="00276BCA">
        <w:t xml:space="preserve"> PC = placebo-controlled; PD-L1 = Programmed Death-Ligand 1</w:t>
      </w:r>
      <w:r w:rsidR="1ADC122F" w:rsidRPr="00276BCA">
        <w:t>;</w:t>
      </w:r>
      <w:r w:rsidR="357EB4FC" w:rsidRPr="00276BCA">
        <w:t xml:space="preserve"> PFS</w:t>
      </w:r>
      <w:r w:rsidR="49B51214" w:rsidRPr="00276BCA">
        <w:t xml:space="preserve"> </w:t>
      </w:r>
      <w:r w:rsidR="357EB4FC" w:rsidRPr="00276BCA">
        <w:t>=</w:t>
      </w:r>
      <w:r w:rsidR="49B51214" w:rsidRPr="00276BCA">
        <w:t xml:space="preserve"> </w:t>
      </w:r>
      <w:r w:rsidR="357EB4FC" w:rsidRPr="00276BCA">
        <w:t>progression-free survival; R</w:t>
      </w:r>
      <w:r w:rsidR="49B51214" w:rsidRPr="00276BCA">
        <w:t xml:space="preserve"> </w:t>
      </w:r>
      <w:r w:rsidR="357EB4FC" w:rsidRPr="00276BCA">
        <w:t>=</w:t>
      </w:r>
      <w:r w:rsidR="49B51214" w:rsidRPr="00276BCA">
        <w:t xml:space="preserve"> </w:t>
      </w:r>
      <w:r w:rsidR="357EB4FC" w:rsidRPr="00276BCA">
        <w:t>randomised</w:t>
      </w:r>
      <w:r w:rsidR="49F77CC1" w:rsidRPr="00276BCA">
        <w:t xml:space="preserve">; TTCD = </w:t>
      </w:r>
      <w:r w:rsidR="094A8C18" w:rsidRPr="00276BCA">
        <w:t>time to confirmed deterioration.</w:t>
      </w:r>
    </w:p>
    <w:p w14:paraId="68D34DA1" w14:textId="003C3CDF" w:rsidR="00BD40D9" w:rsidRPr="00276BCA" w:rsidRDefault="00AC7CF9" w:rsidP="002928A1">
      <w:pPr>
        <w:pStyle w:val="TableFooter"/>
        <w:keepNext/>
        <w:keepLines/>
      </w:pPr>
      <w:r w:rsidRPr="00276BCA">
        <w:rPr>
          <w:vertAlign w:val="superscript"/>
        </w:rPr>
        <w:t>a</w:t>
      </w:r>
      <w:r w:rsidRPr="00276BCA">
        <w:t xml:space="preserve"> </w:t>
      </w:r>
      <w:r w:rsidR="00BD40D9" w:rsidRPr="00276BCA">
        <w:t>Media</w:t>
      </w:r>
      <w:r w:rsidR="007D77A3" w:rsidRPr="00276BCA">
        <w:t>n follow-up duration is reported for OS.</w:t>
      </w:r>
    </w:p>
    <w:p w14:paraId="11C4F7FC" w14:textId="4E15CAAB" w:rsidR="00AC7CF9" w:rsidRPr="00276BCA" w:rsidRDefault="00BD40D9" w:rsidP="002928A1">
      <w:pPr>
        <w:pStyle w:val="TableFooter"/>
        <w:keepNext/>
        <w:keepLines/>
      </w:pPr>
      <w:r w:rsidRPr="00276BCA">
        <w:rPr>
          <w:vertAlign w:val="superscript"/>
        </w:rPr>
        <w:t xml:space="preserve">b </w:t>
      </w:r>
      <w:r w:rsidR="00AC7CF9" w:rsidRPr="00276BCA">
        <w:t xml:space="preserve">As at </w:t>
      </w:r>
      <w:r w:rsidR="00077A89" w:rsidRPr="00276BCA">
        <w:t xml:space="preserve">Final OS </w:t>
      </w:r>
      <w:r w:rsidR="00AC7CF9" w:rsidRPr="00276BCA">
        <w:t>data cutoff September 8, 2023</w:t>
      </w:r>
      <w:r w:rsidR="003649DA" w:rsidRPr="00276BCA">
        <w:t xml:space="preserve">, the median follow-up duration was </w:t>
      </w:r>
      <w:r w:rsidR="00CA787D" w:rsidRPr="00276BCA">
        <w:t xml:space="preserve">33.28 </w:t>
      </w:r>
      <w:r w:rsidR="003649DA" w:rsidRPr="00276BCA">
        <w:t xml:space="preserve">months for the </w:t>
      </w:r>
      <w:proofErr w:type="spellStart"/>
      <w:r w:rsidR="00CA787D" w:rsidRPr="00276BCA">
        <w:t>zolbetuximab</w:t>
      </w:r>
      <w:proofErr w:type="spellEnd"/>
      <w:r w:rsidR="003649DA" w:rsidRPr="00276BCA">
        <w:t xml:space="preserve"> arm and </w:t>
      </w:r>
      <w:r w:rsidR="00CA787D" w:rsidRPr="00276BCA">
        <w:t>31.38</w:t>
      </w:r>
      <w:r w:rsidR="003649DA" w:rsidRPr="00276BCA">
        <w:t xml:space="preserve"> months for the chemotherapy arm.</w:t>
      </w:r>
    </w:p>
    <w:p w14:paraId="4C6A3AB7" w14:textId="37B1EC40" w:rsidR="00AC7CF9" w:rsidRPr="00276BCA" w:rsidRDefault="00BD40D9" w:rsidP="002928A1">
      <w:pPr>
        <w:pStyle w:val="TableFooter"/>
        <w:keepNext/>
        <w:keepLines/>
      </w:pPr>
      <w:r w:rsidRPr="00276BCA">
        <w:rPr>
          <w:vertAlign w:val="superscript"/>
        </w:rPr>
        <w:t>c</w:t>
      </w:r>
      <w:r w:rsidRPr="00276BCA">
        <w:t xml:space="preserve"> </w:t>
      </w:r>
      <w:r w:rsidR="00AC7CF9" w:rsidRPr="00276BCA">
        <w:t xml:space="preserve">As at </w:t>
      </w:r>
      <w:r w:rsidR="00077A89" w:rsidRPr="00276BCA">
        <w:t xml:space="preserve">Final OS </w:t>
      </w:r>
      <w:r w:rsidR="00AC7CF9" w:rsidRPr="00276BCA">
        <w:t>data cutoff January 12, 2024</w:t>
      </w:r>
      <w:r w:rsidR="003649DA" w:rsidRPr="00276BCA">
        <w:t xml:space="preserve">, the median follow-up duration was 31.70 months for the </w:t>
      </w:r>
      <w:proofErr w:type="spellStart"/>
      <w:r w:rsidR="003649DA" w:rsidRPr="00276BCA">
        <w:t>zolbetuximab</w:t>
      </w:r>
      <w:proofErr w:type="spellEnd"/>
      <w:r w:rsidR="003649DA" w:rsidRPr="00276BCA">
        <w:t xml:space="preserve"> arm and 32.95 months for the chemotherapy arm.</w:t>
      </w:r>
    </w:p>
    <w:p w14:paraId="225B52DA" w14:textId="22FFF918" w:rsidR="00AC7CF9" w:rsidRPr="00276BCA" w:rsidRDefault="0CB91CED" w:rsidP="002928A1">
      <w:pPr>
        <w:pStyle w:val="TableFooter"/>
        <w:keepNext/>
        <w:keepLines/>
      </w:pPr>
      <w:r w:rsidRPr="00276BCA">
        <w:rPr>
          <w:vertAlign w:val="superscript"/>
        </w:rPr>
        <w:t>d</w:t>
      </w:r>
      <w:r w:rsidRPr="00276BCA">
        <w:t xml:space="preserve"> </w:t>
      </w:r>
      <w:proofErr w:type="gramStart"/>
      <w:r w:rsidR="3FBFC029" w:rsidRPr="00276BCA">
        <w:t>As</w:t>
      </w:r>
      <w:proofErr w:type="gramEnd"/>
      <w:r w:rsidR="3FBFC029" w:rsidRPr="00276BCA">
        <w:t xml:space="preserve"> at data cutoff May 27, 2020</w:t>
      </w:r>
      <w:r w:rsidR="44258DB6" w:rsidRPr="00276BCA">
        <w:t xml:space="preserve">, the median follow-up duration was </w:t>
      </w:r>
      <w:r w:rsidR="19E649D1" w:rsidRPr="00276BCA">
        <w:t>13.1 months for the nivolumab arm and 11.1 months for the chemotherapy arm.</w:t>
      </w:r>
      <w:r w:rsidR="3FBFC029" w:rsidRPr="00276BCA">
        <w:t xml:space="preserve"> Three-year follow-up data cutoff May 31, 2022</w:t>
      </w:r>
      <w:r w:rsidR="129A7DAE" w:rsidRPr="00276BCA">
        <w:t xml:space="preserve">, the median follow-up duration was 47.4 months for the nivolumab arm and </w:t>
      </w:r>
      <w:r w:rsidR="63509D38" w:rsidRPr="00276BCA">
        <w:t>47.3</w:t>
      </w:r>
      <w:r w:rsidR="129A7DAE" w:rsidRPr="00276BCA">
        <w:t xml:space="preserve"> months for the chemotherapy arm.</w:t>
      </w:r>
    </w:p>
    <w:p w14:paraId="71AE7C6D" w14:textId="7F5630D5" w:rsidR="008C4686" w:rsidRPr="00276BCA" w:rsidRDefault="0CB91CED" w:rsidP="002928A1">
      <w:pPr>
        <w:pStyle w:val="TableFooter"/>
        <w:keepNext/>
        <w:keepLines/>
      </w:pPr>
      <w:r w:rsidRPr="00276BCA">
        <w:rPr>
          <w:vertAlign w:val="superscript"/>
        </w:rPr>
        <w:t xml:space="preserve">e </w:t>
      </w:r>
      <w:proofErr w:type="gramStart"/>
      <w:r w:rsidR="3FBFC029" w:rsidRPr="00276BCA">
        <w:t>As</w:t>
      </w:r>
      <w:proofErr w:type="gramEnd"/>
      <w:r w:rsidR="3FBFC029" w:rsidRPr="00276BCA">
        <w:t xml:space="preserve"> at data cutoff January 31, 2020</w:t>
      </w:r>
    </w:p>
    <w:p w14:paraId="72B59DE4" w14:textId="07854424" w:rsidR="000A4562" w:rsidRPr="00276BCA" w:rsidRDefault="3EC2BAFC" w:rsidP="00AC7CF9">
      <w:pPr>
        <w:pStyle w:val="TableFooter"/>
      </w:pPr>
      <w:r w:rsidRPr="00276BCA">
        <w:rPr>
          <w:vertAlign w:val="superscript"/>
        </w:rPr>
        <w:t>f</w:t>
      </w:r>
      <w:r w:rsidRPr="00276BCA">
        <w:t xml:space="preserve"> Japan, South Korea and Taiwan</w:t>
      </w:r>
      <w:r w:rsidR="53478421" w:rsidRPr="00276BCA">
        <w:t>.</w:t>
      </w:r>
    </w:p>
    <w:p w14:paraId="676FDB49" w14:textId="6A9CA877" w:rsidR="00380E50" w:rsidRPr="00276BCA" w:rsidRDefault="00380E50" w:rsidP="008E424C">
      <w:pPr>
        <w:pStyle w:val="ListParagraph"/>
        <w:numPr>
          <w:ilvl w:val="4"/>
          <w:numId w:val="8"/>
        </w:numPr>
        <w:rPr>
          <w:color w:val="auto"/>
        </w:rPr>
      </w:pPr>
      <w:r w:rsidRPr="00276BCA">
        <w:rPr>
          <w:color w:val="auto"/>
        </w:rPr>
        <w:t xml:space="preserve">The included trials differed in the following eligibility criteria, which may have </w:t>
      </w:r>
      <w:r w:rsidR="00E6311C" w:rsidRPr="00276BCA">
        <w:rPr>
          <w:color w:val="auto"/>
        </w:rPr>
        <w:t>impacted</w:t>
      </w:r>
      <w:r w:rsidRPr="00276BCA">
        <w:rPr>
          <w:color w:val="auto"/>
        </w:rPr>
        <w:t xml:space="preserve"> the exchangeability of the trials for the ITC analysis:</w:t>
      </w:r>
    </w:p>
    <w:p w14:paraId="23F4C74B" w14:textId="3D2007C4" w:rsidR="00E43223" w:rsidRPr="00276BCA" w:rsidRDefault="12AB5378" w:rsidP="77D89277">
      <w:pPr>
        <w:pStyle w:val="PBACESParagraphBulletPoint"/>
        <w:rPr>
          <w:color w:val="auto"/>
        </w:rPr>
      </w:pPr>
      <w:r w:rsidRPr="00276BCA">
        <w:rPr>
          <w:color w:val="auto"/>
        </w:rPr>
        <w:t xml:space="preserve">The SPOTLIGHT, GLOW, and ATTRACTION-4 trials </w:t>
      </w:r>
      <w:r w:rsidR="00F44FF1" w:rsidRPr="00276BCA">
        <w:rPr>
          <w:color w:val="auto"/>
        </w:rPr>
        <w:t xml:space="preserve">included </w:t>
      </w:r>
      <w:r w:rsidRPr="00276BCA">
        <w:rPr>
          <w:color w:val="auto"/>
        </w:rPr>
        <w:t xml:space="preserve">patients with G/GOJ adenocarcinoma, while the </w:t>
      </w:r>
      <w:proofErr w:type="spellStart"/>
      <w:r w:rsidRPr="00276BCA">
        <w:rPr>
          <w:color w:val="auto"/>
        </w:rPr>
        <w:t>CheckMate</w:t>
      </w:r>
      <w:proofErr w:type="spellEnd"/>
      <w:r w:rsidRPr="00276BCA">
        <w:rPr>
          <w:color w:val="auto"/>
        </w:rPr>
        <w:t xml:space="preserve"> 649 trial included </w:t>
      </w:r>
      <w:r w:rsidR="6C35618C" w:rsidRPr="00276BCA">
        <w:rPr>
          <w:color w:val="auto"/>
        </w:rPr>
        <w:t xml:space="preserve">both </w:t>
      </w:r>
      <w:r w:rsidRPr="00276BCA">
        <w:rPr>
          <w:color w:val="auto"/>
        </w:rPr>
        <w:t>patients with oesophageal adenocarcinoma</w:t>
      </w:r>
      <w:r w:rsidR="5EC50D15" w:rsidRPr="00276BCA">
        <w:rPr>
          <w:color w:val="auto"/>
        </w:rPr>
        <w:t xml:space="preserve"> and patients with G/GOJ adenocarcinoma</w:t>
      </w:r>
      <w:r w:rsidR="0017775C" w:rsidRPr="00276BCA">
        <w:rPr>
          <w:color w:val="auto"/>
        </w:rPr>
        <w:t>.</w:t>
      </w:r>
      <w:r w:rsidR="0410BBA0" w:rsidRPr="00276BCA">
        <w:rPr>
          <w:color w:val="auto"/>
        </w:rPr>
        <w:t xml:space="preserve"> </w:t>
      </w:r>
    </w:p>
    <w:p w14:paraId="56536973" w14:textId="1F569094" w:rsidR="001B548C" w:rsidRPr="00276BCA" w:rsidRDefault="40366BAF" w:rsidP="77D89277">
      <w:pPr>
        <w:pStyle w:val="PBACESParagraphBulletPoint"/>
        <w:rPr>
          <w:color w:val="auto"/>
        </w:rPr>
      </w:pPr>
      <w:r w:rsidRPr="00276BCA">
        <w:rPr>
          <w:color w:val="auto"/>
        </w:rPr>
        <w:t xml:space="preserve">The SPOTLIGHT and GLOW trials included patients with </w:t>
      </w:r>
      <w:r w:rsidR="048B72FB" w:rsidRPr="00276BCA">
        <w:rPr>
          <w:color w:val="auto"/>
        </w:rPr>
        <w:t>advanced</w:t>
      </w:r>
      <w:r w:rsidRPr="00276BCA">
        <w:rPr>
          <w:color w:val="auto"/>
        </w:rPr>
        <w:t xml:space="preserve"> </w:t>
      </w:r>
      <w:r w:rsidR="1F162F1D" w:rsidRPr="00276BCA">
        <w:rPr>
          <w:color w:val="auto"/>
        </w:rPr>
        <w:t>gastric (</w:t>
      </w:r>
      <w:r w:rsidR="527B38C8" w:rsidRPr="00276BCA">
        <w:rPr>
          <w:color w:val="auto"/>
        </w:rPr>
        <w:t xml:space="preserve">75-86%) or </w:t>
      </w:r>
      <w:r w:rsidRPr="00276BCA">
        <w:rPr>
          <w:color w:val="auto"/>
        </w:rPr>
        <w:t>GOJ</w:t>
      </w:r>
      <w:r w:rsidR="527B38C8" w:rsidRPr="00276BCA">
        <w:rPr>
          <w:color w:val="auto"/>
        </w:rPr>
        <w:t xml:space="preserve"> (</w:t>
      </w:r>
      <w:r w:rsidR="02628502" w:rsidRPr="00276BCA">
        <w:rPr>
          <w:color w:val="auto"/>
        </w:rPr>
        <w:t>14-26%)</w:t>
      </w:r>
      <w:r w:rsidRPr="00276BCA">
        <w:rPr>
          <w:color w:val="auto"/>
        </w:rPr>
        <w:t xml:space="preserve"> adenocarcinoma. </w:t>
      </w:r>
      <w:r w:rsidR="7015413A" w:rsidRPr="00276BCA">
        <w:rPr>
          <w:color w:val="auto"/>
        </w:rPr>
        <w:t>T</w:t>
      </w:r>
      <w:r w:rsidRPr="00276BCA">
        <w:rPr>
          <w:color w:val="auto"/>
        </w:rPr>
        <w:t xml:space="preserve">he </w:t>
      </w:r>
      <w:proofErr w:type="spellStart"/>
      <w:r w:rsidRPr="00276BCA">
        <w:rPr>
          <w:color w:val="auto"/>
        </w:rPr>
        <w:t>CheckMate</w:t>
      </w:r>
      <w:proofErr w:type="spellEnd"/>
      <w:r w:rsidRPr="00276BCA">
        <w:rPr>
          <w:color w:val="auto"/>
        </w:rPr>
        <w:t xml:space="preserve"> 649 trial </w:t>
      </w:r>
      <w:r w:rsidR="7015413A" w:rsidRPr="00276BCA">
        <w:rPr>
          <w:color w:val="auto"/>
        </w:rPr>
        <w:t xml:space="preserve">enrolled patients </w:t>
      </w:r>
      <w:r w:rsidRPr="00276BCA">
        <w:rPr>
          <w:color w:val="auto"/>
        </w:rPr>
        <w:t>with advanced or metastatic</w:t>
      </w:r>
      <w:r w:rsidR="760ACBEB" w:rsidRPr="00276BCA">
        <w:rPr>
          <w:color w:val="auto"/>
        </w:rPr>
        <w:t xml:space="preserve"> adenocarcinoma, including</w:t>
      </w:r>
      <w:r w:rsidRPr="00276BCA">
        <w:rPr>
          <w:color w:val="auto"/>
        </w:rPr>
        <w:t xml:space="preserve"> </w:t>
      </w:r>
      <w:r w:rsidR="02628502" w:rsidRPr="00276BCA">
        <w:rPr>
          <w:color w:val="auto"/>
        </w:rPr>
        <w:t>gastric (</w:t>
      </w:r>
      <w:r w:rsidR="79C1E193" w:rsidRPr="00276BCA">
        <w:rPr>
          <w:color w:val="auto"/>
        </w:rPr>
        <w:t>70%)</w:t>
      </w:r>
      <w:r w:rsidR="7752BDE1" w:rsidRPr="00276BCA">
        <w:rPr>
          <w:color w:val="auto"/>
        </w:rPr>
        <w:t>;</w:t>
      </w:r>
      <w:r w:rsidR="79C1E193" w:rsidRPr="00276BCA">
        <w:rPr>
          <w:color w:val="auto"/>
        </w:rPr>
        <w:t xml:space="preserve"> </w:t>
      </w:r>
      <w:r w:rsidRPr="00276BCA">
        <w:rPr>
          <w:color w:val="auto"/>
        </w:rPr>
        <w:t>GOJ</w:t>
      </w:r>
      <w:r w:rsidR="79C1E193" w:rsidRPr="00276BCA">
        <w:rPr>
          <w:color w:val="auto"/>
        </w:rPr>
        <w:t xml:space="preserve"> (</w:t>
      </w:r>
      <w:r w:rsidR="42320698" w:rsidRPr="00276BCA">
        <w:rPr>
          <w:color w:val="auto"/>
        </w:rPr>
        <w:t>17%)</w:t>
      </w:r>
      <w:r w:rsidR="7752BDE1" w:rsidRPr="00276BCA">
        <w:rPr>
          <w:color w:val="auto"/>
        </w:rPr>
        <w:t xml:space="preserve">; and </w:t>
      </w:r>
      <w:r w:rsidR="22DE4FBE" w:rsidRPr="00276BCA">
        <w:rPr>
          <w:color w:val="auto"/>
        </w:rPr>
        <w:t>oesophageal (13%)</w:t>
      </w:r>
      <w:r w:rsidRPr="00276BCA">
        <w:rPr>
          <w:color w:val="auto"/>
        </w:rPr>
        <w:t xml:space="preserve"> </w:t>
      </w:r>
      <w:r w:rsidR="760ACBEB" w:rsidRPr="00276BCA">
        <w:rPr>
          <w:color w:val="auto"/>
        </w:rPr>
        <w:t xml:space="preserve">cancers. </w:t>
      </w:r>
      <w:r w:rsidR="09CFB3DC" w:rsidRPr="00276BCA">
        <w:rPr>
          <w:color w:val="auto"/>
        </w:rPr>
        <w:t>T</w:t>
      </w:r>
      <w:r w:rsidRPr="00276BCA">
        <w:rPr>
          <w:color w:val="auto"/>
        </w:rPr>
        <w:t xml:space="preserve">he ATTRACTION-4 trial </w:t>
      </w:r>
      <w:r w:rsidR="4B0930CB" w:rsidRPr="00276BCA">
        <w:rPr>
          <w:color w:val="auto"/>
        </w:rPr>
        <w:t xml:space="preserve">enrolled </w:t>
      </w:r>
      <w:r w:rsidRPr="00276BCA">
        <w:rPr>
          <w:color w:val="auto"/>
        </w:rPr>
        <w:t xml:space="preserve">patients with </w:t>
      </w:r>
      <w:r w:rsidR="42320698" w:rsidRPr="00276BCA">
        <w:rPr>
          <w:color w:val="auto"/>
        </w:rPr>
        <w:t>gastric (65%)</w:t>
      </w:r>
      <w:r w:rsidR="09CFB3DC" w:rsidRPr="00276BCA">
        <w:rPr>
          <w:color w:val="auto"/>
        </w:rPr>
        <w:t xml:space="preserve"> and </w:t>
      </w:r>
      <w:r w:rsidRPr="00276BCA">
        <w:rPr>
          <w:color w:val="auto"/>
        </w:rPr>
        <w:t>GOJ</w:t>
      </w:r>
      <w:r w:rsidR="42320698" w:rsidRPr="00276BCA">
        <w:rPr>
          <w:color w:val="auto"/>
        </w:rPr>
        <w:t xml:space="preserve"> (</w:t>
      </w:r>
      <w:r w:rsidR="6EF165C8" w:rsidRPr="00276BCA">
        <w:rPr>
          <w:color w:val="auto"/>
        </w:rPr>
        <w:t>8%)</w:t>
      </w:r>
      <w:r w:rsidRPr="00276BCA">
        <w:rPr>
          <w:color w:val="auto"/>
        </w:rPr>
        <w:t xml:space="preserve"> adenocarcinoma</w:t>
      </w:r>
      <w:r w:rsidR="09CFB3DC" w:rsidRPr="00276BCA">
        <w:rPr>
          <w:color w:val="auto"/>
        </w:rPr>
        <w:t xml:space="preserve">, while </w:t>
      </w:r>
      <w:r w:rsidR="58BDA5BE" w:rsidRPr="00276BCA">
        <w:rPr>
          <w:color w:val="auto"/>
        </w:rPr>
        <w:t xml:space="preserve">27% of </w:t>
      </w:r>
      <w:r w:rsidR="09CFB3DC" w:rsidRPr="00276BCA">
        <w:rPr>
          <w:color w:val="auto"/>
        </w:rPr>
        <w:t>cases</w:t>
      </w:r>
      <w:r w:rsidR="58BDA5BE" w:rsidRPr="00276BCA">
        <w:rPr>
          <w:color w:val="auto"/>
        </w:rPr>
        <w:t xml:space="preserve"> </w:t>
      </w:r>
      <w:r w:rsidR="09CFB3DC" w:rsidRPr="00276BCA">
        <w:rPr>
          <w:color w:val="auto"/>
        </w:rPr>
        <w:t>had</w:t>
      </w:r>
      <w:r w:rsidR="64434A0D" w:rsidRPr="00276BCA">
        <w:rPr>
          <w:color w:val="auto"/>
        </w:rPr>
        <w:t xml:space="preserve"> no information on the primary site of adenocarcinoma</w:t>
      </w:r>
      <w:r w:rsidR="09CFB3DC" w:rsidRPr="00276BCA">
        <w:rPr>
          <w:color w:val="auto"/>
        </w:rPr>
        <w:t>. Furthermore,</w:t>
      </w:r>
      <w:r w:rsidRPr="00276BCA">
        <w:rPr>
          <w:color w:val="auto"/>
        </w:rPr>
        <w:t xml:space="preserve"> 23% of participants present</w:t>
      </w:r>
      <w:r w:rsidR="09CFB3DC" w:rsidRPr="00276BCA">
        <w:rPr>
          <w:color w:val="auto"/>
        </w:rPr>
        <w:t>ed</w:t>
      </w:r>
      <w:r w:rsidRPr="00276BCA">
        <w:rPr>
          <w:color w:val="auto"/>
        </w:rPr>
        <w:t xml:space="preserve"> with recurrent disease</w:t>
      </w:r>
      <w:r w:rsidR="09CFB3DC" w:rsidRPr="00276BCA">
        <w:rPr>
          <w:color w:val="auto"/>
        </w:rPr>
        <w:t xml:space="preserve"> in the </w:t>
      </w:r>
      <w:r w:rsidR="09CFB3DC" w:rsidRPr="00276BCA">
        <w:rPr>
          <w:color w:val="auto"/>
        </w:rPr>
        <w:lastRenderedPageBreak/>
        <w:t>ATTRACTION-4 trial</w:t>
      </w:r>
      <w:r w:rsidR="3AB1B701" w:rsidRPr="00276BCA">
        <w:rPr>
          <w:color w:val="auto"/>
        </w:rPr>
        <w:t>.</w:t>
      </w:r>
      <w:r w:rsidR="6938DD59" w:rsidRPr="00276BCA">
        <w:rPr>
          <w:color w:val="auto"/>
        </w:rPr>
        <w:t xml:space="preserve"> </w:t>
      </w:r>
      <w:r w:rsidR="2F6F328B" w:rsidRPr="00276BCA">
        <w:rPr>
          <w:color w:val="auto"/>
        </w:rPr>
        <w:t xml:space="preserve">The </w:t>
      </w:r>
      <w:r w:rsidR="4B2A27C7" w:rsidRPr="00276BCA">
        <w:rPr>
          <w:color w:val="auto"/>
        </w:rPr>
        <w:t>evaluation</w:t>
      </w:r>
      <w:r w:rsidR="2F6F328B" w:rsidRPr="00276BCA">
        <w:rPr>
          <w:color w:val="auto"/>
        </w:rPr>
        <w:t xml:space="preserve"> </w:t>
      </w:r>
      <w:r w:rsidR="3AB1B701" w:rsidRPr="00276BCA">
        <w:rPr>
          <w:color w:val="auto"/>
        </w:rPr>
        <w:t>note</w:t>
      </w:r>
      <w:r w:rsidR="2F6F328B" w:rsidRPr="00276BCA">
        <w:rPr>
          <w:color w:val="auto"/>
        </w:rPr>
        <w:t>d that</w:t>
      </w:r>
      <w:r w:rsidR="3AB1B701" w:rsidRPr="00276BCA">
        <w:rPr>
          <w:color w:val="auto"/>
        </w:rPr>
        <w:t xml:space="preserve"> 7 patients (&lt;1%) in </w:t>
      </w:r>
      <w:proofErr w:type="spellStart"/>
      <w:r w:rsidR="3AB1B701" w:rsidRPr="00276BCA">
        <w:rPr>
          <w:color w:val="auto"/>
        </w:rPr>
        <w:t>CheckMate</w:t>
      </w:r>
      <w:proofErr w:type="spellEnd"/>
      <w:r w:rsidR="3AB1B701" w:rsidRPr="00276BCA">
        <w:rPr>
          <w:color w:val="auto"/>
        </w:rPr>
        <w:t xml:space="preserve"> 649 had recurrent G/GOJ</w:t>
      </w:r>
      <w:r w:rsidR="7982E970" w:rsidRPr="00276BCA">
        <w:rPr>
          <w:color w:val="auto"/>
        </w:rPr>
        <w:t>.</w:t>
      </w:r>
    </w:p>
    <w:p w14:paraId="4F10F9A5" w14:textId="27BB2314" w:rsidR="001B548C" w:rsidRPr="00276BCA" w:rsidRDefault="7E9AF479" w:rsidP="77D89277">
      <w:pPr>
        <w:pStyle w:val="PBACESParagraphBulletPoint"/>
        <w:rPr>
          <w:color w:val="auto"/>
        </w:rPr>
      </w:pPr>
      <w:r w:rsidRPr="00276BCA">
        <w:rPr>
          <w:color w:val="auto"/>
        </w:rPr>
        <w:t xml:space="preserve">The SPOTLIGHT and GLOW trials specifically included patients whose tumours expressed CLDN18.2 in ≥75% of tumour cells, while the </w:t>
      </w:r>
      <w:proofErr w:type="spellStart"/>
      <w:r w:rsidRPr="00276BCA">
        <w:rPr>
          <w:color w:val="auto"/>
        </w:rPr>
        <w:t>CheckMate</w:t>
      </w:r>
      <w:proofErr w:type="spellEnd"/>
      <w:r w:rsidRPr="00276BCA">
        <w:rPr>
          <w:color w:val="auto"/>
        </w:rPr>
        <w:t xml:space="preserve"> 649 and ATTRACTION-4 trials did not assess CLDN18.2 status.</w:t>
      </w:r>
      <w:r w:rsidR="00EF5208" w:rsidRPr="00276BCA">
        <w:rPr>
          <w:color w:val="auto"/>
        </w:rPr>
        <w:t xml:space="preserve"> </w:t>
      </w:r>
    </w:p>
    <w:p w14:paraId="42E68176" w14:textId="1C5AD26C" w:rsidR="004843DC" w:rsidRPr="00276BCA" w:rsidRDefault="1133905F" w:rsidP="77D89277">
      <w:pPr>
        <w:pStyle w:val="PBACESParagraphBulletPoint"/>
        <w:rPr>
          <w:color w:val="auto"/>
        </w:rPr>
      </w:pPr>
      <w:r w:rsidRPr="00276BCA">
        <w:rPr>
          <w:color w:val="auto"/>
        </w:rPr>
        <w:t xml:space="preserve">The </w:t>
      </w:r>
      <w:proofErr w:type="spellStart"/>
      <w:r w:rsidR="064DD81B" w:rsidRPr="00276BCA">
        <w:rPr>
          <w:color w:val="auto"/>
        </w:rPr>
        <w:t>CheckMate</w:t>
      </w:r>
      <w:proofErr w:type="spellEnd"/>
      <w:r w:rsidR="064DD81B" w:rsidRPr="00276BCA">
        <w:rPr>
          <w:color w:val="auto"/>
        </w:rPr>
        <w:t xml:space="preserve"> 649 trial included patients with unknown HER2 status (</w:t>
      </w:r>
      <w:r w:rsidRPr="00276BCA">
        <w:rPr>
          <w:color w:val="auto"/>
        </w:rPr>
        <w:t>~</w:t>
      </w:r>
      <w:r w:rsidR="064DD81B" w:rsidRPr="00276BCA">
        <w:rPr>
          <w:color w:val="auto"/>
        </w:rPr>
        <w:t xml:space="preserve"> 40%), while the </w:t>
      </w:r>
      <w:proofErr w:type="spellStart"/>
      <w:r w:rsidR="4612F504" w:rsidRPr="00276BCA">
        <w:rPr>
          <w:color w:val="auto"/>
        </w:rPr>
        <w:t>zolbetuximab</w:t>
      </w:r>
      <w:proofErr w:type="spellEnd"/>
      <w:r w:rsidR="4612F504" w:rsidRPr="00276BCA">
        <w:rPr>
          <w:color w:val="auto"/>
        </w:rPr>
        <w:t xml:space="preserve"> </w:t>
      </w:r>
      <w:r w:rsidR="064DD81B" w:rsidRPr="00276BCA">
        <w:rPr>
          <w:color w:val="auto"/>
        </w:rPr>
        <w:t xml:space="preserve">trials </w:t>
      </w:r>
      <w:r w:rsidRPr="00276BCA">
        <w:rPr>
          <w:color w:val="auto"/>
        </w:rPr>
        <w:t>enrolled</w:t>
      </w:r>
      <w:r w:rsidR="064DD81B" w:rsidRPr="00276BCA">
        <w:rPr>
          <w:color w:val="auto"/>
        </w:rPr>
        <w:t xml:space="preserve"> </w:t>
      </w:r>
      <w:r w:rsidR="77789F5B" w:rsidRPr="00276BCA">
        <w:rPr>
          <w:color w:val="auto"/>
        </w:rPr>
        <w:t xml:space="preserve">only </w:t>
      </w:r>
      <w:r w:rsidR="064DD81B" w:rsidRPr="00276BCA">
        <w:rPr>
          <w:color w:val="auto"/>
        </w:rPr>
        <w:t xml:space="preserve">HER2-negative </w:t>
      </w:r>
      <w:r w:rsidRPr="00276BCA">
        <w:rPr>
          <w:color w:val="auto"/>
        </w:rPr>
        <w:t>patients</w:t>
      </w:r>
      <w:r w:rsidR="0010636B" w:rsidRPr="00276BCA">
        <w:rPr>
          <w:color w:val="auto"/>
        </w:rPr>
        <w:t xml:space="preserve"> (see paragraph </w:t>
      </w:r>
      <w:r w:rsidR="002865AF" w:rsidRPr="00276BCA">
        <w:rPr>
          <w:color w:val="auto"/>
        </w:rPr>
        <w:fldChar w:fldCharType="begin"/>
      </w:r>
      <w:r w:rsidR="002865AF" w:rsidRPr="00276BCA">
        <w:rPr>
          <w:color w:val="auto"/>
        </w:rPr>
        <w:instrText xml:space="preserve"> REF _Ref195618923 \r \h </w:instrText>
      </w:r>
      <w:r w:rsidR="00867969" w:rsidRPr="00276BCA">
        <w:rPr>
          <w:color w:val="auto"/>
        </w:rPr>
        <w:instrText xml:space="preserve"> \* MERGEFORMAT </w:instrText>
      </w:r>
      <w:r w:rsidR="002865AF" w:rsidRPr="00276BCA">
        <w:rPr>
          <w:color w:val="auto"/>
        </w:rPr>
      </w:r>
      <w:r w:rsidR="002865AF" w:rsidRPr="00276BCA">
        <w:rPr>
          <w:color w:val="auto"/>
        </w:rPr>
        <w:fldChar w:fldCharType="separate"/>
      </w:r>
      <w:r w:rsidR="0011458F">
        <w:rPr>
          <w:color w:val="auto"/>
        </w:rPr>
        <w:t>6.8</w:t>
      </w:r>
      <w:r w:rsidR="002865AF" w:rsidRPr="00276BCA">
        <w:rPr>
          <w:color w:val="auto"/>
        </w:rPr>
        <w:fldChar w:fldCharType="end"/>
      </w:r>
      <w:r w:rsidR="002865AF" w:rsidRPr="00276BCA">
        <w:rPr>
          <w:color w:val="auto"/>
        </w:rPr>
        <w:t>)</w:t>
      </w:r>
      <w:r w:rsidR="064DD81B" w:rsidRPr="00276BCA">
        <w:rPr>
          <w:color w:val="auto"/>
        </w:rPr>
        <w:t xml:space="preserve">. </w:t>
      </w:r>
    </w:p>
    <w:p w14:paraId="0FA3F16F" w14:textId="2EC3F8F0" w:rsidR="006B3F47" w:rsidRPr="00276BCA" w:rsidRDefault="003B6DB0" w:rsidP="008E424C">
      <w:pPr>
        <w:pStyle w:val="ListParagraph"/>
        <w:numPr>
          <w:ilvl w:val="4"/>
          <w:numId w:val="8"/>
        </w:numPr>
        <w:rPr>
          <w:color w:val="auto"/>
        </w:rPr>
      </w:pPr>
      <w:r w:rsidRPr="00276BCA">
        <w:rPr>
          <w:color w:val="auto"/>
        </w:rPr>
        <w:t xml:space="preserve">The baseline characteristics in terms of </w:t>
      </w:r>
      <w:r w:rsidR="006B5CC6" w:rsidRPr="00276BCA">
        <w:rPr>
          <w:color w:val="auto"/>
        </w:rPr>
        <w:t xml:space="preserve">median </w:t>
      </w:r>
      <w:r w:rsidRPr="00276BCA">
        <w:rPr>
          <w:color w:val="auto"/>
        </w:rPr>
        <w:t>age</w:t>
      </w:r>
      <w:r w:rsidR="002A18A1" w:rsidRPr="00276BCA">
        <w:rPr>
          <w:color w:val="auto"/>
        </w:rPr>
        <w:t>, gender distribution</w:t>
      </w:r>
      <w:r w:rsidR="00F704BF" w:rsidRPr="00276BCA">
        <w:rPr>
          <w:color w:val="auto"/>
        </w:rPr>
        <w:t xml:space="preserve"> and</w:t>
      </w:r>
      <w:r w:rsidRPr="00276BCA">
        <w:rPr>
          <w:color w:val="auto"/>
        </w:rPr>
        <w:t xml:space="preserve"> </w:t>
      </w:r>
      <w:r w:rsidR="003968E6" w:rsidRPr="00276BCA">
        <w:rPr>
          <w:color w:val="auto"/>
        </w:rPr>
        <w:t xml:space="preserve">ECOG </w:t>
      </w:r>
      <w:r w:rsidR="00105DD3" w:rsidRPr="00276BCA">
        <w:rPr>
          <w:color w:val="auto"/>
        </w:rPr>
        <w:t xml:space="preserve">PS </w:t>
      </w:r>
      <w:r w:rsidR="00FF4E4D" w:rsidRPr="00276BCA">
        <w:rPr>
          <w:color w:val="auto"/>
        </w:rPr>
        <w:t>of 0-1</w:t>
      </w:r>
      <w:r w:rsidR="00F704BF" w:rsidRPr="00276BCA">
        <w:rPr>
          <w:color w:val="auto"/>
        </w:rPr>
        <w:t xml:space="preserve"> we</w:t>
      </w:r>
      <w:r w:rsidR="00DC78B2" w:rsidRPr="00276BCA">
        <w:rPr>
          <w:color w:val="auto"/>
        </w:rPr>
        <w:t xml:space="preserve">re similar in the study populations of both </w:t>
      </w:r>
      <w:proofErr w:type="spellStart"/>
      <w:r w:rsidR="00DC78B2" w:rsidRPr="00276BCA">
        <w:rPr>
          <w:color w:val="auto"/>
        </w:rPr>
        <w:t>zolbetuximab</w:t>
      </w:r>
      <w:proofErr w:type="spellEnd"/>
      <w:r w:rsidR="00DC78B2" w:rsidRPr="00276BCA">
        <w:rPr>
          <w:color w:val="auto"/>
        </w:rPr>
        <w:t xml:space="preserve"> and nivolumab trials.</w:t>
      </w:r>
      <w:r w:rsidR="008227A5" w:rsidRPr="00276BCA">
        <w:rPr>
          <w:color w:val="auto"/>
        </w:rPr>
        <w:t xml:space="preserve"> </w:t>
      </w:r>
      <w:r w:rsidR="006B3F47" w:rsidRPr="00276BCA">
        <w:rPr>
          <w:color w:val="auto"/>
        </w:rPr>
        <w:t xml:space="preserve">The key differences in the baseline characteristics and treatments across </w:t>
      </w:r>
      <w:r w:rsidR="00C33F03" w:rsidRPr="00276BCA">
        <w:rPr>
          <w:color w:val="auto"/>
        </w:rPr>
        <w:t>the</w:t>
      </w:r>
      <w:r w:rsidR="006B3F47" w:rsidRPr="00276BCA">
        <w:rPr>
          <w:color w:val="auto"/>
        </w:rPr>
        <w:t xml:space="preserve"> trials that may affect the transitivity assumptions of the ITC analysis are summarised below:</w:t>
      </w:r>
    </w:p>
    <w:p w14:paraId="4364F5B8" w14:textId="665FA08A" w:rsidR="007D7797" w:rsidRPr="00276BCA" w:rsidRDefault="76FC89F1" w:rsidP="77D89277">
      <w:pPr>
        <w:pStyle w:val="PBACESParagraphBulletPoint"/>
        <w:rPr>
          <w:color w:val="auto"/>
        </w:rPr>
      </w:pPr>
      <w:r w:rsidRPr="00276BCA">
        <w:rPr>
          <w:color w:val="auto"/>
        </w:rPr>
        <w:t xml:space="preserve">A higher proportion of patients </w:t>
      </w:r>
      <w:r w:rsidR="00C74693" w:rsidRPr="00276BCA">
        <w:rPr>
          <w:color w:val="auto"/>
        </w:rPr>
        <w:t>had GC</w:t>
      </w:r>
      <w:r w:rsidR="000838B2" w:rsidRPr="00276BCA">
        <w:rPr>
          <w:color w:val="auto"/>
        </w:rPr>
        <w:t xml:space="preserve"> </w:t>
      </w:r>
      <w:r w:rsidRPr="00276BCA">
        <w:rPr>
          <w:color w:val="auto"/>
        </w:rPr>
        <w:t xml:space="preserve">in </w:t>
      </w:r>
      <w:proofErr w:type="spellStart"/>
      <w:r w:rsidRPr="00276BCA">
        <w:rPr>
          <w:color w:val="auto"/>
        </w:rPr>
        <w:t>zolbetuximab</w:t>
      </w:r>
      <w:proofErr w:type="spellEnd"/>
      <w:r w:rsidRPr="00276BCA">
        <w:rPr>
          <w:color w:val="auto"/>
        </w:rPr>
        <w:t xml:space="preserve"> trials (74-86%) compared to nivolumab trials (65-70%). </w:t>
      </w:r>
    </w:p>
    <w:p w14:paraId="6DA084BF" w14:textId="243B36ED" w:rsidR="00DC73F9" w:rsidRPr="00276BCA" w:rsidRDefault="3E54002C" w:rsidP="77D89277">
      <w:pPr>
        <w:pStyle w:val="PBACESParagraphBulletPoint"/>
        <w:rPr>
          <w:color w:val="auto"/>
        </w:rPr>
      </w:pPr>
      <w:r w:rsidRPr="00276BCA">
        <w:rPr>
          <w:color w:val="auto"/>
        </w:rPr>
        <w:t xml:space="preserve">While the SPOTLIGHT, GLOW and </w:t>
      </w:r>
      <w:proofErr w:type="spellStart"/>
      <w:r w:rsidRPr="00276BCA">
        <w:rPr>
          <w:color w:val="auto"/>
        </w:rPr>
        <w:t>CheckMate</w:t>
      </w:r>
      <w:proofErr w:type="spellEnd"/>
      <w:r w:rsidRPr="00276BCA">
        <w:rPr>
          <w:color w:val="auto"/>
        </w:rPr>
        <w:t xml:space="preserve"> 649 were global trials, ATTRACTION-4 was conducted in Japan, South Korea, and Taiwan. A higher proportion of patients in the GLOW trial were Asian</w:t>
      </w:r>
      <w:r w:rsidR="092E71CC" w:rsidRPr="00276BCA">
        <w:rPr>
          <w:color w:val="auto"/>
        </w:rPr>
        <w:t xml:space="preserve"> by </w:t>
      </w:r>
      <w:r w:rsidR="309E5E36" w:rsidRPr="00276BCA">
        <w:rPr>
          <w:color w:val="auto"/>
        </w:rPr>
        <w:t>ancestry</w:t>
      </w:r>
      <w:r w:rsidRPr="00276BCA">
        <w:rPr>
          <w:color w:val="auto"/>
        </w:rPr>
        <w:t xml:space="preserve"> (62%) compared to the SPOTLIGHT (31%) and </w:t>
      </w:r>
      <w:proofErr w:type="spellStart"/>
      <w:r w:rsidRPr="00276BCA">
        <w:rPr>
          <w:color w:val="auto"/>
        </w:rPr>
        <w:t>CheckMate</w:t>
      </w:r>
      <w:proofErr w:type="spellEnd"/>
      <w:r w:rsidRPr="00276BCA">
        <w:rPr>
          <w:color w:val="auto"/>
        </w:rPr>
        <w:t xml:space="preserve"> 649 trials (25%). </w:t>
      </w:r>
    </w:p>
    <w:p w14:paraId="358BEE4C" w14:textId="6FAC578E" w:rsidR="00DC73F9" w:rsidRPr="00276BCA" w:rsidRDefault="7DD6DC3F" w:rsidP="77D89277">
      <w:pPr>
        <w:pStyle w:val="PBACESParagraphBulletPoint"/>
        <w:rPr>
          <w:color w:val="auto"/>
        </w:rPr>
      </w:pPr>
      <w:r w:rsidRPr="00276BCA">
        <w:rPr>
          <w:rFonts w:ascii="Calibri" w:hAnsi="Calibri"/>
          <w:color w:val="auto"/>
        </w:rPr>
        <w:t>Median follow-up varied across the trials, ranging from 31.</w:t>
      </w:r>
      <w:r w:rsidR="21EE213D" w:rsidRPr="00276BCA">
        <w:rPr>
          <w:rFonts w:ascii="Calibri" w:hAnsi="Calibri"/>
          <w:color w:val="auto"/>
        </w:rPr>
        <w:t xml:space="preserve">4 </w:t>
      </w:r>
      <w:r w:rsidRPr="00276BCA">
        <w:rPr>
          <w:rFonts w:ascii="Calibri" w:hAnsi="Calibri"/>
          <w:color w:val="auto"/>
        </w:rPr>
        <w:t>to 33.</w:t>
      </w:r>
      <w:r w:rsidR="38A7D455" w:rsidRPr="00276BCA">
        <w:rPr>
          <w:rFonts w:ascii="Calibri" w:hAnsi="Calibri"/>
          <w:color w:val="auto"/>
        </w:rPr>
        <w:t xml:space="preserve">3 </w:t>
      </w:r>
      <w:r w:rsidRPr="00276BCA">
        <w:rPr>
          <w:rFonts w:ascii="Calibri" w:hAnsi="Calibri"/>
          <w:color w:val="auto"/>
        </w:rPr>
        <w:t xml:space="preserve">months in the GLOW and SPOTLIGHT trials, compared to a minimum of 36.2 months in the three-year follow-up of the </w:t>
      </w:r>
      <w:proofErr w:type="spellStart"/>
      <w:r w:rsidRPr="00276BCA">
        <w:rPr>
          <w:rFonts w:ascii="Calibri" w:hAnsi="Calibri"/>
          <w:color w:val="auto"/>
        </w:rPr>
        <w:t>CheckMate</w:t>
      </w:r>
      <w:proofErr w:type="spellEnd"/>
      <w:r w:rsidRPr="00276BCA">
        <w:rPr>
          <w:rFonts w:ascii="Calibri" w:hAnsi="Calibri"/>
          <w:color w:val="auto"/>
        </w:rPr>
        <w:t xml:space="preserve"> 649 trial and a median of 11.6</w:t>
      </w:r>
      <w:r w:rsidR="00A67718" w:rsidRPr="00276BCA">
        <w:rPr>
          <w:rFonts w:ascii="Calibri" w:hAnsi="Calibri"/>
          <w:color w:val="auto"/>
        </w:rPr>
        <w:t> </w:t>
      </w:r>
      <w:r w:rsidRPr="00276BCA">
        <w:rPr>
          <w:rFonts w:ascii="Calibri" w:hAnsi="Calibri"/>
          <w:color w:val="auto"/>
        </w:rPr>
        <w:t xml:space="preserve">months in the ATTRACTION-4 trial. </w:t>
      </w:r>
    </w:p>
    <w:p w14:paraId="6803ED50" w14:textId="67BD1D49" w:rsidR="0029080A" w:rsidRPr="00276BCA" w:rsidRDefault="7DD6DC3F" w:rsidP="77D89277">
      <w:pPr>
        <w:pStyle w:val="PBACESParagraphBulletPoint"/>
        <w:rPr>
          <w:color w:val="auto"/>
        </w:rPr>
      </w:pPr>
      <w:r w:rsidRPr="00276BCA">
        <w:rPr>
          <w:color w:val="auto"/>
        </w:rPr>
        <w:t xml:space="preserve">The proportion and type of subsequent anticancer therapies varied across the trials: 54% vs 59% in the SPOTLIGHT trial, 52% vs 60% in the GLOW trial, 38% vs 41% in </w:t>
      </w:r>
      <w:proofErr w:type="spellStart"/>
      <w:r w:rsidRPr="00276BCA">
        <w:rPr>
          <w:color w:val="auto"/>
        </w:rPr>
        <w:t>CheckMate</w:t>
      </w:r>
      <w:proofErr w:type="spellEnd"/>
      <w:r w:rsidRPr="00276BCA">
        <w:rPr>
          <w:color w:val="auto"/>
        </w:rPr>
        <w:t xml:space="preserve"> 649, and 72% vs 73% in ATTRACTION-4, in the treatment arm compared to chemotherapy arm. </w:t>
      </w:r>
      <w:r w:rsidR="5D2EB315" w:rsidRPr="00276BCA">
        <w:rPr>
          <w:color w:val="auto"/>
        </w:rPr>
        <w:t xml:space="preserve">The evaluation </w:t>
      </w:r>
      <w:r w:rsidR="475046BC" w:rsidRPr="00276BCA">
        <w:rPr>
          <w:color w:val="auto"/>
        </w:rPr>
        <w:t xml:space="preserve">and the ESCs </w:t>
      </w:r>
      <w:r w:rsidR="5D2EB315" w:rsidRPr="00276BCA">
        <w:rPr>
          <w:color w:val="auto"/>
        </w:rPr>
        <w:t>considered that t</w:t>
      </w:r>
      <w:r w:rsidRPr="00276BCA">
        <w:rPr>
          <w:color w:val="auto"/>
        </w:rPr>
        <w:t>he overall impact of the differences in the proportion of patients who received subsequent therapy, and the type of subsequent therapy is unclear, but it could potentially influence the OS results.</w:t>
      </w:r>
    </w:p>
    <w:p w14:paraId="107BBF3E" w14:textId="77777777" w:rsidR="00805762" w:rsidRPr="00276BCA" w:rsidRDefault="11FD920B" w:rsidP="77D89277">
      <w:pPr>
        <w:pStyle w:val="ListParagraph"/>
        <w:numPr>
          <w:ilvl w:val="4"/>
          <w:numId w:val="8"/>
        </w:numPr>
        <w:rPr>
          <w:color w:val="auto"/>
        </w:rPr>
      </w:pPr>
      <w:r w:rsidRPr="00276BCA">
        <w:rPr>
          <w:color w:val="auto"/>
        </w:rPr>
        <w:t>The key characteristics of the SPOTLIGHT and GLOW trials were generally consistent with the Australian setting, with the following exceptions:</w:t>
      </w:r>
    </w:p>
    <w:p w14:paraId="0645B384" w14:textId="0F049A91" w:rsidR="00805762" w:rsidRPr="00276BCA" w:rsidRDefault="11FD920B" w:rsidP="77D89277">
      <w:pPr>
        <w:pStyle w:val="PBACESParagraphBulletPoint"/>
        <w:rPr>
          <w:color w:val="auto"/>
        </w:rPr>
      </w:pPr>
      <w:r w:rsidRPr="00276BCA">
        <w:rPr>
          <w:color w:val="auto"/>
        </w:rPr>
        <w:t xml:space="preserve">Patients in the SPOTLIGHT trial (mean age: 59 years) and the GLOW trial (mean age: 57.6 years) were younger than the target PBS population, where the mean age at diagnosis for stomach and oesophageal cancer is approximately 70-71 years. </w:t>
      </w:r>
    </w:p>
    <w:p w14:paraId="3DDB0FE7" w14:textId="5D2B27C7" w:rsidR="00EF46A6" w:rsidRPr="00276BCA" w:rsidRDefault="19686B85" w:rsidP="77D89277">
      <w:pPr>
        <w:pStyle w:val="PBACESParagraphBulletPoint"/>
        <w:rPr>
          <w:color w:val="auto"/>
        </w:rPr>
      </w:pPr>
      <w:r w:rsidRPr="00276BCA">
        <w:rPr>
          <w:color w:val="auto"/>
        </w:rPr>
        <w:t xml:space="preserve">In the SPOTLIGHT trial, 37% of patients were of Asian ancestry, and 63% were Caucasian. In the GLOW trial, 63% of patients were of Asian ancestry, while </w:t>
      </w:r>
      <w:r w:rsidRPr="00276BCA">
        <w:rPr>
          <w:color w:val="auto"/>
        </w:rPr>
        <w:lastRenderedPageBreak/>
        <w:t xml:space="preserve">37% were Caucasian. </w:t>
      </w:r>
      <w:r w:rsidR="7F1F6DEA" w:rsidRPr="00276BCA">
        <w:rPr>
          <w:color w:val="auto"/>
        </w:rPr>
        <w:t>The evaluation</w:t>
      </w:r>
      <w:r w:rsidR="12029105" w:rsidRPr="00276BCA" w:rsidDel="00E83859">
        <w:rPr>
          <w:color w:val="auto"/>
        </w:rPr>
        <w:t xml:space="preserve"> </w:t>
      </w:r>
      <w:r w:rsidR="00E83859" w:rsidRPr="00276BCA">
        <w:rPr>
          <w:color w:val="auto"/>
        </w:rPr>
        <w:t xml:space="preserve">noted </w:t>
      </w:r>
      <w:r w:rsidR="7F1F6DEA" w:rsidRPr="00276BCA">
        <w:rPr>
          <w:color w:val="auto"/>
        </w:rPr>
        <w:t>that i</w:t>
      </w:r>
      <w:r w:rsidRPr="00276BCA">
        <w:rPr>
          <w:color w:val="auto"/>
        </w:rPr>
        <w:t xml:space="preserve">n Australia, approximately 57% of the population is Caucasian, and 18% is of Asian ancestry. </w:t>
      </w:r>
    </w:p>
    <w:p w14:paraId="5A32B14C" w14:textId="5EDCC656" w:rsidR="0033768E" w:rsidRPr="00276BCA" w:rsidRDefault="51FCB9CA" w:rsidP="003D62A3">
      <w:pPr>
        <w:pStyle w:val="PBACESParagraphBulletPoint"/>
        <w:numPr>
          <w:ilvl w:val="0"/>
          <w:numId w:val="0"/>
        </w:numPr>
        <w:ind w:left="1494"/>
        <w:rPr>
          <w:color w:val="auto"/>
        </w:rPr>
      </w:pPr>
      <w:r w:rsidRPr="00276BCA">
        <w:rPr>
          <w:color w:val="auto"/>
        </w:rPr>
        <w:t>T</w:t>
      </w:r>
      <w:r w:rsidR="12029105" w:rsidRPr="00276BCA">
        <w:rPr>
          <w:color w:val="auto"/>
        </w:rPr>
        <w:t xml:space="preserve">he PSCR </w:t>
      </w:r>
      <w:r w:rsidR="1E5C823B" w:rsidRPr="00276BCA">
        <w:rPr>
          <w:color w:val="auto"/>
        </w:rPr>
        <w:t xml:space="preserve">acknowledged differences in age and ancestry between the </w:t>
      </w:r>
      <w:proofErr w:type="spellStart"/>
      <w:r w:rsidR="1E5C823B" w:rsidRPr="00276BCA">
        <w:rPr>
          <w:color w:val="auto"/>
        </w:rPr>
        <w:t>zolbetuximab</w:t>
      </w:r>
      <w:proofErr w:type="spellEnd"/>
      <w:r w:rsidR="1E5C823B" w:rsidRPr="00276BCA">
        <w:rPr>
          <w:color w:val="auto"/>
        </w:rPr>
        <w:t xml:space="preserve"> trials and the intended PBS population but stated that CLDN18.2 positivity was consistent across race and age. It highlighted </w:t>
      </w:r>
      <w:proofErr w:type="spellStart"/>
      <w:r w:rsidR="1E5C823B" w:rsidRPr="00276BCA">
        <w:rPr>
          <w:color w:val="auto"/>
        </w:rPr>
        <w:t>zolbetuximab</w:t>
      </w:r>
      <w:proofErr w:type="spellEnd"/>
      <w:r w:rsidR="1E5C823B" w:rsidRPr="00276BCA">
        <w:rPr>
          <w:color w:val="auto"/>
        </w:rPr>
        <w:t xml:space="preserve"> was effective across all subgroups, with hazard ratios </w:t>
      </w:r>
      <w:r w:rsidR="4B2A27C7" w:rsidRPr="00276BCA">
        <w:rPr>
          <w:color w:val="auto"/>
        </w:rPr>
        <w:t>favouring</w:t>
      </w:r>
      <w:r w:rsidR="1E5C823B" w:rsidRPr="00276BCA">
        <w:rPr>
          <w:color w:val="auto"/>
        </w:rPr>
        <w:t xml:space="preserve"> </w:t>
      </w:r>
      <w:proofErr w:type="spellStart"/>
      <w:r w:rsidR="484B148A" w:rsidRPr="00276BCA">
        <w:rPr>
          <w:color w:val="auto"/>
        </w:rPr>
        <w:t>zolbetuximab</w:t>
      </w:r>
      <w:proofErr w:type="spellEnd"/>
      <w:r w:rsidR="484B148A" w:rsidRPr="00276BCA">
        <w:rPr>
          <w:color w:val="auto"/>
        </w:rPr>
        <w:t xml:space="preserve"> </w:t>
      </w:r>
      <w:r w:rsidR="1E5C823B" w:rsidRPr="00276BCA">
        <w:rPr>
          <w:color w:val="auto"/>
        </w:rPr>
        <w:t xml:space="preserve">in patients ≥65 years and both Asian and non-Asian populations. </w:t>
      </w:r>
      <w:r w:rsidR="6A68D37D" w:rsidRPr="00276BCA">
        <w:rPr>
          <w:color w:val="auto"/>
        </w:rPr>
        <w:t xml:space="preserve">The ESCs </w:t>
      </w:r>
      <w:r w:rsidR="2152CE5A" w:rsidRPr="00276BCA">
        <w:rPr>
          <w:color w:val="auto"/>
        </w:rPr>
        <w:t>considered</w:t>
      </w:r>
      <w:r w:rsidR="6A68D37D" w:rsidRPr="00276BCA">
        <w:rPr>
          <w:color w:val="auto"/>
        </w:rPr>
        <w:t xml:space="preserve"> that whil</w:t>
      </w:r>
      <w:r w:rsidR="211E1AAD" w:rsidRPr="00276BCA">
        <w:rPr>
          <w:color w:val="auto"/>
        </w:rPr>
        <w:t xml:space="preserve">st </w:t>
      </w:r>
      <w:r w:rsidR="2152CE5A" w:rsidRPr="00276BCA">
        <w:rPr>
          <w:color w:val="auto"/>
        </w:rPr>
        <w:t>applicability</w:t>
      </w:r>
      <w:r w:rsidR="211E1AAD" w:rsidRPr="00276BCA">
        <w:rPr>
          <w:color w:val="auto"/>
        </w:rPr>
        <w:t xml:space="preserve"> to the </w:t>
      </w:r>
      <w:r w:rsidR="4B2A27C7" w:rsidRPr="00276BCA">
        <w:rPr>
          <w:color w:val="auto"/>
        </w:rPr>
        <w:t>Australian</w:t>
      </w:r>
      <w:r w:rsidR="211E1AAD" w:rsidRPr="00276BCA">
        <w:rPr>
          <w:color w:val="auto"/>
        </w:rPr>
        <w:t xml:space="preserve"> setting is </w:t>
      </w:r>
      <w:r w:rsidR="17928038" w:rsidRPr="00276BCA">
        <w:rPr>
          <w:color w:val="auto"/>
        </w:rPr>
        <w:t xml:space="preserve">potentially an </w:t>
      </w:r>
      <w:r w:rsidR="211E1AAD" w:rsidRPr="00276BCA">
        <w:rPr>
          <w:color w:val="auto"/>
        </w:rPr>
        <w:t xml:space="preserve">issue, </w:t>
      </w:r>
      <w:r w:rsidR="6CF277BA" w:rsidRPr="00276BCA">
        <w:rPr>
          <w:color w:val="auto"/>
        </w:rPr>
        <w:t>it is</w:t>
      </w:r>
      <w:r w:rsidR="2F7EAE08" w:rsidRPr="00276BCA">
        <w:rPr>
          <w:color w:val="auto"/>
        </w:rPr>
        <w:t xml:space="preserve"> largely unavoidable </w:t>
      </w:r>
      <w:r w:rsidR="2152CE5A" w:rsidRPr="00276BCA">
        <w:rPr>
          <w:color w:val="auto"/>
        </w:rPr>
        <w:t xml:space="preserve">for small patient populations. </w:t>
      </w:r>
    </w:p>
    <w:p w14:paraId="74FE6476" w14:textId="56B1C947" w:rsidR="009A60D9" w:rsidRPr="00276BCA" w:rsidRDefault="00EF46A6" w:rsidP="77D89277">
      <w:pPr>
        <w:pStyle w:val="ListParagraph"/>
        <w:numPr>
          <w:ilvl w:val="4"/>
          <w:numId w:val="8"/>
        </w:numPr>
        <w:rPr>
          <w:color w:val="auto"/>
        </w:rPr>
      </w:pPr>
      <w:r w:rsidRPr="00276BCA">
        <w:rPr>
          <w:color w:val="auto"/>
        </w:rPr>
        <w:t>I</w:t>
      </w:r>
      <w:r w:rsidR="014F7203" w:rsidRPr="00276BCA">
        <w:rPr>
          <w:color w:val="auto"/>
        </w:rPr>
        <w:t>n both</w:t>
      </w:r>
      <w:r w:rsidRPr="00276BCA">
        <w:rPr>
          <w:color w:val="auto"/>
        </w:rPr>
        <w:t xml:space="preserve"> the</w:t>
      </w:r>
      <w:r w:rsidR="014F7203" w:rsidRPr="00276BCA">
        <w:rPr>
          <w:color w:val="auto"/>
        </w:rPr>
        <w:t xml:space="preserve"> SPOTLIGHT and GLOW trial</w:t>
      </w:r>
      <w:r w:rsidRPr="00276BCA">
        <w:rPr>
          <w:color w:val="auto"/>
        </w:rPr>
        <w:t>s</w:t>
      </w:r>
      <w:r w:rsidR="014F7203" w:rsidRPr="00276BCA">
        <w:rPr>
          <w:color w:val="auto"/>
        </w:rPr>
        <w:t xml:space="preserve">, </w:t>
      </w:r>
      <w:proofErr w:type="spellStart"/>
      <w:r w:rsidR="65010016" w:rsidRPr="00276BCA">
        <w:rPr>
          <w:color w:val="auto"/>
        </w:rPr>
        <w:t>zolbetuximab</w:t>
      </w:r>
      <w:proofErr w:type="spellEnd"/>
      <w:r w:rsidR="65010016" w:rsidRPr="00276BCA">
        <w:rPr>
          <w:color w:val="auto"/>
        </w:rPr>
        <w:t xml:space="preserve"> </w:t>
      </w:r>
      <w:r w:rsidR="014F7203" w:rsidRPr="00276BCA">
        <w:rPr>
          <w:color w:val="auto"/>
        </w:rPr>
        <w:t>wa</w:t>
      </w:r>
      <w:r w:rsidR="65010016" w:rsidRPr="00276BCA">
        <w:rPr>
          <w:color w:val="auto"/>
        </w:rPr>
        <w:t>s administered at a loading dose of 800 mg/m</w:t>
      </w:r>
      <w:r w:rsidR="65010016" w:rsidRPr="00276BCA">
        <w:rPr>
          <w:color w:val="auto"/>
          <w:vertAlign w:val="superscript"/>
        </w:rPr>
        <w:t>2</w:t>
      </w:r>
      <w:r w:rsidR="65010016" w:rsidRPr="00276BCA">
        <w:rPr>
          <w:color w:val="auto"/>
        </w:rPr>
        <w:t xml:space="preserve"> and a maintenance dose of 600 mg/m</w:t>
      </w:r>
      <w:r w:rsidR="65010016" w:rsidRPr="00276BCA">
        <w:rPr>
          <w:color w:val="auto"/>
          <w:vertAlign w:val="superscript"/>
        </w:rPr>
        <w:t>2</w:t>
      </w:r>
      <w:r w:rsidR="00AB5912" w:rsidRPr="00276BCA">
        <w:rPr>
          <w:color w:val="auto"/>
        </w:rPr>
        <w:t xml:space="preserve"> Q</w:t>
      </w:r>
      <w:r w:rsidR="65010016" w:rsidRPr="00276BCA">
        <w:rPr>
          <w:color w:val="auto"/>
        </w:rPr>
        <w:t>3W. In the GLOW trial, patients in both arms received up to 8 cycles of CAPOX, with each cycle lasting 3</w:t>
      </w:r>
      <w:r w:rsidR="00A67718" w:rsidRPr="00276BCA">
        <w:rPr>
          <w:color w:val="auto"/>
        </w:rPr>
        <w:t> </w:t>
      </w:r>
      <w:r w:rsidR="65010016" w:rsidRPr="00276BCA">
        <w:rPr>
          <w:color w:val="auto"/>
        </w:rPr>
        <w:t xml:space="preserve">weeks, covering a total of 24 weeks of treatment. After completing the 8 cycles of CAPOX, capecitabine could be continued in 3-week cycles at the investigator’s discretion, until the patient met the criteria for treatment discontinuation. In the SPOTLIGHT trial, patients in both arms received up to 12 cycles of mFOLFOX6, or a modified version of mFOLFOX6 if certain components were discontinued due to toxicity. The treatment was administered on days 1, 15, and 29 of each 42-day cycle, covering a total of 24 weeks, which is equivalent to 4 cycles of 6 weeks. After completing 12 cycles of mFOLFOX6, patients could continue receiving 5-FU and folinic acid on the same 3 days of each cycle at the investigator’s discretion, until the patient met the criteria for treatment discontinuation. </w:t>
      </w:r>
      <w:r w:rsidR="014F7203" w:rsidRPr="00276BCA">
        <w:rPr>
          <w:color w:val="auto"/>
        </w:rPr>
        <w:t xml:space="preserve">All treatments were given as IV infusion, except for capecitabine which was administered orally. The dosage and methods of administration were consistent with the dosage and methods of administration outlined in the draft Product Information for </w:t>
      </w:r>
      <w:proofErr w:type="spellStart"/>
      <w:r w:rsidR="014F7203" w:rsidRPr="00276BCA">
        <w:rPr>
          <w:color w:val="auto"/>
        </w:rPr>
        <w:t>zolbetuximab</w:t>
      </w:r>
      <w:proofErr w:type="spellEnd"/>
      <w:r w:rsidR="014F7203" w:rsidRPr="00276BCA">
        <w:rPr>
          <w:color w:val="auto"/>
        </w:rPr>
        <w:t xml:space="preserve">. </w:t>
      </w:r>
    </w:p>
    <w:p w14:paraId="64BEB059" w14:textId="190919EB" w:rsidR="009F1E7D" w:rsidRPr="00276BCA" w:rsidRDefault="001B463A" w:rsidP="77D89277">
      <w:pPr>
        <w:pStyle w:val="ListParagraph"/>
        <w:numPr>
          <w:ilvl w:val="4"/>
          <w:numId w:val="8"/>
        </w:numPr>
        <w:rPr>
          <w:color w:val="auto"/>
        </w:rPr>
      </w:pPr>
      <w:r w:rsidRPr="00276BCA">
        <w:rPr>
          <w:color w:val="auto"/>
        </w:rPr>
        <w:t>I</w:t>
      </w:r>
      <w:r w:rsidR="65010016" w:rsidRPr="00276BCA">
        <w:rPr>
          <w:color w:val="auto"/>
        </w:rPr>
        <w:t xml:space="preserve">n the </w:t>
      </w:r>
      <w:proofErr w:type="spellStart"/>
      <w:r w:rsidR="65010016" w:rsidRPr="00276BCA">
        <w:rPr>
          <w:color w:val="auto"/>
        </w:rPr>
        <w:t>CheckMate</w:t>
      </w:r>
      <w:proofErr w:type="spellEnd"/>
      <w:r w:rsidR="65010016" w:rsidRPr="00276BCA">
        <w:rPr>
          <w:color w:val="auto"/>
        </w:rPr>
        <w:t xml:space="preserve"> 649 trial, nivolumab was administered at 360 mg Q3W with the CAPOX regimen and 240 mg Q2W with the mFOLFOX6 regimen. The CAPOX regimen in </w:t>
      </w:r>
      <w:proofErr w:type="spellStart"/>
      <w:r w:rsidR="65010016" w:rsidRPr="00276BCA">
        <w:rPr>
          <w:color w:val="auto"/>
        </w:rPr>
        <w:t>CheckMate</w:t>
      </w:r>
      <w:proofErr w:type="spellEnd"/>
      <w:r w:rsidR="65010016" w:rsidRPr="00276BCA">
        <w:rPr>
          <w:color w:val="auto"/>
        </w:rPr>
        <w:t xml:space="preserve"> 649 was </w:t>
      </w:r>
      <w:proofErr w:type="gramStart"/>
      <w:r w:rsidR="65010016" w:rsidRPr="00276BCA">
        <w:rPr>
          <w:color w:val="auto"/>
        </w:rPr>
        <w:t>similar to</w:t>
      </w:r>
      <w:proofErr w:type="gramEnd"/>
      <w:r w:rsidR="65010016" w:rsidRPr="00276BCA">
        <w:rPr>
          <w:color w:val="auto"/>
        </w:rPr>
        <w:t xml:space="preserve"> that in the GLOW trial, </w:t>
      </w:r>
      <w:r w:rsidR="007F4D14" w:rsidRPr="00276BCA">
        <w:rPr>
          <w:color w:val="auto"/>
        </w:rPr>
        <w:t xml:space="preserve">and </w:t>
      </w:r>
      <w:r w:rsidR="65010016" w:rsidRPr="00276BCA">
        <w:rPr>
          <w:color w:val="auto"/>
        </w:rPr>
        <w:t xml:space="preserve">the mFOLFOX6 regimen in </w:t>
      </w:r>
      <w:proofErr w:type="spellStart"/>
      <w:r w:rsidR="65010016" w:rsidRPr="00276BCA">
        <w:rPr>
          <w:color w:val="auto"/>
        </w:rPr>
        <w:t>CheckMate</w:t>
      </w:r>
      <w:proofErr w:type="spellEnd"/>
      <w:r w:rsidR="65010016" w:rsidRPr="00276BCA">
        <w:rPr>
          <w:color w:val="auto"/>
        </w:rPr>
        <w:t xml:space="preserve"> 649 was </w:t>
      </w:r>
      <w:proofErr w:type="gramStart"/>
      <w:r w:rsidR="65010016" w:rsidRPr="00276BCA">
        <w:rPr>
          <w:color w:val="auto"/>
        </w:rPr>
        <w:t>similar to</w:t>
      </w:r>
      <w:proofErr w:type="gramEnd"/>
      <w:r w:rsidR="65010016" w:rsidRPr="00276BCA">
        <w:rPr>
          <w:color w:val="auto"/>
        </w:rPr>
        <w:t xml:space="preserve"> that in the SPOTLIGHT trial. However, unlike </w:t>
      </w:r>
      <w:r w:rsidR="00723B9F" w:rsidRPr="00276BCA">
        <w:rPr>
          <w:color w:val="auto"/>
        </w:rPr>
        <w:t xml:space="preserve">the </w:t>
      </w:r>
      <w:proofErr w:type="spellStart"/>
      <w:r w:rsidR="65010016" w:rsidRPr="00276BCA">
        <w:rPr>
          <w:color w:val="auto"/>
        </w:rPr>
        <w:t>zolbetuximab</w:t>
      </w:r>
      <w:proofErr w:type="spellEnd"/>
      <w:r w:rsidR="65010016" w:rsidRPr="00276BCA">
        <w:rPr>
          <w:color w:val="auto"/>
        </w:rPr>
        <w:t xml:space="preserve"> trials, placebo was not given in addition to chemotherapy in the comparator arm of </w:t>
      </w:r>
      <w:proofErr w:type="spellStart"/>
      <w:r w:rsidR="65010016" w:rsidRPr="00276BCA">
        <w:rPr>
          <w:color w:val="auto"/>
        </w:rPr>
        <w:t>CheckMate</w:t>
      </w:r>
      <w:proofErr w:type="spellEnd"/>
      <w:r w:rsidR="65010016" w:rsidRPr="00276BCA">
        <w:rPr>
          <w:color w:val="auto"/>
        </w:rPr>
        <w:t xml:space="preserve"> 649 trial. Additionally, there was no discontinuation rule for chemotherapy in the trial. In the ATTRACTION-4 trial, nivolumab was administered at a dose of 360 mg Q3W. The CAPOX regimen used in ATTRACTION-4 was </w:t>
      </w:r>
      <w:proofErr w:type="gramStart"/>
      <w:r w:rsidR="65010016" w:rsidRPr="00276BCA">
        <w:rPr>
          <w:color w:val="auto"/>
        </w:rPr>
        <w:t>similar to</w:t>
      </w:r>
      <w:proofErr w:type="gramEnd"/>
      <w:r w:rsidR="65010016" w:rsidRPr="00276BCA">
        <w:rPr>
          <w:color w:val="auto"/>
        </w:rPr>
        <w:t xml:space="preserve"> that in the GLOW trial; however, </w:t>
      </w:r>
      <w:proofErr w:type="gramStart"/>
      <w:r w:rsidR="65010016" w:rsidRPr="00276BCA">
        <w:rPr>
          <w:color w:val="auto"/>
        </w:rPr>
        <w:t>the majority of</w:t>
      </w:r>
      <w:proofErr w:type="gramEnd"/>
      <w:r w:rsidR="65010016" w:rsidRPr="00276BCA">
        <w:rPr>
          <w:color w:val="auto"/>
        </w:rPr>
        <w:t xml:space="preserve"> patients in ATTRACTION-4 (64%) received SOX chemotherapy, which was not used in either of the </w:t>
      </w:r>
      <w:proofErr w:type="spellStart"/>
      <w:r w:rsidR="65010016" w:rsidRPr="00276BCA">
        <w:rPr>
          <w:color w:val="auto"/>
        </w:rPr>
        <w:t>zolbetuximab</w:t>
      </w:r>
      <w:proofErr w:type="spellEnd"/>
      <w:r w:rsidR="65010016" w:rsidRPr="00276BCA">
        <w:rPr>
          <w:color w:val="auto"/>
        </w:rPr>
        <w:t xml:space="preserve"> trials and is not considered the standard of care in Australia.</w:t>
      </w:r>
    </w:p>
    <w:p w14:paraId="70D20683" w14:textId="0BFB3944" w:rsidR="00C54254" w:rsidRPr="00276BCA" w:rsidRDefault="10BEFC7A" w:rsidP="43B696FE">
      <w:pPr>
        <w:pStyle w:val="ListParagraph"/>
        <w:numPr>
          <w:ilvl w:val="4"/>
          <w:numId w:val="8"/>
        </w:numPr>
        <w:rPr>
          <w:color w:val="auto"/>
        </w:rPr>
      </w:pPr>
      <w:r w:rsidRPr="00276BCA">
        <w:rPr>
          <w:color w:val="auto"/>
        </w:rPr>
        <w:t>A</w:t>
      </w:r>
      <w:r w:rsidR="008D5FF1" w:rsidRPr="00276BCA">
        <w:rPr>
          <w:color w:val="auto"/>
        </w:rPr>
        <w:t xml:space="preserve"> claim of noninferior efficacy for </w:t>
      </w:r>
      <w:proofErr w:type="spellStart"/>
      <w:r w:rsidR="008D5FF1" w:rsidRPr="00276BCA">
        <w:rPr>
          <w:color w:val="auto"/>
        </w:rPr>
        <w:t>zolbetuximab</w:t>
      </w:r>
      <w:proofErr w:type="spellEnd"/>
      <w:r w:rsidR="008D5FF1" w:rsidRPr="00276BCA">
        <w:rPr>
          <w:color w:val="auto"/>
        </w:rPr>
        <w:t xml:space="preserve"> + chemotherapy over nivolumab + chemotherapy was based on OS and PFS. The submission presented an unanchored and unadjusted ITC of adverse events (AEs) to support the claim of a different but manageable safety profile. </w:t>
      </w:r>
    </w:p>
    <w:p w14:paraId="4E25FE10" w14:textId="5DC42E0C" w:rsidR="00411796" w:rsidRPr="00276BCA" w:rsidRDefault="008D5FF1" w:rsidP="61AD10E1">
      <w:pPr>
        <w:pStyle w:val="ListParagraph"/>
        <w:numPr>
          <w:ilvl w:val="4"/>
          <w:numId w:val="8"/>
        </w:numPr>
        <w:rPr>
          <w:color w:val="auto"/>
        </w:rPr>
      </w:pPr>
      <w:r w:rsidRPr="00276BCA">
        <w:rPr>
          <w:color w:val="auto"/>
        </w:rPr>
        <w:lastRenderedPageBreak/>
        <w:t xml:space="preserve">The submission did not propose a noninferiority margin. </w:t>
      </w:r>
      <w:r w:rsidR="00587B3F" w:rsidRPr="00276BCA">
        <w:rPr>
          <w:color w:val="auto"/>
        </w:rPr>
        <w:t>The evaluation considered that t</w:t>
      </w:r>
      <w:r w:rsidRPr="00276BCA">
        <w:rPr>
          <w:color w:val="auto"/>
        </w:rPr>
        <w:t xml:space="preserve">he absence of a noninferiority margin makes it difficult to assess the noninferiority claim with certainty. </w:t>
      </w:r>
    </w:p>
    <w:p w14:paraId="1D781D36" w14:textId="137252A2" w:rsidR="00411796" w:rsidRPr="00276BCA" w:rsidRDefault="00C6499E" w:rsidP="006351C6">
      <w:pPr>
        <w:pStyle w:val="OutlineHeading2"/>
        <w:rPr>
          <w:iCs/>
        </w:rPr>
      </w:pPr>
      <w:r w:rsidRPr="00276BCA">
        <w:rPr>
          <w:iCs/>
        </w:rPr>
        <w:t>Comparative effectiveness</w:t>
      </w:r>
    </w:p>
    <w:p w14:paraId="7D635430" w14:textId="10C696A2" w:rsidR="00836C99" w:rsidRPr="00276BCA" w:rsidRDefault="00C4117F" w:rsidP="00836C99">
      <w:pPr>
        <w:pStyle w:val="ListParagraph"/>
        <w:numPr>
          <w:ilvl w:val="4"/>
          <w:numId w:val="8"/>
        </w:numPr>
        <w:rPr>
          <w:color w:val="auto"/>
        </w:rPr>
      </w:pPr>
      <w:r w:rsidRPr="00276BCA">
        <w:rPr>
          <w:color w:val="auto"/>
        </w:rPr>
        <w:t>The results of the PFS analys</w:t>
      </w:r>
      <w:r w:rsidR="000750ED" w:rsidRPr="00276BCA">
        <w:rPr>
          <w:color w:val="auto"/>
        </w:rPr>
        <w:t>e</w:t>
      </w:r>
      <w:r w:rsidRPr="00276BCA">
        <w:rPr>
          <w:color w:val="auto"/>
        </w:rPr>
        <w:t>s</w:t>
      </w:r>
      <w:r w:rsidR="00111259" w:rsidRPr="00276BCA">
        <w:rPr>
          <w:color w:val="auto"/>
        </w:rPr>
        <w:t xml:space="preserve">, assessed by </w:t>
      </w:r>
      <w:r w:rsidR="00320067" w:rsidRPr="00276BCA">
        <w:rPr>
          <w:color w:val="auto"/>
        </w:rPr>
        <w:t xml:space="preserve">an </w:t>
      </w:r>
      <w:r w:rsidR="00111259" w:rsidRPr="00276BCA">
        <w:rPr>
          <w:color w:val="auto"/>
        </w:rPr>
        <w:t>Independent Review Committee (IRC),</w:t>
      </w:r>
      <w:r w:rsidRPr="00276BCA">
        <w:rPr>
          <w:color w:val="auto"/>
        </w:rPr>
        <w:t xml:space="preserve"> are presented in</w:t>
      </w:r>
      <w:r w:rsidR="00881BA8" w:rsidRPr="00276BCA">
        <w:rPr>
          <w:color w:val="auto"/>
        </w:rPr>
        <w:t xml:space="preserve"> </w:t>
      </w:r>
      <w:r w:rsidR="00881BA8" w:rsidRPr="00276BCA">
        <w:rPr>
          <w:color w:val="auto"/>
        </w:rPr>
        <w:fldChar w:fldCharType="begin"/>
      </w:r>
      <w:r w:rsidR="00881BA8" w:rsidRPr="00276BCA">
        <w:rPr>
          <w:color w:val="auto"/>
        </w:rPr>
        <w:instrText xml:space="preserve"> REF _Ref191466056 \h </w:instrText>
      </w:r>
      <w:r w:rsidR="00907075" w:rsidRPr="00276BCA">
        <w:rPr>
          <w:color w:val="auto"/>
        </w:rPr>
        <w:instrText xml:space="preserve"> \* MERGEFORMAT </w:instrText>
      </w:r>
      <w:r w:rsidR="00881BA8" w:rsidRPr="00276BCA">
        <w:rPr>
          <w:color w:val="auto"/>
        </w:rPr>
      </w:r>
      <w:r w:rsidR="00881BA8" w:rsidRPr="00276BCA">
        <w:rPr>
          <w:color w:val="auto"/>
        </w:rPr>
        <w:fldChar w:fldCharType="separate"/>
      </w:r>
      <w:r w:rsidR="0011458F" w:rsidRPr="00276BCA">
        <w:t xml:space="preserve">Table </w:t>
      </w:r>
      <w:r w:rsidR="0011458F">
        <w:t>6</w:t>
      </w:r>
      <w:r w:rsidR="00881BA8" w:rsidRPr="00276BCA">
        <w:rPr>
          <w:color w:val="auto"/>
        </w:rPr>
        <w:fldChar w:fldCharType="end"/>
      </w:r>
      <w:r w:rsidR="008019C0" w:rsidRPr="00276BCA">
        <w:rPr>
          <w:color w:val="auto"/>
        </w:rPr>
        <w:t>.</w:t>
      </w:r>
    </w:p>
    <w:p w14:paraId="4F02D2D4" w14:textId="4FE71B65" w:rsidR="005C4EDD" w:rsidRPr="00276BCA" w:rsidRDefault="005C4EDD" w:rsidP="00204461">
      <w:pPr>
        <w:pStyle w:val="Caption"/>
      </w:pPr>
      <w:bookmarkStart w:id="46" w:name="_Ref191466056"/>
      <w:r w:rsidRPr="00276BCA">
        <w:t>Table</w:t>
      </w:r>
      <w:r w:rsidR="00134AF1" w:rsidRPr="00276BCA">
        <w:t xml:space="preserve"> </w:t>
      </w:r>
      <w:r w:rsidR="005E7C50">
        <w:fldChar w:fldCharType="begin"/>
      </w:r>
      <w:r w:rsidR="005E7C50">
        <w:instrText xml:space="preserve"> SEQ Table_PBAC. \* ARABIC </w:instrText>
      </w:r>
      <w:r w:rsidR="005E7C50">
        <w:fldChar w:fldCharType="separate"/>
      </w:r>
      <w:r w:rsidR="0011458F">
        <w:rPr>
          <w:noProof/>
        </w:rPr>
        <w:t>6</w:t>
      </w:r>
      <w:r w:rsidR="005E7C50">
        <w:rPr>
          <w:noProof/>
        </w:rPr>
        <w:fldChar w:fldCharType="end"/>
      </w:r>
      <w:bookmarkEnd w:id="46"/>
      <w:r w:rsidR="00A67718" w:rsidRPr="00276BCA">
        <w:t>:</w:t>
      </w:r>
      <w:r w:rsidRPr="00276BCA">
        <w:t xml:space="preserve"> </w:t>
      </w:r>
      <w:r w:rsidR="00134AF1" w:rsidRPr="00276BCA">
        <w:t>Results of PFS across the studies</w:t>
      </w:r>
      <w:r w:rsidRPr="00276BCA">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6: Results of PFS across the studies "/>
      </w:tblPr>
      <w:tblGrid>
        <w:gridCol w:w="1418"/>
        <w:gridCol w:w="970"/>
        <w:gridCol w:w="970"/>
        <w:gridCol w:w="970"/>
        <w:gridCol w:w="970"/>
        <w:gridCol w:w="970"/>
        <w:gridCol w:w="970"/>
        <w:gridCol w:w="930"/>
        <w:gridCol w:w="848"/>
      </w:tblGrid>
      <w:tr w:rsidR="001377E1" w:rsidRPr="00276BCA" w14:paraId="3C0CD789" w14:textId="77777777" w:rsidTr="004768E5">
        <w:trPr>
          <w:trHeight w:val="179"/>
          <w:tblHeader/>
        </w:trPr>
        <w:tc>
          <w:tcPr>
            <w:tcW w:w="786" w:type="pct"/>
            <w:vMerge w:val="restart"/>
          </w:tcPr>
          <w:p w14:paraId="096AF4B4" w14:textId="77777777" w:rsidR="001377E1" w:rsidRPr="00276BCA" w:rsidRDefault="001377E1">
            <w:pPr>
              <w:pStyle w:val="TableText"/>
              <w:keepNext/>
              <w:rPr>
                <w:b/>
              </w:rPr>
            </w:pPr>
            <w:proofErr w:type="spellStart"/>
            <w:r w:rsidRPr="00276BCA">
              <w:rPr>
                <w:b/>
              </w:rPr>
              <w:t>Zolbetuximab</w:t>
            </w:r>
            <w:proofErr w:type="spellEnd"/>
            <w:r w:rsidRPr="00276BCA">
              <w:rPr>
                <w:b/>
              </w:rPr>
              <w:t xml:space="preserve"> trials</w:t>
            </w:r>
          </w:p>
        </w:tc>
        <w:tc>
          <w:tcPr>
            <w:tcW w:w="1614" w:type="pct"/>
            <w:gridSpan w:val="3"/>
          </w:tcPr>
          <w:p w14:paraId="673A60D3" w14:textId="77777777" w:rsidR="001377E1" w:rsidRPr="00276BCA" w:rsidRDefault="001377E1">
            <w:pPr>
              <w:pStyle w:val="TableText"/>
              <w:keepNext/>
              <w:jc w:val="center"/>
              <w:rPr>
                <w:b/>
              </w:rPr>
            </w:pPr>
            <w:proofErr w:type="spellStart"/>
            <w:r w:rsidRPr="00276BCA">
              <w:rPr>
                <w:b/>
              </w:rPr>
              <w:t>Zolbetuximab</w:t>
            </w:r>
            <w:proofErr w:type="spellEnd"/>
            <w:r w:rsidRPr="00276BCA">
              <w:rPr>
                <w:b/>
              </w:rPr>
              <w:t xml:space="preserve"> + chemotherapy</w:t>
            </w:r>
          </w:p>
        </w:tc>
        <w:tc>
          <w:tcPr>
            <w:tcW w:w="1614" w:type="pct"/>
            <w:gridSpan w:val="3"/>
          </w:tcPr>
          <w:p w14:paraId="45A16AC6" w14:textId="77777777" w:rsidR="001377E1" w:rsidRPr="00276BCA" w:rsidRDefault="001377E1">
            <w:pPr>
              <w:pStyle w:val="TableText"/>
              <w:keepNext/>
              <w:jc w:val="center"/>
              <w:rPr>
                <w:b/>
              </w:rPr>
            </w:pPr>
            <w:r w:rsidRPr="00276BCA">
              <w:rPr>
                <w:b/>
              </w:rPr>
              <w:t>Placebo + chemotherapy</w:t>
            </w:r>
          </w:p>
        </w:tc>
        <w:tc>
          <w:tcPr>
            <w:tcW w:w="516" w:type="pct"/>
            <w:vMerge w:val="restart"/>
          </w:tcPr>
          <w:p w14:paraId="5C8A0BE3" w14:textId="77777777" w:rsidR="001377E1" w:rsidRPr="00276BCA" w:rsidRDefault="001377E1">
            <w:pPr>
              <w:pStyle w:val="TableText"/>
              <w:keepNext/>
              <w:jc w:val="center"/>
              <w:rPr>
                <w:b/>
              </w:rPr>
            </w:pPr>
            <w:r w:rsidRPr="00276BCA">
              <w:rPr>
                <w:b/>
              </w:rPr>
              <w:t>Absolute diff. in median</w:t>
            </w:r>
          </w:p>
        </w:tc>
        <w:tc>
          <w:tcPr>
            <w:tcW w:w="470" w:type="pct"/>
            <w:vMerge w:val="restart"/>
          </w:tcPr>
          <w:p w14:paraId="36F6FB20" w14:textId="77777777" w:rsidR="001377E1" w:rsidRPr="00276BCA" w:rsidRDefault="001377E1">
            <w:pPr>
              <w:pStyle w:val="TableText"/>
              <w:keepNext/>
              <w:jc w:val="center"/>
              <w:rPr>
                <w:b/>
              </w:rPr>
            </w:pPr>
            <w:r w:rsidRPr="00276BCA">
              <w:rPr>
                <w:b/>
              </w:rPr>
              <w:t>Hazard ratio (95% CI)</w:t>
            </w:r>
          </w:p>
        </w:tc>
      </w:tr>
      <w:tr w:rsidR="00712CEE" w:rsidRPr="00276BCA" w14:paraId="2589660E" w14:textId="77777777" w:rsidTr="004768E5">
        <w:trPr>
          <w:trHeight w:val="178"/>
          <w:tblHeader/>
        </w:trPr>
        <w:tc>
          <w:tcPr>
            <w:tcW w:w="786" w:type="pct"/>
            <w:vMerge/>
          </w:tcPr>
          <w:p w14:paraId="53B58599" w14:textId="77777777" w:rsidR="001377E1" w:rsidRPr="00276BCA" w:rsidRDefault="001377E1">
            <w:pPr>
              <w:pStyle w:val="TableText"/>
              <w:keepNext/>
              <w:rPr>
                <w:b/>
              </w:rPr>
            </w:pPr>
          </w:p>
        </w:tc>
        <w:tc>
          <w:tcPr>
            <w:tcW w:w="538" w:type="pct"/>
          </w:tcPr>
          <w:p w14:paraId="75D32ED2" w14:textId="77777777" w:rsidR="001377E1" w:rsidRPr="00276BCA" w:rsidRDefault="001377E1">
            <w:pPr>
              <w:pStyle w:val="TableText"/>
              <w:keepNext/>
              <w:jc w:val="center"/>
              <w:rPr>
                <w:b/>
              </w:rPr>
            </w:pPr>
            <w:r w:rsidRPr="00276BCA">
              <w:rPr>
                <w:b/>
              </w:rPr>
              <w:t>n with event / N (%)</w:t>
            </w:r>
          </w:p>
        </w:tc>
        <w:tc>
          <w:tcPr>
            <w:tcW w:w="538" w:type="pct"/>
          </w:tcPr>
          <w:p w14:paraId="41B8323D" w14:textId="77777777" w:rsidR="001377E1" w:rsidRPr="00276BCA" w:rsidRDefault="001377E1">
            <w:pPr>
              <w:pStyle w:val="TableText"/>
              <w:keepNext/>
              <w:jc w:val="center"/>
              <w:rPr>
                <w:b/>
              </w:rPr>
            </w:pPr>
            <w:r w:rsidRPr="00276BCA">
              <w:rPr>
                <w:b/>
              </w:rPr>
              <w:t>Median PFS, months (95% CI)</w:t>
            </w:r>
          </w:p>
        </w:tc>
        <w:tc>
          <w:tcPr>
            <w:tcW w:w="538" w:type="pct"/>
          </w:tcPr>
          <w:p w14:paraId="526C230E" w14:textId="77777777" w:rsidR="001377E1" w:rsidRPr="00276BCA" w:rsidRDefault="001377E1">
            <w:pPr>
              <w:pStyle w:val="TableNumber"/>
              <w:keepNext/>
              <w:rPr>
                <w:b/>
              </w:rPr>
            </w:pPr>
            <w:r w:rsidRPr="00276BCA">
              <w:rPr>
                <w:b/>
              </w:rPr>
              <w:t>Median FU time, months</w:t>
            </w:r>
            <w:r w:rsidRPr="00276BCA">
              <w:t xml:space="preserve"> </w:t>
            </w:r>
          </w:p>
        </w:tc>
        <w:tc>
          <w:tcPr>
            <w:tcW w:w="538" w:type="pct"/>
          </w:tcPr>
          <w:p w14:paraId="1989A236" w14:textId="77777777" w:rsidR="001377E1" w:rsidRPr="00276BCA" w:rsidRDefault="001377E1">
            <w:pPr>
              <w:pStyle w:val="TableText"/>
              <w:keepNext/>
              <w:jc w:val="center"/>
              <w:rPr>
                <w:b/>
              </w:rPr>
            </w:pPr>
            <w:r w:rsidRPr="00276BCA">
              <w:rPr>
                <w:b/>
              </w:rPr>
              <w:t>n with event / N (%)</w:t>
            </w:r>
          </w:p>
        </w:tc>
        <w:tc>
          <w:tcPr>
            <w:tcW w:w="538" w:type="pct"/>
          </w:tcPr>
          <w:p w14:paraId="5020A817" w14:textId="77777777" w:rsidR="001377E1" w:rsidRPr="00276BCA" w:rsidRDefault="001377E1">
            <w:pPr>
              <w:pStyle w:val="TableText"/>
              <w:keepNext/>
              <w:jc w:val="center"/>
              <w:rPr>
                <w:b/>
              </w:rPr>
            </w:pPr>
            <w:r w:rsidRPr="00276BCA">
              <w:rPr>
                <w:b/>
              </w:rPr>
              <w:t>Median PFS, months (95% CI)</w:t>
            </w:r>
          </w:p>
        </w:tc>
        <w:tc>
          <w:tcPr>
            <w:tcW w:w="538" w:type="pct"/>
          </w:tcPr>
          <w:p w14:paraId="0FDD5639" w14:textId="77777777" w:rsidR="001377E1" w:rsidRPr="00276BCA" w:rsidRDefault="001377E1">
            <w:pPr>
              <w:pStyle w:val="TableNumber"/>
              <w:keepNext/>
            </w:pPr>
            <w:r w:rsidRPr="00276BCA">
              <w:rPr>
                <w:b/>
              </w:rPr>
              <w:t>Median FU time, months</w:t>
            </w:r>
          </w:p>
        </w:tc>
        <w:tc>
          <w:tcPr>
            <w:tcW w:w="516" w:type="pct"/>
            <w:vMerge/>
            <w:vAlign w:val="bottom"/>
          </w:tcPr>
          <w:p w14:paraId="39417058" w14:textId="77777777" w:rsidR="001377E1" w:rsidRPr="00276BCA" w:rsidRDefault="001377E1">
            <w:pPr>
              <w:pStyle w:val="TableText"/>
              <w:keepNext/>
              <w:jc w:val="center"/>
              <w:rPr>
                <w:b/>
              </w:rPr>
            </w:pPr>
          </w:p>
        </w:tc>
        <w:tc>
          <w:tcPr>
            <w:tcW w:w="470" w:type="pct"/>
            <w:vMerge/>
            <w:vAlign w:val="bottom"/>
          </w:tcPr>
          <w:p w14:paraId="1E7FBD2F" w14:textId="77777777" w:rsidR="001377E1" w:rsidRPr="00276BCA" w:rsidRDefault="001377E1">
            <w:pPr>
              <w:pStyle w:val="TableText"/>
              <w:keepNext/>
              <w:jc w:val="center"/>
              <w:rPr>
                <w:b/>
              </w:rPr>
            </w:pPr>
          </w:p>
        </w:tc>
      </w:tr>
      <w:tr w:rsidR="00712CEE" w:rsidRPr="00276BCA" w14:paraId="73405548" w14:textId="77777777" w:rsidTr="004768E5">
        <w:tc>
          <w:tcPr>
            <w:tcW w:w="786" w:type="pct"/>
          </w:tcPr>
          <w:p w14:paraId="231CE07C" w14:textId="77777777" w:rsidR="001377E1" w:rsidRPr="00276BCA" w:rsidRDefault="216E681A" w:rsidP="77D89277">
            <w:pPr>
              <w:pStyle w:val="TableText"/>
              <w:keepNext/>
            </w:pPr>
            <w:proofErr w:type="spellStart"/>
            <w:r w:rsidRPr="00276BCA">
              <w:t>SPOTLIGHT</w:t>
            </w:r>
            <w:r w:rsidRPr="00276BCA">
              <w:rPr>
                <w:b/>
                <w:bCs/>
                <w:vertAlign w:val="superscript"/>
              </w:rPr>
              <w:t>a</w:t>
            </w:r>
            <w:proofErr w:type="spellEnd"/>
          </w:p>
        </w:tc>
        <w:tc>
          <w:tcPr>
            <w:tcW w:w="538" w:type="pct"/>
            <w:vAlign w:val="center"/>
          </w:tcPr>
          <w:p w14:paraId="25DCADC5" w14:textId="77777777" w:rsidR="001377E1" w:rsidRPr="00276BCA" w:rsidRDefault="001377E1">
            <w:pPr>
              <w:pStyle w:val="TableNumber"/>
              <w:keepNext/>
              <w:tabs>
                <w:tab w:val="clear" w:pos="396"/>
                <w:tab w:val="decimal" w:pos="0"/>
              </w:tabs>
            </w:pPr>
            <w:r w:rsidRPr="00276BCA">
              <w:t>159/283 (56.2%)</w:t>
            </w:r>
          </w:p>
        </w:tc>
        <w:tc>
          <w:tcPr>
            <w:tcW w:w="538" w:type="pct"/>
            <w:vAlign w:val="center"/>
          </w:tcPr>
          <w:p w14:paraId="1E03254D" w14:textId="77777777" w:rsidR="001377E1" w:rsidRPr="00276BCA" w:rsidRDefault="001377E1">
            <w:pPr>
              <w:pStyle w:val="TableNumber"/>
              <w:keepNext/>
              <w:tabs>
                <w:tab w:val="clear" w:pos="396"/>
                <w:tab w:val="decimal" w:pos="0"/>
              </w:tabs>
            </w:pPr>
            <w:r w:rsidRPr="00276BCA">
              <w:t>11.04 (9.69, 12.52)</w:t>
            </w:r>
          </w:p>
        </w:tc>
        <w:tc>
          <w:tcPr>
            <w:tcW w:w="538" w:type="pct"/>
            <w:vAlign w:val="center"/>
          </w:tcPr>
          <w:p w14:paraId="79BAC06E" w14:textId="77777777" w:rsidR="001377E1" w:rsidRPr="00276BCA" w:rsidRDefault="001377E1">
            <w:pPr>
              <w:pStyle w:val="TableNumber"/>
              <w:keepNext/>
              <w:tabs>
                <w:tab w:val="clear" w:pos="396"/>
                <w:tab w:val="decimal" w:pos="0"/>
              </w:tabs>
            </w:pPr>
            <w:r w:rsidRPr="00276BCA">
              <w:t>12.94</w:t>
            </w:r>
          </w:p>
        </w:tc>
        <w:tc>
          <w:tcPr>
            <w:tcW w:w="538" w:type="pct"/>
            <w:vAlign w:val="center"/>
          </w:tcPr>
          <w:p w14:paraId="0C75246A" w14:textId="77777777" w:rsidR="001377E1" w:rsidRPr="00276BCA" w:rsidRDefault="001377E1">
            <w:pPr>
              <w:pStyle w:val="TableNumber"/>
              <w:keepNext/>
              <w:tabs>
                <w:tab w:val="clear" w:pos="396"/>
                <w:tab w:val="decimal" w:pos="0"/>
              </w:tabs>
            </w:pPr>
            <w:r w:rsidRPr="00276BCA">
              <w:t>187/282 (66.3%)</w:t>
            </w:r>
          </w:p>
        </w:tc>
        <w:tc>
          <w:tcPr>
            <w:tcW w:w="538" w:type="pct"/>
            <w:vAlign w:val="center"/>
          </w:tcPr>
          <w:p w14:paraId="0502B214" w14:textId="77777777" w:rsidR="001377E1" w:rsidRPr="00276BCA" w:rsidRDefault="001377E1">
            <w:pPr>
              <w:pStyle w:val="TableNumber"/>
              <w:keepNext/>
              <w:tabs>
                <w:tab w:val="clear" w:pos="396"/>
                <w:tab w:val="decimal" w:pos="0"/>
              </w:tabs>
            </w:pPr>
            <w:r w:rsidRPr="00276BCA">
              <w:t>8.94 (8.21, 10.41)</w:t>
            </w:r>
          </w:p>
        </w:tc>
        <w:tc>
          <w:tcPr>
            <w:tcW w:w="538" w:type="pct"/>
            <w:vAlign w:val="center"/>
          </w:tcPr>
          <w:p w14:paraId="53766C40" w14:textId="77777777" w:rsidR="001377E1" w:rsidRPr="00276BCA" w:rsidRDefault="001377E1">
            <w:pPr>
              <w:pStyle w:val="TableNumber"/>
              <w:keepNext/>
              <w:tabs>
                <w:tab w:val="clear" w:pos="396"/>
                <w:tab w:val="decimal" w:pos="0"/>
              </w:tabs>
            </w:pPr>
            <w:r w:rsidRPr="00276BCA">
              <w:t>12.65</w:t>
            </w:r>
          </w:p>
        </w:tc>
        <w:tc>
          <w:tcPr>
            <w:tcW w:w="516" w:type="pct"/>
          </w:tcPr>
          <w:p w14:paraId="0123BBEE" w14:textId="77777777" w:rsidR="001377E1" w:rsidRPr="00276BCA" w:rsidRDefault="001377E1">
            <w:pPr>
              <w:pStyle w:val="TableNumber"/>
              <w:keepNext/>
              <w:tabs>
                <w:tab w:val="clear" w:pos="396"/>
                <w:tab w:val="decimal" w:pos="0"/>
              </w:tabs>
              <w:rPr>
                <w:rFonts w:ascii="Times" w:eastAsia="Times New Roman" w:hAnsi="Times" w:cs="Times New Roman"/>
              </w:rPr>
            </w:pPr>
            <w:r w:rsidRPr="00276BCA">
              <w:t>2.1 months</w:t>
            </w:r>
          </w:p>
        </w:tc>
        <w:tc>
          <w:tcPr>
            <w:tcW w:w="470" w:type="pct"/>
          </w:tcPr>
          <w:p w14:paraId="5022CA69" w14:textId="77777777" w:rsidR="00062BBA" w:rsidRPr="00276BCA" w:rsidRDefault="001377E1">
            <w:pPr>
              <w:pStyle w:val="TableNumber"/>
              <w:keepNext/>
              <w:tabs>
                <w:tab w:val="clear" w:pos="396"/>
                <w:tab w:val="decimal" w:pos="0"/>
              </w:tabs>
              <w:rPr>
                <w:b/>
              </w:rPr>
            </w:pPr>
            <w:r w:rsidRPr="00276BCA">
              <w:rPr>
                <w:b/>
              </w:rPr>
              <w:t>0.73 (0.59, </w:t>
            </w:r>
          </w:p>
          <w:p w14:paraId="52ED436C" w14:textId="31A633ED" w:rsidR="001377E1" w:rsidRPr="00276BCA" w:rsidRDefault="001377E1">
            <w:pPr>
              <w:pStyle w:val="TableNumber"/>
              <w:keepNext/>
              <w:tabs>
                <w:tab w:val="clear" w:pos="396"/>
                <w:tab w:val="decimal" w:pos="0"/>
              </w:tabs>
              <w:rPr>
                <w:b/>
              </w:rPr>
            </w:pPr>
            <w:r w:rsidRPr="00276BCA">
              <w:rPr>
                <w:b/>
              </w:rPr>
              <w:t>0.91)</w:t>
            </w:r>
          </w:p>
        </w:tc>
      </w:tr>
      <w:tr w:rsidR="00712CEE" w:rsidRPr="00276BCA" w14:paraId="6FAB6C1A" w14:textId="77777777" w:rsidTr="004768E5">
        <w:tc>
          <w:tcPr>
            <w:tcW w:w="786" w:type="pct"/>
          </w:tcPr>
          <w:p w14:paraId="0614A8AA" w14:textId="77777777" w:rsidR="001377E1" w:rsidRPr="00276BCA" w:rsidRDefault="216E681A" w:rsidP="77D89277">
            <w:pPr>
              <w:pStyle w:val="TableText"/>
              <w:keepNext/>
              <w:rPr>
                <w:rFonts w:ascii="Times" w:eastAsia="Times New Roman" w:hAnsi="Times" w:cs="Times New Roman"/>
              </w:rPr>
            </w:pPr>
            <w:proofErr w:type="spellStart"/>
            <w:r w:rsidRPr="00276BCA">
              <w:t>GLOW</w:t>
            </w:r>
            <w:r w:rsidRPr="00276BCA">
              <w:rPr>
                <w:b/>
                <w:bCs/>
                <w:vertAlign w:val="superscript"/>
              </w:rPr>
              <w:t>b</w:t>
            </w:r>
            <w:proofErr w:type="spellEnd"/>
          </w:p>
        </w:tc>
        <w:tc>
          <w:tcPr>
            <w:tcW w:w="538" w:type="pct"/>
          </w:tcPr>
          <w:p w14:paraId="61973ED3" w14:textId="77777777" w:rsidR="001377E1" w:rsidRPr="00276BCA" w:rsidRDefault="001377E1">
            <w:pPr>
              <w:pStyle w:val="TableNumber"/>
              <w:keepNext/>
              <w:tabs>
                <w:tab w:val="clear" w:pos="396"/>
                <w:tab w:val="decimal" w:pos="0"/>
              </w:tabs>
            </w:pPr>
            <w:r w:rsidRPr="00276BCA">
              <w:t>153/254 (60.2%)</w:t>
            </w:r>
          </w:p>
        </w:tc>
        <w:tc>
          <w:tcPr>
            <w:tcW w:w="538" w:type="pct"/>
            <w:vAlign w:val="center"/>
          </w:tcPr>
          <w:p w14:paraId="0251FFEB" w14:textId="77777777" w:rsidR="001377E1" w:rsidRPr="00276BCA" w:rsidRDefault="001377E1">
            <w:pPr>
              <w:pStyle w:val="TableNumber"/>
              <w:keepNext/>
              <w:tabs>
                <w:tab w:val="clear" w:pos="396"/>
                <w:tab w:val="decimal" w:pos="0"/>
                <w:tab w:val="decimal" w:pos="69"/>
              </w:tabs>
              <w:rPr>
                <w:vertAlign w:val="superscript"/>
              </w:rPr>
            </w:pPr>
            <w:r w:rsidRPr="00276BCA">
              <w:t>8.21 (7.26, 8.84)</w:t>
            </w:r>
          </w:p>
        </w:tc>
        <w:tc>
          <w:tcPr>
            <w:tcW w:w="538" w:type="pct"/>
            <w:vAlign w:val="center"/>
          </w:tcPr>
          <w:p w14:paraId="1ED396FE" w14:textId="77777777" w:rsidR="001377E1" w:rsidRPr="00276BCA" w:rsidRDefault="001377E1">
            <w:pPr>
              <w:pStyle w:val="TableNumber"/>
              <w:keepNext/>
              <w:tabs>
                <w:tab w:val="clear" w:pos="396"/>
                <w:tab w:val="decimal" w:pos="0"/>
              </w:tabs>
            </w:pPr>
            <w:r w:rsidRPr="00276BCA">
              <w:t>12.62</w:t>
            </w:r>
            <w:r w:rsidRPr="00276BCA">
              <w:rPr>
                <w:vertAlign w:val="superscript"/>
              </w:rPr>
              <w:t>c</w:t>
            </w:r>
          </w:p>
        </w:tc>
        <w:tc>
          <w:tcPr>
            <w:tcW w:w="538" w:type="pct"/>
            <w:vAlign w:val="center"/>
          </w:tcPr>
          <w:p w14:paraId="36543FBB" w14:textId="77777777" w:rsidR="001377E1" w:rsidRPr="00276BCA" w:rsidRDefault="001377E1">
            <w:pPr>
              <w:pStyle w:val="TableNumber"/>
              <w:keepNext/>
              <w:tabs>
                <w:tab w:val="clear" w:pos="396"/>
                <w:tab w:val="decimal" w:pos="0"/>
              </w:tabs>
            </w:pPr>
            <w:r w:rsidRPr="00276BCA">
              <w:t>182/253 (71.9%)</w:t>
            </w:r>
          </w:p>
        </w:tc>
        <w:tc>
          <w:tcPr>
            <w:tcW w:w="538" w:type="pct"/>
            <w:vAlign w:val="center"/>
          </w:tcPr>
          <w:p w14:paraId="591DAEEA" w14:textId="77777777" w:rsidR="001377E1" w:rsidRPr="00276BCA" w:rsidRDefault="001377E1">
            <w:pPr>
              <w:pStyle w:val="TableNumber"/>
              <w:keepNext/>
              <w:tabs>
                <w:tab w:val="clear" w:pos="396"/>
                <w:tab w:val="decimal" w:pos="0"/>
              </w:tabs>
              <w:rPr>
                <w:vertAlign w:val="superscript"/>
              </w:rPr>
            </w:pPr>
            <w:r w:rsidRPr="00276BCA">
              <w:t>6.80 (6.14, 8.08)</w:t>
            </w:r>
          </w:p>
        </w:tc>
        <w:tc>
          <w:tcPr>
            <w:tcW w:w="538" w:type="pct"/>
            <w:vAlign w:val="center"/>
          </w:tcPr>
          <w:p w14:paraId="62CC39DF" w14:textId="77777777" w:rsidR="001377E1" w:rsidRPr="00276BCA" w:rsidRDefault="001377E1">
            <w:pPr>
              <w:pStyle w:val="TableNumber"/>
              <w:keepNext/>
              <w:tabs>
                <w:tab w:val="clear" w:pos="396"/>
                <w:tab w:val="decimal" w:pos="0"/>
              </w:tabs>
            </w:pPr>
            <w:r w:rsidRPr="00276BCA">
              <w:t>12.09</w:t>
            </w:r>
            <w:r w:rsidRPr="00276BCA">
              <w:rPr>
                <w:vertAlign w:val="superscript"/>
              </w:rPr>
              <w:t>g</w:t>
            </w:r>
          </w:p>
        </w:tc>
        <w:tc>
          <w:tcPr>
            <w:tcW w:w="516" w:type="pct"/>
          </w:tcPr>
          <w:p w14:paraId="4FD50B4F" w14:textId="77777777" w:rsidR="001377E1" w:rsidRPr="00276BCA" w:rsidRDefault="001377E1">
            <w:pPr>
              <w:pStyle w:val="TableNumber"/>
              <w:keepNext/>
              <w:tabs>
                <w:tab w:val="clear" w:pos="396"/>
                <w:tab w:val="decimal" w:pos="0"/>
              </w:tabs>
              <w:rPr>
                <w:rFonts w:ascii="Times" w:eastAsia="Times New Roman" w:hAnsi="Times" w:cs="Times New Roman"/>
              </w:rPr>
            </w:pPr>
            <w:r w:rsidRPr="00276BCA">
              <w:t>1.4 months</w:t>
            </w:r>
          </w:p>
        </w:tc>
        <w:tc>
          <w:tcPr>
            <w:tcW w:w="470" w:type="pct"/>
          </w:tcPr>
          <w:p w14:paraId="3B1FB3BC" w14:textId="77777777" w:rsidR="001377E1" w:rsidRPr="00276BCA" w:rsidRDefault="001377E1">
            <w:pPr>
              <w:pStyle w:val="TableNumber"/>
              <w:keepNext/>
              <w:tabs>
                <w:tab w:val="clear" w:pos="396"/>
                <w:tab w:val="decimal" w:pos="0"/>
              </w:tabs>
              <w:rPr>
                <w:b/>
              </w:rPr>
            </w:pPr>
            <w:r w:rsidRPr="00276BCA">
              <w:rPr>
                <w:b/>
              </w:rPr>
              <w:t>0.69</w:t>
            </w:r>
          </w:p>
          <w:p w14:paraId="4A3F0B90" w14:textId="77777777" w:rsidR="001377E1" w:rsidRPr="00276BCA" w:rsidRDefault="001377E1">
            <w:pPr>
              <w:pStyle w:val="TableNumber"/>
              <w:keepNext/>
              <w:tabs>
                <w:tab w:val="clear" w:pos="396"/>
                <w:tab w:val="decimal" w:pos="0"/>
              </w:tabs>
              <w:rPr>
                <w:b/>
              </w:rPr>
            </w:pPr>
            <w:r w:rsidRPr="00276BCA">
              <w:rPr>
                <w:b/>
              </w:rPr>
              <w:t>(0.55, 0.86)</w:t>
            </w:r>
          </w:p>
        </w:tc>
      </w:tr>
      <w:tr w:rsidR="001377E1" w:rsidRPr="00276BCA" w14:paraId="236DC0C9" w14:textId="77777777" w:rsidTr="004768E5">
        <w:trPr>
          <w:trHeight w:val="179"/>
        </w:trPr>
        <w:tc>
          <w:tcPr>
            <w:tcW w:w="786" w:type="pct"/>
            <w:vMerge w:val="restart"/>
          </w:tcPr>
          <w:p w14:paraId="1E5F04A7" w14:textId="77777777" w:rsidR="001377E1" w:rsidRPr="00276BCA" w:rsidRDefault="001377E1">
            <w:pPr>
              <w:pStyle w:val="TableText"/>
              <w:keepNext/>
              <w:rPr>
                <w:b/>
              </w:rPr>
            </w:pPr>
            <w:r w:rsidRPr="00276BCA">
              <w:rPr>
                <w:b/>
              </w:rPr>
              <w:t xml:space="preserve">Nivolumab </w:t>
            </w:r>
          </w:p>
          <w:p w14:paraId="3E424107" w14:textId="77777777" w:rsidR="001377E1" w:rsidRPr="00276BCA" w:rsidRDefault="001377E1">
            <w:pPr>
              <w:pStyle w:val="TableText"/>
              <w:keepNext/>
            </w:pPr>
            <w:r w:rsidRPr="00276BCA">
              <w:rPr>
                <w:b/>
              </w:rPr>
              <w:t>Trials</w:t>
            </w:r>
          </w:p>
        </w:tc>
        <w:tc>
          <w:tcPr>
            <w:tcW w:w="1614" w:type="pct"/>
            <w:gridSpan w:val="3"/>
          </w:tcPr>
          <w:p w14:paraId="0EC57287" w14:textId="77777777" w:rsidR="001377E1" w:rsidRPr="00276BCA" w:rsidRDefault="001377E1">
            <w:pPr>
              <w:pStyle w:val="TableNumber"/>
              <w:keepNext/>
              <w:rPr>
                <w:b/>
              </w:rPr>
            </w:pPr>
            <w:r w:rsidRPr="00276BCA">
              <w:rPr>
                <w:b/>
              </w:rPr>
              <w:t>Nivolumab + chemotherapy</w:t>
            </w:r>
          </w:p>
        </w:tc>
        <w:tc>
          <w:tcPr>
            <w:tcW w:w="1614" w:type="pct"/>
            <w:gridSpan w:val="3"/>
          </w:tcPr>
          <w:p w14:paraId="47C7555F" w14:textId="77777777" w:rsidR="001377E1" w:rsidRPr="00276BCA" w:rsidRDefault="001377E1">
            <w:pPr>
              <w:pStyle w:val="TableText"/>
              <w:keepNext/>
              <w:jc w:val="center"/>
              <w:rPr>
                <w:b/>
              </w:rPr>
            </w:pPr>
            <w:r w:rsidRPr="00276BCA">
              <w:rPr>
                <w:b/>
              </w:rPr>
              <w:t>Placebo + chemotherapy</w:t>
            </w:r>
          </w:p>
        </w:tc>
        <w:tc>
          <w:tcPr>
            <w:tcW w:w="516" w:type="pct"/>
            <w:vMerge w:val="restart"/>
          </w:tcPr>
          <w:p w14:paraId="4522FD6C" w14:textId="77777777" w:rsidR="001377E1" w:rsidRPr="00276BCA" w:rsidRDefault="001377E1">
            <w:pPr>
              <w:pStyle w:val="TableText"/>
              <w:keepNext/>
              <w:jc w:val="center"/>
              <w:rPr>
                <w:b/>
              </w:rPr>
            </w:pPr>
            <w:r w:rsidRPr="00276BCA">
              <w:rPr>
                <w:b/>
              </w:rPr>
              <w:t>Absolute diff. in median</w:t>
            </w:r>
          </w:p>
        </w:tc>
        <w:tc>
          <w:tcPr>
            <w:tcW w:w="470" w:type="pct"/>
            <w:vMerge w:val="restart"/>
          </w:tcPr>
          <w:p w14:paraId="6A60DEE4" w14:textId="77777777" w:rsidR="001377E1" w:rsidRPr="00276BCA" w:rsidRDefault="001377E1">
            <w:pPr>
              <w:pStyle w:val="TableText"/>
              <w:keepNext/>
              <w:jc w:val="center"/>
              <w:rPr>
                <w:b/>
              </w:rPr>
            </w:pPr>
            <w:r w:rsidRPr="00276BCA">
              <w:rPr>
                <w:b/>
              </w:rPr>
              <w:t>Hazard ratio</w:t>
            </w:r>
          </w:p>
          <w:p w14:paraId="2153B5AF" w14:textId="77777777" w:rsidR="001377E1" w:rsidRPr="00276BCA" w:rsidRDefault="001377E1">
            <w:pPr>
              <w:pStyle w:val="TableText"/>
              <w:keepNext/>
              <w:jc w:val="center"/>
              <w:rPr>
                <w:b/>
              </w:rPr>
            </w:pPr>
            <w:r w:rsidRPr="00276BCA">
              <w:rPr>
                <w:b/>
              </w:rPr>
              <w:t>(95% CI)</w:t>
            </w:r>
          </w:p>
        </w:tc>
      </w:tr>
      <w:tr w:rsidR="00712CEE" w:rsidRPr="00276BCA" w14:paraId="5B4D941D" w14:textId="77777777" w:rsidTr="004768E5">
        <w:trPr>
          <w:trHeight w:val="448"/>
        </w:trPr>
        <w:tc>
          <w:tcPr>
            <w:tcW w:w="786" w:type="pct"/>
            <w:vMerge/>
            <w:vAlign w:val="bottom"/>
          </w:tcPr>
          <w:p w14:paraId="44899A10" w14:textId="77777777" w:rsidR="001377E1" w:rsidRPr="00276BCA" w:rsidRDefault="001377E1">
            <w:pPr>
              <w:pStyle w:val="TableText"/>
              <w:keepNext/>
              <w:rPr>
                <w:b/>
              </w:rPr>
            </w:pPr>
          </w:p>
        </w:tc>
        <w:tc>
          <w:tcPr>
            <w:tcW w:w="538" w:type="pct"/>
          </w:tcPr>
          <w:p w14:paraId="6DE836BF" w14:textId="77777777" w:rsidR="001377E1" w:rsidRPr="00276BCA" w:rsidRDefault="001377E1">
            <w:pPr>
              <w:pStyle w:val="TableNumber"/>
              <w:keepNext/>
              <w:rPr>
                <w:b/>
              </w:rPr>
            </w:pPr>
            <w:r w:rsidRPr="00276BCA">
              <w:rPr>
                <w:b/>
              </w:rPr>
              <w:t>n with event / N (%)</w:t>
            </w:r>
          </w:p>
        </w:tc>
        <w:tc>
          <w:tcPr>
            <w:tcW w:w="538" w:type="pct"/>
          </w:tcPr>
          <w:p w14:paraId="00891C8D" w14:textId="77777777" w:rsidR="001377E1" w:rsidRPr="00276BCA" w:rsidRDefault="001377E1">
            <w:pPr>
              <w:pStyle w:val="TableNumber"/>
              <w:keepNext/>
              <w:rPr>
                <w:b/>
              </w:rPr>
            </w:pPr>
            <w:r w:rsidRPr="00276BCA">
              <w:rPr>
                <w:b/>
              </w:rPr>
              <w:t>Median PFS, months (95% CI)</w:t>
            </w:r>
          </w:p>
        </w:tc>
        <w:tc>
          <w:tcPr>
            <w:tcW w:w="538" w:type="pct"/>
          </w:tcPr>
          <w:p w14:paraId="2718F4B6" w14:textId="77777777" w:rsidR="001377E1" w:rsidRPr="00276BCA" w:rsidRDefault="001377E1">
            <w:pPr>
              <w:pStyle w:val="TableNumber"/>
              <w:keepNext/>
            </w:pPr>
            <w:r w:rsidRPr="00276BCA">
              <w:rPr>
                <w:b/>
              </w:rPr>
              <w:t>Median FU time, months</w:t>
            </w:r>
          </w:p>
        </w:tc>
        <w:tc>
          <w:tcPr>
            <w:tcW w:w="538" w:type="pct"/>
          </w:tcPr>
          <w:p w14:paraId="0370B966" w14:textId="77777777" w:rsidR="001377E1" w:rsidRPr="00276BCA" w:rsidRDefault="001377E1">
            <w:pPr>
              <w:pStyle w:val="TableNumber"/>
              <w:keepNext/>
              <w:rPr>
                <w:b/>
              </w:rPr>
            </w:pPr>
            <w:r w:rsidRPr="00276BCA">
              <w:rPr>
                <w:b/>
              </w:rPr>
              <w:t>n with event / N (%)</w:t>
            </w:r>
          </w:p>
        </w:tc>
        <w:tc>
          <w:tcPr>
            <w:tcW w:w="538" w:type="pct"/>
          </w:tcPr>
          <w:p w14:paraId="16851D6A" w14:textId="77777777" w:rsidR="001377E1" w:rsidRPr="00276BCA" w:rsidRDefault="001377E1">
            <w:pPr>
              <w:pStyle w:val="TableNumber"/>
              <w:keepNext/>
              <w:rPr>
                <w:b/>
              </w:rPr>
            </w:pPr>
            <w:r w:rsidRPr="00276BCA">
              <w:rPr>
                <w:b/>
              </w:rPr>
              <w:t>Median PFS, months (95% CI)</w:t>
            </w:r>
          </w:p>
        </w:tc>
        <w:tc>
          <w:tcPr>
            <w:tcW w:w="538" w:type="pct"/>
          </w:tcPr>
          <w:p w14:paraId="0BC632CE" w14:textId="77777777" w:rsidR="001377E1" w:rsidRPr="00276BCA" w:rsidRDefault="001377E1">
            <w:pPr>
              <w:pStyle w:val="TableNumber"/>
              <w:keepNext/>
              <w:rPr>
                <w:b/>
              </w:rPr>
            </w:pPr>
            <w:r w:rsidRPr="00276BCA">
              <w:rPr>
                <w:b/>
              </w:rPr>
              <w:t>Median FU time, months</w:t>
            </w:r>
          </w:p>
        </w:tc>
        <w:tc>
          <w:tcPr>
            <w:tcW w:w="516" w:type="pct"/>
            <w:vMerge/>
            <w:vAlign w:val="bottom"/>
          </w:tcPr>
          <w:p w14:paraId="4D97C903" w14:textId="77777777" w:rsidR="001377E1" w:rsidRPr="00276BCA" w:rsidRDefault="001377E1">
            <w:pPr>
              <w:pStyle w:val="TableNumber"/>
              <w:keepNext/>
              <w:rPr>
                <w:b/>
              </w:rPr>
            </w:pPr>
          </w:p>
        </w:tc>
        <w:tc>
          <w:tcPr>
            <w:tcW w:w="470" w:type="pct"/>
            <w:vMerge/>
            <w:vAlign w:val="bottom"/>
          </w:tcPr>
          <w:p w14:paraId="530754D0" w14:textId="77777777" w:rsidR="001377E1" w:rsidRPr="00276BCA" w:rsidRDefault="001377E1">
            <w:pPr>
              <w:pStyle w:val="TableNumber"/>
              <w:keepNext/>
              <w:rPr>
                <w:b/>
              </w:rPr>
            </w:pPr>
          </w:p>
        </w:tc>
      </w:tr>
      <w:tr w:rsidR="00712CEE" w:rsidRPr="00276BCA" w14:paraId="0DAE109C" w14:textId="77777777" w:rsidTr="004768E5">
        <w:tc>
          <w:tcPr>
            <w:tcW w:w="786" w:type="pct"/>
          </w:tcPr>
          <w:p w14:paraId="4A381399" w14:textId="77777777" w:rsidR="001377E1" w:rsidRPr="00276BCA" w:rsidRDefault="216E681A" w:rsidP="77D89277">
            <w:pPr>
              <w:pStyle w:val="TableText"/>
              <w:keepNext/>
            </w:pPr>
            <w:proofErr w:type="spellStart"/>
            <w:r w:rsidRPr="00276BCA">
              <w:t>CheckMate</w:t>
            </w:r>
            <w:proofErr w:type="spellEnd"/>
            <w:r w:rsidRPr="00276BCA">
              <w:t xml:space="preserve"> 649</w:t>
            </w:r>
            <w:r w:rsidRPr="00276BCA">
              <w:rPr>
                <w:b/>
                <w:bCs/>
                <w:vertAlign w:val="superscript"/>
              </w:rPr>
              <w:t>c</w:t>
            </w:r>
          </w:p>
        </w:tc>
        <w:tc>
          <w:tcPr>
            <w:tcW w:w="538" w:type="pct"/>
          </w:tcPr>
          <w:p w14:paraId="6454A01C" w14:textId="77777777" w:rsidR="001377E1" w:rsidRPr="00276BCA" w:rsidRDefault="001377E1">
            <w:pPr>
              <w:pStyle w:val="TableNumber"/>
              <w:keepNext/>
              <w:tabs>
                <w:tab w:val="clear" w:pos="396"/>
                <w:tab w:val="decimal" w:pos="0"/>
              </w:tabs>
            </w:pPr>
            <w:r w:rsidRPr="00276BCA">
              <w:t>559/789 (70.8%)</w:t>
            </w:r>
          </w:p>
        </w:tc>
        <w:tc>
          <w:tcPr>
            <w:tcW w:w="538" w:type="pct"/>
          </w:tcPr>
          <w:p w14:paraId="1D8F2F9C" w14:textId="77777777" w:rsidR="001377E1" w:rsidRPr="00276BCA" w:rsidRDefault="001377E1">
            <w:pPr>
              <w:pStyle w:val="TableNumber"/>
              <w:keepNext/>
              <w:tabs>
                <w:tab w:val="clear" w:pos="396"/>
                <w:tab w:val="decimal" w:pos="0"/>
              </w:tabs>
            </w:pPr>
            <w:r w:rsidRPr="00276BCA">
              <w:t>7.66 (7.10, 8.54)</w:t>
            </w:r>
          </w:p>
        </w:tc>
        <w:tc>
          <w:tcPr>
            <w:tcW w:w="538" w:type="pct"/>
          </w:tcPr>
          <w:p w14:paraId="19223A8F" w14:textId="77777777" w:rsidR="001377E1" w:rsidRPr="00276BCA" w:rsidRDefault="001377E1">
            <w:pPr>
              <w:pStyle w:val="TableNumber"/>
              <w:keepNext/>
              <w:tabs>
                <w:tab w:val="clear" w:pos="396"/>
                <w:tab w:val="decimal" w:pos="0"/>
              </w:tabs>
            </w:pPr>
            <w:r w:rsidRPr="00276BCA">
              <w:t>13.1</w:t>
            </w:r>
          </w:p>
        </w:tc>
        <w:tc>
          <w:tcPr>
            <w:tcW w:w="538" w:type="pct"/>
          </w:tcPr>
          <w:p w14:paraId="512D2CFB" w14:textId="77777777" w:rsidR="001377E1" w:rsidRPr="00276BCA" w:rsidRDefault="001377E1">
            <w:pPr>
              <w:pStyle w:val="TableNumber"/>
              <w:keepNext/>
              <w:tabs>
                <w:tab w:val="clear" w:pos="396"/>
                <w:tab w:val="decimal" w:pos="0"/>
              </w:tabs>
            </w:pPr>
            <w:r w:rsidRPr="00276BCA">
              <w:t>557/792 (70.3%)</w:t>
            </w:r>
          </w:p>
        </w:tc>
        <w:tc>
          <w:tcPr>
            <w:tcW w:w="538" w:type="pct"/>
          </w:tcPr>
          <w:p w14:paraId="4D237964" w14:textId="77777777" w:rsidR="001377E1" w:rsidRPr="00276BCA" w:rsidRDefault="001377E1">
            <w:pPr>
              <w:pStyle w:val="TableNumber"/>
              <w:keepNext/>
              <w:tabs>
                <w:tab w:val="clear" w:pos="396"/>
                <w:tab w:val="decimal" w:pos="0"/>
              </w:tabs>
            </w:pPr>
            <w:r w:rsidRPr="00276BCA">
              <w:t>6.93 (6.60, 7.13)</w:t>
            </w:r>
          </w:p>
        </w:tc>
        <w:tc>
          <w:tcPr>
            <w:tcW w:w="538" w:type="pct"/>
          </w:tcPr>
          <w:p w14:paraId="64F4D3DB" w14:textId="77777777" w:rsidR="001377E1" w:rsidRPr="00276BCA" w:rsidRDefault="001377E1">
            <w:pPr>
              <w:pStyle w:val="TableNumber"/>
              <w:keepNext/>
              <w:tabs>
                <w:tab w:val="clear" w:pos="396"/>
                <w:tab w:val="decimal" w:pos="0"/>
              </w:tabs>
            </w:pPr>
            <w:r w:rsidRPr="00276BCA">
              <w:t>11.1</w:t>
            </w:r>
          </w:p>
        </w:tc>
        <w:tc>
          <w:tcPr>
            <w:tcW w:w="516" w:type="pct"/>
          </w:tcPr>
          <w:p w14:paraId="1F70734B" w14:textId="77777777" w:rsidR="001377E1" w:rsidRPr="00276BCA" w:rsidRDefault="001377E1">
            <w:pPr>
              <w:pStyle w:val="TableNumber"/>
              <w:keepNext/>
              <w:tabs>
                <w:tab w:val="clear" w:pos="396"/>
                <w:tab w:val="decimal" w:pos="0"/>
              </w:tabs>
            </w:pPr>
            <w:r w:rsidRPr="00276BCA">
              <w:t>0.73 months</w:t>
            </w:r>
          </w:p>
        </w:tc>
        <w:tc>
          <w:tcPr>
            <w:tcW w:w="470" w:type="pct"/>
          </w:tcPr>
          <w:p w14:paraId="3803CBF4" w14:textId="77777777" w:rsidR="001377E1" w:rsidRPr="00276BCA" w:rsidRDefault="001377E1">
            <w:pPr>
              <w:pStyle w:val="TableNumber"/>
              <w:keepNext/>
              <w:tabs>
                <w:tab w:val="clear" w:pos="396"/>
                <w:tab w:val="decimal" w:pos="0"/>
              </w:tabs>
            </w:pPr>
            <w:r w:rsidRPr="00276BCA">
              <w:t xml:space="preserve">0.77 </w:t>
            </w:r>
          </w:p>
          <w:p w14:paraId="04B422F7" w14:textId="77777777" w:rsidR="001377E1" w:rsidRPr="00276BCA" w:rsidRDefault="216E681A" w:rsidP="77D89277">
            <w:pPr>
              <w:pStyle w:val="TableNumber"/>
              <w:keepNext/>
              <w:tabs>
                <w:tab w:val="clear" w:pos="396"/>
              </w:tabs>
            </w:pPr>
            <w:r w:rsidRPr="00276BCA">
              <w:t xml:space="preserve">(0.68, </w:t>
            </w:r>
            <w:proofErr w:type="gramStart"/>
            <w:r w:rsidRPr="00276BCA">
              <w:t>0.87)</w:t>
            </w:r>
            <w:r w:rsidRPr="00276BCA">
              <w:rPr>
                <w:b/>
                <w:bCs/>
                <w:vertAlign w:val="superscript"/>
              </w:rPr>
              <w:t>d</w:t>
            </w:r>
            <w:proofErr w:type="gramEnd"/>
          </w:p>
        </w:tc>
      </w:tr>
      <w:tr w:rsidR="00712CEE" w:rsidRPr="00276BCA" w14:paraId="200ACE5E" w14:textId="77777777" w:rsidTr="004768E5">
        <w:tc>
          <w:tcPr>
            <w:tcW w:w="786" w:type="pct"/>
          </w:tcPr>
          <w:p w14:paraId="69BFF0F5" w14:textId="77777777" w:rsidR="001377E1" w:rsidRPr="00276BCA" w:rsidRDefault="001377E1">
            <w:pPr>
              <w:pStyle w:val="TableText"/>
              <w:keepNext/>
            </w:pPr>
            <w:r w:rsidRPr="00276BCA">
              <w:t>ATTRACTION-4</w:t>
            </w:r>
            <w:r w:rsidRPr="00276BCA">
              <w:rPr>
                <w:b/>
                <w:vertAlign w:val="superscript"/>
              </w:rPr>
              <w:t>e</w:t>
            </w:r>
          </w:p>
        </w:tc>
        <w:tc>
          <w:tcPr>
            <w:tcW w:w="538" w:type="pct"/>
          </w:tcPr>
          <w:p w14:paraId="038BE15E" w14:textId="77777777" w:rsidR="001377E1" w:rsidRPr="00276BCA" w:rsidRDefault="001377E1">
            <w:pPr>
              <w:pStyle w:val="TableNumber"/>
              <w:keepNext/>
              <w:tabs>
                <w:tab w:val="clear" w:pos="396"/>
                <w:tab w:val="decimal" w:pos="0"/>
              </w:tabs>
            </w:pPr>
            <w:r w:rsidRPr="00276BCA">
              <w:t>141/362 (38.9%)</w:t>
            </w:r>
          </w:p>
        </w:tc>
        <w:tc>
          <w:tcPr>
            <w:tcW w:w="538" w:type="pct"/>
          </w:tcPr>
          <w:p w14:paraId="28517804" w14:textId="77777777" w:rsidR="001377E1" w:rsidRPr="00276BCA" w:rsidRDefault="001377E1">
            <w:pPr>
              <w:pStyle w:val="TableNumber"/>
              <w:keepNext/>
              <w:tabs>
                <w:tab w:val="clear" w:pos="396"/>
                <w:tab w:val="decimal" w:pos="0"/>
              </w:tabs>
            </w:pPr>
            <w:r w:rsidRPr="00276BCA">
              <w:t>10.45 (8.44, 14.75)</w:t>
            </w:r>
          </w:p>
        </w:tc>
        <w:tc>
          <w:tcPr>
            <w:tcW w:w="538" w:type="pct"/>
          </w:tcPr>
          <w:p w14:paraId="5875F304" w14:textId="77777777" w:rsidR="001377E1" w:rsidRPr="00276BCA" w:rsidRDefault="001377E1">
            <w:pPr>
              <w:pStyle w:val="TableNumber"/>
              <w:keepNext/>
              <w:tabs>
                <w:tab w:val="clear" w:pos="396"/>
                <w:tab w:val="decimal" w:pos="0"/>
              </w:tabs>
            </w:pPr>
            <w:r w:rsidRPr="00276BCA">
              <w:t>11.6</w:t>
            </w:r>
          </w:p>
        </w:tc>
        <w:tc>
          <w:tcPr>
            <w:tcW w:w="538" w:type="pct"/>
          </w:tcPr>
          <w:p w14:paraId="3FF8B7D2" w14:textId="77777777" w:rsidR="001377E1" w:rsidRPr="00276BCA" w:rsidRDefault="001377E1">
            <w:pPr>
              <w:pStyle w:val="TableNumber"/>
              <w:keepNext/>
              <w:tabs>
                <w:tab w:val="clear" w:pos="396"/>
                <w:tab w:val="decimal" w:pos="0"/>
              </w:tabs>
            </w:pPr>
            <w:r w:rsidRPr="00276BCA">
              <w:t>184/362 (50.8%)</w:t>
            </w:r>
          </w:p>
        </w:tc>
        <w:tc>
          <w:tcPr>
            <w:tcW w:w="538" w:type="pct"/>
          </w:tcPr>
          <w:p w14:paraId="43B0C530" w14:textId="77777777" w:rsidR="001377E1" w:rsidRPr="00276BCA" w:rsidRDefault="001377E1">
            <w:pPr>
              <w:pStyle w:val="TableNumber"/>
              <w:keepNext/>
              <w:tabs>
                <w:tab w:val="clear" w:pos="396"/>
                <w:tab w:val="decimal" w:pos="0"/>
              </w:tabs>
            </w:pPr>
            <w:r w:rsidRPr="00276BCA">
              <w:t>8.34 (6.97, 9.40)</w:t>
            </w:r>
          </w:p>
        </w:tc>
        <w:tc>
          <w:tcPr>
            <w:tcW w:w="538" w:type="pct"/>
          </w:tcPr>
          <w:p w14:paraId="6F898A5E" w14:textId="77777777" w:rsidR="001377E1" w:rsidRPr="00276BCA" w:rsidRDefault="001377E1">
            <w:pPr>
              <w:pStyle w:val="TableNumber"/>
              <w:keepNext/>
              <w:tabs>
                <w:tab w:val="clear" w:pos="396"/>
                <w:tab w:val="decimal" w:pos="0"/>
              </w:tabs>
            </w:pPr>
            <w:r w:rsidRPr="00276BCA">
              <w:t>NA</w:t>
            </w:r>
          </w:p>
        </w:tc>
        <w:tc>
          <w:tcPr>
            <w:tcW w:w="516" w:type="pct"/>
          </w:tcPr>
          <w:p w14:paraId="0A8E2061" w14:textId="77777777" w:rsidR="001377E1" w:rsidRPr="00276BCA" w:rsidRDefault="001377E1">
            <w:pPr>
              <w:pStyle w:val="TableNumber"/>
              <w:keepNext/>
              <w:tabs>
                <w:tab w:val="clear" w:pos="396"/>
                <w:tab w:val="decimal" w:pos="0"/>
              </w:tabs>
            </w:pPr>
            <w:r w:rsidRPr="00276BCA">
              <w:t>2.1 months</w:t>
            </w:r>
          </w:p>
        </w:tc>
        <w:tc>
          <w:tcPr>
            <w:tcW w:w="470" w:type="pct"/>
          </w:tcPr>
          <w:p w14:paraId="097CCFD4" w14:textId="77777777" w:rsidR="001377E1" w:rsidRPr="00276BCA" w:rsidRDefault="001377E1">
            <w:pPr>
              <w:pStyle w:val="TableNumber"/>
              <w:keepNext/>
              <w:tabs>
                <w:tab w:val="clear" w:pos="396"/>
                <w:tab w:val="decimal" w:pos="0"/>
              </w:tabs>
              <w:rPr>
                <w:b/>
              </w:rPr>
            </w:pPr>
            <w:r w:rsidRPr="00276BCA">
              <w:rPr>
                <w:b/>
              </w:rPr>
              <w:t xml:space="preserve">0.68 </w:t>
            </w:r>
          </w:p>
          <w:p w14:paraId="143DC066" w14:textId="77777777" w:rsidR="001377E1" w:rsidRPr="00276BCA" w:rsidRDefault="216E681A" w:rsidP="77D89277">
            <w:pPr>
              <w:pStyle w:val="TableNumber"/>
              <w:keepNext/>
              <w:tabs>
                <w:tab w:val="clear" w:pos="396"/>
              </w:tabs>
              <w:rPr>
                <w:b/>
                <w:bCs/>
              </w:rPr>
            </w:pPr>
            <w:r w:rsidRPr="00276BCA">
              <w:rPr>
                <w:b/>
                <w:bCs/>
              </w:rPr>
              <w:t xml:space="preserve">(0.51, </w:t>
            </w:r>
            <w:proofErr w:type="gramStart"/>
            <w:r w:rsidRPr="00276BCA">
              <w:rPr>
                <w:b/>
                <w:bCs/>
              </w:rPr>
              <w:t>0.90)</w:t>
            </w:r>
            <w:r w:rsidRPr="00276BCA">
              <w:rPr>
                <w:b/>
                <w:bCs/>
                <w:vertAlign w:val="superscript"/>
              </w:rPr>
              <w:t>f</w:t>
            </w:r>
            <w:proofErr w:type="gramEnd"/>
          </w:p>
        </w:tc>
      </w:tr>
    </w:tbl>
    <w:p w14:paraId="2FD83CF7" w14:textId="63A5A897" w:rsidR="006355F9" w:rsidRPr="00276BCA" w:rsidRDefault="006355F9" w:rsidP="006355F9">
      <w:pPr>
        <w:pStyle w:val="TableFooter"/>
      </w:pPr>
      <w:r w:rsidRPr="00276BCA">
        <w:t xml:space="preserve">Source: </w:t>
      </w:r>
      <w:r w:rsidR="00470F6F" w:rsidRPr="00276BCA">
        <w:t xml:space="preserve">Compiled during the </w:t>
      </w:r>
      <w:r w:rsidR="00E527A1" w:rsidRPr="00276BCA">
        <w:t>evaluation</w:t>
      </w:r>
      <w:r w:rsidR="00470F6F" w:rsidRPr="00276BCA">
        <w:t xml:space="preserve"> from </w:t>
      </w:r>
      <w:r w:rsidRPr="00276BCA">
        <w:t xml:space="preserve">Table 2-22, p98 of the submission, </w:t>
      </w:r>
      <w:r w:rsidR="00105FB7" w:rsidRPr="00276BCA">
        <w:t xml:space="preserve">and </w:t>
      </w:r>
      <w:r w:rsidRPr="00276BCA">
        <w:t xml:space="preserve">Table 4, p10 of Nivolumab PSD November 2021 PBAC Meeting; p240 of Kang et al. (2022) </w:t>
      </w:r>
    </w:p>
    <w:p w14:paraId="15A7A779" w14:textId="08EF7ADE" w:rsidR="006355F9" w:rsidRPr="00276BCA" w:rsidRDefault="006355F9" w:rsidP="006355F9">
      <w:pPr>
        <w:pStyle w:val="TableFooter"/>
      </w:pPr>
      <w:r w:rsidRPr="00276BCA">
        <w:rPr>
          <w:rFonts w:eastAsia="Calibri"/>
        </w:rPr>
        <w:t xml:space="preserve">CI = confidence interval; </w:t>
      </w:r>
      <w:r w:rsidR="00B43121" w:rsidRPr="00276BCA">
        <w:rPr>
          <w:rFonts w:eastAsia="Calibri"/>
        </w:rPr>
        <w:t xml:space="preserve">diff. = difference; </w:t>
      </w:r>
      <w:r w:rsidR="00136BC4" w:rsidRPr="00276BCA">
        <w:rPr>
          <w:rFonts w:eastAsia="Calibri"/>
        </w:rPr>
        <w:t xml:space="preserve">FU = follow-up; m = months; </w:t>
      </w:r>
      <w:r w:rsidRPr="00276BCA">
        <w:rPr>
          <w:rFonts w:eastAsia="Calibri"/>
        </w:rPr>
        <w:t>n = number of participants reporting data; N = total participants in group</w:t>
      </w:r>
      <w:r w:rsidRPr="00276BCA">
        <w:t xml:space="preserve">; PFS = progression-free survival. </w:t>
      </w:r>
    </w:p>
    <w:p w14:paraId="5BD09B55" w14:textId="662A71C5" w:rsidR="006355F9" w:rsidRPr="00276BCA" w:rsidRDefault="6A2E21A3" w:rsidP="006355F9">
      <w:pPr>
        <w:pStyle w:val="TableFooter"/>
      </w:pPr>
      <w:r w:rsidRPr="00276BCA">
        <w:rPr>
          <w:b/>
          <w:bCs/>
        </w:rPr>
        <w:t xml:space="preserve">Bold </w:t>
      </w:r>
      <w:r w:rsidRPr="00276BCA">
        <w:t>indicates statistical significance.</w:t>
      </w:r>
    </w:p>
    <w:p w14:paraId="6CE3E591" w14:textId="6267EDB9" w:rsidR="006355F9" w:rsidRPr="00276BCA" w:rsidRDefault="006355F9" w:rsidP="006355F9">
      <w:pPr>
        <w:pStyle w:val="TableFooter"/>
      </w:pPr>
      <w:r w:rsidRPr="00276BCA">
        <w:t>Italics</w:t>
      </w:r>
      <w:r w:rsidR="00626C96" w:rsidRPr="00276BCA">
        <w:t xml:space="preserve"> </w:t>
      </w:r>
      <w:r w:rsidR="00CB6728" w:rsidRPr="00276BCA">
        <w:t>=</w:t>
      </w:r>
      <w:r w:rsidRPr="00276BCA">
        <w:t xml:space="preserve"> added results from Nivolumab </w:t>
      </w:r>
      <w:r w:rsidR="00991F74" w:rsidRPr="00276BCA">
        <w:t xml:space="preserve">and </w:t>
      </w:r>
      <w:proofErr w:type="spellStart"/>
      <w:r w:rsidR="00991F74" w:rsidRPr="00276BCA">
        <w:t>zolbetuximab</w:t>
      </w:r>
      <w:proofErr w:type="spellEnd"/>
      <w:r w:rsidR="00991F74" w:rsidRPr="00276BCA">
        <w:t xml:space="preserve"> </w:t>
      </w:r>
      <w:r w:rsidRPr="00276BCA">
        <w:t>trials during evaluation.</w:t>
      </w:r>
    </w:p>
    <w:p w14:paraId="7DEAD5C5" w14:textId="77777777" w:rsidR="006355F9" w:rsidRPr="00276BCA" w:rsidRDefault="006355F9" w:rsidP="006355F9">
      <w:pPr>
        <w:pStyle w:val="TableFooter"/>
      </w:pPr>
      <w:r w:rsidRPr="00276BCA">
        <w:rPr>
          <w:vertAlign w:val="superscript"/>
        </w:rPr>
        <w:t>a</w:t>
      </w:r>
      <w:r w:rsidRPr="00276BCA">
        <w:t xml:space="preserve"> Patients received mFOLFOX6 chemotherapy in SPOTLIGHT trial.</w:t>
      </w:r>
    </w:p>
    <w:p w14:paraId="3517EE90" w14:textId="77777777" w:rsidR="006355F9" w:rsidRPr="00276BCA" w:rsidRDefault="006355F9" w:rsidP="006355F9">
      <w:pPr>
        <w:pStyle w:val="TableFooter"/>
      </w:pPr>
      <w:r w:rsidRPr="00276BCA">
        <w:rPr>
          <w:vertAlign w:val="superscript"/>
        </w:rPr>
        <w:t>b</w:t>
      </w:r>
      <w:r w:rsidRPr="00276BCA">
        <w:t xml:space="preserve"> Patients received CAPOX chemotherapy in GLOW trial.</w:t>
      </w:r>
    </w:p>
    <w:p w14:paraId="7227D7DC" w14:textId="52A9C74A" w:rsidR="006355F9" w:rsidRPr="00276BCA" w:rsidRDefault="6A2E21A3" w:rsidP="006355F9">
      <w:pPr>
        <w:pStyle w:val="TableFooter"/>
      </w:pPr>
      <w:r w:rsidRPr="00276BCA">
        <w:rPr>
          <w:vertAlign w:val="superscript"/>
        </w:rPr>
        <w:t>c</w:t>
      </w:r>
      <w:r w:rsidRPr="00276BCA">
        <w:t xml:space="preserve"> Patients received mFOLFOX6 or CAPOX chemotherapy in </w:t>
      </w:r>
      <w:proofErr w:type="spellStart"/>
      <w:r w:rsidRPr="00276BCA">
        <w:t>CheckMate</w:t>
      </w:r>
      <w:proofErr w:type="spellEnd"/>
      <w:r w:rsidRPr="00276BCA">
        <w:t xml:space="preserve"> 649 trial.</w:t>
      </w:r>
    </w:p>
    <w:p w14:paraId="7D91130C" w14:textId="4CD72FBD" w:rsidR="006355F9" w:rsidRPr="00276BCA" w:rsidRDefault="006355F9" w:rsidP="006355F9">
      <w:pPr>
        <w:pStyle w:val="TableFooter"/>
      </w:pPr>
      <w:r w:rsidRPr="00276BCA">
        <w:rPr>
          <w:vertAlign w:val="superscript"/>
        </w:rPr>
        <w:t>d</w:t>
      </w:r>
      <w:r w:rsidRPr="00276BCA">
        <w:t xml:space="preserve"> p value not tested</w:t>
      </w:r>
      <w:r w:rsidR="00EB71C2" w:rsidRPr="00276BCA">
        <w:t>.</w:t>
      </w:r>
      <w:r w:rsidRPr="00276BCA">
        <w:t xml:space="preserve"> </w:t>
      </w:r>
    </w:p>
    <w:p w14:paraId="4194A494" w14:textId="57249B9D" w:rsidR="006355F9" w:rsidRPr="00276BCA" w:rsidRDefault="006355F9" w:rsidP="006355F9">
      <w:pPr>
        <w:pStyle w:val="TableFooter"/>
      </w:pPr>
      <w:r w:rsidRPr="00276BCA">
        <w:rPr>
          <w:vertAlign w:val="superscript"/>
        </w:rPr>
        <w:t>e</w:t>
      </w:r>
      <w:r w:rsidRPr="00276BCA">
        <w:t xml:space="preserve"> Patients received SOX or CAPOX chemotherapy in ATTRACTION-4 trial.</w:t>
      </w:r>
    </w:p>
    <w:p w14:paraId="7C60E45F" w14:textId="3D09C484" w:rsidR="009310AC" w:rsidRPr="00276BCA" w:rsidRDefault="006355F9" w:rsidP="006355F9">
      <w:pPr>
        <w:pStyle w:val="TableFooter"/>
      </w:pPr>
      <w:r w:rsidRPr="00276BCA">
        <w:rPr>
          <w:vertAlign w:val="superscript"/>
        </w:rPr>
        <w:t>f</w:t>
      </w:r>
      <w:r w:rsidRPr="00276BCA">
        <w:t xml:space="preserve"> 98.51% CI was presented</w:t>
      </w:r>
      <w:r w:rsidR="00EB71C2" w:rsidRPr="00276BCA">
        <w:t>.</w:t>
      </w:r>
    </w:p>
    <w:p w14:paraId="315DCAC6" w14:textId="6909DB38" w:rsidR="00A4000A" w:rsidRPr="00276BCA" w:rsidRDefault="1BBED165" w:rsidP="77D89277">
      <w:pPr>
        <w:pStyle w:val="ListParagraph"/>
        <w:numPr>
          <w:ilvl w:val="4"/>
          <w:numId w:val="8"/>
        </w:numPr>
        <w:rPr>
          <w:color w:val="auto"/>
        </w:rPr>
      </w:pPr>
      <w:r w:rsidRPr="00276BCA">
        <w:rPr>
          <w:color w:val="auto"/>
        </w:rPr>
        <w:t>Based on the recent data cut-off, b</w:t>
      </w:r>
      <w:r w:rsidR="7A59B7B1" w:rsidRPr="00276BCA">
        <w:rPr>
          <w:color w:val="auto"/>
        </w:rPr>
        <w:t xml:space="preserve">oth </w:t>
      </w:r>
      <w:r w:rsidR="00BD328C" w:rsidRPr="00276BCA">
        <w:rPr>
          <w:color w:val="auto"/>
        </w:rPr>
        <w:t xml:space="preserve">the </w:t>
      </w:r>
      <w:r w:rsidR="1774A280" w:rsidRPr="00276BCA">
        <w:rPr>
          <w:color w:val="auto"/>
        </w:rPr>
        <w:t xml:space="preserve">SPOTLIGHT and </w:t>
      </w:r>
      <w:r w:rsidR="07FAD9D6" w:rsidRPr="00276BCA">
        <w:rPr>
          <w:color w:val="auto"/>
        </w:rPr>
        <w:t xml:space="preserve">GLOW trials </w:t>
      </w:r>
      <w:r w:rsidR="122E4875" w:rsidRPr="00276BCA">
        <w:rPr>
          <w:color w:val="auto"/>
        </w:rPr>
        <w:t>demonstrated</w:t>
      </w:r>
      <w:r w:rsidR="07FAD9D6" w:rsidRPr="00276BCA">
        <w:rPr>
          <w:color w:val="auto"/>
        </w:rPr>
        <w:t xml:space="preserve"> statistically significant improvements</w:t>
      </w:r>
      <w:r w:rsidR="14092E90" w:rsidRPr="00276BCA">
        <w:rPr>
          <w:color w:val="auto"/>
        </w:rPr>
        <w:t xml:space="preserve"> in PFS with </w:t>
      </w:r>
      <w:proofErr w:type="spellStart"/>
      <w:r w:rsidR="14092E90" w:rsidRPr="00276BCA">
        <w:rPr>
          <w:color w:val="auto"/>
        </w:rPr>
        <w:t>zolbetuximab</w:t>
      </w:r>
      <w:proofErr w:type="spellEnd"/>
      <w:r w:rsidR="14092E90" w:rsidRPr="00276BCA">
        <w:rPr>
          <w:color w:val="auto"/>
        </w:rPr>
        <w:t xml:space="preserve"> </w:t>
      </w:r>
      <w:r w:rsidR="7A4A18B5" w:rsidRPr="00276BCA">
        <w:rPr>
          <w:color w:val="auto"/>
        </w:rPr>
        <w:t xml:space="preserve">+ chemotherapy </w:t>
      </w:r>
      <w:r w:rsidR="013E4EBD" w:rsidRPr="00276BCA">
        <w:rPr>
          <w:color w:val="auto"/>
        </w:rPr>
        <w:t>(median follow-up = 12.94 months SPOTLIGHT, 12.</w:t>
      </w:r>
      <w:r w:rsidR="1520D2F9" w:rsidRPr="00276BCA">
        <w:rPr>
          <w:color w:val="auto"/>
        </w:rPr>
        <w:t>62</w:t>
      </w:r>
      <w:r w:rsidR="013E4EBD" w:rsidRPr="00276BCA">
        <w:rPr>
          <w:color w:val="auto"/>
        </w:rPr>
        <w:t xml:space="preserve"> months GLOW) </w:t>
      </w:r>
      <w:r w:rsidR="14092E90" w:rsidRPr="00276BCA">
        <w:rPr>
          <w:color w:val="auto"/>
        </w:rPr>
        <w:t xml:space="preserve">compared to </w:t>
      </w:r>
      <w:r w:rsidR="2A98062B" w:rsidRPr="00276BCA">
        <w:rPr>
          <w:color w:val="auto"/>
        </w:rPr>
        <w:t xml:space="preserve">placebo + </w:t>
      </w:r>
      <w:r w:rsidR="14092E90" w:rsidRPr="00276BCA">
        <w:rPr>
          <w:color w:val="auto"/>
        </w:rPr>
        <w:t>chemotherapy</w:t>
      </w:r>
      <w:r w:rsidR="2A98062B" w:rsidRPr="00276BCA">
        <w:rPr>
          <w:color w:val="auto"/>
        </w:rPr>
        <w:t xml:space="preserve"> (hereafter referred to as chemotherapy</w:t>
      </w:r>
      <w:r w:rsidR="4CAEF3DC" w:rsidRPr="00276BCA">
        <w:rPr>
          <w:color w:val="auto"/>
        </w:rPr>
        <w:t>;</w:t>
      </w:r>
      <w:r w:rsidR="7393B61D" w:rsidRPr="00276BCA">
        <w:rPr>
          <w:color w:val="auto"/>
        </w:rPr>
        <w:t xml:space="preserve"> median follow-up = 12.65 months</w:t>
      </w:r>
      <w:r w:rsidR="2FB11F13" w:rsidRPr="00276BCA">
        <w:rPr>
          <w:color w:val="auto"/>
        </w:rPr>
        <w:t xml:space="preserve"> SPOTLIGHT</w:t>
      </w:r>
      <w:r w:rsidR="7C61B55B" w:rsidRPr="00276BCA">
        <w:rPr>
          <w:color w:val="auto"/>
        </w:rPr>
        <w:t xml:space="preserve">, </w:t>
      </w:r>
      <w:r w:rsidR="3AB4E202" w:rsidRPr="00276BCA">
        <w:rPr>
          <w:color w:val="auto"/>
        </w:rPr>
        <w:t>12.09 months GLOW</w:t>
      </w:r>
      <w:r w:rsidR="2A98062B" w:rsidRPr="00276BCA">
        <w:rPr>
          <w:color w:val="auto"/>
        </w:rPr>
        <w:t>)</w:t>
      </w:r>
      <w:r w:rsidR="07FAD9D6" w:rsidRPr="00276BCA">
        <w:rPr>
          <w:color w:val="auto"/>
        </w:rPr>
        <w:t xml:space="preserve">. </w:t>
      </w:r>
      <w:r w:rsidR="393EFA06" w:rsidRPr="00276BCA">
        <w:rPr>
          <w:color w:val="auto"/>
        </w:rPr>
        <w:t xml:space="preserve">The difference in median PFS was </w:t>
      </w:r>
      <w:r w:rsidR="00BA509B" w:rsidRPr="00276BCA">
        <w:rPr>
          <w:color w:val="auto"/>
        </w:rPr>
        <w:t xml:space="preserve">2.1 months </w:t>
      </w:r>
      <w:r w:rsidR="393EFA06" w:rsidRPr="00276BCA">
        <w:rPr>
          <w:color w:val="auto"/>
        </w:rPr>
        <w:t xml:space="preserve">in the SPOTLIGHT trial </w:t>
      </w:r>
      <w:r w:rsidR="00BA509B" w:rsidRPr="00276BCA">
        <w:rPr>
          <w:color w:val="auto"/>
        </w:rPr>
        <w:t xml:space="preserve">and 1.4 months in </w:t>
      </w:r>
      <w:r w:rsidR="393EFA06" w:rsidRPr="00276BCA">
        <w:rPr>
          <w:color w:val="auto"/>
        </w:rPr>
        <w:t>the GLOW trial.</w:t>
      </w:r>
      <w:r w:rsidR="008210AE" w:rsidRPr="00276BCA">
        <w:rPr>
          <w:color w:val="auto"/>
        </w:rPr>
        <w:t xml:space="preserve"> </w:t>
      </w:r>
      <w:r w:rsidR="00C52632" w:rsidRPr="00276BCA">
        <w:rPr>
          <w:color w:val="auto"/>
        </w:rPr>
        <w:t>The pro</w:t>
      </w:r>
      <w:r w:rsidR="00751FB9" w:rsidRPr="00276BCA">
        <w:rPr>
          <w:color w:val="auto"/>
        </w:rPr>
        <w:t>gnosis of p</w:t>
      </w:r>
      <w:r w:rsidR="393EFA06" w:rsidRPr="00276BCA">
        <w:rPr>
          <w:color w:val="auto"/>
        </w:rPr>
        <w:t xml:space="preserve">atients in the SPOTLIGHT trial </w:t>
      </w:r>
      <w:r w:rsidR="00751FB9" w:rsidRPr="00276BCA">
        <w:rPr>
          <w:color w:val="auto"/>
        </w:rPr>
        <w:t xml:space="preserve">was </w:t>
      </w:r>
      <w:r w:rsidR="393EFA06" w:rsidRPr="00276BCA">
        <w:rPr>
          <w:color w:val="auto"/>
        </w:rPr>
        <w:t xml:space="preserve">better than </w:t>
      </w:r>
      <w:r w:rsidR="00B446B2" w:rsidRPr="00276BCA">
        <w:rPr>
          <w:color w:val="auto"/>
        </w:rPr>
        <w:t xml:space="preserve">for those in </w:t>
      </w:r>
      <w:r w:rsidR="393EFA06" w:rsidRPr="00276BCA">
        <w:rPr>
          <w:color w:val="auto"/>
        </w:rPr>
        <w:t xml:space="preserve">the GLOW trial, likely due to differences in patient populations. SPOTLIGHT included more patients from Japan </w:t>
      </w:r>
      <w:r w:rsidR="393EFA06" w:rsidRPr="00276BCA">
        <w:rPr>
          <w:color w:val="auto"/>
        </w:rPr>
        <w:lastRenderedPageBreak/>
        <w:t xml:space="preserve">and South Korea, while GLOW had a higher proportion from mainland China, where the disease course resembles that of Western patients, with generally lower </w:t>
      </w:r>
      <w:r w:rsidR="71559C6D" w:rsidRPr="00276BCA">
        <w:rPr>
          <w:color w:val="auto"/>
        </w:rPr>
        <w:t>overall survival</w:t>
      </w:r>
      <w:r w:rsidR="00E32BE9" w:rsidRPr="00276BCA">
        <w:rPr>
          <w:rStyle w:val="FootnoteReference"/>
          <w:color w:val="auto"/>
        </w:rPr>
        <w:footnoteReference w:id="10"/>
      </w:r>
      <w:r w:rsidR="393EFA06" w:rsidRPr="00276BCA">
        <w:rPr>
          <w:color w:val="auto"/>
        </w:rPr>
        <w:t>.</w:t>
      </w:r>
    </w:p>
    <w:p w14:paraId="4ED85BD1" w14:textId="5E94C568" w:rsidR="008019C0" w:rsidRPr="00276BCA" w:rsidRDefault="212E0B62" w:rsidP="77D89277">
      <w:pPr>
        <w:pStyle w:val="ListParagraph"/>
        <w:numPr>
          <w:ilvl w:val="4"/>
          <w:numId w:val="8"/>
        </w:numPr>
        <w:rPr>
          <w:color w:val="auto"/>
        </w:rPr>
      </w:pPr>
      <w:r w:rsidRPr="00276BCA">
        <w:rPr>
          <w:color w:val="auto"/>
        </w:rPr>
        <w:t>The evaluation</w:t>
      </w:r>
      <w:r w:rsidR="5E92A968" w:rsidRPr="00276BCA">
        <w:rPr>
          <w:color w:val="auto"/>
        </w:rPr>
        <w:t xml:space="preserve"> and the ESCs</w:t>
      </w:r>
      <w:r w:rsidRPr="00276BCA">
        <w:rPr>
          <w:color w:val="auto"/>
        </w:rPr>
        <w:t xml:space="preserve"> noted that i</w:t>
      </w:r>
      <w:r w:rsidR="3CDE0AB2" w:rsidRPr="00276BCA">
        <w:rPr>
          <w:color w:val="auto"/>
        </w:rPr>
        <w:t xml:space="preserve">n the </w:t>
      </w:r>
      <w:proofErr w:type="spellStart"/>
      <w:r w:rsidR="3CDE0AB2" w:rsidRPr="00276BCA">
        <w:rPr>
          <w:color w:val="auto"/>
        </w:rPr>
        <w:t>CheckMate</w:t>
      </w:r>
      <w:proofErr w:type="spellEnd"/>
      <w:r w:rsidR="3CDE0AB2" w:rsidRPr="00276BCA">
        <w:rPr>
          <w:color w:val="auto"/>
        </w:rPr>
        <w:t xml:space="preserve"> 649</w:t>
      </w:r>
      <w:r w:rsidR="589A672B" w:rsidRPr="00276BCA">
        <w:rPr>
          <w:color w:val="auto"/>
        </w:rPr>
        <w:t xml:space="preserve"> trial, </w:t>
      </w:r>
      <w:r w:rsidR="1E356006" w:rsidRPr="00276BCA">
        <w:rPr>
          <w:color w:val="auto"/>
        </w:rPr>
        <w:t xml:space="preserve">PFS </w:t>
      </w:r>
      <w:r w:rsidR="580C3AA6" w:rsidRPr="00276BCA">
        <w:rPr>
          <w:color w:val="auto"/>
        </w:rPr>
        <w:t>was</w:t>
      </w:r>
      <w:r w:rsidR="150753F0" w:rsidRPr="00276BCA">
        <w:rPr>
          <w:color w:val="auto"/>
        </w:rPr>
        <w:t xml:space="preserve"> numerically</w:t>
      </w:r>
      <w:r w:rsidR="1E356006" w:rsidRPr="00276BCA">
        <w:rPr>
          <w:color w:val="auto"/>
        </w:rPr>
        <w:t xml:space="preserve"> improved in patients randomised to nivolumab </w:t>
      </w:r>
      <w:r w:rsidR="39EB6846" w:rsidRPr="00276BCA">
        <w:rPr>
          <w:color w:val="auto"/>
        </w:rPr>
        <w:t>+</w:t>
      </w:r>
      <w:r w:rsidR="1E356006" w:rsidRPr="00276BCA">
        <w:rPr>
          <w:color w:val="auto"/>
        </w:rPr>
        <w:t xml:space="preserve"> chemotherapy compared to chemotherapy alone</w:t>
      </w:r>
      <w:r w:rsidR="150753F0" w:rsidRPr="00276BCA">
        <w:rPr>
          <w:color w:val="auto"/>
        </w:rPr>
        <w:t>, h</w:t>
      </w:r>
      <w:r w:rsidR="1E356006" w:rsidRPr="00276BCA">
        <w:rPr>
          <w:color w:val="auto"/>
        </w:rPr>
        <w:t xml:space="preserve">owever, a </w:t>
      </w:r>
      <w:r w:rsidR="00AE43D5" w:rsidRPr="00276BCA">
        <w:rPr>
          <w:color w:val="auto"/>
        </w:rPr>
        <w:t>statistical comparison was</w:t>
      </w:r>
      <w:r w:rsidR="1695A376" w:rsidRPr="00276BCA">
        <w:rPr>
          <w:color w:val="auto"/>
        </w:rPr>
        <w:t xml:space="preserve"> </w:t>
      </w:r>
      <w:r w:rsidR="66203C3F" w:rsidRPr="00276BCA">
        <w:rPr>
          <w:color w:val="auto"/>
        </w:rPr>
        <w:t xml:space="preserve">not </w:t>
      </w:r>
      <w:r w:rsidR="00AE43D5" w:rsidRPr="00276BCA">
        <w:rPr>
          <w:color w:val="auto"/>
        </w:rPr>
        <w:t xml:space="preserve">undertaken </w:t>
      </w:r>
      <w:r w:rsidR="00AB6939" w:rsidRPr="00276BCA">
        <w:rPr>
          <w:color w:val="auto"/>
        </w:rPr>
        <w:t>due to</w:t>
      </w:r>
      <w:r w:rsidR="66203C3F" w:rsidRPr="00276BCA">
        <w:rPr>
          <w:color w:val="auto"/>
        </w:rPr>
        <w:t xml:space="preserve"> the alpha spending </w:t>
      </w:r>
      <w:r w:rsidR="39E7C01E" w:rsidRPr="00276BCA">
        <w:rPr>
          <w:color w:val="auto"/>
        </w:rPr>
        <w:t>considerations for</w:t>
      </w:r>
      <w:r w:rsidR="00F87AAF" w:rsidRPr="00276BCA">
        <w:rPr>
          <w:color w:val="auto"/>
        </w:rPr>
        <w:t xml:space="preserve"> the</w:t>
      </w:r>
      <w:r w:rsidR="39E7C01E" w:rsidRPr="00276BCA">
        <w:rPr>
          <w:color w:val="auto"/>
        </w:rPr>
        <w:t xml:space="preserve"> </w:t>
      </w:r>
      <w:proofErr w:type="spellStart"/>
      <w:r w:rsidR="39E7C01E" w:rsidRPr="00276BCA">
        <w:rPr>
          <w:color w:val="auto"/>
        </w:rPr>
        <w:t>CheckMate</w:t>
      </w:r>
      <w:proofErr w:type="spellEnd"/>
      <w:r w:rsidR="39E7C01E" w:rsidRPr="00276BCA">
        <w:rPr>
          <w:color w:val="auto"/>
        </w:rPr>
        <w:t xml:space="preserve"> 649</w:t>
      </w:r>
      <w:r w:rsidR="589A672B" w:rsidRPr="00276BCA">
        <w:rPr>
          <w:color w:val="auto"/>
        </w:rPr>
        <w:t xml:space="preserve"> </w:t>
      </w:r>
      <w:r w:rsidR="40D8BD7C" w:rsidRPr="00276BCA">
        <w:rPr>
          <w:color w:val="auto"/>
        </w:rPr>
        <w:t>trial</w:t>
      </w:r>
      <w:r w:rsidR="3CDE0AB2" w:rsidRPr="00276BCA">
        <w:rPr>
          <w:color w:val="auto"/>
        </w:rPr>
        <w:t>.</w:t>
      </w:r>
      <w:r w:rsidR="6E3E7E15" w:rsidRPr="00276BCA">
        <w:rPr>
          <w:color w:val="auto"/>
        </w:rPr>
        <w:t xml:space="preserve"> Based on the three-year follow-up results of the </w:t>
      </w:r>
      <w:proofErr w:type="spellStart"/>
      <w:r w:rsidR="6E3E7E15" w:rsidRPr="00276BCA">
        <w:rPr>
          <w:color w:val="auto"/>
        </w:rPr>
        <w:t>CheckMate</w:t>
      </w:r>
      <w:proofErr w:type="spellEnd"/>
      <w:r w:rsidR="6E3E7E15" w:rsidRPr="00276BCA">
        <w:rPr>
          <w:color w:val="auto"/>
        </w:rPr>
        <w:t xml:space="preserve"> 649 trial, the PFS benefit was maintained in the overall population, with a HR of 0.79 (95% CI: 0.71, 0.89).</w:t>
      </w:r>
      <w:r w:rsidR="39EB6846" w:rsidRPr="00276BCA">
        <w:rPr>
          <w:color w:val="auto"/>
        </w:rPr>
        <w:t xml:space="preserve"> In ATTRACTION-4 trial, treatment with nivolumab + chemotherapy compared to chemotherapy demonstrated a statistically significant improvement in PFS.</w:t>
      </w:r>
    </w:p>
    <w:p w14:paraId="5FEB4409" w14:textId="4871DF54" w:rsidR="003C3D2D" w:rsidRPr="00276BCA" w:rsidRDefault="003C3D2D" w:rsidP="008E424C">
      <w:pPr>
        <w:pStyle w:val="ListParagraph"/>
        <w:numPr>
          <w:ilvl w:val="4"/>
          <w:numId w:val="8"/>
        </w:numPr>
        <w:rPr>
          <w:color w:val="auto"/>
        </w:rPr>
      </w:pPr>
      <w:r w:rsidRPr="00276BCA">
        <w:rPr>
          <w:color w:val="auto"/>
        </w:rPr>
        <w:fldChar w:fldCharType="begin"/>
      </w:r>
      <w:r w:rsidRPr="00276BCA">
        <w:rPr>
          <w:color w:val="auto"/>
        </w:rPr>
        <w:instrText xml:space="preserve"> REF _Ref184054158 \h  \* MERGEFORMAT </w:instrText>
      </w:r>
      <w:r w:rsidRPr="00276BCA">
        <w:rPr>
          <w:color w:val="auto"/>
        </w:rPr>
      </w:r>
      <w:r w:rsidRPr="00276BCA">
        <w:rPr>
          <w:color w:val="auto"/>
        </w:rPr>
        <w:fldChar w:fldCharType="separate"/>
      </w:r>
      <w:r w:rsidR="0011458F" w:rsidRPr="0011458F">
        <w:rPr>
          <w:snapToGrid w:val="0"/>
          <w:color w:val="auto"/>
        </w:rPr>
        <w:t>Figure 1</w:t>
      </w:r>
      <w:r w:rsidRPr="00276BCA">
        <w:rPr>
          <w:color w:val="auto"/>
        </w:rPr>
        <w:fldChar w:fldCharType="end"/>
      </w:r>
      <w:r w:rsidRPr="00276BCA">
        <w:rPr>
          <w:color w:val="auto"/>
        </w:rPr>
        <w:t xml:space="preserve"> and </w:t>
      </w:r>
      <w:r w:rsidRPr="00276BCA">
        <w:rPr>
          <w:color w:val="auto"/>
        </w:rPr>
        <w:fldChar w:fldCharType="begin"/>
      </w:r>
      <w:r w:rsidRPr="00276BCA">
        <w:rPr>
          <w:color w:val="auto"/>
        </w:rPr>
        <w:instrText xml:space="preserve"> REF _Ref184054162 \h  \* MERGEFORMAT </w:instrText>
      </w:r>
      <w:r w:rsidRPr="00276BCA">
        <w:rPr>
          <w:color w:val="auto"/>
        </w:rPr>
      </w:r>
      <w:r w:rsidRPr="00276BCA">
        <w:rPr>
          <w:color w:val="auto"/>
        </w:rPr>
        <w:fldChar w:fldCharType="separate"/>
      </w:r>
      <w:r w:rsidR="0011458F" w:rsidRPr="0011458F">
        <w:rPr>
          <w:snapToGrid w:val="0"/>
          <w:color w:val="auto"/>
        </w:rPr>
        <w:t>Figure 2</w:t>
      </w:r>
      <w:r w:rsidRPr="00276BCA">
        <w:rPr>
          <w:color w:val="auto"/>
        </w:rPr>
        <w:fldChar w:fldCharType="end"/>
      </w:r>
      <w:r w:rsidRPr="00276BCA">
        <w:rPr>
          <w:color w:val="auto"/>
        </w:rPr>
        <w:t xml:space="preserve"> present the Kaplan-Meier (KM) plot</w:t>
      </w:r>
      <w:r w:rsidR="008C5AB2" w:rsidRPr="00276BCA">
        <w:rPr>
          <w:color w:val="auto"/>
        </w:rPr>
        <w:t>s</w:t>
      </w:r>
      <w:r w:rsidRPr="00276BCA">
        <w:rPr>
          <w:color w:val="auto"/>
        </w:rPr>
        <w:t xml:space="preserve"> of PFS for the </w:t>
      </w:r>
      <w:proofErr w:type="spellStart"/>
      <w:r w:rsidRPr="00276BCA">
        <w:rPr>
          <w:color w:val="auto"/>
        </w:rPr>
        <w:t>zolbetuximab</w:t>
      </w:r>
      <w:proofErr w:type="spellEnd"/>
      <w:r w:rsidRPr="00276BCA">
        <w:rPr>
          <w:color w:val="auto"/>
        </w:rPr>
        <w:t xml:space="preserve"> trials.</w:t>
      </w:r>
    </w:p>
    <w:p w14:paraId="5F9DEDB3" w14:textId="3909693C" w:rsidR="003C3D2D" w:rsidRPr="00276BCA" w:rsidRDefault="003C3D2D" w:rsidP="00204461">
      <w:pPr>
        <w:pStyle w:val="Caption"/>
      </w:pPr>
      <w:bookmarkStart w:id="47" w:name="_Ref184054158"/>
      <w:r w:rsidRPr="00276BCA">
        <w:t xml:space="preserve">Figure </w:t>
      </w:r>
      <w:r w:rsidR="005E7C50">
        <w:fldChar w:fldCharType="begin"/>
      </w:r>
      <w:r w:rsidR="005E7C50">
        <w:instrText xml:space="preserve"> SEQ Figure_PBAC. \* ARABIC </w:instrText>
      </w:r>
      <w:r w:rsidR="005E7C50">
        <w:fldChar w:fldCharType="separate"/>
      </w:r>
      <w:r w:rsidR="0011458F">
        <w:rPr>
          <w:noProof/>
        </w:rPr>
        <w:t>1</w:t>
      </w:r>
      <w:r w:rsidR="005E7C50">
        <w:rPr>
          <w:noProof/>
        </w:rPr>
        <w:fldChar w:fldCharType="end"/>
      </w:r>
      <w:bookmarkEnd w:id="47"/>
      <w:r w:rsidR="00A67718" w:rsidRPr="00276BCA">
        <w:t xml:space="preserve">: </w:t>
      </w:r>
      <w:r w:rsidRPr="00276BCA">
        <w:t>KM of PFS assessed by IRC in SPOTLIGHT trial (FAS)</w:t>
      </w:r>
    </w:p>
    <w:p w14:paraId="48B4E376" w14:textId="77777777" w:rsidR="003C3D2D" w:rsidRPr="00276BCA" w:rsidRDefault="003C3D2D" w:rsidP="003C3D2D">
      <w:pPr>
        <w:pStyle w:val="TableFooter"/>
      </w:pPr>
      <w:r w:rsidRPr="00276BCA">
        <w:rPr>
          <w:noProof/>
        </w:rPr>
        <w:drawing>
          <wp:inline distT="0" distB="0" distL="0" distR="0" wp14:anchorId="7C4D0126" wp14:editId="301942B6">
            <wp:extent cx="5731030" cy="2995684"/>
            <wp:effectExtent l="0" t="0" r="3175" b="0"/>
            <wp:docPr id="1884502533" name="Picture 1" descr="Figure 1: KM of PFS assessed by IRC in SPOTLIGHT trial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502533" name="Picture 1" descr="Figure 1: KM of PFS assessed by IRC in SPOTLIGHT trial (F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5940" cy="3008705"/>
                    </a:xfrm>
                    <a:prstGeom prst="rect">
                      <a:avLst/>
                    </a:prstGeom>
                    <a:noFill/>
                  </pic:spPr>
                </pic:pic>
              </a:graphicData>
            </a:graphic>
          </wp:inline>
        </w:drawing>
      </w:r>
    </w:p>
    <w:p w14:paraId="5E87143C" w14:textId="77777777" w:rsidR="003C3D2D" w:rsidRPr="00276BCA" w:rsidRDefault="003C3D2D" w:rsidP="003C3D2D">
      <w:pPr>
        <w:pStyle w:val="TableFooter"/>
      </w:pPr>
      <w:r w:rsidRPr="00276BCA">
        <w:t>Source: Figure 2-5, p99 of the submission.</w:t>
      </w:r>
    </w:p>
    <w:p w14:paraId="7F2030FD" w14:textId="77777777" w:rsidR="003C3D2D" w:rsidRPr="00276BCA" w:rsidRDefault="003C3D2D" w:rsidP="003C3D2D">
      <w:pPr>
        <w:pStyle w:val="TableFooter"/>
      </w:pPr>
      <w:r w:rsidRPr="00276BCA">
        <w:t xml:space="preserve">CI = confidence interval; FAS = full analysis set; HR = hazard ratio; IRC = Independent Review Committee; KM = Kaplan-Meier; </w:t>
      </w:r>
      <w:r w:rsidRPr="00276BCA">
        <w:rPr>
          <w:rFonts w:eastAsia="Calibri"/>
        </w:rPr>
        <w:t>N = total participants in group</w:t>
      </w:r>
      <w:r w:rsidRPr="00276BCA">
        <w:t xml:space="preserve">; PFS = progression-free survival. </w:t>
      </w:r>
    </w:p>
    <w:p w14:paraId="11044908" w14:textId="269F4A2C" w:rsidR="003C3D2D" w:rsidRPr="00276BCA" w:rsidRDefault="003C3D2D" w:rsidP="003C3D2D">
      <w:pPr>
        <w:pStyle w:val="TableFooter"/>
      </w:pPr>
      <w:r w:rsidRPr="00276BCA">
        <w:t xml:space="preserve">Note: Arm A refers to </w:t>
      </w:r>
      <w:proofErr w:type="spellStart"/>
      <w:r w:rsidRPr="00276BCA">
        <w:t>zolbetuximab</w:t>
      </w:r>
      <w:proofErr w:type="spellEnd"/>
      <w:r w:rsidRPr="00276BCA">
        <w:t xml:space="preserve"> + mFOLFOX6 and Arm B refers to placebo + mFOLFOX6.</w:t>
      </w:r>
    </w:p>
    <w:p w14:paraId="7EB64770" w14:textId="309FB6DC" w:rsidR="003C3D2D" w:rsidRPr="00276BCA" w:rsidRDefault="003C3D2D" w:rsidP="00204461">
      <w:pPr>
        <w:pStyle w:val="Caption"/>
      </w:pPr>
      <w:bookmarkStart w:id="48" w:name="_Ref184054162"/>
      <w:r w:rsidRPr="00276BCA">
        <w:lastRenderedPageBreak/>
        <w:t xml:space="preserve">Figure </w:t>
      </w:r>
      <w:r w:rsidR="005E7C50">
        <w:fldChar w:fldCharType="begin"/>
      </w:r>
      <w:r w:rsidR="005E7C50">
        <w:instrText xml:space="preserve"> SEQ Figure_PBAC. \* ARABIC </w:instrText>
      </w:r>
      <w:r w:rsidR="005E7C50">
        <w:fldChar w:fldCharType="separate"/>
      </w:r>
      <w:r w:rsidR="0011458F">
        <w:rPr>
          <w:noProof/>
        </w:rPr>
        <w:t>2</w:t>
      </w:r>
      <w:r w:rsidR="005E7C50">
        <w:rPr>
          <w:noProof/>
        </w:rPr>
        <w:fldChar w:fldCharType="end"/>
      </w:r>
      <w:bookmarkEnd w:id="48"/>
      <w:r w:rsidR="00A67718" w:rsidRPr="00276BCA">
        <w:t xml:space="preserve">: </w:t>
      </w:r>
      <w:r w:rsidRPr="00276BCA">
        <w:t>KM of PFS assessed by IRC in GLOW trial (FAS)</w:t>
      </w:r>
    </w:p>
    <w:p w14:paraId="31DFA1FA" w14:textId="77777777" w:rsidR="003C3D2D" w:rsidRPr="00276BCA" w:rsidRDefault="003C3D2D" w:rsidP="003C3D2D">
      <w:pPr>
        <w:pStyle w:val="TableFooter"/>
      </w:pPr>
      <w:r w:rsidRPr="00276BCA">
        <w:rPr>
          <w:noProof/>
        </w:rPr>
        <w:drawing>
          <wp:inline distT="0" distB="0" distL="0" distR="0" wp14:anchorId="6A81B9EF" wp14:editId="0F009232">
            <wp:extent cx="5731510" cy="3110042"/>
            <wp:effectExtent l="19050" t="19050" r="21590" b="14605"/>
            <wp:docPr id="811277498" name="Picture 1" descr="Figure 2: KM of PFS assessed by IRC in GLOW trial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277498" name="Picture 1" descr="Figure 2: KM of PFS assessed by IRC in GLOW trial (FAS)"/>
                    <pic:cNvPicPr/>
                  </pic:nvPicPr>
                  <pic:blipFill>
                    <a:blip r:embed="rId12"/>
                    <a:stretch>
                      <a:fillRect/>
                    </a:stretch>
                  </pic:blipFill>
                  <pic:spPr>
                    <a:xfrm>
                      <a:off x="0" y="0"/>
                      <a:ext cx="5731510" cy="3110042"/>
                    </a:xfrm>
                    <a:prstGeom prst="rect">
                      <a:avLst/>
                    </a:prstGeom>
                    <a:ln w="12700">
                      <a:solidFill>
                        <a:schemeClr val="tx1"/>
                      </a:solidFill>
                    </a:ln>
                  </pic:spPr>
                </pic:pic>
              </a:graphicData>
            </a:graphic>
          </wp:inline>
        </w:drawing>
      </w:r>
    </w:p>
    <w:p w14:paraId="6B55CB42" w14:textId="77777777" w:rsidR="003C3D2D" w:rsidRPr="00276BCA" w:rsidRDefault="003C3D2D" w:rsidP="003C3D2D">
      <w:pPr>
        <w:pStyle w:val="TableFooter"/>
      </w:pPr>
      <w:r w:rsidRPr="00276BCA">
        <w:t>Source: Figure 2-6, p100 of the submission.</w:t>
      </w:r>
    </w:p>
    <w:p w14:paraId="5563A234" w14:textId="77777777" w:rsidR="003C3D2D" w:rsidRPr="00276BCA" w:rsidRDefault="003C3D2D" w:rsidP="003C3D2D">
      <w:pPr>
        <w:pStyle w:val="TableFooter"/>
      </w:pPr>
      <w:r w:rsidRPr="00276BCA">
        <w:t>CI = confidence interval; FAS = full analysis set; HR = hazard ratio; IRC = Independent Review Committee; KM = Kaplan-Meier;</w:t>
      </w:r>
      <w:r w:rsidRPr="00276BCA">
        <w:rPr>
          <w:rFonts w:eastAsia="Calibri"/>
        </w:rPr>
        <w:t xml:space="preserve"> N = total participants in group</w:t>
      </w:r>
      <w:r w:rsidRPr="00276BCA">
        <w:t xml:space="preserve">; PFS = progression-free survival. </w:t>
      </w:r>
    </w:p>
    <w:p w14:paraId="6A528F36" w14:textId="00FCD298" w:rsidR="003C3D2D" w:rsidRPr="00276BCA" w:rsidRDefault="003C3D2D" w:rsidP="003C3D2D">
      <w:pPr>
        <w:pStyle w:val="TableFooter"/>
      </w:pPr>
      <w:r w:rsidRPr="00276BCA">
        <w:t xml:space="preserve">Note: Arm A refers to </w:t>
      </w:r>
      <w:proofErr w:type="spellStart"/>
      <w:r w:rsidRPr="00276BCA">
        <w:t>zolbetuximab</w:t>
      </w:r>
      <w:proofErr w:type="spellEnd"/>
      <w:r w:rsidRPr="00276BCA">
        <w:t xml:space="preserve"> + CAPOX and Arm B refers to placebo + CAPOX.</w:t>
      </w:r>
    </w:p>
    <w:p w14:paraId="5B22D2B7" w14:textId="370EE3B3" w:rsidR="008019C0" w:rsidRPr="00276BCA" w:rsidRDefault="1716C3D1" w:rsidP="008E424C">
      <w:pPr>
        <w:pStyle w:val="ListParagraph"/>
        <w:numPr>
          <w:ilvl w:val="4"/>
          <w:numId w:val="8"/>
        </w:numPr>
        <w:rPr>
          <w:color w:val="auto"/>
        </w:rPr>
      </w:pPr>
      <w:r w:rsidRPr="00276BCA">
        <w:rPr>
          <w:color w:val="auto"/>
        </w:rPr>
        <w:t xml:space="preserve">The results of the OS analyses are presented in </w:t>
      </w:r>
      <w:r w:rsidR="008019C0" w:rsidRPr="00276BCA">
        <w:rPr>
          <w:color w:val="auto"/>
        </w:rPr>
        <w:fldChar w:fldCharType="begin"/>
      </w:r>
      <w:r w:rsidR="008019C0" w:rsidRPr="00276BCA">
        <w:rPr>
          <w:color w:val="auto"/>
        </w:rPr>
        <w:instrText xml:space="preserve"> REF _Ref184032609 \h </w:instrText>
      </w:r>
      <w:r w:rsidR="00907075" w:rsidRPr="00276BCA">
        <w:rPr>
          <w:color w:val="auto"/>
        </w:rPr>
        <w:instrText xml:space="preserve"> \* MERGEFORMAT </w:instrText>
      </w:r>
      <w:r w:rsidR="008019C0" w:rsidRPr="00276BCA">
        <w:rPr>
          <w:color w:val="auto"/>
        </w:rPr>
      </w:r>
      <w:r w:rsidR="008019C0" w:rsidRPr="00276BCA">
        <w:rPr>
          <w:color w:val="auto"/>
        </w:rPr>
        <w:fldChar w:fldCharType="separate"/>
      </w:r>
      <w:r w:rsidR="0011458F" w:rsidRPr="00276BCA">
        <w:t xml:space="preserve">Table </w:t>
      </w:r>
      <w:r w:rsidR="0011458F">
        <w:t>7</w:t>
      </w:r>
      <w:r w:rsidR="008019C0" w:rsidRPr="00276BCA">
        <w:rPr>
          <w:color w:val="auto"/>
        </w:rPr>
        <w:fldChar w:fldCharType="end"/>
      </w:r>
      <w:r w:rsidR="00C51689" w:rsidRPr="00276BCA">
        <w:rPr>
          <w:color w:val="auto"/>
        </w:rPr>
        <w:t>.</w:t>
      </w:r>
    </w:p>
    <w:p w14:paraId="4F96E27E" w14:textId="5FD97FFA" w:rsidR="008019C0" w:rsidRPr="00276BCA" w:rsidRDefault="008019C0" w:rsidP="00204461">
      <w:pPr>
        <w:pStyle w:val="Caption"/>
      </w:pPr>
      <w:bookmarkStart w:id="49" w:name="_Ref184032609"/>
      <w:r w:rsidRPr="00276BCA">
        <w:lastRenderedPageBreak/>
        <w:t xml:space="preserve">Table </w:t>
      </w:r>
      <w:r w:rsidR="005E7C50">
        <w:fldChar w:fldCharType="begin"/>
      </w:r>
      <w:r w:rsidR="005E7C50">
        <w:instrText xml:space="preserve"> SEQ Table_PBAC. \* ARABIC </w:instrText>
      </w:r>
      <w:r w:rsidR="005E7C50">
        <w:fldChar w:fldCharType="separate"/>
      </w:r>
      <w:r w:rsidR="0011458F">
        <w:rPr>
          <w:noProof/>
        </w:rPr>
        <w:t>7</w:t>
      </w:r>
      <w:r w:rsidR="005E7C50">
        <w:rPr>
          <w:noProof/>
        </w:rPr>
        <w:fldChar w:fldCharType="end"/>
      </w:r>
      <w:bookmarkEnd w:id="49"/>
      <w:r w:rsidR="00A67718" w:rsidRPr="00276BCA">
        <w:t>:</w:t>
      </w:r>
      <w:r w:rsidR="00ED5734" w:rsidRPr="00276BCA">
        <w:t xml:space="preserve"> </w:t>
      </w:r>
      <w:r w:rsidRPr="00276BCA">
        <w:t xml:space="preserve">Results of OS across the studies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Results of OS across the studies "/>
      </w:tblPr>
      <w:tblGrid>
        <w:gridCol w:w="1326"/>
        <w:gridCol w:w="978"/>
        <w:gridCol w:w="977"/>
        <w:gridCol w:w="977"/>
        <w:gridCol w:w="977"/>
        <w:gridCol w:w="977"/>
        <w:gridCol w:w="977"/>
        <w:gridCol w:w="920"/>
        <w:gridCol w:w="907"/>
      </w:tblGrid>
      <w:tr w:rsidR="005C536F" w:rsidRPr="00276BCA" w14:paraId="17D75AE6" w14:textId="77777777" w:rsidTr="00C30E3C">
        <w:trPr>
          <w:trHeight w:val="179"/>
          <w:tblHeader/>
        </w:trPr>
        <w:tc>
          <w:tcPr>
            <w:tcW w:w="735" w:type="pct"/>
          </w:tcPr>
          <w:p w14:paraId="6A7BCDF8" w14:textId="56ECFBC8" w:rsidR="00791748" w:rsidRPr="00276BCA" w:rsidRDefault="00791748" w:rsidP="00C306C2">
            <w:pPr>
              <w:pStyle w:val="TableText"/>
              <w:keepNext/>
              <w:keepLines/>
              <w:rPr>
                <w:b/>
              </w:rPr>
            </w:pPr>
            <w:proofErr w:type="spellStart"/>
            <w:r w:rsidRPr="00276BCA">
              <w:rPr>
                <w:b/>
              </w:rPr>
              <w:t>Zolbetuximab</w:t>
            </w:r>
            <w:proofErr w:type="spellEnd"/>
            <w:r w:rsidRPr="00276BCA">
              <w:rPr>
                <w:b/>
              </w:rPr>
              <w:t xml:space="preserve"> trials</w:t>
            </w:r>
          </w:p>
        </w:tc>
        <w:tc>
          <w:tcPr>
            <w:tcW w:w="1625" w:type="pct"/>
            <w:gridSpan w:val="3"/>
          </w:tcPr>
          <w:p w14:paraId="4CED463D" w14:textId="58E50DAC" w:rsidR="00791748" w:rsidRPr="00276BCA" w:rsidRDefault="00791748" w:rsidP="00C306C2">
            <w:pPr>
              <w:pStyle w:val="TableText"/>
              <w:keepNext/>
              <w:keepLines/>
              <w:jc w:val="center"/>
              <w:rPr>
                <w:b/>
              </w:rPr>
            </w:pPr>
            <w:proofErr w:type="spellStart"/>
            <w:r w:rsidRPr="00276BCA">
              <w:rPr>
                <w:b/>
              </w:rPr>
              <w:t>Zolbetuximab</w:t>
            </w:r>
            <w:proofErr w:type="spellEnd"/>
            <w:r w:rsidRPr="00276BCA">
              <w:rPr>
                <w:b/>
              </w:rPr>
              <w:t xml:space="preserve"> + chemotherapy</w:t>
            </w:r>
          </w:p>
        </w:tc>
        <w:tc>
          <w:tcPr>
            <w:tcW w:w="1625" w:type="pct"/>
            <w:gridSpan w:val="3"/>
          </w:tcPr>
          <w:p w14:paraId="4C5704FE" w14:textId="7E8286D2" w:rsidR="00791748" w:rsidRPr="00276BCA" w:rsidRDefault="00791748" w:rsidP="00C306C2">
            <w:pPr>
              <w:pStyle w:val="TableText"/>
              <w:keepNext/>
              <w:keepLines/>
              <w:jc w:val="center"/>
              <w:rPr>
                <w:b/>
              </w:rPr>
            </w:pPr>
            <w:r w:rsidRPr="00276BCA">
              <w:rPr>
                <w:b/>
              </w:rPr>
              <w:t>Placebo + chemotherapy</w:t>
            </w:r>
          </w:p>
        </w:tc>
        <w:tc>
          <w:tcPr>
            <w:tcW w:w="510" w:type="pct"/>
          </w:tcPr>
          <w:p w14:paraId="457A1AFC" w14:textId="59D5492B" w:rsidR="00791748" w:rsidRPr="00276BCA" w:rsidRDefault="00791748" w:rsidP="00C306C2">
            <w:pPr>
              <w:pStyle w:val="TableText"/>
              <w:keepNext/>
              <w:keepLines/>
              <w:jc w:val="center"/>
              <w:rPr>
                <w:b/>
              </w:rPr>
            </w:pPr>
            <w:r w:rsidRPr="00276BCA">
              <w:rPr>
                <w:b/>
              </w:rPr>
              <w:t>Absolute diff. in median</w:t>
            </w:r>
          </w:p>
        </w:tc>
        <w:tc>
          <w:tcPr>
            <w:tcW w:w="504" w:type="pct"/>
          </w:tcPr>
          <w:p w14:paraId="786A0F3C" w14:textId="77777777" w:rsidR="00791748" w:rsidRPr="00276BCA" w:rsidRDefault="00791748" w:rsidP="00C306C2">
            <w:pPr>
              <w:pStyle w:val="TableText"/>
              <w:keepNext/>
              <w:keepLines/>
              <w:jc w:val="center"/>
              <w:rPr>
                <w:b/>
              </w:rPr>
            </w:pPr>
            <w:r w:rsidRPr="00276BCA">
              <w:rPr>
                <w:b/>
              </w:rPr>
              <w:t>Hazard ratio (95% CI)</w:t>
            </w:r>
          </w:p>
        </w:tc>
      </w:tr>
      <w:tr w:rsidR="005C536F" w:rsidRPr="00276BCA" w14:paraId="69D40723" w14:textId="77777777" w:rsidTr="00C30E3C">
        <w:trPr>
          <w:trHeight w:val="178"/>
          <w:tblHeader/>
        </w:trPr>
        <w:tc>
          <w:tcPr>
            <w:tcW w:w="735" w:type="pct"/>
          </w:tcPr>
          <w:p w14:paraId="3BC6E4D3" w14:textId="77777777" w:rsidR="00452485" w:rsidRPr="00276BCA" w:rsidRDefault="00452485" w:rsidP="00C306C2">
            <w:pPr>
              <w:pStyle w:val="TableText"/>
              <w:keepNext/>
              <w:keepLines/>
              <w:rPr>
                <w:b/>
              </w:rPr>
            </w:pPr>
          </w:p>
        </w:tc>
        <w:tc>
          <w:tcPr>
            <w:tcW w:w="542" w:type="pct"/>
          </w:tcPr>
          <w:p w14:paraId="58454021" w14:textId="77777777" w:rsidR="00452485" w:rsidRPr="00276BCA" w:rsidRDefault="00452485" w:rsidP="00C306C2">
            <w:pPr>
              <w:pStyle w:val="TableText"/>
              <w:keepNext/>
              <w:keepLines/>
              <w:jc w:val="center"/>
              <w:rPr>
                <w:b/>
              </w:rPr>
            </w:pPr>
            <w:r w:rsidRPr="00276BCA">
              <w:rPr>
                <w:b/>
              </w:rPr>
              <w:t>n with event / N (%)</w:t>
            </w:r>
          </w:p>
        </w:tc>
        <w:tc>
          <w:tcPr>
            <w:tcW w:w="542" w:type="pct"/>
          </w:tcPr>
          <w:p w14:paraId="73BA04C8" w14:textId="580CC15F" w:rsidR="00452485" w:rsidRPr="00276BCA" w:rsidRDefault="00452485" w:rsidP="00C306C2">
            <w:pPr>
              <w:pStyle w:val="TableText"/>
              <w:keepNext/>
              <w:keepLines/>
              <w:jc w:val="center"/>
              <w:rPr>
                <w:b/>
              </w:rPr>
            </w:pPr>
            <w:r w:rsidRPr="00276BCA">
              <w:rPr>
                <w:b/>
              </w:rPr>
              <w:t>Median OS, months (95% CI)</w:t>
            </w:r>
          </w:p>
        </w:tc>
        <w:tc>
          <w:tcPr>
            <w:tcW w:w="542" w:type="pct"/>
          </w:tcPr>
          <w:p w14:paraId="1C640AA5" w14:textId="46EEECF4" w:rsidR="00452485" w:rsidRPr="00276BCA" w:rsidRDefault="00452485" w:rsidP="00C306C2">
            <w:pPr>
              <w:pStyle w:val="TableText"/>
              <w:keepNext/>
              <w:keepLines/>
              <w:jc w:val="center"/>
              <w:rPr>
                <w:b/>
              </w:rPr>
            </w:pPr>
            <w:r w:rsidRPr="00276BCA">
              <w:rPr>
                <w:b/>
              </w:rPr>
              <w:t>Median FU time, months</w:t>
            </w:r>
            <w:r w:rsidRPr="00276BCA">
              <w:t xml:space="preserve"> </w:t>
            </w:r>
          </w:p>
        </w:tc>
        <w:tc>
          <w:tcPr>
            <w:tcW w:w="542" w:type="pct"/>
          </w:tcPr>
          <w:p w14:paraId="425661D8" w14:textId="60118D3B" w:rsidR="00452485" w:rsidRPr="00276BCA" w:rsidRDefault="00452485" w:rsidP="00C306C2">
            <w:pPr>
              <w:pStyle w:val="TableText"/>
              <w:keepNext/>
              <w:keepLines/>
              <w:jc w:val="center"/>
              <w:rPr>
                <w:b/>
              </w:rPr>
            </w:pPr>
            <w:r w:rsidRPr="00276BCA">
              <w:rPr>
                <w:b/>
              </w:rPr>
              <w:t>n with event / N (%)</w:t>
            </w:r>
          </w:p>
        </w:tc>
        <w:tc>
          <w:tcPr>
            <w:tcW w:w="542" w:type="pct"/>
          </w:tcPr>
          <w:p w14:paraId="06F4789C" w14:textId="7C63355F" w:rsidR="00452485" w:rsidRPr="00276BCA" w:rsidRDefault="00452485" w:rsidP="00C306C2">
            <w:pPr>
              <w:pStyle w:val="TableText"/>
              <w:keepNext/>
              <w:keepLines/>
              <w:jc w:val="center"/>
              <w:rPr>
                <w:b/>
              </w:rPr>
            </w:pPr>
            <w:r w:rsidRPr="00276BCA">
              <w:rPr>
                <w:b/>
              </w:rPr>
              <w:t>Median OS, months (95% CI)</w:t>
            </w:r>
          </w:p>
        </w:tc>
        <w:tc>
          <w:tcPr>
            <w:tcW w:w="542" w:type="pct"/>
          </w:tcPr>
          <w:p w14:paraId="1C92AF9B" w14:textId="56A29577" w:rsidR="00452485" w:rsidRPr="00276BCA" w:rsidRDefault="00452485" w:rsidP="00C306C2">
            <w:pPr>
              <w:pStyle w:val="TableText"/>
              <w:keepNext/>
              <w:keepLines/>
              <w:jc w:val="center"/>
              <w:rPr>
                <w:b/>
              </w:rPr>
            </w:pPr>
            <w:r w:rsidRPr="00276BCA">
              <w:rPr>
                <w:b/>
              </w:rPr>
              <w:t>Median FU time, months</w:t>
            </w:r>
            <w:r w:rsidRPr="00276BCA">
              <w:t xml:space="preserve"> </w:t>
            </w:r>
          </w:p>
        </w:tc>
        <w:tc>
          <w:tcPr>
            <w:tcW w:w="510" w:type="pct"/>
            <w:vAlign w:val="bottom"/>
          </w:tcPr>
          <w:p w14:paraId="6BC3A3AE" w14:textId="5B13AAF7" w:rsidR="00452485" w:rsidRPr="00276BCA" w:rsidRDefault="00452485" w:rsidP="00C306C2">
            <w:pPr>
              <w:pStyle w:val="TableText"/>
              <w:keepNext/>
              <w:keepLines/>
              <w:jc w:val="center"/>
              <w:rPr>
                <w:b/>
              </w:rPr>
            </w:pPr>
          </w:p>
        </w:tc>
        <w:tc>
          <w:tcPr>
            <w:tcW w:w="504" w:type="pct"/>
            <w:vAlign w:val="bottom"/>
          </w:tcPr>
          <w:p w14:paraId="4B6B2E17" w14:textId="77777777" w:rsidR="00452485" w:rsidRPr="00276BCA" w:rsidRDefault="00452485" w:rsidP="00C306C2">
            <w:pPr>
              <w:pStyle w:val="TableText"/>
              <w:keepNext/>
              <w:keepLines/>
              <w:jc w:val="center"/>
              <w:rPr>
                <w:b/>
              </w:rPr>
            </w:pPr>
          </w:p>
        </w:tc>
      </w:tr>
      <w:tr w:rsidR="005C536F" w:rsidRPr="00276BCA" w14:paraId="2F6EF568" w14:textId="77777777" w:rsidTr="00C30E3C">
        <w:tc>
          <w:tcPr>
            <w:tcW w:w="735" w:type="pct"/>
          </w:tcPr>
          <w:p w14:paraId="0622C14E" w14:textId="60490A88" w:rsidR="00452485" w:rsidRPr="00276BCA" w:rsidRDefault="08463FE3" w:rsidP="77D89277">
            <w:pPr>
              <w:pStyle w:val="TableText"/>
              <w:keepNext/>
              <w:keepLines/>
              <w:rPr>
                <w:b/>
                <w:bCs/>
                <w:vertAlign w:val="superscript"/>
              </w:rPr>
            </w:pPr>
            <w:proofErr w:type="spellStart"/>
            <w:r w:rsidRPr="00276BCA">
              <w:t>SPOTLIGHT</w:t>
            </w:r>
            <w:r w:rsidRPr="00276BCA">
              <w:rPr>
                <w:b/>
                <w:bCs/>
                <w:vertAlign w:val="superscript"/>
              </w:rPr>
              <w:t>a</w:t>
            </w:r>
            <w:proofErr w:type="spellEnd"/>
          </w:p>
        </w:tc>
        <w:tc>
          <w:tcPr>
            <w:tcW w:w="542" w:type="pct"/>
            <w:vAlign w:val="center"/>
          </w:tcPr>
          <w:p w14:paraId="7E5E7CE9" w14:textId="77777777" w:rsidR="00452485" w:rsidRPr="00276BCA" w:rsidRDefault="00452485" w:rsidP="00C306C2">
            <w:pPr>
              <w:pStyle w:val="TableNumber"/>
              <w:keepNext/>
              <w:keepLines/>
              <w:tabs>
                <w:tab w:val="clear" w:pos="396"/>
                <w:tab w:val="decimal" w:pos="0"/>
              </w:tabs>
            </w:pPr>
            <w:r w:rsidRPr="00276BCA">
              <w:t>197/283 (69.6%)</w:t>
            </w:r>
          </w:p>
        </w:tc>
        <w:tc>
          <w:tcPr>
            <w:tcW w:w="542" w:type="pct"/>
            <w:vAlign w:val="center"/>
          </w:tcPr>
          <w:p w14:paraId="09EB03F7" w14:textId="77777777" w:rsidR="00452485" w:rsidRPr="00276BCA" w:rsidRDefault="00452485" w:rsidP="00C306C2">
            <w:pPr>
              <w:pStyle w:val="TableNumber"/>
              <w:keepNext/>
              <w:keepLines/>
              <w:tabs>
                <w:tab w:val="clear" w:pos="396"/>
                <w:tab w:val="decimal" w:pos="0"/>
              </w:tabs>
            </w:pPr>
            <w:r w:rsidRPr="00276BCA">
              <w:t>18.23</w:t>
            </w:r>
          </w:p>
          <w:p w14:paraId="1803BE06" w14:textId="77777777" w:rsidR="00452485" w:rsidRPr="00276BCA" w:rsidRDefault="00452485" w:rsidP="00C306C2">
            <w:pPr>
              <w:pStyle w:val="TableNumber"/>
              <w:keepNext/>
              <w:keepLines/>
              <w:tabs>
                <w:tab w:val="clear" w:pos="396"/>
                <w:tab w:val="decimal" w:pos="0"/>
              </w:tabs>
            </w:pPr>
            <w:r w:rsidRPr="00276BCA">
              <w:t>(16.13, 20.63)</w:t>
            </w:r>
          </w:p>
        </w:tc>
        <w:tc>
          <w:tcPr>
            <w:tcW w:w="542" w:type="pct"/>
          </w:tcPr>
          <w:p w14:paraId="20D85981" w14:textId="38E32B7A" w:rsidR="00452485" w:rsidRPr="00276BCA" w:rsidRDefault="003C01B6" w:rsidP="00C306C2">
            <w:pPr>
              <w:pStyle w:val="TableNumber"/>
              <w:keepNext/>
              <w:keepLines/>
              <w:tabs>
                <w:tab w:val="clear" w:pos="396"/>
                <w:tab w:val="decimal" w:pos="0"/>
              </w:tabs>
            </w:pPr>
            <w:r w:rsidRPr="00276BCA">
              <w:t>33.28</w:t>
            </w:r>
          </w:p>
        </w:tc>
        <w:tc>
          <w:tcPr>
            <w:tcW w:w="542" w:type="pct"/>
            <w:vAlign w:val="center"/>
          </w:tcPr>
          <w:p w14:paraId="629DB4DC" w14:textId="2211D300" w:rsidR="00452485" w:rsidRPr="00276BCA" w:rsidRDefault="00452485" w:rsidP="00C306C2">
            <w:pPr>
              <w:pStyle w:val="TableNumber"/>
              <w:keepNext/>
              <w:keepLines/>
              <w:tabs>
                <w:tab w:val="clear" w:pos="396"/>
                <w:tab w:val="decimal" w:pos="0"/>
              </w:tabs>
            </w:pPr>
            <w:r w:rsidRPr="00276BCA">
              <w:t>217/282 (77.0%)</w:t>
            </w:r>
          </w:p>
        </w:tc>
        <w:tc>
          <w:tcPr>
            <w:tcW w:w="542" w:type="pct"/>
            <w:vAlign w:val="center"/>
          </w:tcPr>
          <w:p w14:paraId="57303D1A" w14:textId="77777777" w:rsidR="00452485" w:rsidRPr="00276BCA" w:rsidRDefault="00452485" w:rsidP="00C306C2">
            <w:pPr>
              <w:pStyle w:val="TableNumber"/>
              <w:keepNext/>
              <w:keepLines/>
              <w:tabs>
                <w:tab w:val="clear" w:pos="396"/>
                <w:tab w:val="decimal" w:pos="0"/>
              </w:tabs>
            </w:pPr>
            <w:r w:rsidRPr="00276BCA">
              <w:t>15.57</w:t>
            </w:r>
          </w:p>
          <w:p w14:paraId="70A4FED6" w14:textId="77777777" w:rsidR="00452485" w:rsidRPr="00276BCA" w:rsidRDefault="00452485" w:rsidP="00C306C2">
            <w:pPr>
              <w:pStyle w:val="TableNumber"/>
              <w:keepNext/>
              <w:keepLines/>
              <w:tabs>
                <w:tab w:val="clear" w:pos="396"/>
                <w:tab w:val="decimal" w:pos="0"/>
              </w:tabs>
            </w:pPr>
            <w:r w:rsidRPr="00276BCA">
              <w:t>(13.67, 16.92)</w:t>
            </w:r>
          </w:p>
        </w:tc>
        <w:tc>
          <w:tcPr>
            <w:tcW w:w="542" w:type="pct"/>
          </w:tcPr>
          <w:p w14:paraId="67F05BDB" w14:textId="4FE2C5EC" w:rsidR="00452485" w:rsidRPr="00276BCA" w:rsidRDefault="005E1FE4" w:rsidP="00C306C2">
            <w:pPr>
              <w:pStyle w:val="TableNumber"/>
              <w:keepNext/>
              <w:keepLines/>
              <w:tabs>
                <w:tab w:val="clear" w:pos="396"/>
                <w:tab w:val="decimal" w:pos="0"/>
              </w:tabs>
            </w:pPr>
            <w:r w:rsidRPr="00276BCA">
              <w:t>31.38</w:t>
            </w:r>
          </w:p>
        </w:tc>
        <w:tc>
          <w:tcPr>
            <w:tcW w:w="510" w:type="pct"/>
          </w:tcPr>
          <w:p w14:paraId="04D14345" w14:textId="10D574D9" w:rsidR="00452485" w:rsidRPr="00276BCA" w:rsidRDefault="00452485" w:rsidP="00C306C2">
            <w:pPr>
              <w:pStyle w:val="TableNumber"/>
              <w:keepNext/>
              <w:keepLines/>
              <w:tabs>
                <w:tab w:val="clear" w:pos="396"/>
                <w:tab w:val="decimal" w:pos="0"/>
              </w:tabs>
            </w:pPr>
            <w:r w:rsidRPr="00276BCA">
              <w:t>2.66 months</w:t>
            </w:r>
          </w:p>
        </w:tc>
        <w:tc>
          <w:tcPr>
            <w:tcW w:w="504" w:type="pct"/>
          </w:tcPr>
          <w:p w14:paraId="6B0E545A" w14:textId="77777777" w:rsidR="00452485" w:rsidRPr="00276BCA" w:rsidRDefault="00452485" w:rsidP="00C306C2">
            <w:pPr>
              <w:pStyle w:val="TableNumber"/>
              <w:keepNext/>
              <w:keepLines/>
              <w:tabs>
                <w:tab w:val="clear" w:pos="396"/>
                <w:tab w:val="decimal" w:pos="0"/>
              </w:tabs>
              <w:rPr>
                <w:b/>
              </w:rPr>
            </w:pPr>
            <w:r w:rsidRPr="00276BCA">
              <w:rPr>
                <w:b/>
              </w:rPr>
              <w:t>0.78</w:t>
            </w:r>
          </w:p>
          <w:p w14:paraId="1FC6F9EE" w14:textId="77777777" w:rsidR="00452485" w:rsidRPr="00276BCA" w:rsidRDefault="00452485" w:rsidP="00C306C2">
            <w:pPr>
              <w:pStyle w:val="TableNumber"/>
              <w:keepNext/>
              <w:keepLines/>
              <w:tabs>
                <w:tab w:val="clear" w:pos="396"/>
                <w:tab w:val="decimal" w:pos="0"/>
              </w:tabs>
              <w:rPr>
                <w:b/>
              </w:rPr>
            </w:pPr>
            <w:r w:rsidRPr="00276BCA">
              <w:rPr>
                <w:b/>
              </w:rPr>
              <w:t>(0.64, 0.95)</w:t>
            </w:r>
          </w:p>
        </w:tc>
      </w:tr>
      <w:tr w:rsidR="005C536F" w:rsidRPr="00276BCA" w14:paraId="4FFEFDB9" w14:textId="77777777" w:rsidTr="00C30E3C">
        <w:tc>
          <w:tcPr>
            <w:tcW w:w="735" w:type="pct"/>
          </w:tcPr>
          <w:p w14:paraId="4EC9575E" w14:textId="79641B08" w:rsidR="00452485" w:rsidRPr="00276BCA" w:rsidRDefault="08463FE3" w:rsidP="77D89277">
            <w:pPr>
              <w:pStyle w:val="TableText"/>
              <w:keepNext/>
              <w:keepLines/>
              <w:rPr>
                <w:rFonts w:ascii="Times" w:eastAsia="Times New Roman" w:hAnsi="Times" w:cs="Times New Roman"/>
              </w:rPr>
            </w:pPr>
            <w:proofErr w:type="spellStart"/>
            <w:r w:rsidRPr="00276BCA">
              <w:t>GLOW</w:t>
            </w:r>
            <w:r w:rsidRPr="00276BCA">
              <w:rPr>
                <w:b/>
                <w:bCs/>
                <w:vertAlign w:val="superscript"/>
              </w:rPr>
              <w:t>b</w:t>
            </w:r>
            <w:proofErr w:type="spellEnd"/>
          </w:p>
        </w:tc>
        <w:tc>
          <w:tcPr>
            <w:tcW w:w="542" w:type="pct"/>
          </w:tcPr>
          <w:p w14:paraId="1D29A105" w14:textId="77777777" w:rsidR="00452485" w:rsidRPr="00276BCA" w:rsidRDefault="00452485" w:rsidP="00C306C2">
            <w:pPr>
              <w:pStyle w:val="TableNumber"/>
              <w:keepNext/>
              <w:keepLines/>
              <w:tabs>
                <w:tab w:val="clear" w:pos="396"/>
                <w:tab w:val="decimal" w:pos="0"/>
              </w:tabs>
            </w:pPr>
            <w:r w:rsidRPr="00276BCA">
              <w:t>180/254 (70.9%)</w:t>
            </w:r>
          </w:p>
        </w:tc>
        <w:tc>
          <w:tcPr>
            <w:tcW w:w="542" w:type="pct"/>
            <w:vAlign w:val="center"/>
          </w:tcPr>
          <w:p w14:paraId="6112F78F" w14:textId="77777777" w:rsidR="00452485" w:rsidRPr="00276BCA" w:rsidRDefault="00452485" w:rsidP="00C306C2">
            <w:pPr>
              <w:pStyle w:val="TableNumber"/>
              <w:keepNext/>
              <w:keepLines/>
              <w:tabs>
                <w:tab w:val="clear" w:pos="396"/>
                <w:tab w:val="decimal" w:pos="0"/>
                <w:tab w:val="decimal" w:pos="69"/>
              </w:tabs>
            </w:pPr>
            <w:r w:rsidRPr="00276BCA">
              <w:t xml:space="preserve">14.32 </w:t>
            </w:r>
          </w:p>
          <w:p w14:paraId="2FB01260" w14:textId="77777777" w:rsidR="00452485" w:rsidRPr="00276BCA" w:rsidRDefault="00452485" w:rsidP="00C306C2">
            <w:pPr>
              <w:pStyle w:val="TableNumber"/>
              <w:keepNext/>
              <w:keepLines/>
              <w:tabs>
                <w:tab w:val="clear" w:pos="396"/>
                <w:tab w:val="decimal" w:pos="0"/>
                <w:tab w:val="decimal" w:pos="69"/>
              </w:tabs>
            </w:pPr>
            <w:r w:rsidRPr="00276BCA">
              <w:t>(12.09, 16.39)</w:t>
            </w:r>
          </w:p>
        </w:tc>
        <w:tc>
          <w:tcPr>
            <w:tcW w:w="542" w:type="pct"/>
          </w:tcPr>
          <w:p w14:paraId="23725281" w14:textId="66B4B450" w:rsidR="00452485" w:rsidRPr="00276BCA" w:rsidRDefault="00560C7E" w:rsidP="00C306C2">
            <w:pPr>
              <w:pStyle w:val="TableNumber"/>
              <w:keepNext/>
              <w:keepLines/>
              <w:tabs>
                <w:tab w:val="clear" w:pos="396"/>
                <w:tab w:val="decimal" w:pos="0"/>
              </w:tabs>
            </w:pPr>
            <w:r w:rsidRPr="00276BCA">
              <w:t>31.70</w:t>
            </w:r>
          </w:p>
        </w:tc>
        <w:tc>
          <w:tcPr>
            <w:tcW w:w="542" w:type="pct"/>
            <w:vAlign w:val="center"/>
          </w:tcPr>
          <w:p w14:paraId="10BDB628" w14:textId="20C43D59" w:rsidR="00452485" w:rsidRPr="00276BCA" w:rsidRDefault="00452485" w:rsidP="00C306C2">
            <w:pPr>
              <w:pStyle w:val="TableNumber"/>
              <w:keepNext/>
              <w:keepLines/>
              <w:tabs>
                <w:tab w:val="clear" w:pos="396"/>
                <w:tab w:val="decimal" w:pos="0"/>
              </w:tabs>
            </w:pPr>
            <w:r w:rsidRPr="00276BCA">
              <w:t>207/253 (81.8%)</w:t>
            </w:r>
          </w:p>
        </w:tc>
        <w:tc>
          <w:tcPr>
            <w:tcW w:w="542" w:type="pct"/>
            <w:vAlign w:val="center"/>
          </w:tcPr>
          <w:p w14:paraId="5901E8BB" w14:textId="77777777" w:rsidR="00452485" w:rsidRPr="00276BCA" w:rsidRDefault="00452485" w:rsidP="00C306C2">
            <w:pPr>
              <w:pStyle w:val="TableNumber"/>
              <w:keepNext/>
              <w:keepLines/>
              <w:tabs>
                <w:tab w:val="clear" w:pos="396"/>
                <w:tab w:val="decimal" w:pos="0"/>
              </w:tabs>
            </w:pPr>
            <w:r w:rsidRPr="00276BCA">
              <w:t xml:space="preserve">12.16 </w:t>
            </w:r>
          </w:p>
          <w:p w14:paraId="394A43B9" w14:textId="77777777" w:rsidR="00452485" w:rsidRPr="00276BCA" w:rsidRDefault="00452485" w:rsidP="00C306C2">
            <w:pPr>
              <w:pStyle w:val="TableNumber"/>
              <w:keepNext/>
              <w:keepLines/>
              <w:tabs>
                <w:tab w:val="clear" w:pos="396"/>
                <w:tab w:val="decimal" w:pos="0"/>
              </w:tabs>
            </w:pPr>
            <w:r w:rsidRPr="00276BCA">
              <w:t>(10.28, 13.67)</w:t>
            </w:r>
          </w:p>
        </w:tc>
        <w:tc>
          <w:tcPr>
            <w:tcW w:w="542" w:type="pct"/>
          </w:tcPr>
          <w:p w14:paraId="224E67FB" w14:textId="3312CB6E" w:rsidR="00452485" w:rsidRPr="00276BCA" w:rsidRDefault="00AF7D68" w:rsidP="00C306C2">
            <w:pPr>
              <w:pStyle w:val="TableNumber"/>
              <w:keepNext/>
              <w:keepLines/>
              <w:tabs>
                <w:tab w:val="clear" w:pos="396"/>
                <w:tab w:val="decimal" w:pos="0"/>
              </w:tabs>
            </w:pPr>
            <w:r w:rsidRPr="00276BCA">
              <w:t>32.95</w:t>
            </w:r>
          </w:p>
        </w:tc>
        <w:tc>
          <w:tcPr>
            <w:tcW w:w="510" w:type="pct"/>
          </w:tcPr>
          <w:p w14:paraId="7114D85C" w14:textId="5B4FDFED" w:rsidR="00452485" w:rsidRPr="00276BCA" w:rsidRDefault="00452485" w:rsidP="00C306C2">
            <w:pPr>
              <w:pStyle w:val="TableNumber"/>
              <w:keepNext/>
              <w:keepLines/>
              <w:tabs>
                <w:tab w:val="clear" w:pos="396"/>
                <w:tab w:val="decimal" w:pos="0"/>
              </w:tabs>
              <w:rPr>
                <w:rFonts w:ascii="Times" w:eastAsia="Times New Roman" w:hAnsi="Times" w:cs="Times New Roman"/>
              </w:rPr>
            </w:pPr>
            <w:r w:rsidRPr="00276BCA">
              <w:t>2.16 months</w:t>
            </w:r>
          </w:p>
        </w:tc>
        <w:tc>
          <w:tcPr>
            <w:tcW w:w="504" w:type="pct"/>
          </w:tcPr>
          <w:p w14:paraId="47BD3E8D" w14:textId="77777777" w:rsidR="00452485" w:rsidRPr="00276BCA" w:rsidRDefault="00452485" w:rsidP="00C306C2">
            <w:pPr>
              <w:pStyle w:val="TableNumber"/>
              <w:keepNext/>
              <w:keepLines/>
              <w:tabs>
                <w:tab w:val="clear" w:pos="396"/>
                <w:tab w:val="decimal" w:pos="0"/>
              </w:tabs>
              <w:rPr>
                <w:b/>
              </w:rPr>
            </w:pPr>
            <w:r w:rsidRPr="00276BCA">
              <w:rPr>
                <w:b/>
              </w:rPr>
              <w:t xml:space="preserve">0.76 </w:t>
            </w:r>
          </w:p>
          <w:p w14:paraId="42158E40" w14:textId="77777777" w:rsidR="00452485" w:rsidRPr="00276BCA" w:rsidRDefault="00452485" w:rsidP="00C306C2">
            <w:pPr>
              <w:pStyle w:val="TableNumber"/>
              <w:keepNext/>
              <w:keepLines/>
              <w:tabs>
                <w:tab w:val="clear" w:pos="396"/>
                <w:tab w:val="decimal" w:pos="0"/>
              </w:tabs>
              <w:rPr>
                <w:b/>
              </w:rPr>
            </w:pPr>
            <w:r w:rsidRPr="00276BCA">
              <w:rPr>
                <w:b/>
              </w:rPr>
              <w:t>(0.62, 0.94)</w:t>
            </w:r>
          </w:p>
        </w:tc>
      </w:tr>
      <w:tr w:rsidR="005C536F" w:rsidRPr="00276BCA" w14:paraId="0D713FB0" w14:textId="77777777" w:rsidTr="00C30E3C">
        <w:trPr>
          <w:trHeight w:val="179"/>
        </w:trPr>
        <w:tc>
          <w:tcPr>
            <w:tcW w:w="735" w:type="pct"/>
          </w:tcPr>
          <w:p w14:paraId="04587F32" w14:textId="77777777" w:rsidR="00791748" w:rsidRPr="00276BCA" w:rsidRDefault="00791748" w:rsidP="00C306C2">
            <w:pPr>
              <w:pStyle w:val="TableText"/>
              <w:keepNext/>
              <w:keepLines/>
              <w:rPr>
                <w:b/>
              </w:rPr>
            </w:pPr>
            <w:r w:rsidRPr="00276BCA">
              <w:rPr>
                <w:b/>
              </w:rPr>
              <w:t xml:space="preserve">Nivolumab </w:t>
            </w:r>
          </w:p>
          <w:p w14:paraId="52146499" w14:textId="6E657C93" w:rsidR="00791748" w:rsidRPr="00276BCA" w:rsidRDefault="00791748" w:rsidP="00C306C2">
            <w:pPr>
              <w:pStyle w:val="TableText"/>
              <w:keepNext/>
              <w:keepLines/>
            </w:pPr>
            <w:r w:rsidRPr="00276BCA">
              <w:rPr>
                <w:b/>
              </w:rPr>
              <w:t>Trials</w:t>
            </w:r>
          </w:p>
        </w:tc>
        <w:tc>
          <w:tcPr>
            <w:tcW w:w="1625" w:type="pct"/>
            <w:gridSpan w:val="3"/>
          </w:tcPr>
          <w:p w14:paraId="2024EFC8" w14:textId="077501DA" w:rsidR="00791748" w:rsidRPr="00276BCA" w:rsidRDefault="00791748" w:rsidP="00C306C2">
            <w:pPr>
              <w:pStyle w:val="TableNumber"/>
              <w:keepNext/>
              <w:keepLines/>
              <w:rPr>
                <w:b/>
              </w:rPr>
            </w:pPr>
            <w:r w:rsidRPr="00276BCA">
              <w:rPr>
                <w:b/>
              </w:rPr>
              <w:t>Nivolumab + chemotherapy</w:t>
            </w:r>
          </w:p>
        </w:tc>
        <w:tc>
          <w:tcPr>
            <w:tcW w:w="1625" w:type="pct"/>
            <w:gridSpan w:val="3"/>
          </w:tcPr>
          <w:p w14:paraId="30611752" w14:textId="2C770AA2" w:rsidR="00791748" w:rsidRPr="00276BCA" w:rsidRDefault="00791748" w:rsidP="00C306C2">
            <w:pPr>
              <w:pStyle w:val="TableNumber"/>
              <w:keepNext/>
              <w:keepLines/>
              <w:rPr>
                <w:b/>
              </w:rPr>
            </w:pPr>
            <w:r w:rsidRPr="00276BCA">
              <w:rPr>
                <w:b/>
              </w:rPr>
              <w:t>Placebo + chemotherapy</w:t>
            </w:r>
          </w:p>
        </w:tc>
        <w:tc>
          <w:tcPr>
            <w:tcW w:w="510" w:type="pct"/>
          </w:tcPr>
          <w:p w14:paraId="045DBE25" w14:textId="485E2558" w:rsidR="00791748" w:rsidRPr="00276BCA" w:rsidRDefault="00791748" w:rsidP="00C306C2">
            <w:pPr>
              <w:pStyle w:val="TableNumber"/>
              <w:keepNext/>
              <w:keepLines/>
            </w:pPr>
            <w:r w:rsidRPr="00276BCA">
              <w:rPr>
                <w:b/>
              </w:rPr>
              <w:t>Absolute diff. in median</w:t>
            </w:r>
          </w:p>
        </w:tc>
        <w:tc>
          <w:tcPr>
            <w:tcW w:w="504" w:type="pct"/>
          </w:tcPr>
          <w:p w14:paraId="1B5455EE" w14:textId="77777777" w:rsidR="00791748" w:rsidRPr="00276BCA" w:rsidRDefault="00791748" w:rsidP="00C306C2">
            <w:pPr>
              <w:pStyle w:val="TableNumber"/>
              <w:keepNext/>
              <w:keepLines/>
            </w:pPr>
            <w:r w:rsidRPr="00276BCA">
              <w:rPr>
                <w:b/>
              </w:rPr>
              <w:t>Hazard ratio (95% CI)</w:t>
            </w:r>
          </w:p>
        </w:tc>
      </w:tr>
      <w:tr w:rsidR="005C536F" w:rsidRPr="00276BCA" w14:paraId="61B08214" w14:textId="77777777" w:rsidTr="00C30E3C">
        <w:trPr>
          <w:trHeight w:val="448"/>
        </w:trPr>
        <w:tc>
          <w:tcPr>
            <w:tcW w:w="735" w:type="pct"/>
            <w:vAlign w:val="bottom"/>
          </w:tcPr>
          <w:p w14:paraId="4CA50D91" w14:textId="77777777" w:rsidR="00452485" w:rsidRPr="00276BCA" w:rsidRDefault="00452485" w:rsidP="00C306C2">
            <w:pPr>
              <w:pStyle w:val="TableText"/>
              <w:keepNext/>
              <w:keepLines/>
              <w:rPr>
                <w:b/>
              </w:rPr>
            </w:pPr>
          </w:p>
        </w:tc>
        <w:tc>
          <w:tcPr>
            <w:tcW w:w="542" w:type="pct"/>
          </w:tcPr>
          <w:p w14:paraId="73064A37" w14:textId="77777777" w:rsidR="00452485" w:rsidRPr="00276BCA" w:rsidRDefault="00452485" w:rsidP="00C306C2">
            <w:pPr>
              <w:pStyle w:val="TableNumber"/>
              <w:keepNext/>
              <w:keepLines/>
              <w:rPr>
                <w:b/>
              </w:rPr>
            </w:pPr>
            <w:r w:rsidRPr="00276BCA">
              <w:rPr>
                <w:b/>
              </w:rPr>
              <w:t>n with event / N (%)</w:t>
            </w:r>
          </w:p>
        </w:tc>
        <w:tc>
          <w:tcPr>
            <w:tcW w:w="542" w:type="pct"/>
          </w:tcPr>
          <w:p w14:paraId="535A1851" w14:textId="77777777" w:rsidR="00452485" w:rsidRPr="00276BCA" w:rsidRDefault="00452485" w:rsidP="00C306C2">
            <w:pPr>
              <w:pStyle w:val="TableNumber"/>
              <w:keepNext/>
              <w:keepLines/>
              <w:rPr>
                <w:b/>
              </w:rPr>
            </w:pPr>
            <w:r w:rsidRPr="00276BCA">
              <w:rPr>
                <w:b/>
              </w:rPr>
              <w:t>Median OS (months)</w:t>
            </w:r>
          </w:p>
        </w:tc>
        <w:tc>
          <w:tcPr>
            <w:tcW w:w="542" w:type="pct"/>
          </w:tcPr>
          <w:p w14:paraId="10321518" w14:textId="075AB803" w:rsidR="00452485" w:rsidRPr="00276BCA" w:rsidRDefault="00452485" w:rsidP="00C306C2">
            <w:pPr>
              <w:pStyle w:val="TableNumber"/>
              <w:keepNext/>
              <w:keepLines/>
              <w:rPr>
                <w:b/>
              </w:rPr>
            </w:pPr>
            <w:r w:rsidRPr="00276BCA">
              <w:rPr>
                <w:b/>
              </w:rPr>
              <w:t>Median FU time, months</w:t>
            </w:r>
            <w:r w:rsidRPr="00276BCA">
              <w:t xml:space="preserve"> </w:t>
            </w:r>
          </w:p>
        </w:tc>
        <w:tc>
          <w:tcPr>
            <w:tcW w:w="542" w:type="pct"/>
          </w:tcPr>
          <w:p w14:paraId="4263AA7A" w14:textId="1562F3DD" w:rsidR="00452485" w:rsidRPr="00276BCA" w:rsidRDefault="00452485" w:rsidP="00C306C2">
            <w:pPr>
              <w:pStyle w:val="TableNumber"/>
              <w:keepNext/>
              <w:keepLines/>
              <w:rPr>
                <w:b/>
              </w:rPr>
            </w:pPr>
            <w:r w:rsidRPr="00276BCA">
              <w:rPr>
                <w:b/>
              </w:rPr>
              <w:t>n with event / N (%)</w:t>
            </w:r>
          </w:p>
        </w:tc>
        <w:tc>
          <w:tcPr>
            <w:tcW w:w="542" w:type="pct"/>
          </w:tcPr>
          <w:p w14:paraId="048FD600" w14:textId="77777777" w:rsidR="00452485" w:rsidRPr="00276BCA" w:rsidRDefault="00452485" w:rsidP="00C306C2">
            <w:pPr>
              <w:pStyle w:val="TableNumber"/>
              <w:keepNext/>
              <w:keepLines/>
              <w:rPr>
                <w:b/>
              </w:rPr>
            </w:pPr>
            <w:r w:rsidRPr="00276BCA">
              <w:rPr>
                <w:b/>
              </w:rPr>
              <w:t>Median OS (months)</w:t>
            </w:r>
          </w:p>
        </w:tc>
        <w:tc>
          <w:tcPr>
            <w:tcW w:w="542" w:type="pct"/>
          </w:tcPr>
          <w:p w14:paraId="58AC9C5C" w14:textId="5B5069BF" w:rsidR="00452485" w:rsidRPr="00276BCA" w:rsidRDefault="00452485" w:rsidP="00C306C2">
            <w:pPr>
              <w:pStyle w:val="TableNumber"/>
              <w:keepNext/>
              <w:keepLines/>
              <w:rPr>
                <w:b/>
              </w:rPr>
            </w:pPr>
            <w:r w:rsidRPr="00276BCA">
              <w:rPr>
                <w:b/>
              </w:rPr>
              <w:t>Median FU time, months</w:t>
            </w:r>
            <w:r w:rsidRPr="00276BCA">
              <w:t xml:space="preserve"> </w:t>
            </w:r>
          </w:p>
        </w:tc>
        <w:tc>
          <w:tcPr>
            <w:tcW w:w="510" w:type="pct"/>
            <w:vAlign w:val="bottom"/>
          </w:tcPr>
          <w:p w14:paraId="1D118303" w14:textId="5209AFDD" w:rsidR="00452485" w:rsidRPr="00276BCA" w:rsidRDefault="00452485" w:rsidP="00C306C2">
            <w:pPr>
              <w:pStyle w:val="TableNumber"/>
              <w:keepNext/>
              <w:keepLines/>
              <w:rPr>
                <w:b/>
              </w:rPr>
            </w:pPr>
          </w:p>
        </w:tc>
        <w:tc>
          <w:tcPr>
            <w:tcW w:w="504" w:type="pct"/>
            <w:vAlign w:val="bottom"/>
          </w:tcPr>
          <w:p w14:paraId="43DBC8BB" w14:textId="77777777" w:rsidR="00452485" w:rsidRPr="00276BCA" w:rsidRDefault="00452485" w:rsidP="00C306C2">
            <w:pPr>
              <w:pStyle w:val="TableNumber"/>
              <w:keepNext/>
              <w:keepLines/>
              <w:rPr>
                <w:b/>
              </w:rPr>
            </w:pPr>
          </w:p>
        </w:tc>
      </w:tr>
      <w:tr w:rsidR="005C536F" w:rsidRPr="00276BCA" w14:paraId="614B1F4E" w14:textId="77777777" w:rsidTr="00C30E3C">
        <w:tc>
          <w:tcPr>
            <w:tcW w:w="735" w:type="pct"/>
          </w:tcPr>
          <w:p w14:paraId="4B7B126E" w14:textId="5F1D0531" w:rsidR="00452485" w:rsidRPr="00276BCA" w:rsidRDefault="08463FE3" w:rsidP="77D89277">
            <w:pPr>
              <w:pStyle w:val="TableText"/>
              <w:keepNext/>
              <w:keepLines/>
            </w:pPr>
            <w:proofErr w:type="spellStart"/>
            <w:r w:rsidRPr="00276BCA">
              <w:t>CheckMate</w:t>
            </w:r>
            <w:proofErr w:type="spellEnd"/>
            <w:r w:rsidRPr="00276BCA">
              <w:t xml:space="preserve"> 649</w:t>
            </w:r>
            <w:r w:rsidRPr="00276BCA">
              <w:rPr>
                <w:b/>
                <w:bCs/>
                <w:vertAlign w:val="superscript"/>
              </w:rPr>
              <w:t>c</w:t>
            </w:r>
          </w:p>
        </w:tc>
        <w:tc>
          <w:tcPr>
            <w:tcW w:w="542" w:type="pct"/>
          </w:tcPr>
          <w:p w14:paraId="4B7EE5A5" w14:textId="77777777" w:rsidR="00452485" w:rsidRPr="00276BCA" w:rsidRDefault="00452485" w:rsidP="00C306C2">
            <w:pPr>
              <w:pStyle w:val="TableNumber"/>
              <w:keepNext/>
              <w:keepLines/>
              <w:tabs>
                <w:tab w:val="clear" w:pos="396"/>
                <w:tab w:val="decimal" w:pos="0"/>
              </w:tabs>
            </w:pPr>
            <w:r w:rsidRPr="00276BCA">
              <w:t>544/789 (68.9%)</w:t>
            </w:r>
          </w:p>
        </w:tc>
        <w:tc>
          <w:tcPr>
            <w:tcW w:w="542" w:type="pct"/>
          </w:tcPr>
          <w:p w14:paraId="5E3CC30E" w14:textId="77777777" w:rsidR="00452485" w:rsidRPr="00276BCA" w:rsidRDefault="00452485" w:rsidP="00C306C2">
            <w:pPr>
              <w:pStyle w:val="TableNumber"/>
              <w:keepNext/>
              <w:keepLines/>
              <w:tabs>
                <w:tab w:val="decimal" w:pos="0"/>
              </w:tabs>
            </w:pPr>
            <w:r w:rsidRPr="00276BCA">
              <w:t>13.83</w:t>
            </w:r>
          </w:p>
          <w:p w14:paraId="5C13E14D" w14:textId="77777777" w:rsidR="00452485" w:rsidRPr="00276BCA" w:rsidRDefault="00452485" w:rsidP="00C306C2">
            <w:pPr>
              <w:pStyle w:val="TableNumber"/>
              <w:keepNext/>
              <w:keepLines/>
              <w:tabs>
                <w:tab w:val="clear" w:pos="396"/>
                <w:tab w:val="decimal" w:pos="0"/>
              </w:tabs>
            </w:pPr>
            <w:r w:rsidRPr="00276BCA">
              <w:t>(12.55, 14.55)</w:t>
            </w:r>
          </w:p>
        </w:tc>
        <w:tc>
          <w:tcPr>
            <w:tcW w:w="542" w:type="pct"/>
          </w:tcPr>
          <w:p w14:paraId="7E47C1D0" w14:textId="68DB5ABC" w:rsidR="00452485" w:rsidRPr="00276BCA" w:rsidRDefault="000E0062" w:rsidP="00C306C2">
            <w:pPr>
              <w:pStyle w:val="TableNumber"/>
              <w:keepNext/>
              <w:keepLines/>
              <w:tabs>
                <w:tab w:val="clear" w:pos="396"/>
                <w:tab w:val="decimal" w:pos="0"/>
              </w:tabs>
            </w:pPr>
            <w:r w:rsidRPr="00276BCA">
              <w:t>13.1</w:t>
            </w:r>
          </w:p>
        </w:tc>
        <w:tc>
          <w:tcPr>
            <w:tcW w:w="542" w:type="pct"/>
          </w:tcPr>
          <w:p w14:paraId="01B7326D" w14:textId="359DB579" w:rsidR="00452485" w:rsidRPr="00276BCA" w:rsidRDefault="00452485" w:rsidP="00C306C2">
            <w:pPr>
              <w:pStyle w:val="TableNumber"/>
              <w:keepNext/>
              <w:keepLines/>
              <w:tabs>
                <w:tab w:val="clear" w:pos="396"/>
                <w:tab w:val="decimal" w:pos="0"/>
              </w:tabs>
            </w:pPr>
            <w:r w:rsidRPr="00276BCA">
              <w:t>591/792 (74.6%)</w:t>
            </w:r>
          </w:p>
        </w:tc>
        <w:tc>
          <w:tcPr>
            <w:tcW w:w="542" w:type="pct"/>
          </w:tcPr>
          <w:p w14:paraId="6C161ED7" w14:textId="77777777" w:rsidR="00452485" w:rsidRPr="00276BCA" w:rsidRDefault="00452485" w:rsidP="00C306C2">
            <w:pPr>
              <w:pStyle w:val="TableNumber"/>
              <w:keepNext/>
              <w:keepLines/>
              <w:tabs>
                <w:tab w:val="decimal" w:pos="0"/>
              </w:tabs>
            </w:pPr>
            <w:r w:rsidRPr="00276BCA">
              <w:t>11.56</w:t>
            </w:r>
          </w:p>
          <w:p w14:paraId="27AA147F" w14:textId="77777777" w:rsidR="00452485" w:rsidRPr="00276BCA" w:rsidRDefault="00452485" w:rsidP="00C306C2">
            <w:pPr>
              <w:pStyle w:val="TableNumber"/>
              <w:keepNext/>
              <w:keepLines/>
              <w:tabs>
                <w:tab w:val="clear" w:pos="396"/>
                <w:tab w:val="decimal" w:pos="0"/>
              </w:tabs>
            </w:pPr>
            <w:r w:rsidRPr="00276BCA">
              <w:t>(10.87, 12.48)</w:t>
            </w:r>
          </w:p>
        </w:tc>
        <w:tc>
          <w:tcPr>
            <w:tcW w:w="542" w:type="pct"/>
          </w:tcPr>
          <w:p w14:paraId="4E3730AF" w14:textId="72A06341" w:rsidR="00452485" w:rsidRPr="00276BCA" w:rsidRDefault="000E0062" w:rsidP="00C306C2">
            <w:pPr>
              <w:pStyle w:val="TableNumber"/>
              <w:keepNext/>
              <w:keepLines/>
              <w:tabs>
                <w:tab w:val="clear" w:pos="396"/>
                <w:tab w:val="decimal" w:pos="0"/>
              </w:tabs>
            </w:pPr>
            <w:r w:rsidRPr="00276BCA">
              <w:t>11.1</w:t>
            </w:r>
          </w:p>
        </w:tc>
        <w:tc>
          <w:tcPr>
            <w:tcW w:w="510" w:type="pct"/>
          </w:tcPr>
          <w:p w14:paraId="42E11664" w14:textId="3E9DFE72" w:rsidR="00452485" w:rsidRPr="00276BCA" w:rsidRDefault="00452485" w:rsidP="00C306C2">
            <w:pPr>
              <w:pStyle w:val="TableNumber"/>
              <w:keepNext/>
              <w:keepLines/>
              <w:tabs>
                <w:tab w:val="clear" w:pos="396"/>
                <w:tab w:val="decimal" w:pos="0"/>
              </w:tabs>
            </w:pPr>
            <w:r w:rsidRPr="00276BCA">
              <w:t>2.27 months</w:t>
            </w:r>
          </w:p>
        </w:tc>
        <w:tc>
          <w:tcPr>
            <w:tcW w:w="504" w:type="pct"/>
          </w:tcPr>
          <w:p w14:paraId="5024D464" w14:textId="77777777" w:rsidR="00452485" w:rsidRPr="00276BCA" w:rsidRDefault="00452485" w:rsidP="00C306C2">
            <w:pPr>
              <w:pStyle w:val="TableNumber"/>
              <w:keepNext/>
              <w:keepLines/>
              <w:tabs>
                <w:tab w:val="clear" w:pos="396"/>
                <w:tab w:val="decimal" w:pos="0"/>
              </w:tabs>
              <w:rPr>
                <w:b/>
              </w:rPr>
            </w:pPr>
            <w:r w:rsidRPr="00276BCA">
              <w:rPr>
                <w:b/>
              </w:rPr>
              <w:t xml:space="preserve">0.80 </w:t>
            </w:r>
          </w:p>
          <w:p w14:paraId="2FF4E6E8" w14:textId="77777777" w:rsidR="00452485" w:rsidRPr="00276BCA" w:rsidRDefault="00452485" w:rsidP="00C306C2">
            <w:pPr>
              <w:pStyle w:val="TableNumber"/>
              <w:keepNext/>
              <w:keepLines/>
              <w:tabs>
                <w:tab w:val="clear" w:pos="396"/>
                <w:tab w:val="decimal" w:pos="0"/>
              </w:tabs>
            </w:pPr>
            <w:r w:rsidRPr="00276BCA">
              <w:rPr>
                <w:b/>
              </w:rPr>
              <w:t>(0.68, 0.94)</w:t>
            </w:r>
          </w:p>
        </w:tc>
      </w:tr>
      <w:tr w:rsidR="005C536F" w:rsidRPr="00276BCA" w14:paraId="4B755C80" w14:textId="77777777" w:rsidTr="00C30E3C">
        <w:tc>
          <w:tcPr>
            <w:tcW w:w="735" w:type="pct"/>
          </w:tcPr>
          <w:p w14:paraId="19FCE90D" w14:textId="3E74A364" w:rsidR="00452485" w:rsidRPr="00276BCA" w:rsidRDefault="00452485" w:rsidP="00C306C2">
            <w:pPr>
              <w:pStyle w:val="TableText"/>
              <w:keepNext/>
              <w:keepLines/>
            </w:pPr>
            <w:r w:rsidRPr="00276BCA">
              <w:t>ATTRACTION-4</w:t>
            </w:r>
            <w:r w:rsidRPr="00276BCA">
              <w:rPr>
                <w:b/>
                <w:vertAlign w:val="superscript"/>
              </w:rPr>
              <w:t>d</w:t>
            </w:r>
          </w:p>
        </w:tc>
        <w:tc>
          <w:tcPr>
            <w:tcW w:w="542" w:type="pct"/>
          </w:tcPr>
          <w:p w14:paraId="168558EA" w14:textId="77777777" w:rsidR="00452485" w:rsidRPr="00276BCA" w:rsidRDefault="00452485" w:rsidP="00C306C2">
            <w:pPr>
              <w:pStyle w:val="TableNumber"/>
              <w:keepNext/>
              <w:keepLines/>
              <w:tabs>
                <w:tab w:val="clear" w:pos="396"/>
                <w:tab w:val="decimal" w:pos="0"/>
              </w:tabs>
            </w:pPr>
            <w:r w:rsidRPr="00276BCA">
              <w:t>230/362 (63.5%)</w:t>
            </w:r>
          </w:p>
        </w:tc>
        <w:tc>
          <w:tcPr>
            <w:tcW w:w="542" w:type="pct"/>
          </w:tcPr>
          <w:p w14:paraId="14B0BD89" w14:textId="77777777" w:rsidR="00452485" w:rsidRPr="00276BCA" w:rsidRDefault="00452485" w:rsidP="00C306C2">
            <w:pPr>
              <w:pStyle w:val="TableNumber"/>
              <w:keepNext/>
              <w:keepLines/>
              <w:tabs>
                <w:tab w:val="clear" w:pos="396"/>
                <w:tab w:val="decimal" w:pos="0"/>
              </w:tabs>
            </w:pPr>
            <w:r w:rsidRPr="00276BCA">
              <w:t xml:space="preserve">17.45 </w:t>
            </w:r>
          </w:p>
          <w:p w14:paraId="5B63F0E8" w14:textId="77777777" w:rsidR="00452485" w:rsidRPr="00276BCA" w:rsidRDefault="00452485" w:rsidP="00C306C2">
            <w:pPr>
              <w:pStyle w:val="TableNumber"/>
              <w:keepNext/>
              <w:keepLines/>
              <w:tabs>
                <w:tab w:val="clear" w:pos="396"/>
                <w:tab w:val="decimal" w:pos="0"/>
              </w:tabs>
            </w:pPr>
            <w:r w:rsidRPr="00276BCA">
              <w:t>(15.67, 20.83)</w:t>
            </w:r>
          </w:p>
        </w:tc>
        <w:tc>
          <w:tcPr>
            <w:tcW w:w="542" w:type="pct"/>
          </w:tcPr>
          <w:p w14:paraId="5FBA4CDB" w14:textId="3A4726D5" w:rsidR="00452485" w:rsidRPr="00276BCA" w:rsidRDefault="001D5E81" w:rsidP="00C306C2">
            <w:pPr>
              <w:pStyle w:val="TableNumber"/>
              <w:keepNext/>
              <w:keepLines/>
              <w:tabs>
                <w:tab w:val="clear" w:pos="396"/>
                <w:tab w:val="decimal" w:pos="0"/>
              </w:tabs>
            </w:pPr>
            <w:r w:rsidRPr="00276BCA">
              <w:t>26.6</w:t>
            </w:r>
          </w:p>
        </w:tc>
        <w:tc>
          <w:tcPr>
            <w:tcW w:w="542" w:type="pct"/>
          </w:tcPr>
          <w:p w14:paraId="241DE0B4" w14:textId="6233290A" w:rsidR="00452485" w:rsidRPr="00276BCA" w:rsidRDefault="00452485" w:rsidP="00C306C2">
            <w:pPr>
              <w:pStyle w:val="TableNumber"/>
              <w:keepNext/>
              <w:keepLines/>
              <w:tabs>
                <w:tab w:val="clear" w:pos="396"/>
                <w:tab w:val="decimal" w:pos="0"/>
              </w:tabs>
            </w:pPr>
            <w:r w:rsidRPr="00276BCA">
              <w:t>245/362 (67.7%)</w:t>
            </w:r>
          </w:p>
        </w:tc>
        <w:tc>
          <w:tcPr>
            <w:tcW w:w="542" w:type="pct"/>
          </w:tcPr>
          <w:p w14:paraId="29422CDD" w14:textId="77777777" w:rsidR="00452485" w:rsidRPr="00276BCA" w:rsidRDefault="00452485" w:rsidP="00C306C2">
            <w:pPr>
              <w:pStyle w:val="TableNumber"/>
              <w:keepNext/>
              <w:keepLines/>
              <w:tabs>
                <w:tab w:val="clear" w:pos="396"/>
                <w:tab w:val="decimal" w:pos="0"/>
              </w:tabs>
            </w:pPr>
            <w:r w:rsidRPr="00276BCA">
              <w:t>17.15 (15.18, 19.65</w:t>
            </w:r>
          </w:p>
        </w:tc>
        <w:tc>
          <w:tcPr>
            <w:tcW w:w="542" w:type="pct"/>
          </w:tcPr>
          <w:p w14:paraId="7E209E41" w14:textId="49DC46F3" w:rsidR="001D5E81" w:rsidRPr="00276BCA" w:rsidRDefault="001D5E81" w:rsidP="00C306C2">
            <w:pPr>
              <w:pStyle w:val="TableNumber"/>
              <w:keepNext/>
              <w:keepLines/>
              <w:tabs>
                <w:tab w:val="clear" w:pos="396"/>
                <w:tab w:val="decimal" w:pos="0"/>
              </w:tabs>
            </w:pPr>
            <w:r w:rsidRPr="00276BCA">
              <w:t>26</w:t>
            </w:r>
            <w:r w:rsidR="00301B72" w:rsidRPr="00276BCA">
              <w:t>.6</w:t>
            </w:r>
          </w:p>
        </w:tc>
        <w:tc>
          <w:tcPr>
            <w:tcW w:w="510" w:type="pct"/>
          </w:tcPr>
          <w:p w14:paraId="6ABFDB19" w14:textId="263FF181" w:rsidR="00452485" w:rsidRPr="00276BCA" w:rsidRDefault="00452485" w:rsidP="00C306C2">
            <w:pPr>
              <w:pStyle w:val="TableNumber"/>
              <w:keepNext/>
              <w:keepLines/>
              <w:tabs>
                <w:tab w:val="clear" w:pos="396"/>
                <w:tab w:val="decimal" w:pos="0"/>
              </w:tabs>
            </w:pPr>
            <w:r w:rsidRPr="00276BCA">
              <w:t>0.3 months</w:t>
            </w:r>
          </w:p>
        </w:tc>
        <w:tc>
          <w:tcPr>
            <w:tcW w:w="504" w:type="pct"/>
          </w:tcPr>
          <w:p w14:paraId="5D452C7D" w14:textId="77777777" w:rsidR="00452485" w:rsidRPr="00276BCA" w:rsidRDefault="00452485" w:rsidP="00C306C2">
            <w:pPr>
              <w:pStyle w:val="TableNumber"/>
              <w:keepNext/>
              <w:keepLines/>
              <w:tabs>
                <w:tab w:val="clear" w:pos="396"/>
                <w:tab w:val="decimal" w:pos="0"/>
              </w:tabs>
            </w:pPr>
            <w:r w:rsidRPr="00276BCA">
              <w:t xml:space="preserve">0.90 </w:t>
            </w:r>
          </w:p>
          <w:p w14:paraId="41C8B284" w14:textId="77777777" w:rsidR="00452485" w:rsidRPr="00276BCA" w:rsidRDefault="00452485" w:rsidP="00C306C2">
            <w:pPr>
              <w:pStyle w:val="TableNumber"/>
              <w:keepNext/>
              <w:keepLines/>
              <w:tabs>
                <w:tab w:val="clear" w:pos="396"/>
                <w:tab w:val="decimal" w:pos="0"/>
              </w:tabs>
              <w:rPr>
                <w:b/>
              </w:rPr>
            </w:pPr>
            <w:r w:rsidRPr="00276BCA">
              <w:t>(0.75, 1.08)</w:t>
            </w:r>
          </w:p>
        </w:tc>
      </w:tr>
    </w:tbl>
    <w:p w14:paraId="706A7F93" w14:textId="739F4A90" w:rsidR="008019C0" w:rsidRPr="00276BCA" w:rsidRDefault="008019C0" w:rsidP="00C306C2">
      <w:pPr>
        <w:pStyle w:val="TableFooter"/>
        <w:keepNext/>
        <w:keepLines/>
      </w:pPr>
      <w:r w:rsidRPr="00276BCA">
        <w:t xml:space="preserve">Source: </w:t>
      </w:r>
      <w:r w:rsidR="009A0A50" w:rsidRPr="00276BCA">
        <w:t xml:space="preserve">compiled during the evaluation from </w:t>
      </w:r>
      <w:r w:rsidRPr="00276BCA">
        <w:t xml:space="preserve">Table 2-23, p102 of the submission, </w:t>
      </w:r>
      <w:r w:rsidR="009A0A50" w:rsidRPr="00276BCA">
        <w:t xml:space="preserve">and </w:t>
      </w:r>
      <w:r w:rsidRPr="00276BCA">
        <w:t xml:space="preserve">Table 4, p10 of Nivolumab PSD November 2021 PBAC Meeting; p240 of Kang et al. (2022) </w:t>
      </w:r>
    </w:p>
    <w:p w14:paraId="40AD2BE1" w14:textId="18BC7357" w:rsidR="008019C0" w:rsidRPr="00276BCA" w:rsidRDefault="008019C0" w:rsidP="00C306C2">
      <w:pPr>
        <w:pStyle w:val="TableFooter"/>
        <w:keepNext/>
        <w:keepLines/>
      </w:pPr>
      <w:r w:rsidRPr="00276BCA">
        <w:rPr>
          <w:rFonts w:eastAsia="Calibri"/>
        </w:rPr>
        <w:t>CI = confidence interval;</w:t>
      </w:r>
      <w:r w:rsidR="0079377D" w:rsidRPr="00276BCA">
        <w:rPr>
          <w:rFonts w:eastAsia="Calibri"/>
        </w:rPr>
        <w:t xml:space="preserve"> diff. = difference;</w:t>
      </w:r>
      <w:r w:rsidRPr="00276BCA">
        <w:rPr>
          <w:rFonts w:eastAsia="Calibri"/>
        </w:rPr>
        <w:t xml:space="preserve"> </w:t>
      </w:r>
      <w:r w:rsidR="00285886" w:rsidRPr="00276BCA">
        <w:rPr>
          <w:rFonts w:eastAsia="Calibri"/>
        </w:rPr>
        <w:t xml:space="preserve">FU = follow-up; </w:t>
      </w:r>
      <w:r w:rsidRPr="00276BCA">
        <w:rPr>
          <w:rFonts w:eastAsia="Calibri"/>
        </w:rPr>
        <w:t>n = number of participants reporting data; N = total participants in group</w:t>
      </w:r>
      <w:r w:rsidRPr="00276BCA">
        <w:t xml:space="preserve">; OS = overall survival. </w:t>
      </w:r>
    </w:p>
    <w:p w14:paraId="4E792BC8" w14:textId="4289B000" w:rsidR="008019C0" w:rsidRPr="00276BCA" w:rsidRDefault="6E3E7E15" w:rsidP="00C306C2">
      <w:pPr>
        <w:pStyle w:val="TableFooter"/>
        <w:keepNext/>
        <w:keepLines/>
      </w:pPr>
      <w:r w:rsidRPr="00276BCA">
        <w:rPr>
          <w:b/>
          <w:bCs/>
        </w:rPr>
        <w:t>Bold</w:t>
      </w:r>
      <w:r w:rsidRPr="00276BCA">
        <w:t xml:space="preserve"> indicates statistical significance.</w:t>
      </w:r>
    </w:p>
    <w:p w14:paraId="199177B8" w14:textId="77777777" w:rsidR="008019C0" w:rsidRPr="00276BCA" w:rsidRDefault="008019C0" w:rsidP="00C306C2">
      <w:pPr>
        <w:pStyle w:val="TableFooter"/>
        <w:keepNext/>
        <w:keepLines/>
      </w:pPr>
      <w:r w:rsidRPr="00276BCA">
        <w:t>Italics added results from Nivolumab trials during evaluation.</w:t>
      </w:r>
    </w:p>
    <w:p w14:paraId="7CAA7C12" w14:textId="4A66436D" w:rsidR="008019C0" w:rsidRPr="00276BCA" w:rsidRDefault="008019C0" w:rsidP="00C306C2">
      <w:pPr>
        <w:pStyle w:val="TableFooter"/>
        <w:keepNext/>
        <w:keepLines/>
      </w:pPr>
      <w:r w:rsidRPr="00276BCA">
        <w:rPr>
          <w:vertAlign w:val="superscript"/>
        </w:rPr>
        <w:t>a</w:t>
      </w:r>
      <w:r w:rsidRPr="00276BCA">
        <w:t xml:space="preserve"> Patients received mFOLFOX</w:t>
      </w:r>
      <w:r w:rsidR="002C766E" w:rsidRPr="00276BCA">
        <w:t>6</w:t>
      </w:r>
      <w:r w:rsidRPr="00276BCA">
        <w:t xml:space="preserve"> chemotherapy in SPOTLIGHT trial.</w:t>
      </w:r>
    </w:p>
    <w:p w14:paraId="3366C184" w14:textId="77777777" w:rsidR="008019C0" w:rsidRPr="00276BCA" w:rsidRDefault="008019C0" w:rsidP="00C306C2">
      <w:pPr>
        <w:pStyle w:val="TableFooter"/>
        <w:keepNext/>
        <w:keepLines/>
      </w:pPr>
      <w:r w:rsidRPr="00276BCA">
        <w:rPr>
          <w:vertAlign w:val="superscript"/>
        </w:rPr>
        <w:t>b</w:t>
      </w:r>
      <w:r w:rsidRPr="00276BCA">
        <w:t xml:space="preserve"> Patients received CAPOX chemotherapy in GLOW trial.</w:t>
      </w:r>
    </w:p>
    <w:p w14:paraId="081AABEA" w14:textId="325B5222" w:rsidR="008019C0" w:rsidRPr="00276BCA" w:rsidRDefault="6E3E7E15" w:rsidP="00C306C2">
      <w:pPr>
        <w:pStyle w:val="TableFooter"/>
        <w:keepNext/>
        <w:keepLines/>
      </w:pPr>
      <w:r w:rsidRPr="00276BCA">
        <w:rPr>
          <w:vertAlign w:val="superscript"/>
        </w:rPr>
        <w:t>c</w:t>
      </w:r>
      <w:r w:rsidRPr="00276BCA">
        <w:t xml:space="preserve"> Patients received mFOLFOX</w:t>
      </w:r>
      <w:r w:rsidR="52ECB8DF" w:rsidRPr="00276BCA">
        <w:t>6</w:t>
      </w:r>
      <w:r w:rsidRPr="00276BCA">
        <w:t xml:space="preserve"> or CAPOX chemotherapy in </w:t>
      </w:r>
      <w:proofErr w:type="spellStart"/>
      <w:r w:rsidRPr="00276BCA">
        <w:t>CheckMate</w:t>
      </w:r>
      <w:proofErr w:type="spellEnd"/>
      <w:r w:rsidRPr="00276BCA">
        <w:t xml:space="preserve"> 649 trial.</w:t>
      </w:r>
    </w:p>
    <w:p w14:paraId="4FB671CD" w14:textId="19900CC3" w:rsidR="0009109B" w:rsidRPr="00276BCA" w:rsidRDefault="008019C0" w:rsidP="005B7588">
      <w:pPr>
        <w:pStyle w:val="TableFooter"/>
        <w:keepLines/>
      </w:pPr>
      <w:r w:rsidRPr="00276BCA">
        <w:rPr>
          <w:vertAlign w:val="superscript"/>
        </w:rPr>
        <w:t>d</w:t>
      </w:r>
      <w:r w:rsidRPr="00276BCA">
        <w:t xml:space="preserve"> Patients received SOX or CAPOX chemotherapy in ATTRACTION-4 trial.</w:t>
      </w:r>
    </w:p>
    <w:p w14:paraId="3656D30D" w14:textId="2FBC16BE" w:rsidR="00D11D32" w:rsidRPr="00276BCA" w:rsidRDefault="16E9DA76" w:rsidP="77D89277">
      <w:pPr>
        <w:pStyle w:val="ListParagraph"/>
        <w:numPr>
          <w:ilvl w:val="4"/>
          <w:numId w:val="8"/>
        </w:numPr>
        <w:rPr>
          <w:color w:val="auto"/>
        </w:rPr>
      </w:pPr>
      <w:r w:rsidRPr="00276BCA">
        <w:rPr>
          <w:color w:val="auto"/>
        </w:rPr>
        <w:t>Based on the recent data cut-off</w:t>
      </w:r>
      <w:r w:rsidR="00CE5202" w:rsidRPr="00276BCA">
        <w:rPr>
          <w:color w:val="auto"/>
        </w:rPr>
        <w:t>s</w:t>
      </w:r>
      <w:r w:rsidRPr="00276BCA">
        <w:rPr>
          <w:color w:val="auto"/>
        </w:rPr>
        <w:t>,</w:t>
      </w:r>
      <w:r w:rsidR="6D61B5FA" w:rsidRPr="00276BCA">
        <w:rPr>
          <w:color w:val="auto"/>
        </w:rPr>
        <w:t xml:space="preserve"> </w:t>
      </w:r>
      <w:r w:rsidRPr="00276BCA">
        <w:rPr>
          <w:color w:val="auto"/>
        </w:rPr>
        <w:t>b</w:t>
      </w:r>
      <w:r w:rsidR="11FD04A2" w:rsidRPr="00276BCA">
        <w:rPr>
          <w:color w:val="auto"/>
        </w:rPr>
        <w:t xml:space="preserve">oth </w:t>
      </w:r>
      <w:r w:rsidR="003A5071" w:rsidRPr="00276BCA">
        <w:rPr>
          <w:color w:val="auto"/>
        </w:rPr>
        <w:t xml:space="preserve">the </w:t>
      </w:r>
      <w:r w:rsidR="11FD04A2" w:rsidRPr="00276BCA">
        <w:rPr>
          <w:color w:val="auto"/>
        </w:rPr>
        <w:t xml:space="preserve">SPOTLIGHT and GLOW trials demonstrated statistically significant improvements in OS with </w:t>
      </w:r>
      <w:proofErr w:type="spellStart"/>
      <w:r w:rsidR="11FD04A2" w:rsidRPr="00276BCA">
        <w:rPr>
          <w:color w:val="auto"/>
        </w:rPr>
        <w:t>zolbetuximab</w:t>
      </w:r>
      <w:proofErr w:type="spellEnd"/>
      <w:r w:rsidR="11FD04A2" w:rsidRPr="00276BCA">
        <w:rPr>
          <w:color w:val="auto"/>
        </w:rPr>
        <w:t xml:space="preserve"> + chemotherapy </w:t>
      </w:r>
      <w:r w:rsidR="4164ECE5" w:rsidRPr="00276BCA">
        <w:rPr>
          <w:color w:val="auto"/>
        </w:rPr>
        <w:t xml:space="preserve">(median </w:t>
      </w:r>
      <w:r w:rsidR="2AE3B77A" w:rsidRPr="00276BCA">
        <w:rPr>
          <w:color w:val="auto"/>
        </w:rPr>
        <w:t xml:space="preserve">follow-up = </w:t>
      </w:r>
      <w:r w:rsidR="4FB41731" w:rsidRPr="00276BCA">
        <w:rPr>
          <w:color w:val="auto"/>
        </w:rPr>
        <w:t>33.28 months SPOTLIGHT</w:t>
      </w:r>
      <w:r w:rsidR="6A4A4E99" w:rsidRPr="00276BCA">
        <w:rPr>
          <w:color w:val="auto"/>
        </w:rPr>
        <w:t xml:space="preserve">, </w:t>
      </w:r>
      <w:r w:rsidR="79D02A9A" w:rsidRPr="00276BCA">
        <w:rPr>
          <w:color w:val="auto"/>
        </w:rPr>
        <w:t>31.</w:t>
      </w:r>
      <w:r w:rsidR="2390B31F" w:rsidRPr="00276BCA">
        <w:rPr>
          <w:color w:val="auto"/>
        </w:rPr>
        <w:t xml:space="preserve">70 months GLOW) </w:t>
      </w:r>
      <w:r w:rsidR="11FD04A2" w:rsidRPr="00276BCA">
        <w:rPr>
          <w:color w:val="auto"/>
        </w:rPr>
        <w:t>compared to chemotherapy</w:t>
      </w:r>
      <w:r w:rsidR="005D7A8A" w:rsidRPr="00276BCA">
        <w:rPr>
          <w:color w:val="auto"/>
        </w:rPr>
        <w:t xml:space="preserve"> alone</w:t>
      </w:r>
      <w:r w:rsidR="2390B31F" w:rsidRPr="00276BCA">
        <w:rPr>
          <w:color w:val="auto"/>
        </w:rPr>
        <w:t xml:space="preserve"> (median follow-up = 3</w:t>
      </w:r>
      <w:r w:rsidR="56473203" w:rsidRPr="00276BCA">
        <w:rPr>
          <w:color w:val="auto"/>
        </w:rPr>
        <w:t>1.38</w:t>
      </w:r>
      <w:r w:rsidR="2390B31F" w:rsidRPr="00276BCA">
        <w:rPr>
          <w:color w:val="auto"/>
        </w:rPr>
        <w:t xml:space="preserve"> months SPOTLIGHT, 3</w:t>
      </w:r>
      <w:r w:rsidR="56473203" w:rsidRPr="00276BCA">
        <w:rPr>
          <w:color w:val="auto"/>
        </w:rPr>
        <w:t>2.9</w:t>
      </w:r>
      <w:r w:rsidR="00474DA1" w:rsidRPr="00276BCA">
        <w:rPr>
          <w:color w:val="auto"/>
        </w:rPr>
        <w:t>5</w:t>
      </w:r>
      <w:r w:rsidR="2390B31F" w:rsidRPr="00276BCA">
        <w:rPr>
          <w:color w:val="auto"/>
        </w:rPr>
        <w:t xml:space="preserve"> months GLOW)</w:t>
      </w:r>
      <w:r w:rsidR="11FD04A2" w:rsidRPr="00276BCA">
        <w:rPr>
          <w:color w:val="auto"/>
        </w:rPr>
        <w:t xml:space="preserve">. </w:t>
      </w:r>
      <w:r w:rsidR="02984471" w:rsidRPr="00276BCA">
        <w:rPr>
          <w:color w:val="auto"/>
        </w:rPr>
        <w:t>The</w:t>
      </w:r>
      <w:r w:rsidR="02984471" w:rsidRPr="00276BCA" w:rsidDel="004A1B63">
        <w:rPr>
          <w:color w:val="auto"/>
        </w:rPr>
        <w:t xml:space="preserve"> </w:t>
      </w:r>
      <w:r w:rsidR="02984471" w:rsidRPr="00276BCA">
        <w:rPr>
          <w:color w:val="auto"/>
        </w:rPr>
        <w:t>difference in median OS was 2.66 months in the SPOTLIGHT trial and 2.16</w:t>
      </w:r>
      <w:r w:rsidR="00ED5734" w:rsidRPr="00276BCA">
        <w:rPr>
          <w:color w:val="auto"/>
        </w:rPr>
        <w:t> </w:t>
      </w:r>
      <w:r w:rsidR="02984471" w:rsidRPr="00276BCA">
        <w:rPr>
          <w:color w:val="auto"/>
        </w:rPr>
        <w:t>months in the GLOW trial</w:t>
      </w:r>
      <w:r w:rsidR="0092548F" w:rsidRPr="00276BCA">
        <w:rPr>
          <w:color w:val="auto"/>
        </w:rPr>
        <w:t xml:space="preserve">. </w:t>
      </w:r>
      <w:r w:rsidR="70315F7C" w:rsidRPr="00276BCA">
        <w:rPr>
          <w:color w:val="auto"/>
        </w:rPr>
        <w:t>Considering the entirety of the KM</w:t>
      </w:r>
      <w:r w:rsidR="07CD8618" w:rsidRPr="00276BCA">
        <w:rPr>
          <w:color w:val="auto"/>
        </w:rPr>
        <w:t xml:space="preserve"> plots, t</w:t>
      </w:r>
      <w:r w:rsidR="366B683B" w:rsidRPr="00276BCA">
        <w:rPr>
          <w:color w:val="auto"/>
        </w:rPr>
        <w:t xml:space="preserve">he ESCs </w:t>
      </w:r>
      <w:r w:rsidR="219B3D7A" w:rsidRPr="00276BCA">
        <w:rPr>
          <w:color w:val="auto"/>
        </w:rPr>
        <w:t>considered</w:t>
      </w:r>
      <w:r w:rsidR="366B683B" w:rsidRPr="00276BCA">
        <w:rPr>
          <w:color w:val="auto"/>
        </w:rPr>
        <w:t xml:space="preserve"> </w:t>
      </w:r>
      <w:r w:rsidR="001C532C" w:rsidRPr="00276BCA">
        <w:rPr>
          <w:color w:val="auto"/>
        </w:rPr>
        <w:t xml:space="preserve">the </w:t>
      </w:r>
      <w:r w:rsidR="633CFDE6" w:rsidRPr="00276BCA">
        <w:rPr>
          <w:color w:val="auto"/>
        </w:rPr>
        <w:t>OS</w:t>
      </w:r>
      <w:r w:rsidR="001C532C" w:rsidRPr="00276BCA">
        <w:rPr>
          <w:color w:val="auto"/>
        </w:rPr>
        <w:t xml:space="preserve"> gains </w:t>
      </w:r>
      <w:r w:rsidR="002A4738" w:rsidRPr="00276BCA">
        <w:rPr>
          <w:color w:val="auto"/>
        </w:rPr>
        <w:t xml:space="preserve">associated with </w:t>
      </w:r>
      <w:proofErr w:type="spellStart"/>
      <w:r w:rsidR="002A4738" w:rsidRPr="00276BCA">
        <w:rPr>
          <w:color w:val="auto"/>
        </w:rPr>
        <w:t>zolbetuximab</w:t>
      </w:r>
      <w:proofErr w:type="spellEnd"/>
      <w:r w:rsidR="002A4738" w:rsidRPr="00276BCA">
        <w:rPr>
          <w:color w:val="auto"/>
        </w:rPr>
        <w:t xml:space="preserve"> </w:t>
      </w:r>
      <w:r w:rsidR="001C532C" w:rsidRPr="00276BCA">
        <w:rPr>
          <w:color w:val="auto"/>
        </w:rPr>
        <w:t xml:space="preserve">over chemotherapy </w:t>
      </w:r>
      <w:r w:rsidR="3F05A90D" w:rsidRPr="00276BCA">
        <w:rPr>
          <w:color w:val="auto"/>
        </w:rPr>
        <w:t>alone in e</w:t>
      </w:r>
      <w:r w:rsidR="2EC53076" w:rsidRPr="00276BCA">
        <w:rPr>
          <w:color w:val="auto"/>
        </w:rPr>
        <w:t>ach</w:t>
      </w:r>
      <w:r w:rsidR="3F05A90D" w:rsidRPr="00276BCA">
        <w:rPr>
          <w:color w:val="auto"/>
        </w:rPr>
        <w:t xml:space="preserve"> trial</w:t>
      </w:r>
      <w:r w:rsidR="2EC53076" w:rsidRPr="00276BCA">
        <w:rPr>
          <w:color w:val="auto"/>
        </w:rPr>
        <w:t xml:space="preserve"> </w:t>
      </w:r>
      <w:r w:rsidR="315660CC" w:rsidRPr="00276BCA">
        <w:rPr>
          <w:color w:val="auto"/>
        </w:rPr>
        <w:t xml:space="preserve">are </w:t>
      </w:r>
      <w:proofErr w:type="gramStart"/>
      <w:r w:rsidR="315660CC" w:rsidRPr="00276BCA">
        <w:rPr>
          <w:color w:val="auto"/>
        </w:rPr>
        <w:t>modest</w:t>
      </w:r>
      <w:r w:rsidR="00B741AE" w:rsidRPr="00276BCA">
        <w:rPr>
          <w:color w:val="auto"/>
        </w:rPr>
        <w:t>, and</w:t>
      </w:r>
      <w:proofErr w:type="gramEnd"/>
      <w:r w:rsidR="00B741AE" w:rsidRPr="00276BCA">
        <w:rPr>
          <w:color w:val="auto"/>
        </w:rPr>
        <w:t xml:space="preserve"> noted the hazard ratios </w:t>
      </w:r>
      <w:r w:rsidR="0092548F" w:rsidRPr="00276BCA">
        <w:rPr>
          <w:color w:val="auto"/>
        </w:rPr>
        <w:t xml:space="preserve">were </w:t>
      </w:r>
      <w:r w:rsidR="00B741AE" w:rsidRPr="00276BCA">
        <w:rPr>
          <w:color w:val="auto"/>
        </w:rPr>
        <w:t>close to one</w:t>
      </w:r>
      <w:r w:rsidR="3F05A90D" w:rsidRPr="00276BCA">
        <w:rPr>
          <w:color w:val="auto"/>
        </w:rPr>
        <w:t xml:space="preserve">. </w:t>
      </w:r>
    </w:p>
    <w:p w14:paraId="53137034" w14:textId="7F2DB59A" w:rsidR="004241FB" w:rsidRPr="00276BCA" w:rsidRDefault="009876CC" w:rsidP="008E424C">
      <w:pPr>
        <w:pStyle w:val="ListParagraph"/>
        <w:numPr>
          <w:ilvl w:val="4"/>
          <w:numId w:val="8"/>
        </w:numPr>
        <w:rPr>
          <w:color w:val="auto"/>
        </w:rPr>
      </w:pPr>
      <w:r w:rsidRPr="00276BCA">
        <w:rPr>
          <w:color w:val="auto"/>
        </w:rPr>
        <w:t>The evaluation noted that i</w:t>
      </w:r>
      <w:r w:rsidR="003C3D2D" w:rsidRPr="00276BCA">
        <w:rPr>
          <w:color w:val="auto"/>
        </w:rPr>
        <w:t xml:space="preserve">n both the </w:t>
      </w:r>
      <w:proofErr w:type="spellStart"/>
      <w:r w:rsidR="003C3D2D" w:rsidRPr="00276BCA">
        <w:rPr>
          <w:color w:val="auto"/>
        </w:rPr>
        <w:t>CheckMate</w:t>
      </w:r>
      <w:proofErr w:type="spellEnd"/>
      <w:r w:rsidR="003C3D2D" w:rsidRPr="00276BCA">
        <w:rPr>
          <w:color w:val="auto"/>
        </w:rPr>
        <w:t xml:space="preserve"> 649 and ATTRACTION-4 trials, OS improved with nivolumab + chemotherapy compared to chemotherapy; however, the difference was statistically significant only in the </w:t>
      </w:r>
      <w:proofErr w:type="spellStart"/>
      <w:r w:rsidR="003C3D2D" w:rsidRPr="00276BCA">
        <w:rPr>
          <w:color w:val="auto"/>
        </w:rPr>
        <w:t>CheckMate</w:t>
      </w:r>
      <w:proofErr w:type="spellEnd"/>
      <w:r w:rsidR="003C3D2D" w:rsidRPr="00276BCA">
        <w:rPr>
          <w:color w:val="auto"/>
        </w:rPr>
        <w:t xml:space="preserve"> 649 trial. Based on the three-year follow-up results of the </w:t>
      </w:r>
      <w:proofErr w:type="spellStart"/>
      <w:r w:rsidR="003C3D2D" w:rsidRPr="00276BCA">
        <w:rPr>
          <w:color w:val="auto"/>
        </w:rPr>
        <w:t>CheckMate</w:t>
      </w:r>
      <w:proofErr w:type="spellEnd"/>
      <w:r w:rsidR="003C3D2D" w:rsidRPr="00276BCA">
        <w:rPr>
          <w:color w:val="auto"/>
        </w:rPr>
        <w:t xml:space="preserve"> 649 trial, the OS benefit was maintained in the overall population, with a HR of 0.79 (95% CI: 0.71, 0.88).</w:t>
      </w:r>
      <w:r w:rsidR="00EC1F3B" w:rsidRPr="00276BCA">
        <w:rPr>
          <w:color w:val="auto"/>
        </w:rPr>
        <w:t xml:space="preserve"> </w:t>
      </w:r>
    </w:p>
    <w:p w14:paraId="1BF567FB" w14:textId="7A71CFE9" w:rsidR="004241FB" w:rsidRPr="00276BCA" w:rsidRDefault="004837E9" w:rsidP="008E424C">
      <w:pPr>
        <w:pStyle w:val="ListParagraph"/>
        <w:numPr>
          <w:ilvl w:val="4"/>
          <w:numId w:val="8"/>
        </w:numPr>
        <w:rPr>
          <w:color w:val="auto"/>
        </w:rPr>
      </w:pPr>
      <w:r w:rsidRPr="00276BCA">
        <w:rPr>
          <w:color w:val="auto"/>
        </w:rPr>
        <w:lastRenderedPageBreak/>
        <w:fldChar w:fldCharType="begin"/>
      </w:r>
      <w:r w:rsidRPr="00276BCA">
        <w:rPr>
          <w:color w:val="auto"/>
        </w:rPr>
        <w:instrText xml:space="preserve"> REF _Ref184406560 \h </w:instrText>
      </w:r>
      <w:r w:rsidR="009876CC" w:rsidRPr="00276BCA">
        <w:rPr>
          <w:color w:val="auto"/>
        </w:rPr>
        <w:instrText xml:space="preserve"> \* MERGEFORMAT </w:instrText>
      </w:r>
      <w:r w:rsidRPr="00276BCA">
        <w:rPr>
          <w:color w:val="auto"/>
        </w:rPr>
      </w:r>
      <w:r w:rsidRPr="00276BCA">
        <w:rPr>
          <w:color w:val="auto"/>
        </w:rPr>
        <w:fldChar w:fldCharType="separate"/>
      </w:r>
      <w:r w:rsidR="0011458F" w:rsidRPr="0011458F">
        <w:rPr>
          <w:color w:val="auto"/>
        </w:rPr>
        <w:t>Figure 3</w:t>
      </w:r>
      <w:r w:rsidRPr="00276BCA">
        <w:rPr>
          <w:color w:val="auto"/>
        </w:rPr>
        <w:fldChar w:fldCharType="end"/>
      </w:r>
      <w:r w:rsidRPr="00276BCA">
        <w:rPr>
          <w:color w:val="auto"/>
        </w:rPr>
        <w:t xml:space="preserve"> and </w:t>
      </w:r>
      <w:r w:rsidRPr="00276BCA">
        <w:rPr>
          <w:color w:val="auto"/>
        </w:rPr>
        <w:fldChar w:fldCharType="begin"/>
      </w:r>
      <w:r w:rsidRPr="00276BCA">
        <w:rPr>
          <w:color w:val="auto"/>
        </w:rPr>
        <w:instrText xml:space="preserve"> REF _Ref184406563 \h </w:instrText>
      </w:r>
      <w:r w:rsidR="00907075" w:rsidRPr="00276BCA">
        <w:rPr>
          <w:color w:val="auto"/>
        </w:rPr>
        <w:instrText xml:space="preserve"> \* MERGEFORMAT </w:instrText>
      </w:r>
      <w:r w:rsidRPr="00276BCA">
        <w:rPr>
          <w:color w:val="auto"/>
        </w:rPr>
      </w:r>
      <w:r w:rsidRPr="00276BCA">
        <w:rPr>
          <w:color w:val="auto"/>
        </w:rPr>
        <w:fldChar w:fldCharType="separate"/>
      </w:r>
      <w:r w:rsidR="0011458F" w:rsidRPr="00276BCA">
        <w:t xml:space="preserve">Figure </w:t>
      </w:r>
      <w:r w:rsidR="0011458F">
        <w:t>4</w:t>
      </w:r>
      <w:r w:rsidRPr="00276BCA">
        <w:rPr>
          <w:color w:val="auto"/>
        </w:rPr>
        <w:fldChar w:fldCharType="end"/>
      </w:r>
      <w:r w:rsidRPr="00276BCA">
        <w:rPr>
          <w:color w:val="auto"/>
        </w:rPr>
        <w:t xml:space="preserve"> </w:t>
      </w:r>
      <w:r w:rsidR="004241FB" w:rsidRPr="00276BCA">
        <w:rPr>
          <w:color w:val="auto"/>
        </w:rPr>
        <w:t>present the KM plot</w:t>
      </w:r>
      <w:r w:rsidR="00424802" w:rsidRPr="00276BCA">
        <w:rPr>
          <w:color w:val="auto"/>
        </w:rPr>
        <w:t>s</w:t>
      </w:r>
      <w:r w:rsidR="004241FB" w:rsidRPr="00276BCA">
        <w:rPr>
          <w:color w:val="auto"/>
        </w:rPr>
        <w:t xml:space="preserve"> of OS for the </w:t>
      </w:r>
      <w:proofErr w:type="spellStart"/>
      <w:r w:rsidR="004241FB" w:rsidRPr="00276BCA">
        <w:rPr>
          <w:color w:val="auto"/>
        </w:rPr>
        <w:t>zolbetuximab</w:t>
      </w:r>
      <w:proofErr w:type="spellEnd"/>
      <w:r w:rsidR="004241FB" w:rsidRPr="00276BCA">
        <w:rPr>
          <w:color w:val="auto"/>
        </w:rPr>
        <w:t xml:space="preserve"> trials.</w:t>
      </w:r>
    </w:p>
    <w:p w14:paraId="15F1733B" w14:textId="1A23A98C" w:rsidR="00300E07" w:rsidRPr="00276BCA" w:rsidRDefault="00300E07" w:rsidP="00204461">
      <w:pPr>
        <w:pStyle w:val="Caption"/>
      </w:pPr>
      <w:bookmarkStart w:id="50" w:name="_Ref184406560"/>
      <w:r w:rsidRPr="00276BCA">
        <w:t xml:space="preserve">Figure </w:t>
      </w:r>
      <w:r w:rsidR="005E7C50">
        <w:fldChar w:fldCharType="begin"/>
      </w:r>
      <w:r w:rsidR="005E7C50">
        <w:instrText xml:space="preserve"> SEQ Figure_PBAC. \* ARABIC </w:instrText>
      </w:r>
      <w:r w:rsidR="005E7C50">
        <w:fldChar w:fldCharType="separate"/>
      </w:r>
      <w:r w:rsidR="0011458F">
        <w:rPr>
          <w:noProof/>
        </w:rPr>
        <w:t>3</w:t>
      </w:r>
      <w:r w:rsidR="005E7C50">
        <w:rPr>
          <w:noProof/>
        </w:rPr>
        <w:fldChar w:fldCharType="end"/>
      </w:r>
      <w:bookmarkEnd w:id="50"/>
      <w:r w:rsidR="00ED5734" w:rsidRPr="00276BCA">
        <w:t xml:space="preserve">: </w:t>
      </w:r>
      <w:r w:rsidRPr="00276BCA">
        <w:t>KM of OS in SPOTLIGHT trial (FAS)</w:t>
      </w:r>
    </w:p>
    <w:p w14:paraId="21204698" w14:textId="77777777" w:rsidR="004241FB" w:rsidRPr="00276BCA" w:rsidRDefault="004241FB" w:rsidP="004241FB">
      <w:pPr>
        <w:pStyle w:val="TableFooter"/>
      </w:pPr>
      <w:r w:rsidRPr="00276BCA">
        <w:rPr>
          <w:noProof/>
        </w:rPr>
        <w:drawing>
          <wp:inline distT="0" distB="0" distL="0" distR="0" wp14:anchorId="612A26FB" wp14:editId="4496BA78">
            <wp:extent cx="5731510" cy="3160131"/>
            <wp:effectExtent l="19050" t="19050" r="21590" b="21590"/>
            <wp:docPr id="1824348239" name="Picture 1" descr="Figure 3: KM of OS in SPOTLIGHT trial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48239" name="Picture 1" descr="Figure 3: KM of OS in SPOTLIGHT trial (FAS)"/>
                    <pic:cNvPicPr/>
                  </pic:nvPicPr>
                  <pic:blipFill>
                    <a:blip r:embed="rId13"/>
                    <a:stretch>
                      <a:fillRect/>
                    </a:stretch>
                  </pic:blipFill>
                  <pic:spPr>
                    <a:xfrm>
                      <a:off x="0" y="0"/>
                      <a:ext cx="5731510" cy="3160131"/>
                    </a:xfrm>
                    <a:prstGeom prst="rect">
                      <a:avLst/>
                    </a:prstGeom>
                    <a:ln w="12700">
                      <a:solidFill>
                        <a:schemeClr val="tx1"/>
                      </a:solidFill>
                    </a:ln>
                  </pic:spPr>
                </pic:pic>
              </a:graphicData>
            </a:graphic>
          </wp:inline>
        </w:drawing>
      </w:r>
    </w:p>
    <w:p w14:paraId="6E40F3C8" w14:textId="77777777" w:rsidR="004241FB" w:rsidRPr="00276BCA" w:rsidRDefault="004241FB" w:rsidP="004241FB">
      <w:pPr>
        <w:pStyle w:val="TableFooter"/>
      </w:pPr>
      <w:r w:rsidRPr="00276BCA">
        <w:t>Source: Figure 2-9, p103 of the submission.</w:t>
      </w:r>
    </w:p>
    <w:p w14:paraId="4CD53332" w14:textId="77777777" w:rsidR="004241FB" w:rsidRPr="00276BCA" w:rsidRDefault="004241FB" w:rsidP="004241FB">
      <w:pPr>
        <w:pStyle w:val="TableFooter"/>
      </w:pPr>
      <w:r w:rsidRPr="00276BCA">
        <w:t xml:space="preserve">CI = confidence interval; FAS = full analysis set; HR = hazard ratio; IRC = Independent Review Committee; KM = Kaplan-Meier; </w:t>
      </w:r>
      <w:r w:rsidRPr="00276BCA">
        <w:rPr>
          <w:rFonts w:eastAsia="Calibri"/>
        </w:rPr>
        <w:t>N = total participants in group</w:t>
      </w:r>
      <w:r w:rsidRPr="00276BCA">
        <w:t xml:space="preserve">; OS = overall survival. </w:t>
      </w:r>
    </w:p>
    <w:p w14:paraId="3E16F4D4" w14:textId="1FD5CA34" w:rsidR="004241FB" w:rsidRPr="00276BCA" w:rsidRDefault="004241FB" w:rsidP="004241FB">
      <w:pPr>
        <w:pStyle w:val="TableFooter"/>
      </w:pPr>
      <w:r w:rsidRPr="00276BCA">
        <w:t xml:space="preserve">Note: Arm A refers to </w:t>
      </w:r>
      <w:proofErr w:type="spellStart"/>
      <w:r w:rsidRPr="00276BCA">
        <w:t>zolbetuximab</w:t>
      </w:r>
      <w:proofErr w:type="spellEnd"/>
      <w:r w:rsidRPr="00276BCA">
        <w:t xml:space="preserve"> + mFOLFOX6 and Arm B refers to placebo + mFOLFOX6.</w:t>
      </w:r>
    </w:p>
    <w:p w14:paraId="7B5080E3" w14:textId="1CB66C54" w:rsidR="00300E07" w:rsidRPr="00276BCA" w:rsidRDefault="00300E07" w:rsidP="00204461">
      <w:pPr>
        <w:pStyle w:val="Caption"/>
      </w:pPr>
      <w:bookmarkStart w:id="51" w:name="_Ref184406563"/>
      <w:r w:rsidRPr="00276BCA">
        <w:lastRenderedPageBreak/>
        <w:t xml:space="preserve">Figure </w:t>
      </w:r>
      <w:r w:rsidR="005E7C50">
        <w:fldChar w:fldCharType="begin"/>
      </w:r>
      <w:r w:rsidR="005E7C50">
        <w:instrText xml:space="preserve"> SEQ Figure_PBAC. \* ARABIC </w:instrText>
      </w:r>
      <w:r w:rsidR="005E7C50">
        <w:fldChar w:fldCharType="separate"/>
      </w:r>
      <w:r w:rsidR="0011458F">
        <w:rPr>
          <w:noProof/>
        </w:rPr>
        <w:t>4</w:t>
      </w:r>
      <w:r w:rsidR="005E7C50">
        <w:rPr>
          <w:noProof/>
        </w:rPr>
        <w:fldChar w:fldCharType="end"/>
      </w:r>
      <w:bookmarkEnd w:id="51"/>
      <w:r w:rsidR="00ED5734" w:rsidRPr="00276BCA">
        <w:t xml:space="preserve">: </w:t>
      </w:r>
      <w:r w:rsidRPr="00276BCA">
        <w:t>KM of OS in GLOW trial (FAS)</w:t>
      </w:r>
    </w:p>
    <w:p w14:paraId="5709685A" w14:textId="77777777" w:rsidR="004241FB" w:rsidRPr="00276BCA" w:rsidRDefault="004241FB" w:rsidP="005B7588">
      <w:pPr>
        <w:pStyle w:val="TableFooter"/>
        <w:keepNext/>
        <w:keepLines/>
      </w:pPr>
      <w:r w:rsidRPr="00276BCA">
        <w:rPr>
          <w:noProof/>
        </w:rPr>
        <w:drawing>
          <wp:inline distT="0" distB="0" distL="0" distR="0" wp14:anchorId="41181077" wp14:editId="4EDE3717">
            <wp:extent cx="5731510" cy="3131392"/>
            <wp:effectExtent l="19050" t="19050" r="21590" b="12065"/>
            <wp:docPr id="1043776707" name="Picture 1" descr="Figure 4: KM of OS in GLOW trial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776707" name="Picture 1" descr="Figure 4: KM of OS in GLOW trial (FAS)"/>
                    <pic:cNvPicPr/>
                  </pic:nvPicPr>
                  <pic:blipFill>
                    <a:blip r:embed="rId14"/>
                    <a:stretch>
                      <a:fillRect/>
                    </a:stretch>
                  </pic:blipFill>
                  <pic:spPr>
                    <a:xfrm>
                      <a:off x="0" y="0"/>
                      <a:ext cx="5731510" cy="3131392"/>
                    </a:xfrm>
                    <a:prstGeom prst="rect">
                      <a:avLst/>
                    </a:prstGeom>
                    <a:ln w="12700">
                      <a:solidFill>
                        <a:schemeClr val="tx1"/>
                      </a:solidFill>
                    </a:ln>
                  </pic:spPr>
                </pic:pic>
              </a:graphicData>
            </a:graphic>
          </wp:inline>
        </w:drawing>
      </w:r>
    </w:p>
    <w:p w14:paraId="1EF5273A" w14:textId="77777777" w:rsidR="004241FB" w:rsidRPr="00276BCA" w:rsidRDefault="004241FB" w:rsidP="005B7588">
      <w:pPr>
        <w:pStyle w:val="TableFooter"/>
        <w:keepNext/>
        <w:keepLines/>
      </w:pPr>
      <w:r w:rsidRPr="00276BCA">
        <w:t>Source: Figure 2-10, p104 of the submission.</w:t>
      </w:r>
    </w:p>
    <w:p w14:paraId="3DEEB071" w14:textId="77777777" w:rsidR="004241FB" w:rsidRPr="00276BCA" w:rsidRDefault="004241FB" w:rsidP="005B7588">
      <w:pPr>
        <w:pStyle w:val="TableFooter"/>
        <w:keepNext/>
        <w:keepLines/>
      </w:pPr>
      <w:r w:rsidRPr="00276BCA">
        <w:t xml:space="preserve">CI = confidence interval; FAS = full analysis set; HR = hazard ratio; IRC = Independent Review Committee; KM = Kaplan-Meier; </w:t>
      </w:r>
      <w:r w:rsidRPr="00276BCA">
        <w:rPr>
          <w:rFonts w:eastAsia="Calibri"/>
        </w:rPr>
        <w:t>N = total participants in group</w:t>
      </w:r>
      <w:r w:rsidRPr="00276BCA">
        <w:t xml:space="preserve">; OS = overall survival. </w:t>
      </w:r>
    </w:p>
    <w:p w14:paraId="065133CD" w14:textId="29A63B41" w:rsidR="004241FB" w:rsidRPr="00276BCA" w:rsidRDefault="004241FB" w:rsidP="004241FB">
      <w:pPr>
        <w:pStyle w:val="TableFooter"/>
      </w:pPr>
      <w:r w:rsidRPr="00276BCA">
        <w:t xml:space="preserve">Note: Arm A refers to </w:t>
      </w:r>
      <w:proofErr w:type="spellStart"/>
      <w:r w:rsidRPr="00276BCA">
        <w:t>zolbetuximab</w:t>
      </w:r>
      <w:proofErr w:type="spellEnd"/>
      <w:r w:rsidRPr="00276BCA">
        <w:t xml:space="preserve"> + CAPOX and Arm B refers to placebo + CAPOX.</w:t>
      </w:r>
    </w:p>
    <w:p w14:paraId="7E84BD27" w14:textId="77777777" w:rsidR="0056506D" w:rsidRPr="00276BCA" w:rsidRDefault="0A552FDC" w:rsidP="77D89277">
      <w:pPr>
        <w:pStyle w:val="ListParagraph"/>
        <w:numPr>
          <w:ilvl w:val="4"/>
          <w:numId w:val="8"/>
        </w:numPr>
        <w:rPr>
          <w:color w:val="auto"/>
        </w:rPr>
      </w:pPr>
      <w:r w:rsidRPr="00276BCA">
        <w:rPr>
          <w:color w:val="auto"/>
        </w:rPr>
        <w:t xml:space="preserve">An exploratory endpoint of PFS2 was included in the </w:t>
      </w:r>
      <w:proofErr w:type="spellStart"/>
      <w:r w:rsidRPr="00276BCA">
        <w:rPr>
          <w:color w:val="auto"/>
        </w:rPr>
        <w:t>zolbetuximab</w:t>
      </w:r>
      <w:proofErr w:type="spellEnd"/>
      <w:r w:rsidRPr="00276BCA">
        <w:rPr>
          <w:color w:val="auto"/>
        </w:rPr>
        <w:t xml:space="preserve"> trials. PFS2 was defined as the time from randomi</w:t>
      </w:r>
      <w:r w:rsidR="6674BF4E" w:rsidRPr="00276BCA">
        <w:rPr>
          <w:color w:val="auto"/>
        </w:rPr>
        <w:t>s</w:t>
      </w:r>
      <w:r w:rsidRPr="00276BCA">
        <w:rPr>
          <w:color w:val="auto"/>
        </w:rPr>
        <w:t>ation to the earliest occurrence of progressive disease after subsequent anti-cancer therapy, death from any cause, or initiation of another anti-cancer therapy</w:t>
      </w:r>
      <w:r w:rsidR="554803CD" w:rsidRPr="00276BCA">
        <w:rPr>
          <w:color w:val="auto"/>
        </w:rPr>
        <w:t xml:space="preserve">. In both trials, patients in </w:t>
      </w:r>
      <w:proofErr w:type="spellStart"/>
      <w:r w:rsidR="554803CD" w:rsidRPr="00276BCA">
        <w:rPr>
          <w:color w:val="auto"/>
        </w:rPr>
        <w:t>zolbetuximab</w:t>
      </w:r>
      <w:proofErr w:type="spellEnd"/>
      <w:r w:rsidR="554803CD" w:rsidRPr="00276BCA">
        <w:rPr>
          <w:color w:val="auto"/>
        </w:rPr>
        <w:t xml:space="preserve"> + chemotherapy </w:t>
      </w:r>
      <w:r w:rsidR="1BDAEC25" w:rsidRPr="00276BCA">
        <w:rPr>
          <w:color w:val="auto"/>
        </w:rPr>
        <w:t xml:space="preserve">demonstrated </w:t>
      </w:r>
      <w:r w:rsidR="554803CD" w:rsidRPr="00276BCA">
        <w:rPr>
          <w:color w:val="auto"/>
        </w:rPr>
        <w:t>a reduced risk of progression following second-line treatment</w:t>
      </w:r>
      <w:r w:rsidR="1BDAEC25" w:rsidRPr="00276BCA">
        <w:rPr>
          <w:color w:val="auto"/>
        </w:rPr>
        <w:t xml:space="preserve">; with HR of </w:t>
      </w:r>
      <w:r w:rsidR="554803CD" w:rsidRPr="00276BCA">
        <w:rPr>
          <w:color w:val="auto"/>
        </w:rPr>
        <w:t>0.78</w:t>
      </w:r>
      <w:r w:rsidR="1BDAEC25" w:rsidRPr="00276BCA">
        <w:rPr>
          <w:color w:val="auto"/>
        </w:rPr>
        <w:t xml:space="preserve"> (</w:t>
      </w:r>
      <w:r w:rsidR="554803CD" w:rsidRPr="00276BCA">
        <w:rPr>
          <w:color w:val="auto"/>
        </w:rPr>
        <w:t xml:space="preserve">95% CI: 0.64, 0.96) and 0.71 </w:t>
      </w:r>
      <w:r w:rsidR="1BDAEC25" w:rsidRPr="00276BCA">
        <w:rPr>
          <w:color w:val="auto"/>
        </w:rPr>
        <w:t>(</w:t>
      </w:r>
      <w:r w:rsidR="554803CD" w:rsidRPr="00276BCA">
        <w:rPr>
          <w:color w:val="auto"/>
        </w:rPr>
        <w:t xml:space="preserve">95% CI: 0.58, 0.87) in SPOTLIGHT and GLOW trials, respectively. </w:t>
      </w:r>
    </w:p>
    <w:p w14:paraId="5D07C67C" w14:textId="388FC4FC" w:rsidR="001056C5" w:rsidRPr="00276BCA" w:rsidRDefault="3ADE49A9" w:rsidP="77D89277">
      <w:pPr>
        <w:pStyle w:val="ListParagraph"/>
        <w:numPr>
          <w:ilvl w:val="4"/>
          <w:numId w:val="8"/>
        </w:numPr>
        <w:rPr>
          <w:color w:val="auto"/>
        </w:rPr>
      </w:pPr>
      <w:r w:rsidRPr="00276BCA">
        <w:rPr>
          <w:color w:val="auto"/>
        </w:rPr>
        <w:t xml:space="preserve">While a substantial proportion of patients achieved an objective response in both arms of the </w:t>
      </w:r>
      <w:r w:rsidR="5365903A" w:rsidRPr="00276BCA">
        <w:rPr>
          <w:color w:val="auto"/>
        </w:rPr>
        <w:t>SPOTLIGHT</w:t>
      </w:r>
      <w:r w:rsidR="6020BD65" w:rsidRPr="00276BCA">
        <w:rPr>
          <w:color w:val="auto"/>
        </w:rPr>
        <w:t xml:space="preserve"> (</w:t>
      </w:r>
      <w:r w:rsidR="30EDF720" w:rsidRPr="00276BCA">
        <w:rPr>
          <w:color w:val="auto"/>
        </w:rPr>
        <w:t xml:space="preserve">48% </w:t>
      </w:r>
      <w:r w:rsidR="3270B941" w:rsidRPr="00276BCA">
        <w:rPr>
          <w:color w:val="auto"/>
        </w:rPr>
        <w:t>vs 48%)</w:t>
      </w:r>
      <w:r w:rsidR="5365903A" w:rsidRPr="00276BCA">
        <w:rPr>
          <w:color w:val="auto"/>
        </w:rPr>
        <w:t xml:space="preserve"> and GLOW </w:t>
      </w:r>
      <w:r w:rsidR="498C5B25" w:rsidRPr="00276BCA">
        <w:rPr>
          <w:color w:val="auto"/>
        </w:rPr>
        <w:t xml:space="preserve">(43% vs 39%) </w:t>
      </w:r>
      <w:r w:rsidR="5365903A" w:rsidRPr="00276BCA">
        <w:rPr>
          <w:color w:val="auto"/>
        </w:rPr>
        <w:t>trials,</w:t>
      </w:r>
      <w:r w:rsidRPr="00276BCA">
        <w:rPr>
          <w:color w:val="auto"/>
        </w:rPr>
        <w:t xml:space="preserve"> there was no statistically significant difference in ORR between the </w:t>
      </w:r>
      <w:proofErr w:type="spellStart"/>
      <w:r w:rsidRPr="00276BCA">
        <w:rPr>
          <w:color w:val="auto"/>
        </w:rPr>
        <w:t>zolbetuximab</w:t>
      </w:r>
      <w:proofErr w:type="spellEnd"/>
      <w:r w:rsidRPr="00276BCA">
        <w:rPr>
          <w:color w:val="auto"/>
        </w:rPr>
        <w:t xml:space="preserve"> </w:t>
      </w:r>
      <w:r w:rsidR="5365903A" w:rsidRPr="00276BCA">
        <w:rPr>
          <w:color w:val="auto"/>
        </w:rPr>
        <w:t xml:space="preserve">+ chemotherapy </w:t>
      </w:r>
      <w:r w:rsidRPr="00276BCA">
        <w:rPr>
          <w:color w:val="auto"/>
        </w:rPr>
        <w:t xml:space="preserve">and chemotherapy </w:t>
      </w:r>
      <w:r w:rsidR="5365903A" w:rsidRPr="00276BCA">
        <w:rPr>
          <w:color w:val="auto"/>
        </w:rPr>
        <w:t>arm</w:t>
      </w:r>
      <w:r w:rsidR="003973C4" w:rsidRPr="00276BCA">
        <w:rPr>
          <w:color w:val="auto"/>
        </w:rPr>
        <w:t xml:space="preserve">. Similarly, no statistically significant difference was observed in the disease control rate between the treatment and chemotherapy arms in either the SPOTLIGHT (82% vs 87%) or GLOW (76% vs 76%) trials. </w:t>
      </w:r>
      <w:r w:rsidR="2B6F24A2" w:rsidRPr="00276BCA">
        <w:rPr>
          <w:color w:val="auto"/>
        </w:rPr>
        <w:t>The evaluation noted that b</w:t>
      </w:r>
      <w:r w:rsidR="3FC15E7D" w:rsidRPr="00276BCA">
        <w:rPr>
          <w:color w:val="auto"/>
        </w:rPr>
        <w:t xml:space="preserve">ased on the data </w:t>
      </w:r>
      <w:r w:rsidR="29EDE86F" w:rsidRPr="00276BCA">
        <w:rPr>
          <w:color w:val="auto"/>
        </w:rPr>
        <w:t xml:space="preserve">previously </w:t>
      </w:r>
      <w:r w:rsidR="3FC15E7D" w:rsidRPr="00276BCA">
        <w:rPr>
          <w:color w:val="auto"/>
        </w:rPr>
        <w:t>presented to the PBAC, a higher proportion of patients treated with nivolumab + chemotherapy</w:t>
      </w:r>
      <w:r w:rsidR="173F74E5" w:rsidRPr="00276BCA">
        <w:rPr>
          <w:color w:val="auto"/>
        </w:rPr>
        <w:t xml:space="preserve"> (47%) compared to chemotherapy</w:t>
      </w:r>
      <w:r w:rsidR="3FC15E7D" w:rsidRPr="00276BCA">
        <w:rPr>
          <w:color w:val="auto"/>
        </w:rPr>
        <w:t xml:space="preserve"> </w:t>
      </w:r>
      <w:r w:rsidR="01B8361F" w:rsidRPr="00276BCA">
        <w:rPr>
          <w:color w:val="auto"/>
        </w:rPr>
        <w:t xml:space="preserve">(37%) </w:t>
      </w:r>
      <w:r w:rsidR="3FC15E7D" w:rsidRPr="00276BCA">
        <w:rPr>
          <w:color w:val="auto"/>
        </w:rPr>
        <w:t>achieved a complete or partial response</w:t>
      </w:r>
      <w:r w:rsidR="37BBC360" w:rsidRPr="00276BCA">
        <w:rPr>
          <w:color w:val="auto"/>
        </w:rPr>
        <w:t xml:space="preserve"> in the </w:t>
      </w:r>
      <w:proofErr w:type="spellStart"/>
      <w:r w:rsidR="37BBC360" w:rsidRPr="00276BCA">
        <w:rPr>
          <w:color w:val="auto"/>
        </w:rPr>
        <w:t>CheckMate</w:t>
      </w:r>
      <w:proofErr w:type="spellEnd"/>
      <w:r w:rsidR="37BBC360" w:rsidRPr="00276BCA">
        <w:rPr>
          <w:color w:val="auto"/>
        </w:rPr>
        <w:t xml:space="preserve"> 649 trial</w:t>
      </w:r>
      <w:r w:rsidR="3FC15E7D" w:rsidRPr="00276BCA">
        <w:rPr>
          <w:color w:val="auto"/>
        </w:rPr>
        <w:t xml:space="preserve"> (paragraph 6.18, nivolumab, PSD, November 2021 PBAC Meeting with March 2022 Addendum).</w:t>
      </w:r>
    </w:p>
    <w:p w14:paraId="3A808E14" w14:textId="73E7AAE1" w:rsidR="00D17E17" w:rsidRPr="00276BCA" w:rsidRDefault="14115EB4" w:rsidP="77D89277">
      <w:pPr>
        <w:pStyle w:val="ListParagraph"/>
        <w:numPr>
          <w:ilvl w:val="4"/>
          <w:numId w:val="8"/>
        </w:numPr>
        <w:rPr>
          <w:color w:val="auto"/>
        </w:rPr>
      </w:pPr>
      <w:r w:rsidRPr="00276BCA">
        <w:rPr>
          <w:color w:val="auto"/>
        </w:rPr>
        <w:t xml:space="preserve">In the SPOTLIGHT trial, the median </w:t>
      </w:r>
      <w:r w:rsidR="2A4D1896" w:rsidRPr="00276BCA">
        <w:rPr>
          <w:color w:val="auto"/>
        </w:rPr>
        <w:t>duration of response (</w:t>
      </w:r>
      <w:r w:rsidRPr="00276BCA">
        <w:rPr>
          <w:color w:val="auto"/>
        </w:rPr>
        <w:t>DOR</w:t>
      </w:r>
      <w:r w:rsidR="2A4D1896" w:rsidRPr="00276BCA">
        <w:rPr>
          <w:color w:val="auto"/>
        </w:rPr>
        <w:t>)</w:t>
      </w:r>
      <w:r w:rsidRPr="00276BCA">
        <w:rPr>
          <w:color w:val="auto"/>
        </w:rPr>
        <w:t xml:space="preserve"> was 9.00 months for </w:t>
      </w:r>
      <w:proofErr w:type="spellStart"/>
      <w:r w:rsidRPr="00276BCA">
        <w:rPr>
          <w:color w:val="auto"/>
        </w:rPr>
        <w:t>zolbetuximab</w:t>
      </w:r>
      <w:proofErr w:type="spellEnd"/>
      <w:r w:rsidRPr="00276BCA">
        <w:rPr>
          <w:color w:val="auto"/>
        </w:rPr>
        <w:t xml:space="preserve"> + chemotherapy and 8.11 months for chemotherapy. In the GLOW trial, the</w:t>
      </w:r>
      <w:r w:rsidR="4DD19A8E" w:rsidRPr="00276BCA">
        <w:rPr>
          <w:color w:val="auto"/>
        </w:rPr>
        <w:t xml:space="preserve"> median </w:t>
      </w:r>
      <w:r w:rsidRPr="00276BCA">
        <w:rPr>
          <w:color w:val="auto"/>
        </w:rPr>
        <w:t>DO</w:t>
      </w:r>
      <w:r w:rsidR="4DD19A8E" w:rsidRPr="00276BCA">
        <w:rPr>
          <w:color w:val="auto"/>
        </w:rPr>
        <w:t>R</w:t>
      </w:r>
      <w:r w:rsidRPr="00276BCA">
        <w:rPr>
          <w:color w:val="auto"/>
        </w:rPr>
        <w:t xml:space="preserve"> w</w:t>
      </w:r>
      <w:r w:rsidR="4DD19A8E" w:rsidRPr="00276BCA">
        <w:rPr>
          <w:color w:val="auto"/>
        </w:rPr>
        <w:t>as</w:t>
      </w:r>
      <w:r w:rsidRPr="00276BCA">
        <w:rPr>
          <w:color w:val="auto"/>
        </w:rPr>
        <w:t xml:space="preserve"> 6.28 months for </w:t>
      </w:r>
      <w:proofErr w:type="spellStart"/>
      <w:r w:rsidRPr="00276BCA">
        <w:rPr>
          <w:color w:val="auto"/>
        </w:rPr>
        <w:t>zolbetuximab</w:t>
      </w:r>
      <w:proofErr w:type="spellEnd"/>
      <w:r w:rsidRPr="00276BCA">
        <w:rPr>
          <w:color w:val="auto"/>
        </w:rPr>
        <w:t xml:space="preserve"> + chemotherapy and 6.08 months </w:t>
      </w:r>
      <w:r w:rsidRPr="00276BCA">
        <w:rPr>
          <w:color w:val="auto"/>
        </w:rPr>
        <w:lastRenderedPageBreak/>
        <w:t xml:space="preserve">for chemotherapy. No statistically significant differences in DOR were observed between the groups in either trial. </w:t>
      </w:r>
      <w:r w:rsidR="2B6F24A2" w:rsidRPr="00276BCA">
        <w:rPr>
          <w:color w:val="auto"/>
        </w:rPr>
        <w:t>The evaluation noted that b</w:t>
      </w:r>
      <w:r w:rsidR="550AE8B3" w:rsidRPr="00276BCA">
        <w:rPr>
          <w:color w:val="auto"/>
        </w:rPr>
        <w:t xml:space="preserve">ased on the data </w:t>
      </w:r>
      <w:r w:rsidR="2AFB2C88" w:rsidRPr="00276BCA">
        <w:rPr>
          <w:color w:val="auto"/>
        </w:rPr>
        <w:t xml:space="preserve">previously </w:t>
      </w:r>
      <w:r w:rsidR="550AE8B3" w:rsidRPr="00276BCA">
        <w:rPr>
          <w:color w:val="auto"/>
        </w:rPr>
        <w:t xml:space="preserve">presented to the PBAC, the median DOR in the </w:t>
      </w:r>
      <w:proofErr w:type="spellStart"/>
      <w:r w:rsidR="550AE8B3" w:rsidRPr="00276BCA">
        <w:rPr>
          <w:color w:val="auto"/>
        </w:rPr>
        <w:t>CheckMate</w:t>
      </w:r>
      <w:proofErr w:type="spellEnd"/>
      <w:r w:rsidR="550AE8B3" w:rsidRPr="00276BCA">
        <w:rPr>
          <w:color w:val="auto"/>
        </w:rPr>
        <w:t xml:space="preserve"> 649 trial was 8.51 months for nivolumab + chemotherapy, compared to 6.93 months for chemotherapy alone (paragraph</w:t>
      </w:r>
      <w:r w:rsidR="36D24B4C" w:rsidRPr="00276BCA">
        <w:rPr>
          <w:color w:val="auto"/>
        </w:rPr>
        <w:t xml:space="preserve"> 6.21, nivolumab, PSD, November 2021 PBAC Meeting with March 2022 Addendum).</w:t>
      </w:r>
    </w:p>
    <w:p w14:paraId="07D0A4F2" w14:textId="5FBEEC6A" w:rsidR="00536E48" w:rsidRPr="00276BCA" w:rsidRDefault="00315744" w:rsidP="00315744">
      <w:pPr>
        <w:ind w:left="720" w:hanging="720"/>
        <w:rPr>
          <w:b/>
        </w:rPr>
      </w:pPr>
      <w:r w:rsidRPr="00276BCA">
        <w:rPr>
          <w:b/>
        </w:rPr>
        <w:t>Pooled Analysis</w:t>
      </w:r>
    </w:p>
    <w:p w14:paraId="4F1B372A" w14:textId="54FBDABA" w:rsidR="00226446" w:rsidRPr="00276BCA" w:rsidRDefault="5A00C8BC" w:rsidP="77D89277">
      <w:pPr>
        <w:pStyle w:val="ListParagraph"/>
        <w:numPr>
          <w:ilvl w:val="4"/>
          <w:numId w:val="8"/>
        </w:numPr>
        <w:rPr>
          <w:color w:val="auto"/>
        </w:rPr>
      </w:pPr>
      <w:r w:rsidRPr="00276BCA">
        <w:rPr>
          <w:color w:val="auto"/>
        </w:rPr>
        <w:t xml:space="preserve">The submission presented a </w:t>
      </w:r>
      <w:r w:rsidRPr="00276BCA">
        <w:rPr>
          <w:i/>
          <w:iCs/>
          <w:color w:val="auto"/>
        </w:rPr>
        <w:t>post hoc</w:t>
      </w:r>
      <w:r w:rsidRPr="00276BCA">
        <w:rPr>
          <w:color w:val="auto"/>
        </w:rPr>
        <w:t xml:space="preserve"> pooled analyses from the GLOW and SPOTLIGHT trials, combining data from both studies to estimate the overall treatment effect. </w:t>
      </w:r>
      <w:r w:rsidR="766AA799" w:rsidRPr="00276BCA">
        <w:rPr>
          <w:color w:val="auto"/>
        </w:rPr>
        <w:t xml:space="preserve">The evaluation </w:t>
      </w:r>
      <w:r w:rsidR="00FF27A8" w:rsidRPr="00276BCA">
        <w:rPr>
          <w:color w:val="auto"/>
        </w:rPr>
        <w:t xml:space="preserve">and the PBAC </w:t>
      </w:r>
      <w:r w:rsidR="5A06211E" w:rsidRPr="00276BCA">
        <w:rPr>
          <w:color w:val="auto"/>
        </w:rPr>
        <w:t>n</w:t>
      </w:r>
      <w:r w:rsidRPr="00276BCA">
        <w:rPr>
          <w:color w:val="auto"/>
        </w:rPr>
        <w:t>ot</w:t>
      </w:r>
      <w:r w:rsidR="5A06211E" w:rsidRPr="00276BCA">
        <w:rPr>
          <w:color w:val="auto"/>
        </w:rPr>
        <w:t>ed that</w:t>
      </w:r>
      <w:r w:rsidRPr="00276BCA">
        <w:rPr>
          <w:color w:val="auto"/>
        </w:rPr>
        <w:t xml:space="preserve"> the pooled analyses did not account for the heterogeneities across the trials. </w:t>
      </w:r>
      <w:r w:rsidR="006C5B4C" w:rsidRPr="00276BCA">
        <w:rPr>
          <w:color w:val="auto"/>
        </w:rPr>
        <w:fldChar w:fldCharType="begin"/>
      </w:r>
      <w:r w:rsidR="006C5B4C" w:rsidRPr="00276BCA">
        <w:rPr>
          <w:color w:val="auto"/>
        </w:rPr>
        <w:instrText xml:space="preserve"> REF _Ref184032937 \h </w:instrText>
      </w:r>
      <w:r w:rsidR="00A16C56" w:rsidRPr="00276BCA">
        <w:rPr>
          <w:color w:val="auto"/>
        </w:rPr>
        <w:instrText xml:space="preserve"> \* MERGEFORMAT </w:instrText>
      </w:r>
      <w:r w:rsidR="006C5B4C" w:rsidRPr="00276BCA">
        <w:rPr>
          <w:color w:val="auto"/>
        </w:rPr>
      </w:r>
      <w:r w:rsidR="006C5B4C" w:rsidRPr="00276BCA">
        <w:rPr>
          <w:color w:val="auto"/>
        </w:rPr>
        <w:fldChar w:fldCharType="separate"/>
      </w:r>
      <w:r w:rsidR="0011458F" w:rsidRPr="0011458F">
        <w:rPr>
          <w:color w:val="auto"/>
        </w:rPr>
        <w:t>Figure 5</w:t>
      </w:r>
      <w:r w:rsidR="006C5B4C" w:rsidRPr="00276BCA">
        <w:rPr>
          <w:color w:val="auto"/>
        </w:rPr>
        <w:fldChar w:fldCharType="end"/>
      </w:r>
      <w:r w:rsidR="049A5BB7" w:rsidRPr="00276BCA">
        <w:rPr>
          <w:color w:val="auto"/>
        </w:rPr>
        <w:t xml:space="preserve"> </w:t>
      </w:r>
      <w:r w:rsidRPr="00276BCA">
        <w:rPr>
          <w:color w:val="auto"/>
        </w:rPr>
        <w:t xml:space="preserve">and </w:t>
      </w:r>
      <w:r w:rsidR="00D25F71" w:rsidRPr="00276BCA">
        <w:rPr>
          <w:color w:val="auto"/>
        </w:rPr>
        <w:fldChar w:fldCharType="begin"/>
      </w:r>
      <w:r w:rsidR="00D25F71" w:rsidRPr="00276BCA">
        <w:rPr>
          <w:color w:val="auto"/>
        </w:rPr>
        <w:instrText xml:space="preserve"> REF _Ref184032927 \h </w:instrText>
      </w:r>
      <w:r w:rsidR="00A16C56" w:rsidRPr="00276BCA">
        <w:rPr>
          <w:color w:val="auto"/>
        </w:rPr>
        <w:instrText xml:space="preserve"> \* MERGEFORMAT </w:instrText>
      </w:r>
      <w:r w:rsidR="00D25F71" w:rsidRPr="00276BCA">
        <w:rPr>
          <w:color w:val="auto"/>
        </w:rPr>
      </w:r>
      <w:r w:rsidR="00D25F71" w:rsidRPr="00276BCA">
        <w:rPr>
          <w:color w:val="auto"/>
        </w:rPr>
        <w:fldChar w:fldCharType="separate"/>
      </w:r>
      <w:r w:rsidR="0011458F" w:rsidRPr="0011458F">
        <w:rPr>
          <w:color w:val="auto"/>
        </w:rPr>
        <w:t>Figure 6</w:t>
      </w:r>
      <w:r w:rsidR="00D25F71" w:rsidRPr="00276BCA">
        <w:rPr>
          <w:color w:val="auto"/>
        </w:rPr>
        <w:fldChar w:fldCharType="end"/>
      </w:r>
      <w:r w:rsidRPr="00276BCA">
        <w:rPr>
          <w:color w:val="auto"/>
        </w:rPr>
        <w:t xml:space="preserve"> </w:t>
      </w:r>
      <w:r w:rsidR="7A7EB84F" w:rsidRPr="00276BCA">
        <w:rPr>
          <w:color w:val="auto"/>
        </w:rPr>
        <w:t>summarise the pooled analysis for PFS</w:t>
      </w:r>
      <w:r w:rsidRPr="00276BCA">
        <w:rPr>
          <w:color w:val="auto"/>
        </w:rPr>
        <w:t xml:space="preserve"> and OS</w:t>
      </w:r>
      <w:r w:rsidR="7A7EB84F" w:rsidRPr="00276BCA">
        <w:rPr>
          <w:color w:val="auto"/>
        </w:rPr>
        <w:t xml:space="preserve"> of the </w:t>
      </w:r>
      <w:proofErr w:type="spellStart"/>
      <w:r w:rsidR="7A7EB84F" w:rsidRPr="00276BCA">
        <w:rPr>
          <w:color w:val="auto"/>
        </w:rPr>
        <w:t>zolbetuximab</w:t>
      </w:r>
      <w:proofErr w:type="spellEnd"/>
      <w:r w:rsidR="7A7EB84F" w:rsidRPr="00276BCA">
        <w:rPr>
          <w:color w:val="auto"/>
        </w:rPr>
        <w:t xml:space="preserve"> trials.</w:t>
      </w:r>
    </w:p>
    <w:p w14:paraId="6C95C439" w14:textId="3328F881" w:rsidR="00226446" w:rsidRPr="00276BCA" w:rsidRDefault="00226446" w:rsidP="00204461">
      <w:pPr>
        <w:pStyle w:val="Caption"/>
      </w:pPr>
      <w:bookmarkStart w:id="52" w:name="_Ref184032937"/>
      <w:r w:rsidRPr="00276BCA">
        <w:t xml:space="preserve">Figure </w:t>
      </w:r>
      <w:r w:rsidR="005E7C50">
        <w:fldChar w:fldCharType="begin"/>
      </w:r>
      <w:r w:rsidR="005E7C50">
        <w:instrText xml:space="preserve"> SEQ Figure_PBAC. \* ARABIC </w:instrText>
      </w:r>
      <w:r w:rsidR="005E7C50">
        <w:fldChar w:fldCharType="separate"/>
      </w:r>
      <w:r w:rsidR="0011458F">
        <w:rPr>
          <w:noProof/>
        </w:rPr>
        <w:t>5</w:t>
      </w:r>
      <w:r w:rsidR="005E7C50">
        <w:rPr>
          <w:noProof/>
        </w:rPr>
        <w:fldChar w:fldCharType="end"/>
      </w:r>
      <w:bookmarkEnd w:id="52"/>
      <w:r w:rsidR="00F1639D" w:rsidRPr="00276BCA">
        <w:t xml:space="preserve">: </w:t>
      </w:r>
      <w:r w:rsidRPr="00276BCA">
        <w:t>Pooled analysis for the PFS</w:t>
      </w:r>
      <w:r w:rsidR="5F3AB796" w:rsidRPr="00276BCA">
        <w:t xml:space="preserve"> </w:t>
      </w:r>
      <w:r w:rsidR="00A9282B" w:rsidRPr="00276BCA">
        <w:t>from SPOTLIGHT and GLOW trials</w:t>
      </w:r>
    </w:p>
    <w:p w14:paraId="06F79FB0" w14:textId="77777777" w:rsidR="00226446" w:rsidRPr="00276BCA" w:rsidRDefault="00226446" w:rsidP="00226446">
      <w:pPr>
        <w:pStyle w:val="InstructionalText"/>
        <w:spacing w:after="0"/>
        <w:rPr>
          <w:color w:val="auto"/>
        </w:rPr>
      </w:pPr>
      <w:r w:rsidRPr="00276BCA">
        <w:rPr>
          <w:noProof/>
          <w:color w:val="auto"/>
        </w:rPr>
        <w:drawing>
          <wp:inline distT="0" distB="0" distL="0" distR="0" wp14:anchorId="4F304805" wp14:editId="398F6C5A">
            <wp:extent cx="5718175" cy="2609850"/>
            <wp:effectExtent l="0" t="0" r="0" b="0"/>
            <wp:docPr id="1748686911" name="Picture 1" descr="Figure 5: Pooled analysis for the PFS from SPOTLIGHT and GLOW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86911" name="Picture 1" descr="Figure 5: Pooled analysis for the PFS from SPOTLIGHT and GLOW trials"/>
                    <pic:cNvPicPr>
                      <a:picLocks noChangeAspect="1"/>
                    </pic:cNvPicPr>
                  </pic:nvPicPr>
                  <pic:blipFill rotWithShape="1">
                    <a:blip r:embed="rId15"/>
                    <a:srcRect l="968" t="573" r="596" b="51060"/>
                    <a:stretch/>
                  </pic:blipFill>
                  <pic:spPr bwMode="auto">
                    <a:xfrm>
                      <a:off x="0" y="0"/>
                      <a:ext cx="5718175" cy="2609850"/>
                    </a:xfrm>
                    <a:prstGeom prst="rect">
                      <a:avLst/>
                    </a:prstGeom>
                    <a:ln>
                      <a:noFill/>
                    </a:ln>
                    <a:extLst>
                      <a:ext uri="{53640926-AAD7-44D8-BBD7-CCE9431645EC}">
                        <a14:shadowObscured xmlns:a14="http://schemas.microsoft.com/office/drawing/2010/main"/>
                      </a:ext>
                    </a:extLst>
                  </pic:spPr>
                </pic:pic>
              </a:graphicData>
            </a:graphic>
          </wp:inline>
        </w:drawing>
      </w:r>
    </w:p>
    <w:p w14:paraId="64B5CF11" w14:textId="77777777" w:rsidR="00226446" w:rsidRPr="00276BCA" w:rsidRDefault="00226446" w:rsidP="00226446">
      <w:pPr>
        <w:pStyle w:val="TableFooter"/>
      </w:pPr>
      <w:r w:rsidRPr="00276BCA">
        <w:t xml:space="preserve">Source: Figure 2-13, p129 of the submission. </w:t>
      </w:r>
    </w:p>
    <w:p w14:paraId="2DD5BEDB" w14:textId="3E2A548D" w:rsidR="00226446" w:rsidRPr="00276BCA" w:rsidRDefault="7A7EB84F" w:rsidP="00226446">
      <w:pPr>
        <w:pStyle w:val="TableFooter"/>
      </w:pPr>
      <w:r w:rsidRPr="00276BCA">
        <w:t xml:space="preserve">CI = confidence interval; </w:t>
      </w:r>
      <w:proofErr w:type="spellStart"/>
      <w:r w:rsidRPr="00276BCA">
        <w:t>mo</w:t>
      </w:r>
      <w:proofErr w:type="spellEnd"/>
      <w:r w:rsidRPr="00276BCA">
        <w:t xml:space="preserve"> = month</w:t>
      </w:r>
      <w:r w:rsidR="5A00C8BC" w:rsidRPr="00276BCA">
        <w:t>; PF = progression-free survival.</w:t>
      </w:r>
    </w:p>
    <w:p w14:paraId="7E6951D3" w14:textId="0426A487" w:rsidR="00D25F71" w:rsidRPr="00276BCA" w:rsidRDefault="00D25F71" w:rsidP="00204461">
      <w:pPr>
        <w:pStyle w:val="Caption"/>
      </w:pPr>
      <w:bookmarkStart w:id="53" w:name="_Ref184032927"/>
      <w:bookmarkStart w:id="54" w:name="_Ref184032899"/>
      <w:r w:rsidRPr="00276BCA">
        <w:lastRenderedPageBreak/>
        <w:t xml:space="preserve">Figure </w:t>
      </w:r>
      <w:r w:rsidR="005E7C50">
        <w:fldChar w:fldCharType="begin"/>
      </w:r>
      <w:r w:rsidR="005E7C50">
        <w:instrText xml:space="preserve"> SEQ Figure_PBAC. \* ARABIC </w:instrText>
      </w:r>
      <w:r w:rsidR="005E7C50">
        <w:fldChar w:fldCharType="separate"/>
      </w:r>
      <w:r w:rsidR="0011458F">
        <w:rPr>
          <w:noProof/>
        </w:rPr>
        <w:t>6</w:t>
      </w:r>
      <w:r w:rsidR="005E7C50">
        <w:rPr>
          <w:noProof/>
        </w:rPr>
        <w:fldChar w:fldCharType="end"/>
      </w:r>
      <w:bookmarkEnd w:id="53"/>
      <w:r w:rsidR="00F1639D" w:rsidRPr="00276BCA">
        <w:t xml:space="preserve">: </w:t>
      </w:r>
      <w:r w:rsidRPr="00276BCA">
        <w:t>Pooled analysis for the OS</w:t>
      </w:r>
      <w:r w:rsidR="4F517030" w:rsidRPr="00276BCA">
        <w:t xml:space="preserve"> </w:t>
      </w:r>
      <w:r w:rsidR="00A9282B" w:rsidRPr="00276BCA">
        <w:t xml:space="preserve">from </w:t>
      </w:r>
      <w:r w:rsidR="4F517030" w:rsidRPr="00276BCA">
        <w:t>SPOTLIGHT and GLOW</w:t>
      </w:r>
      <w:r w:rsidR="00A9282B" w:rsidRPr="00276BCA">
        <w:t xml:space="preserve"> trials</w:t>
      </w:r>
      <w:bookmarkEnd w:id="54"/>
    </w:p>
    <w:p w14:paraId="29750F01" w14:textId="77777777" w:rsidR="00D25F71" w:rsidRPr="00276BCA" w:rsidRDefault="00D25F71" w:rsidP="00D25F71">
      <w:pPr>
        <w:pStyle w:val="InstructionalText"/>
        <w:spacing w:after="0"/>
        <w:rPr>
          <w:color w:val="auto"/>
        </w:rPr>
      </w:pPr>
      <w:r w:rsidRPr="00276BCA">
        <w:rPr>
          <w:noProof/>
          <w:color w:val="auto"/>
        </w:rPr>
        <w:drawing>
          <wp:inline distT="0" distB="0" distL="0" distR="0" wp14:anchorId="19062149" wp14:editId="4DFC4822">
            <wp:extent cx="5718175" cy="2807335"/>
            <wp:effectExtent l="0" t="0" r="0" b="0"/>
            <wp:docPr id="245729252" name="Picture 1" descr="Figure 6: Pooled analysis for the OS from SPOTLIGHT and GLOW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29252" name="Picture 1" descr="Figure 6: Pooled analysis for the OS from SPOTLIGHT and GLOW trials"/>
                    <pic:cNvPicPr>
                      <a:picLocks noChangeAspect="1"/>
                    </pic:cNvPicPr>
                  </pic:nvPicPr>
                  <pic:blipFill rotWithShape="1">
                    <a:blip r:embed="rId15"/>
                    <a:srcRect l="968" t="49449" r="596" b="532"/>
                    <a:stretch/>
                  </pic:blipFill>
                  <pic:spPr bwMode="auto">
                    <a:xfrm>
                      <a:off x="0" y="0"/>
                      <a:ext cx="5718175" cy="2807335"/>
                    </a:xfrm>
                    <a:prstGeom prst="rect">
                      <a:avLst/>
                    </a:prstGeom>
                    <a:ln>
                      <a:noFill/>
                    </a:ln>
                    <a:extLst>
                      <a:ext uri="{53640926-AAD7-44D8-BBD7-CCE9431645EC}">
                        <a14:shadowObscured xmlns:a14="http://schemas.microsoft.com/office/drawing/2010/main"/>
                      </a:ext>
                    </a:extLst>
                  </pic:spPr>
                </pic:pic>
              </a:graphicData>
            </a:graphic>
          </wp:inline>
        </w:drawing>
      </w:r>
    </w:p>
    <w:p w14:paraId="0ACD5CE1" w14:textId="77777777" w:rsidR="00D25F71" w:rsidRPr="00276BCA" w:rsidRDefault="00D25F71" w:rsidP="00D25F71">
      <w:pPr>
        <w:pStyle w:val="TableFooter"/>
      </w:pPr>
      <w:r w:rsidRPr="00276BCA">
        <w:t xml:space="preserve">Source: Figure 2-13, p129 of the submission. </w:t>
      </w:r>
    </w:p>
    <w:p w14:paraId="7C079ED0" w14:textId="51A3B086" w:rsidR="00226446" w:rsidRPr="00276BCA" w:rsidRDefault="5A00C8BC" w:rsidP="005B7588">
      <w:pPr>
        <w:pStyle w:val="TableFooter"/>
        <w:spacing w:after="120"/>
      </w:pPr>
      <w:r w:rsidRPr="00276BCA">
        <w:t xml:space="preserve">CI = confidence interval; </w:t>
      </w:r>
      <w:proofErr w:type="spellStart"/>
      <w:r w:rsidRPr="00276BCA">
        <w:t>mo</w:t>
      </w:r>
      <w:proofErr w:type="spellEnd"/>
      <w:r w:rsidRPr="00276BCA">
        <w:t xml:space="preserve"> = month; OS = overall survival.</w:t>
      </w:r>
    </w:p>
    <w:p w14:paraId="63731513" w14:textId="241A94CB" w:rsidR="00F76AC7" w:rsidRPr="00276BCA" w:rsidRDefault="3130CB4A" w:rsidP="77D89277">
      <w:pPr>
        <w:pStyle w:val="ListParagraph"/>
        <w:numPr>
          <w:ilvl w:val="4"/>
          <w:numId w:val="8"/>
        </w:numPr>
        <w:rPr>
          <w:color w:val="auto"/>
        </w:rPr>
      </w:pPr>
      <w:r w:rsidRPr="00276BCA">
        <w:rPr>
          <w:color w:val="auto"/>
        </w:rPr>
        <w:t>An independent search</w:t>
      </w:r>
      <w:r w:rsidR="5A06211E" w:rsidRPr="00276BCA">
        <w:rPr>
          <w:color w:val="auto"/>
        </w:rPr>
        <w:t xml:space="preserve"> conducted by the evaluation</w:t>
      </w:r>
      <w:r w:rsidRPr="00276BCA">
        <w:rPr>
          <w:color w:val="auto"/>
        </w:rPr>
        <w:t xml:space="preserve"> located a meta-analysis of </w:t>
      </w:r>
      <w:r w:rsidR="17995ABA" w:rsidRPr="00276BCA">
        <w:rPr>
          <w:color w:val="auto"/>
        </w:rPr>
        <w:t xml:space="preserve">the </w:t>
      </w:r>
      <w:r w:rsidR="1B0B0F5E" w:rsidRPr="00276BCA">
        <w:rPr>
          <w:color w:val="auto"/>
        </w:rPr>
        <w:t xml:space="preserve">SPOTLIGHT, GLOW and FAST trials </w:t>
      </w:r>
      <w:r w:rsidRPr="00276BCA">
        <w:rPr>
          <w:color w:val="auto"/>
        </w:rPr>
        <w:t xml:space="preserve">evaluating </w:t>
      </w:r>
      <w:proofErr w:type="spellStart"/>
      <w:r w:rsidRPr="00276BCA">
        <w:rPr>
          <w:color w:val="auto"/>
        </w:rPr>
        <w:t>zolbetuximab</w:t>
      </w:r>
      <w:proofErr w:type="spellEnd"/>
      <w:r w:rsidRPr="00276BCA">
        <w:rPr>
          <w:color w:val="auto"/>
        </w:rPr>
        <w:t xml:space="preserve"> </w:t>
      </w:r>
      <w:r w:rsidR="4A8CEF09" w:rsidRPr="00276BCA">
        <w:rPr>
          <w:color w:val="auto"/>
        </w:rPr>
        <w:t>+</w:t>
      </w:r>
      <w:r w:rsidRPr="00276BCA">
        <w:rPr>
          <w:color w:val="auto"/>
        </w:rPr>
        <w:t xml:space="preserve"> chemotherapy </w:t>
      </w:r>
      <w:r w:rsidR="62F6B774" w:rsidRPr="00276BCA">
        <w:rPr>
          <w:color w:val="auto"/>
        </w:rPr>
        <w:t>compared to chemotherapy alone</w:t>
      </w:r>
      <w:r w:rsidR="00867D83" w:rsidRPr="00276BCA">
        <w:rPr>
          <w:rStyle w:val="FootnoteReference"/>
          <w:color w:val="auto"/>
        </w:rPr>
        <w:footnoteReference w:id="11"/>
      </w:r>
      <w:r w:rsidRPr="00276BCA">
        <w:rPr>
          <w:color w:val="auto"/>
        </w:rPr>
        <w:t xml:space="preserve">. </w:t>
      </w:r>
      <w:r w:rsidR="5A06211E" w:rsidRPr="00276BCA">
        <w:rPr>
          <w:color w:val="auto"/>
        </w:rPr>
        <w:t xml:space="preserve">The evaluation </w:t>
      </w:r>
      <w:r w:rsidR="12FD9E4D" w:rsidRPr="00276BCA">
        <w:rPr>
          <w:color w:val="auto"/>
        </w:rPr>
        <w:t xml:space="preserve">noted </w:t>
      </w:r>
      <w:r w:rsidR="5A06211E" w:rsidRPr="00276BCA">
        <w:rPr>
          <w:color w:val="auto"/>
        </w:rPr>
        <w:t>that t</w:t>
      </w:r>
      <w:r w:rsidRPr="00276BCA">
        <w:rPr>
          <w:color w:val="auto"/>
        </w:rPr>
        <w:t xml:space="preserve">his meta-analysis demonstrated that the addition of </w:t>
      </w:r>
      <w:proofErr w:type="spellStart"/>
      <w:r w:rsidRPr="00276BCA">
        <w:rPr>
          <w:color w:val="auto"/>
        </w:rPr>
        <w:t>zolbetuximab</w:t>
      </w:r>
      <w:proofErr w:type="spellEnd"/>
      <w:r w:rsidRPr="00276BCA">
        <w:rPr>
          <w:color w:val="auto"/>
        </w:rPr>
        <w:t xml:space="preserve"> to chemotherapy was associated with a significant improvement in PFS (HR: 0.64; 95% CI: 0.49, 0.84) and OS (HR: 0.72; 95% CI: 0.62, 0.83).</w:t>
      </w:r>
      <w:r w:rsidR="3F49ABDE" w:rsidRPr="00276BCA">
        <w:rPr>
          <w:color w:val="auto"/>
        </w:rPr>
        <w:t xml:space="preserve"> </w:t>
      </w:r>
    </w:p>
    <w:p w14:paraId="5463A831" w14:textId="5F32C06F" w:rsidR="001104B0" w:rsidRPr="00276BCA" w:rsidRDefault="00B92855" w:rsidP="77D89277">
      <w:pPr>
        <w:pStyle w:val="ListParagraph"/>
        <w:numPr>
          <w:ilvl w:val="4"/>
          <w:numId w:val="8"/>
        </w:numPr>
        <w:rPr>
          <w:color w:val="auto"/>
        </w:rPr>
      </w:pPr>
      <w:bookmarkStart w:id="55" w:name="_Ref184119250"/>
      <w:r w:rsidRPr="00276BCA">
        <w:rPr>
          <w:color w:val="auto"/>
        </w:rPr>
        <w:t>The submission excluded the FAST trial due to differences in the trial setting, such as the CLDN18.2 positivity threshold (≥40% tumour cells), the chemotherapy regimen used (</w:t>
      </w:r>
      <w:proofErr w:type="spellStart"/>
      <w:r w:rsidRPr="00276BCA">
        <w:rPr>
          <w:color w:val="auto"/>
        </w:rPr>
        <w:t>epirubicin</w:t>
      </w:r>
      <w:proofErr w:type="spellEnd"/>
      <w:r w:rsidRPr="00276BCA">
        <w:rPr>
          <w:color w:val="auto"/>
        </w:rPr>
        <w:t xml:space="preserve"> + oxaliplatin + capecitabine [EOX]) and inclusion of patients with oesophageal adenocarcinoma, compared to the SPOTLIGHT and GLOW trials. </w:t>
      </w:r>
      <w:r w:rsidR="001141A2" w:rsidRPr="00276BCA">
        <w:rPr>
          <w:color w:val="auto"/>
        </w:rPr>
        <w:t>The evaluation noted that t</w:t>
      </w:r>
      <w:r w:rsidR="001104B0" w:rsidRPr="00276BCA">
        <w:rPr>
          <w:color w:val="auto"/>
        </w:rPr>
        <w:t>he FAST trial</w:t>
      </w:r>
      <w:r w:rsidR="00BA4764" w:rsidRPr="00276BCA">
        <w:rPr>
          <w:color w:val="auto"/>
        </w:rPr>
        <w:t xml:space="preserve"> (N=252)</w:t>
      </w:r>
      <w:r w:rsidR="001104B0" w:rsidRPr="00276BCA">
        <w:rPr>
          <w:color w:val="auto"/>
        </w:rPr>
        <w:t xml:space="preserve"> was a phase II study designed to assess the efficacy and tolerability of </w:t>
      </w:r>
      <w:proofErr w:type="spellStart"/>
      <w:r w:rsidR="001104B0" w:rsidRPr="00276BCA">
        <w:rPr>
          <w:color w:val="auto"/>
        </w:rPr>
        <w:t>zolbetuximab</w:t>
      </w:r>
      <w:proofErr w:type="spellEnd"/>
      <w:r w:rsidR="001104B0" w:rsidRPr="00276BCA">
        <w:rPr>
          <w:color w:val="auto"/>
        </w:rPr>
        <w:t xml:space="preserve"> in patients with advanced G/GOJ and oesophageal adenocarcinoma, who had moderate-to-strong CLDN18.2 expression in ≥40% tumour cells</w:t>
      </w:r>
      <w:r w:rsidR="00CA0DAE" w:rsidRPr="00276BCA">
        <w:rPr>
          <w:color w:val="auto"/>
        </w:rPr>
        <w:t xml:space="preserve"> (Sahin et al., 2021)</w:t>
      </w:r>
      <w:r w:rsidR="001104B0" w:rsidRPr="00276BCA">
        <w:rPr>
          <w:color w:val="auto"/>
        </w:rPr>
        <w:t xml:space="preserve">. In patients with CLDN18.2 expression in ≥70% of tumour cells, significant improvement in PFS </w:t>
      </w:r>
      <w:r w:rsidR="00500213" w:rsidRPr="00276BCA">
        <w:rPr>
          <w:color w:val="auto"/>
        </w:rPr>
        <w:t>(HR = 0.38; 95% CI: 0.23, 0.62)</w:t>
      </w:r>
      <w:r w:rsidR="00BD2CF2" w:rsidRPr="00276BCA">
        <w:rPr>
          <w:color w:val="auto"/>
        </w:rPr>
        <w:t xml:space="preserve"> </w:t>
      </w:r>
      <w:r w:rsidR="001104B0" w:rsidRPr="00276BCA">
        <w:rPr>
          <w:color w:val="auto"/>
        </w:rPr>
        <w:t xml:space="preserve">and OS </w:t>
      </w:r>
      <w:r w:rsidR="00BD2CF2" w:rsidRPr="00276BCA">
        <w:rPr>
          <w:color w:val="auto"/>
        </w:rPr>
        <w:t>(HR = 0.</w:t>
      </w:r>
      <w:r w:rsidR="000C7704" w:rsidRPr="00276BCA">
        <w:rPr>
          <w:color w:val="auto"/>
        </w:rPr>
        <w:t>50</w:t>
      </w:r>
      <w:r w:rsidR="00BD2CF2" w:rsidRPr="00276BCA">
        <w:rPr>
          <w:color w:val="auto"/>
        </w:rPr>
        <w:t>; 95% CI</w:t>
      </w:r>
      <w:r w:rsidR="000C7704" w:rsidRPr="00276BCA">
        <w:rPr>
          <w:color w:val="auto"/>
        </w:rPr>
        <w:t>:</w:t>
      </w:r>
      <w:r w:rsidR="00BD2CF2" w:rsidRPr="00276BCA">
        <w:rPr>
          <w:color w:val="auto"/>
        </w:rPr>
        <w:t xml:space="preserve"> 0.</w:t>
      </w:r>
      <w:r w:rsidR="000C7704" w:rsidRPr="00276BCA">
        <w:rPr>
          <w:color w:val="auto"/>
        </w:rPr>
        <w:t xml:space="preserve">33, 0.74) </w:t>
      </w:r>
      <w:r w:rsidR="001104B0" w:rsidRPr="00276BCA">
        <w:rPr>
          <w:color w:val="auto"/>
        </w:rPr>
        <w:t xml:space="preserve">was observed with </w:t>
      </w:r>
      <w:proofErr w:type="spellStart"/>
      <w:r w:rsidR="001104B0" w:rsidRPr="00276BCA">
        <w:rPr>
          <w:color w:val="auto"/>
        </w:rPr>
        <w:t>zolbetuximab</w:t>
      </w:r>
      <w:proofErr w:type="spellEnd"/>
      <w:r w:rsidR="001104B0" w:rsidRPr="00276BCA">
        <w:rPr>
          <w:color w:val="auto"/>
        </w:rPr>
        <w:t xml:space="preserve"> + chemotherapy compared to chemotherapy alone. However, patients with 40%-69% CLDN18.2 expression did not demonstrate significant differences between the two arms</w:t>
      </w:r>
      <w:r w:rsidR="000C7704" w:rsidRPr="00276BCA">
        <w:rPr>
          <w:color w:val="auto"/>
        </w:rPr>
        <w:t xml:space="preserve"> (PFS HR of 0.71; 95 CI: 0.32, 1.57 and OS HR of 0.78; 95% CI: 0.40, 1.49)</w:t>
      </w:r>
      <w:r w:rsidR="001104B0" w:rsidRPr="00276BCA">
        <w:rPr>
          <w:color w:val="auto"/>
        </w:rPr>
        <w:t>.</w:t>
      </w:r>
      <w:bookmarkEnd w:id="55"/>
    </w:p>
    <w:p w14:paraId="67193ED3" w14:textId="09B521A9" w:rsidR="00315744" w:rsidRPr="00276BCA" w:rsidRDefault="00315744" w:rsidP="00315744">
      <w:pPr>
        <w:ind w:left="720" w:hanging="720"/>
        <w:rPr>
          <w:b/>
        </w:rPr>
      </w:pPr>
      <w:r w:rsidRPr="00276BCA">
        <w:rPr>
          <w:b/>
        </w:rPr>
        <w:lastRenderedPageBreak/>
        <w:t>Network Meta-Analysis</w:t>
      </w:r>
    </w:p>
    <w:p w14:paraId="71E7BC24" w14:textId="2ACB59BA" w:rsidR="00A4295D" w:rsidRPr="00276BCA" w:rsidRDefault="00A4295D" w:rsidP="008E424C">
      <w:pPr>
        <w:pStyle w:val="ListParagraph"/>
        <w:numPr>
          <w:ilvl w:val="4"/>
          <w:numId w:val="8"/>
        </w:numPr>
        <w:rPr>
          <w:color w:val="auto"/>
        </w:rPr>
      </w:pPr>
      <w:r w:rsidRPr="00276BCA">
        <w:rPr>
          <w:color w:val="auto"/>
        </w:rPr>
        <w:t>The NMA report</w:t>
      </w:r>
      <w:r w:rsidR="005A465E" w:rsidRPr="00276BCA">
        <w:rPr>
          <w:color w:val="auto"/>
        </w:rPr>
        <w:t xml:space="preserve"> included in the submission presented</w:t>
      </w:r>
      <w:r w:rsidRPr="00276BCA" w:rsidDel="005A465E">
        <w:rPr>
          <w:color w:val="auto"/>
        </w:rPr>
        <w:t xml:space="preserve"> </w:t>
      </w:r>
      <w:r w:rsidRPr="00276BCA">
        <w:rPr>
          <w:color w:val="auto"/>
        </w:rPr>
        <w:t xml:space="preserve">several </w:t>
      </w:r>
      <w:r w:rsidR="00890BF5" w:rsidRPr="00276BCA">
        <w:rPr>
          <w:color w:val="auto"/>
        </w:rPr>
        <w:t>NMAs</w:t>
      </w:r>
      <w:r w:rsidRPr="00276BCA">
        <w:rPr>
          <w:color w:val="auto"/>
        </w:rPr>
        <w:t xml:space="preserve"> exploring different scenarios. The following analyses, relevant to the scope of this submission, are discussed </w:t>
      </w:r>
      <w:r w:rsidR="00D93BF0" w:rsidRPr="00276BCA">
        <w:rPr>
          <w:color w:val="auto"/>
        </w:rPr>
        <w:t>below</w:t>
      </w:r>
      <w:r w:rsidRPr="00276BCA">
        <w:rPr>
          <w:color w:val="auto"/>
        </w:rPr>
        <w:t>:</w:t>
      </w:r>
    </w:p>
    <w:p w14:paraId="6229B061" w14:textId="562EE95E" w:rsidR="00A4295D" w:rsidRPr="00276BCA" w:rsidRDefault="15138933" w:rsidP="77D89277">
      <w:pPr>
        <w:pStyle w:val="PBACESParagraphBulletPoint"/>
        <w:rPr>
          <w:color w:val="auto"/>
        </w:rPr>
      </w:pPr>
      <w:r w:rsidRPr="00276BCA">
        <w:rPr>
          <w:color w:val="auto"/>
        </w:rPr>
        <w:t>Primary NMA: This analysis included all trials identified in the systematic review. Notably,</w:t>
      </w:r>
      <w:r w:rsidR="109B66BE" w:rsidRPr="00276BCA">
        <w:rPr>
          <w:color w:val="auto"/>
        </w:rPr>
        <w:t xml:space="preserve"> </w:t>
      </w:r>
      <w:r w:rsidRPr="00276BCA">
        <w:rPr>
          <w:color w:val="auto"/>
        </w:rPr>
        <w:t>there was no common comparator across all included trials; instead, the trials were connected through different comparators.</w:t>
      </w:r>
    </w:p>
    <w:p w14:paraId="74606A74" w14:textId="77777777" w:rsidR="00A4295D" w:rsidRPr="00276BCA" w:rsidRDefault="00A4295D" w:rsidP="00A4295D">
      <w:pPr>
        <w:pStyle w:val="PBACESParagraphBulletPoint"/>
        <w:rPr>
          <w:color w:val="auto"/>
        </w:rPr>
      </w:pPr>
      <w:r w:rsidRPr="00276BCA">
        <w:rPr>
          <w:color w:val="auto"/>
        </w:rPr>
        <w:t>Primary NMA using CAPOX and FOLFOX combined: In this analysis, CAPOX and FOLFOX were assumed to have equivalent efficacy, enhancing the stability of the network.</w:t>
      </w:r>
    </w:p>
    <w:p w14:paraId="31E0CF97" w14:textId="77777777" w:rsidR="00A4295D" w:rsidRPr="00276BCA" w:rsidRDefault="00A4295D" w:rsidP="00A4295D">
      <w:pPr>
        <w:pStyle w:val="PBACESParagraphBulletPoint"/>
        <w:rPr>
          <w:color w:val="auto"/>
        </w:rPr>
      </w:pPr>
      <w:r w:rsidRPr="00276BCA">
        <w:rPr>
          <w:color w:val="auto"/>
        </w:rPr>
        <w:t>Sensitivity analysis including global trials using CAPOX and FOLFOX combined: Given that results from Asian populations may not be fully generalisable to the USA or Europe, this analysis excluded trials conducted solely in Asian population.</w:t>
      </w:r>
    </w:p>
    <w:p w14:paraId="7E6C127B" w14:textId="34217391" w:rsidR="00A4295D" w:rsidRPr="00276BCA" w:rsidRDefault="00353178" w:rsidP="008E424C">
      <w:pPr>
        <w:pStyle w:val="ListParagraph"/>
        <w:numPr>
          <w:ilvl w:val="4"/>
          <w:numId w:val="8"/>
        </w:numPr>
        <w:rPr>
          <w:color w:val="auto"/>
        </w:rPr>
      </w:pPr>
      <w:r w:rsidRPr="00276BCA">
        <w:rPr>
          <w:color w:val="auto"/>
        </w:rPr>
        <w:fldChar w:fldCharType="begin"/>
      </w:r>
      <w:r w:rsidRPr="00276BCA">
        <w:rPr>
          <w:color w:val="auto"/>
        </w:rPr>
        <w:instrText xml:space="preserve"> REF _Ref184114111 \h </w:instrText>
      </w:r>
      <w:r w:rsidR="00907075" w:rsidRPr="00276BCA">
        <w:rPr>
          <w:color w:val="auto"/>
        </w:rPr>
        <w:instrText xml:space="preserve"> \* MERGEFORMAT </w:instrText>
      </w:r>
      <w:r w:rsidRPr="00276BCA">
        <w:rPr>
          <w:color w:val="auto"/>
        </w:rPr>
      </w:r>
      <w:r w:rsidRPr="00276BCA">
        <w:rPr>
          <w:color w:val="auto"/>
        </w:rPr>
        <w:fldChar w:fldCharType="separate"/>
      </w:r>
      <w:r w:rsidR="0011458F" w:rsidRPr="00276BCA">
        <w:t xml:space="preserve">Table </w:t>
      </w:r>
      <w:r w:rsidR="0011458F">
        <w:t>8</w:t>
      </w:r>
      <w:r w:rsidRPr="00276BCA">
        <w:rPr>
          <w:color w:val="auto"/>
        </w:rPr>
        <w:fldChar w:fldCharType="end"/>
      </w:r>
      <w:r w:rsidR="008241B3" w:rsidRPr="00276BCA">
        <w:rPr>
          <w:color w:val="auto"/>
        </w:rPr>
        <w:t xml:space="preserve"> summarises the results of the</w:t>
      </w:r>
      <w:r w:rsidR="0030212E" w:rsidRPr="00276BCA">
        <w:rPr>
          <w:color w:val="auto"/>
        </w:rPr>
        <w:t xml:space="preserve"> N</w:t>
      </w:r>
      <w:r w:rsidR="00DF0930" w:rsidRPr="00276BCA">
        <w:rPr>
          <w:color w:val="auto"/>
        </w:rPr>
        <w:t xml:space="preserve">MA </w:t>
      </w:r>
      <w:r w:rsidR="008241B3" w:rsidRPr="00276BCA">
        <w:rPr>
          <w:color w:val="auto"/>
        </w:rPr>
        <w:t xml:space="preserve">for PFS and OS between </w:t>
      </w:r>
      <w:proofErr w:type="spellStart"/>
      <w:r w:rsidR="008241B3" w:rsidRPr="00276BCA">
        <w:rPr>
          <w:color w:val="auto"/>
        </w:rPr>
        <w:t>zolbetuximab</w:t>
      </w:r>
      <w:proofErr w:type="spellEnd"/>
      <w:r w:rsidR="008241B3" w:rsidRPr="00276BCA">
        <w:rPr>
          <w:color w:val="auto"/>
        </w:rPr>
        <w:t xml:space="preserve"> and nivolumab. </w:t>
      </w:r>
    </w:p>
    <w:p w14:paraId="20E93D30" w14:textId="6060CE10" w:rsidR="008241B3" w:rsidRPr="00276BCA" w:rsidRDefault="5C984AEB" w:rsidP="00204461">
      <w:pPr>
        <w:pStyle w:val="Caption"/>
      </w:pPr>
      <w:bookmarkStart w:id="56" w:name="_Ref184114111"/>
      <w:r w:rsidRPr="00276BCA">
        <w:t xml:space="preserve">Table </w:t>
      </w:r>
      <w:r w:rsidR="005E7C50">
        <w:fldChar w:fldCharType="begin"/>
      </w:r>
      <w:r w:rsidR="005E7C50">
        <w:instrText xml:space="preserve"> SEQ Table_PBAC. \* ARABIC </w:instrText>
      </w:r>
      <w:r w:rsidR="005E7C50">
        <w:fldChar w:fldCharType="separate"/>
      </w:r>
      <w:r w:rsidR="0011458F">
        <w:rPr>
          <w:noProof/>
        </w:rPr>
        <w:t>8</w:t>
      </w:r>
      <w:r w:rsidR="005E7C50">
        <w:rPr>
          <w:noProof/>
        </w:rPr>
        <w:fldChar w:fldCharType="end"/>
      </w:r>
      <w:bookmarkEnd w:id="56"/>
      <w:r w:rsidR="00F1639D" w:rsidRPr="00276BCA">
        <w:t xml:space="preserve">: </w:t>
      </w:r>
      <w:r w:rsidRPr="00276BCA">
        <w:t xml:space="preserve">Results of the pairwise treatment comparison for PFS and OS between </w:t>
      </w:r>
      <w:proofErr w:type="spellStart"/>
      <w:r w:rsidRPr="00276BCA">
        <w:t>zolbetuximab</w:t>
      </w:r>
      <w:proofErr w:type="spellEnd"/>
      <w:r w:rsidRPr="00276BCA">
        <w:t xml:space="preserve"> versus nivolumab in the NMA (HR; 95% </w:t>
      </w:r>
      <w:proofErr w:type="spellStart"/>
      <w:r w:rsidRPr="00276BCA">
        <w:t>CrI</w:t>
      </w:r>
      <w:proofErr w:type="spellEnd"/>
      <w:r w:rsidRPr="00276BCA">
        <w:t>)</w:t>
      </w:r>
    </w:p>
    <w:tbl>
      <w:tblPr>
        <w:tblStyle w:val="TableSimple1"/>
        <w:tblW w:w="5000" w:type="pct"/>
        <w:tblBorders>
          <w:left w:val="single" w:sz="4" w:space="0" w:color="auto"/>
          <w:right w:val="single" w:sz="4" w:space="0" w:color="auto"/>
          <w:insideV w:val="single" w:sz="4" w:space="0" w:color="auto"/>
        </w:tblBorders>
        <w:tblLook w:val="04A0" w:firstRow="1" w:lastRow="0" w:firstColumn="1" w:lastColumn="0" w:noHBand="0" w:noVBand="1"/>
        <w:tblCaption w:val="Table 8: Results of the pairwise treatment comparison for PFS and OS between zolbetuximab versus nivolumab in the NMA (HR; 95% CrI)"/>
      </w:tblPr>
      <w:tblGrid>
        <w:gridCol w:w="2426"/>
        <w:gridCol w:w="1455"/>
        <w:gridCol w:w="1500"/>
        <w:gridCol w:w="1655"/>
        <w:gridCol w:w="1980"/>
      </w:tblGrid>
      <w:tr w:rsidR="00E41328" w:rsidRPr="00276BCA" w14:paraId="2F898080" w14:textId="77777777" w:rsidTr="77D89277">
        <w:trPr>
          <w:cnfStyle w:val="100000000000" w:firstRow="1" w:lastRow="0" w:firstColumn="0" w:lastColumn="0" w:oddVBand="0" w:evenVBand="0" w:oddHBand="0" w:evenHBand="0" w:firstRowFirstColumn="0" w:firstRowLastColumn="0" w:lastRowFirstColumn="0" w:lastRowLastColumn="0"/>
        </w:trPr>
        <w:tc>
          <w:tcPr>
            <w:tcW w:w="1345" w:type="pct"/>
            <w:vAlign w:val="center"/>
          </w:tcPr>
          <w:p w14:paraId="19034265" w14:textId="77777777" w:rsidR="008241B3" w:rsidRPr="00276BCA" w:rsidRDefault="008241B3" w:rsidP="00010C83">
            <w:pPr>
              <w:keepNext/>
              <w:keepLines/>
              <w:widowControl w:val="0"/>
              <w:spacing w:before="0"/>
              <w:jc w:val="left"/>
              <w:rPr>
                <w:sz w:val="20"/>
              </w:rPr>
            </w:pPr>
          </w:p>
        </w:tc>
        <w:tc>
          <w:tcPr>
            <w:tcW w:w="807" w:type="pct"/>
            <w:vAlign w:val="center"/>
          </w:tcPr>
          <w:p w14:paraId="2D16CF0B" w14:textId="77777777" w:rsidR="008241B3" w:rsidRPr="00276BCA" w:rsidRDefault="008241B3" w:rsidP="00010C83">
            <w:pPr>
              <w:keepNext/>
              <w:keepLines/>
              <w:widowControl w:val="0"/>
              <w:spacing w:before="0"/>
              <w:jc w:val="center"/>
              <w:rPr>
                <w:b/>
                <w:sz w:val="20"/>
              </w:rPr>
            </w:pPr>
            <w:r w:rsidRPr="00276BCA">
              <w:rPr>
                <w:b/>
                <w:sz w:val="20"/>
              </w:rPr>
              <w:t>ZOLBE+</w:t>
            </w:r>
          </w:p>
          <w:p w14:paraId="5F11B53B" w14:textId="6F5C7659" w:rsidR="008241B3" w:rsidRPr="00276BCA" w:rsidRDefault="008241B3" w:rsidP="00010C83">
            <w:pPr>
              <w:keepNext/>
              <w:keepLines/>
              <w:widowControl w:val="0"/>
              <w:spacing w:before="0"/>
              <w:jc w:val="center"/>
              <w:rPr>
                <w:b/>
                <w:sz w:val="20"/>
              </w:rPr>
            </w:pPr>
            <w:r w:rsidRPr="00276BCA">
              <w:rPr>
                <w:b/>
                <w:sz w:val="20"/>
              </w:rPr>
              <w:t>mFOLFOX6</w:t>
            </w:r>
            <w:r w:rsidR="0088643C" w:rsidRPr="00276BCA">
              <w:rPr>
                <w:b/>
                <w:sz w:val="20"/>
                <w:vertAlign w:val="superscript"/>
              </w:rPr>
              <w:t>a</w:t>
            </w:r>
          </w:p>
        </w:tc>
        <w:tc>
          <w:tcPr>
            <w:tcW w:w="832" w:type="pct"/>
            <w:vAlign w:val="center"/>
          </w:tcPr>
          <w:p w14:paraId="45628947" w14:textId="77777777" w:rsidR="008241B3" w:rsidRPr="00276BCA" w:rsidRDefault="008241B3" w:rsidP="00010C83">
            <w:pPr>
              <w:keepNext/>
              <w:keepLines/>
              <w:widowControl w:val="0"/>
              <w:spacing w:before="0"/>
              <w:jc w:val="center"/>
              <w:rPr>
                <w:b/>
                <w:sz w:val="20"/>
              </w:rPr>
            </w:pPr>
            <w:r w:rsidRPr="00276BCA">
              <w:rPr>
                <w:b/>
                <w:sz w:val="20"/>
              </w:rPr>
              <w:t>ZOLBE+</w:t>
            </w:r>
          </w:p>
          <w:p w14:paraId="70393165" w14:textId="02115B50" w:rsidR="008241B3" w:rsidRPr="00276BCA" w:rsidRDefault="074A3595" w:rsidP="77D89277">
            <w:pPr>
              <w:keepNext/>
              <w:keepLines/>
              <w:widowControl w:val="0"/>
              <w:spacing w:before="0"/>
              <w:jc w:val="center"/>
              <w:rPr>
                <w:b/>
                <w:bCs/>
                <w:sz w:val="20"/>
              </w:rPr>
            </w:pPr>
            <w:proofErr w:type="spellStart"/>
            <w:r w:rsidRPr="00276BCA">
              <w:rPr>
                <w:b/>
                <w:bCs/>
                <w:sz w:val="20"/>
              </w:rPr>
              <w:t>CAPOX</w:t>
            </w:r>
            <w:r w:rsidR="1B287718" w:rsidRPr="00276BCA">
              <w:rPr>
                <w:b/>
                <w:bCs/>
                <w:sz w:val="20"/>
                <w:vertAlign w:val="superscript"/>
              </w:rPr>
              <w:t>b</w:t>
            </w:r>
            <w:proofErr w:type="spellEnd"/>
          </w:p>
        </w:tc>
        <w:tc>
          <w:tcPr>
            <w:tcW w:w="918" w:type="pct"/>
            <w:vAlign w:val="center"/>
          </w:tcPr>
          <w:p w14:paraId="5D28F044" w14:textId="77777777" w:rsidR="008241B3" w:rsidRPr="00276BCA" w:rsidRDefault="008241B3" w:rsidP="00010C83">
            <w:pPr>
              <w:keepNext/>
              <w:keepLines/>
              <w:widowControl w:val="0"/>
              <w:spacing w:before="0"/>
              <w:jc w:val="center"/>
              <w:rPr>
                <w:b/>
                <w:sz w:val="20"/>
              </w:rPr>
            </w:pPr>
            <w:r w:rsidRPr="00276BCA">
              <w:rPr>
                <w:b/>
                <w:sz w:val="20"/>
              </w:rPr>
              <w:t>ZOLBE+</w:t>
            </w:r>
          </w:p>
          <w:p w14:paraId="1ED62F25" w14:textId="77777777" w:rsidR="00FE1C68" w:rsidRPr="00276BCA" w:rsidRDefault="008241B3" w:rsidP="00010C83">
            <w:pPr>
              <w:keepNext/>
              <w:keepLines/>
              <w:widowControl w:val="0"/>
              <w:spacing w:before="0"/>
              <w:jc w:val="center"/>
              <w:rPr>
                <w:b/>
                <w:sz w:val="20"/>
              </w:rPr>
            </w:pPr>
            <w:r w:rsidRPr="00276BCA">
              <w:rPr>
                <w:b/>
                <w:sz w:val="20"/>
              </w:rPr>
              <w:t>mFOLFOX6/</w:t>
            </w:r>
          </w:p>
          <w:p w14:paraId="06965538" w14:textId="7C62452A" w:rsidR="008241B3" w:rsidRPr="00276BCA" w:rsidRDefault="074A3595" w:rsidP="77D89277">
            <w:pPr>
              <w:keepNext/>
              <w:keepLines/>
              <w:widowControl w:val="0"/>
              <w:spacing w:before="0"/>
              <w:jc w:val="center"/>
              <w:rPr>
                <w:b/>
                <w:bCs/>
                <w:sz w:val="20"/>
              </w:rPr>
            </w:pPr>
            <w:proofErr w:type="spellStart"/>
            <w:proofErr w:type="gramStart"/>
            <w:r w:rsidRPr="00276BCA">
              <w:rPr>
                <w:b/>
                <w:bCs/>
                <w:sz w:val="20"/>
              </w:rPr>
              <w:t>CAPOX</w:t>
            </w:r>
            <w:r w:rsidR="3C33FBB5" w:rsidRPr="00276BCA">
              <w:rPr>
                <w:b/>
                <w:bCs/>
                <w:sz w:val="20"/>
                <w:vertAlign w:val="superscript"/>
              </w:rPr>
              <w:t>a,</w:t>
            </w:r>
            <w:r w:rsidR="3C33FBB5" w:rsidRPr="00276BCA">
              <w:rPr>
                <w:sz w:val="20"/>
                <w:vertAlign w:val="superscript"/>
              </w:rPr>
              <w:t>b</w:t>
            </w:r>
            <w:proofErr w:type="gramEnd"/>
            <w:r w:rsidR="3C33FBB5" w:rsidRPr="00276BCA">
              <w:rPr>
                <w:sz w:val="20"/>
                <w:vertAlign w:val="superscript"/>
              </w:rPr>
              <w:t>,</w:t>
            </w:r>
            <w:r w:rsidR="1B287718" w:rsidRPr="00276BCA">
              <w:rPr>
                <w:sz w:val="20"/>
                <w:vertAlign w:val="superscript"/>
              </w:rPr>
              <w:t>c</w:t>
            </w:r>
            <w:proofErr w:type="spellEnd"/>
          </w:p>
        </w:tc>
        <w:tc>
          <w:tcPr>
            <w:tcW w:w="1097" w:type="pct"/>
          </w:tcPr>
          <w:p w14:paraId="50500A21" w14:textId="77777777" w:rsidR="008241B3" w:rsidRPr="00276BCA" w:rsidRDefault="008241B3" w:rsidP="00010C83">
            <w:pPr>
              <w:keepNext/>
              <w:keepLines/>
              <w:widowControl w:val="0"/>
              <w:spacing w:before="0"/>
              <w:jc w:val="center"/>
              <w:rPr>
                <w:b/>
                <w:sz w:val="20"/>
              </w:rPr>
            </w:pPr>
            <w:r w:rsidRPr="00276BCA">
              <w:rPr>
                <w:b/>
                <w:sz w:val="20"/>
              </w:rPr>
              <w:t>ZOLBE+</w:t>
            </w:r>
          </w:p>
          <w:p w14:paraId="2378EEFF" w14:textId="13CA8D6B" w:rsidR="00FE1C68" w:rsidRPr="00276BCA" w:rsidRDefault="074A3595" w:rsidP="77D89277">
            <w:pPr>
              <w:keepNext/>
              <w:keepLines/>
              <w:widowControl w:val="0"/>
              <w:spacing w:before="0"/>
              <w:jc w:val="center"/>
              <w:rPr>
                <w:sz w:val="20"/>
                <w:vertAlign w:val="superscript"/>
              </w:rPr>
            </w:pPr>
            <w:r w:rsidRPr="00276BCA">
              <w:rPr>
                <w:b/>
                <w:bCs/>
                <w:sz w:val="20"/>
              </w:rPr>
              <w:t>mFOLFOX6/</w:t>
            </w:r>
            <w:proofErr w:type="spellStart"/>
            <w:proofErr w:type="gramStart"/>
            <w:r w:rsidR="3C33FBB5" w:rsidRPr="00276BCA">
              <w:rPr>
                <w:b/>
                <w:bCs/>
                <w:sz w:val="20"/>
              </w:rPr>
              <w:t>CAPOX</w:t>
            </w:r>
            <w:r w:rsidR="3C33FBB5" w:rsidRPr="00276BCA">
              <w:rPr>
                <w:b/>
                <w:bCs/>
                <w:sz w:val="20"/>
                <w:vertAlign w:val="superscript"/>
              </w:rPr>
              <w:t>a,</w:t>
            </w:r>
            <w:r w:rsidR="3C33FBB5" w:rsidRPr="00276BCA">
              <w:rPr>
                <w:sz w:val="20"/>
                <w:vertAlign w:val="superscript"/>
              </w:rPr>
              <w:t>b</w:t>
            </w:r>
            <w:proofErr w:type="gramEnd"/>
            <w:r w:rsidR="3C33FBB5" w:rsidRPr="00276BCA">
              <w:rPr>
                <w:sz w:val="20"/>
                <w:vertAlign w:val="superscript"/>
              </w:rPr>
              <w:t>,c</w:t>
            </w:r>
            <w:proofErr w:type="spellEnd"/>
          </w:p>
          <w:p w14:paraId="29A16417" w14:textId="27228CAF" w:rsidR="008241B3" w:rsidRPr="00276BCA" w:rsidRDefault="074A3595" w:rsidP="77D89277">
            <w:pPr>
              <w:keepNext/>
              <w:keepLines/>
              <w:widowControl w:val="0"/>
              <w:spacing w:before="0"/>
              <w:jc w:val="center"/>
              <w:rPr>
                <w:b/>
                <w:bCs/>
                <w:sz w:val="20"/>
              </w:rPr>
            </w:pPr>
            <w:r w:rsidRPr="00276BCA">
              <w:rPr>
                <w:b/>
                <w:bCs/>
                <w:sz w:val="20"/>
              </w:rPr>
              <w:t xml:space="preserve">(global trials </w:t>
            </w:r>
            <w:proofErr w:type="spellStart"/>
            <w:r w:rsidRPr="00276BCA">
              <w:rPr>
                <w:b/>
                <w:bCs/>
                <w:sz w:val="20"/>
              </w:rPr>
              <w:t>only</w:t>
            </w:r>
            <w:r w:rsidR="1B287718" w:rsidRPr="00276BCA">
              <w:rPr>
                <w:sz w:val="20"/>
                <w:vertAlign w:val="superscript"/>
              </w:rPr>
              <w:t>d</w:t>
            </w:r>
            <w:proofErr w:type="spellEnd"/>
            <w:r w:rsidRPr="00276BCA">
              <w:rPr>
                <w:b/>
                <w:bCs/>
                <w:sz w:val="20"/>
              </w:rPr>
              <w:t>)</w:t>
            </w:r>
          </w:p>
        </w:tc>
      </w:tr>
      <w:tr w:rsidR="00E41328" w:rsidRPr="00276BCA" w14:paraId="0D1D4662" w14:textId="77777777" w:rsidTr="77D89277">
        <w:tc>
          <w:tcPr>
            <w:tcW w:w="5000" w:type="pct"/>
            <w:gridSpan w:val="5"/>
            <w:vAlign w:val="center"/>
          </w:tcPr>
          <w:p w14:paraId="4913868A" w14:textId="77777777" w:rsidR="008241B3" w:rsidRPr="00276BCA" w:rsidRDefault="008241B3" w:rsidP="00010C83">
            <w:pPr>
              <w:keepNext/>
              <w:keepLines/>
              <w:widowControl w:val="0"/>
              <w:spacing w:before="0"/>
              <w:jc w:val="left"/>
              <w:rPr>
                <w:b/>
                <w:sz w:val="20"/>
              </w:rPr>
            </w:pPr>
            <w:r w:rsidRPr="00276BCA">
              <w:rPr>
                <w:b/>
                <w:sz w:val="20"/>
              </w:rPr>
              <w:t>PFS</w:t>
            </w:r>
          </w:p>
        </w:tc>
      </w:tr>
      <w:tr w:rsidR="00E41328" w:rsidRPr="00276BCA" w14:paraId="70A4FF63" w14:textId="77777777" w:rsidTr="77D89277">
        <w:tc>
          <w:tcPr>
            <w:tcW w:w="1345" w:type="pct"/>
            <w:vAlign w:val="center"/>
          </w:tcPr>
          <w:p w14:paraId="3721E6CF" w14:textId="652414EF" w:rsidR="008241B3" w:rsidRPr="00276BCA" w:rsidRDefault="008241B3" w:rsidP="11EB9A42">
            <w:pPr>
              <w:keepNext/>
              <w:keepLines/>
              <w:widowControl w:val="0"/>
              <w:spacing w:before="0"/>
              <w:jc w:val="left"/>
              <w:rPr>
                <w:sz w:val="20"/>
                <w:vertAlign w:val="superscript"/>
              </w:rPr>
            </w:pPr>
            <w:r w:rsidRPr="00276BCA">
              <w:rPr>
                <w:sz w:val="20"/>
              </w:rPr>
              <w:t>NIVO+mFOLFOX6</w:t>
            </w:r>
            <w:r w:rsidR="0088643C" w:rsidRPr="00276BCA">
              <w:rPr>
                <w:sz w:val="20"/>
                <w:vertAlign w:val="superscript"/>
              </w:rPr>
              <w:t>e</w:t>
            </w:r>
          </w:p>
        </w:tc>
        <w:tc>
          <w:tcPr>
            <w:tcW w:w="807" w:type="pct"/>
            <w:vAlign w:val="center"/>
          </w:tcPr>
          <w:p w14:paraId="2AA0586F" w14:textId="77777777" w:rsidR="008241B3" w:rsidRPr="00276BCA" w:rsidRDefault="008241B3" w:rsidP="00010C83">
            <w:pPr>
              <w:keepNext/>
              <w:keepLines/>
              <w:widowControl w:val="0"/>
              <w:spacing w:before="0"/>
              <w:jc w:val="center"/>
              <w:rPr>
                <w:sz w:val="20"/>
              </w:rPr>
            </w:pPr>
            <w:r w:rsidRPr="00276BCA">
              <w:rPr>
                <w:sz w:val="20"/>
              </w:rPr>
              <w:t>0.93 (0.73, 1.19)</w:t>
            </w:r>
          </w:p>
        </w:tc>
        <w:tc>
          <w:tcPr>
            <w:tcW w:w="832" w:type="pct"/>
            <w:vAlign w:val="center"/>
          </w:tcPr>
          <w:p w14:paraId="646D6DDE" w14:textId="67C5E8AC" w:rsidR="008241B3" w:rsidRPr="00276BCA" w:rsidRDefault="00E749B9" w:rsidP="00010C83">
            <w:pPr>
              <w:keepNext/>
              <w:keepLines/>
              <w:widowControl w:val="0"/>
              <w:spacing w:before="0"/>
              <w:jc w:val="center"/>
              <w:rPr>
                <w:sz w:val="20"/>
              </w:rPr>
            </w:pPr>
            <w:r w:rsidRPr="00276BCA">
              <w:rPr>
                <w:sz w:val="20"/>
              </w:rPr>
              <w:t>-</w:t>
            </w:r>
          </w:p>
        </w:tc>
        <w:tc>
          <w:tcPr>
            <w:tcW w:w="918" w:type="pct"/>
            <w:vAlign w:val="center"/>
          </w:tcPr>
          <w:p w14:paraId="551CCBCB" w14:textId="77777777" w:rsidR="008241B3" w:rsidRPr="00276BCA" w:rsidRDefault="008241B3" w:rsidP="00010C83">
            <w:pPr>
              <w:keepNext/>
              <w:keepLines/>
              <w:widowControl w:val="0"/>
              <w:spacing w:before="0"/>
              <w:jc w:val="center"/>
              <w:rPr>
                <w:sz w:val="20"/>
              </w:rPr>
            </w:pPr>
            <w:r w:rsidRPr="00276BCA">
              <w:rPr>
                <w:sz w:val="20"/>
              </w:rPr>
              <w:t>-</w:t>
            </w:r>
          </w:p>
        </w:tc>
        <w:tc>
          <w:tcPr>
            <w:tcW w:w="1097" w:type="pct"/>
          </w:tcPr>
          <w:p w14:paraId="4CC30509" w14:textId="77777777" w:rsidR="008241B3" w:rsidRPr="00276BCA" w:rsidRDefault="008241B3" w:rsidP="00010C83">
            <w:pPr>
              <w:keepNext/>
              <w:keepLines/>
              <w:widowControl w:val="0"/>
              <w:spacing w:before="0"/>
              <w:jc w:val="center"/>
              <w:rPr>
                <w:sz w:val="20"/>
              </w:rPr>
            </w:pPr>
            <w:r w:rsidRPr="00276BCA">
              <w:rPr>
                <w:sz w:val="20"/>
              </w:rPr>
              <w:t>-</w:t>
            </w:r>
          </w:p>
        </w:tc>
      </w:tr>
      <w:tr w:rsidR="00E41328" w:rsidRPr="00276BCA" w14:paraId="6E58BC9E" w14:textId="77777777" w:rsidTr="77D89277">
        <w:tc>
          <w:tcPr>
            <w:tcW w:w="1345" w:type="pct"/>
            <w:vAlign w:val="center"/>
          </w:tcPr>
          <w:p w14:paraId="04E65FFF" w14:textId="4F1BFBCA" w:rsidR="008241B3" w:rsidRPr="00276BCA" w:rsidRDefault="074A3595" w:rsidP="77D89277">
            <w:pPr>
              <w:keepNext/>
              <w:keepLines/>
              <w:widowControl w:val="0"/>
              <w:spacing w:before="0"/>
              <w:jc w:val="left"/>
              <w:rPr>
                <w:sz w:val="20"/>
                <w:vertAlign w:val="superscript"/>
              </w:rPr>
            </w:pPr>
            <w:proofErr w:type="spellStart"/>
            <w:r w:rsidRPr="00276BCA">
              <w:rPr>
                <w:sz w:val="20"/>
              </w:rPr>
              <w:t>NIVO+</w:t>
            </w:r>
            <w:proofErr w:type="gramStart"/>
            <w:r w:rsidRPr="00276BCA">
              <w:rPr>
                <w:sz w:val="20"/>
              </w:rPr>
              <w:t>CAPOX</w:t>
            </w:r>
            <w:r w:rsidR="1B287718" w:rsidRPr="00276BCA">
              <w:rPr>
                <w:sz w:val="20"/>
                <w:vertAlign w:val="superscript"/>
              </w:rPr>
              <w:t>e</w:t>
            </w:r>
            <w:r w:rsidR="6D98188C" w:rsidRPr="00276BCA">
              <w:rPr>
                <w:sz w:val="20"/>
                <w:vertAlign w:val="superscript"/>
              </w:rPr>
              <w:t>,</w:t>
            </w:r>
            <w:r w:rsidR="1B287718" w:rsidRPr="00276BCA">
              <w:rPr>
                <w:sz w:val="20"/>
                <w:vertAlign w:val="superscript"/>
              </w:rPr>
              <w:t>f</w:t>
            </w:r>
            <w:proofErr w:type="spellEnd"/>
            <w:proofErr w:type="gramEnd"/>
          </w:p>
        </w:tc>
        <w:tc>
          <w:tcPr>
            <w:tcW w:w="807" w:type="pct"/>
            <w:vAlign w:val="center"/>
          </w:tcPr>
          <w:p w14:paraId="14FD63D3" w14:textId="0A956C28" w:rsidR="008241B3" w:rsidRPr="00276BCA" w:rsidRDefault="00E749B9" w:rsidP="00010C83">
            <w:pPr>
              <w:keepNext/>
              <w:keepLines/>
              <w:widowControl w:val="0"/>
              <w:spacing w:before="0"/>
              <w:jc w:val="center"/>
              <w:rPr>
                <w:sz w:val="20"/>
              </w:rPr>
            </w:pPr>
            <w:r w:rsidRPr="00276BCA">
              <w:rPr>
                <w:sz w:val="20"/>
              </w:rPr>
              <w:t>-</w:t>
            </w:r>
          </w:p>
        </w:tc>
        <w:tc>
          <w:tcPr>
            <w:tcW w:w="832" w:type="pct"/>
            <w:vAlign w:val="center"/>
          </w:tcPr>
          <w:p w14:paraId="57EB533E" w14:textId="77777777" w:rsidR="008241B3" w:rsidRPr="00276BCA" w:rsidRDefault="008241B3" w:rsidP="00010C83">
            <w:pPr>
              <w:keepNext/>
              <w:keepLines/>
              <w:widowControl w:val="0"/>
              <w:spacing w:before="0"/>
              <w:jc w:val="center"/>
              <w:rPr>
                <w:sz w:val="20"/>
              </w:rPr>
            </w:pPr>
            <w:r w:rsidRPr="00276BCA">
              <w:rPr>
                <w:sz w:val="20"/>
              </w:rPr>
              <w:t>0.88 (0.69, 1.13)</w:t>
            </w:r>
          </w:p>
        </w:tc>
        <w:tc>
          <w:tcPr>
            <w:tcW w:w="918" w:type="pct"/>
            <w:vAlign w:val="center"/>
          </w:tcPr>
          <w:p w14:paraId="79E55733" w14:textId="77777777" w:rsidR="008241B3" w:rsidRPr="00276BCA" w:rsidRDefault="008241B3" w:rsidP="00010C83">
            <w:pPr>
              <w:keepNext/>
              <w:keepLines/>
              <w:widowControl w:val="0"/>
              <w:spacing w:before="0"/>
              <w:jc w:val="center"/>
              <w:rPr>
                <w:sz w:val="20"/>
              </w:rPr>
            </w:pPr>
            <w:r w:rsidRPr="00276BCA">
              <w:rPr>
                <w:sz w:val="20"/>
              </w:rPr>
              <w:t>-</w:t>
            </w:r>
          </w:p>
        </w:tc>
        <w:tc>
          <w:tcPr>
            <w:tcW w:w="1097" w:type="pct"/>
          </w:tcPr>
          <w:p w14:paraId="6E4F2C05" w14:textId="77777777" w:rsidR="008241B3" w:rsidRPr="00276BCA" w:rsidRDefault="008241B3" w:rsidP="00010C83">
            <w:pPr>
              <w:keepNext/>
              <w:keepLines/>
              <w:widowControl w:val="0"/>
              <w:spacing w:before="0"/>
              <w:jc w:val="center"/>
              <w:rPr>
                <w:sz w:val="20"/>
              </w:rPr>
            </w:pPr>
          </w:p>
        </w:tc>
      </w:tr>
      <w:tr w:rsidR="00E41328" w:rsidRPr="00276BCA" w14:paraId="5D87903E" w14:textId="77777777" w:rsidTr="77D89277">
        <w:tc>
          <w:tcPr>
            <w:tcW w:w="1345" w:type="pct"/>
            <w:vAlign w:val="center"/>
          </w:tcPr>
          <w:p w14:paraId="5D48DC87" w14:textId="1F88E534" w:rsidR="008241B3" w:rsidRPr="002425ED" w:rsidRDefault="008241B3" w:rsidP="0088643C">
            <w:pPr>
              <w:keepNext/>
              <w:keepLines/>
              <w:widowControl w:val="0"/>
              <w:spacing w:before="0"/>
              <w:jc w:val="left"/>
              <w:rPr>
                <w:sz w:val="20"/>
              </w:rPr>
            </w:pPr>
            <w:r w:rsidRPr="002425ED">
              <w:rPr>
                <w:sz w:val="20"/>
              </w:rPr>
              <w:t>NIVO+mFOLFOX6/</w:t>
            </w:r>
            <w:proofErr w:type="spellStart"/>
            <w:proofErr w:type="gramStart"/>
            <w:r w:rsidRPr="002425ED">
              <w:rPr>
                <w:sz w:val="20"/>
              </w:rPr>
              <w:t>CAPOX</w:t>
            </w:r>
            <w:r w:rsidR="00FE1C68" w:rsidRPr="002425ED">
              <w:rPr>
                <w:sz w:val="20"/>
                <w:vertAlign w:val="superscript"/>
              </w:rPr>
              <w:t>c</w:t>
            </w:r>
            <w:r w:rsidR="0088643C" w:rsidRPr="002425ED">
              <w:rPr>
                <w:sz w:val="20"/>
                <w:vertAlign w:val="superscript"/>
              </w:rPr>
              <w:t>,e</w:t>
            </w:r>
            <w:proofErr w:type="gramEnd"/>
            <w:r w:rsidR="0088643C" w:rsidRPr="002425ED">
              <w:rPr>
                <w:sz w:val="20"/>
                <w:vertAlign w:val="superscript"/>
              </w:rPr>
              <w:t>,f</w:t>
            </w:r>
            <w:proofErr w:type="spellEnd"/>
          </w:p>
        </w:tc>
        <w:tc>
          <w:tcPr>
            <w:tcW w:w="807" w:type="pct"/>
            <w:vAlign w:val="center"/>
          </w:tcPr>
          <w:p w14:paraId="4F410CDF" w14:textId="77777777" w:rsidR="008241B3" w:rsidRPr="00276BCA" w:rsidRDefault="008241B3" w:rsidP="00010C83">
            <w:pPr>
              <w:keepNext/>
              <w:keepLines/>
              <w:widowControl w:val="0"/>
              <w:spacing w:before="0"/>
              <w:jc w:val="center"/>
              <w:rPr>
                <w:sz w:val="20"/>
              </w:rPr>
            </w:pPr>
            <w:r w:rsidRPr="00276BCA">
              <w:rPr>
                <w:sz w:val="20"/>
              </w:rPr>
              <w:t>-</w:t>
            </w:r>
          </w:p>
        </w:tc>
        <w:tc>
          <w:tcPr>
            <w:tcW w:w="832" w:type="pct"/>
            <w:vAlign w:val="center"/>
          </w:tcPr>
          <w:p w14:paraId="0D979B16" w14:textId="77777777" w:rsidR="008241B3" w:rsidRPr="00276BCA" w:rsidRDefault="008241B3" w:rsidP="00010C83">
            <w:pPr>
              <w:keepNext/>
              <w:keepLines/>
              <w:widowControl w:val="0"/>
              <w:spacing w:before="0"/>
              <w:jc w:val="center"/>
              <w:rPr>
                <w:sz w:val="20"/>
              </w:rPr>
            </w:pPr>
            <w:r w:rsidRPr="00276BCA">
              <w:rPr>
                <w:sz w:val="20"/>
              </w:rPr>
              <w:t>-</w:t>
            </w:r>
          </w:p>
        </w:tc>
        <w:tc>
          <w:tcPr>
            <w:tcW w:w="918" w:type="pct"/>
            <w:vAlign w:val="center"/>
          </w:tcPr>
          <w:p w14:paraId="0C2546D4" w14:textId="77777777" w:rsidR="008241B3" w:rsidRPr="00276BCA" w:rsidRDefault="008241B3" w:rsidP="00010C83">
            <w:pPr>
              <w:keepNext/>
              <w:keepLines/>
              <w:widowControl w:val="0"/>
              <w:spacing w:before="0"/>
              <w:jc w:val="center"/>
              <w:rPr>
                <w:sz w:val="20"/>
              </w:rPr>
            </w:pPr>
            <w:r w:rsidRPr="00276BCA">
              <w:rPr>
                <w:sz w:val="20"/>
              </w:rPr>
              <w:t>0.90 (0.75, 1.08)</w:t>
            </w:r>
          </w:p>
        </w:tc>
        <w:tc>
          <w:tcPr>
            <w:tcW w:w="1097" w:type="pct"/>
          </w:tcPr>
          <w:p w14:paraId="0D1AF076" w14:textId="77777777" w:rsidR="008241B3" w:rsidRPr="00276BCA" w:rsidRDefault="008241B3" w:rsidP="00010C83">
            <w:pPr>
              <w:keepNext/>
              <w:keepLines/>
              <w:widowControl w:val="0"/>
              <w:spacing w:before="0"/>
              <w:jc w:val="center"/>
              <w:rPr>
                <w:sz w:val="20"/>
              </w:rPr>
            </w:pPr>
            <w:r w:rsidRPr="00276BCA">
              <w:rPr>
                <w:sz w:val="20"/>
              </w:rPr>
              <w:t>-</w:t>
            </w:r>
          </w:p>
        </w:tc>
      </w:tr>
      <w:tr w:rsidR="00E41328" w:rsidRPr="00276BCA" w14:paraId="266DAE63" w14:textId="77777777" w:rsidTr="77D89277">
        <w:tc>
          <w:tcPr>
            <w:tcW w:w="1345" w:type="pct"/>
            <w:vAlign w:val="center"/>
          </w:tcPr>
          <w:p w14:paraId="34B58F43" w14:textId="157A1E48" w:rsidR="008241B3" w:rsidRPr="00276BCA" w:rsidRDefault="074A3595" w:rsidP="77D89277">
            <w:pPr>
              <w:keepNext/>
              <w:keepLines/>
              <w:widowControl w:val="0"/>
              <w:spacing w:before="0"/>
              <w:jc w:val="left"/>
              <w:rPr>
                <w:sz w:val="20"/>
              </w:rPr>
            </w:pPr>
            <w:r w:rsidRPr="00276BCA">
              <w:rPr>
                <w:sz w:val="20"/>
              </w:rPr>
              <w:t>NIVO+ FOLFOX6/</w:t>
            </w:r>
            <w:proofErr w:type="spellStart"/>
            <w:proofErr w:type="gramStart"/>
            <w:r w:rsidRPr="00276BCA">
              <w:rPr>
                <w:sz w:val="20"/>
              </w:rPr>
              <w:t>CAPOX</w:t>
            </w:r>
            <w:r w:rsidR="1B287718" w:rsidRPr="00276BCA">
              <w:rPr>
                <w:sz w:val="20"/>
                <w:vertAlign w:val="superscript"/>
              </w:rPr>
              <w:t>e,f</w:t>
            </w:r>
            <w:proofErr w:type="spellEnd"/>
            <w:proofErr w:type="gramEnd"/>
            <w:r w:rsidRPr="00276BCA">
              <w:rPr>
                <w:sz w:val="20"/>
              </w:rPr>
              <w:t xml:space="preserve"> (global trials </w:t>
            </w:r>
            <w:proofErr w:type="spellStart"/>
            <w:r w:rsidRPr="00276BCA">
              <w:rPr>
                <w:sz w:val="20"/>
              </w:rPr>
              <w:t>only</w:t>
            </w:r>
            <w:r w:rsidR="3C33FBB5" w:rsidRPr="00276BCA">
              <w:rPr>
                <w:sz w:val="20"/>
                <w:vertAlign w:val="superscript"/>
              </w:rPr>
              <w:t>d</w:t>
            </w:r>
            <w:proofErr w:type="spellEnd"/>
            <w:r w:rsidRPr="00276BCA">
              <w:rPr>
                <w:sz w:val="20"/>
              </w:rPr>
              <w:t>)</w:t>
            </w:r>
          </w:p>
        </w:tc>
        <w:tc>
          <w:tcPr>
            <w:tcW w:w="807" w:type="pct"/>
            <w:vAlign w:val="center"/>
          </w:tcPr>
          <w:p w14:paraId="3445D708" w14:textId="77777777" w:rsidR="008241B3" w:rsidRPr="00276BCA" w:rsidRDefault="008241B3" w:rsidP="00010C83">
            <w:pPr>
              <w:keepNext/>
              <w:keepLines/>
              <w:widowControl w:val="0"/>
              <w:spacing w:before="0"/>
              <w:jc w:val="center"/>
              <w:rPr>
                <w:sz w:val="20"/>
              </w:rPr>
            </w:pPr>
            <w:r w:rsidRPr="00276BCA">
              <w:rPr>
                <w:sz w:val="20"/>
              </w:rPr>
              <w:t>-</w:t>
            </w:r>
          </w:p>
        </w:tc>
        <w:tc>
          <w:tcPr>
            <w:tcW w:w="832" w:type="pct"/>
            <w:vAlign w:val="center"/>
          </w:tcPr>
          <w:p w14:paraId="765711A3" w14:textId="77777777" w:rsidR="008241B3" w:rsidRPr="00276BCA" w:rsidRDefault="008241B3" w:rsidP="00010C83">
            <w:pPr>
              <w:keepNext/>
              <w:keepLines/>
              <w:widowControl w:val="0"/>
              <w:spacing w:before="0"/>
              <w:jc w:val="center"/>
              <w:rPr>
                <w:sz w:val="20"/>
              </w:rPr>
            </w:pPr>
            <w:r w:rsidRPr="00276BCA">
              <w:rPr>
                <w:sz w:val="20"/>
              </w:rPr>
              <w:t>-</w:t>
            </w:r>
          </w:p>
        </w:tc>
        <w:tc>
          <w:tcPr>
            <w:tcW w:w="918" w:type="pct"/>
            <w:vAlign w:val="center"/>
          </w:tcPr>
          <w:p w14:paraId="054CA237" w14:textId="77777777" w:rsidR="008241B3" w:rsidRPr="00276BCA" w:rsidRDefault="008241B3" w:rsidP="00010C83">
            <w:pPr>
              <w:keepNext/>
              <w:keepLines/>
              <w:widowControl w:val="0"/>
              <w:spacing w:before="0"/>
              <w:jc w:val="center"/>
              <w:rPr>
                <w:sz w:val="20"/>
              </w:rPr>
            </w:pPr>
            <w:r w:rsidRPr="00276BCA">
              <w:rPr>
                <w:sz w:val="20"/>
              </w:rPr>
              <w:t>-</w:t>
            </w:r>
          </w:p>
        </w:tc>
        <w:tc>
          <w:tcPr>
            <w:tcW w:w="1097" w:type="pct"/>
            <w:vAlign w:val="center"/>
          </w:tcPr>
          <w:p w14:paraId="67F7BF2A" w14:textId="77777777" w:rsidR="008241B3" w:rsidRPr="00276BCA" w:rsidRDefault="008241B3" w:rsidP="00010C83">
            <w:pPr>
              <w:keepNext/>
              <w:keepLines/>
              <w:widowControl w:val="0"/>
              <w:spacing w:before="0"/>
              <w:jc w:val="center"/>
              <w:rPr>
                <w:sz w:val="20"/>
              </w:rPr>
            </w:pPr>
            <w:r w:rsidRPr="00276BCA">
              <w:rPr>
                <w:sz w:val="20"/>
              </w:rPr>
              <w:t>0.89 (0.74, 1.07)</w:t>
            </w:r>
          </w:p>
        </w:tc>
      </w:tr>
      <w:tr w:rsidR="00E41328" w:rsidRPr="00276BCA" w14:paraId="05833BA3" w14:textId="77777777" w:rsidTr="77D89277">
        <w:tc>
          <w:tcPr>
            <w:tcW w:w="5000" w:type="pct"/>
            <w:gridSpan w:val="5"/>
            <w:vAlign w:val="center"/>
          </w:tcPr>
          <w:p w14:paraId="58C7D6AB" w14:textId="77777777" w:rsidR="008241B3" w:rsidRPr="00276BCA" w:rsidRDefault="008241B3" w:rsidP="00010C83">
            <w:pPr>
              <w:keepNext/>
              <w:keepLines/>
              <w:widowControl w:val="0"/>
              <w:spacing w:before="0"/>
              <w:jc w:val="left"/>
              <w:rPr>
                <w:b/>
                <w:sz w:val="20"/>
              </w:rPr>
            </w:pPr>
            <w:r w:rsidRPr="00276BCA">
              <w:rPr>
                <w:b/>
                <w:sz w:val="20"/>
              </w:rPr>
              <w:t>OS</w:t>
            </w:r>
          </w:p>
        </w:tc>
      </w:tr>
      <w:tr w:rsidR="00E41328" w:rsidRPr="00276BCA" w14:paraId="7CE226D6" w14:textId="77777777" w:rsidTr="77D89277">
        <w:tc>
          <w:tcPr>
            <w:tcW w:w="1345" w:type="pct"/>
            <w:vAlign w:val="center"/>
          </w:tcPr>
          <w:p w14:paraId="169383B4" w14:textId="7BF5EC06" w:rsidR="0088643C" w:rsidRPr="00276BCA" w:rsidRDefault="0088643C" w:rsidP="0088643C">
            <w:pPr>
              <w:keepNext/>
              <w:keepLines/>
              <w:widowControl w:val="0"/>
              <w:spacing w:before="0"/>
              <w:jc w:val="left"/>
              <w:rPr>
                <w:sz w:val="20"/>
                <w:vertAlign w:val="superscript"/>
              </w:rPr>
            </w:pPr>
            <w:r w:rsidRPr="00276BCA">
              <w:rPr>
                <w:sz w:val="20"/>
              </w:rPr>
              <w:t>NIVO+mFOLFOX6</w:t>
            </w:r>
            <w:r w:rsidRPr="00276BCA">
              <w:rPr>
                <w:sz w:val="20"/>
                <w:vertAlign w:val="superscript"/>
              </w:rPr>
              <w:t>e</w:t>
            </w:r>
          </w:p>
        </w:tc>
        <w:tc>
          <w:tcPr>
            <w:tcW w:w="807" w:type="pct"/>
            <w:vAlign w:val="center"/>
          </w:tcPr>
          <w:p w14:paraId="34305FAA" w14:textId="77777777" w:rsidR="0088643C" w:rsidRPr="00276BCA" w:rsidRDefault="0088643C" w:rsidP="0088643C">
            <w:pPr>
              <w:keepNext/>
              <w:keepLines/>
              <w:widowControl w:val="0"/>
              <w:spacing w:before="0"/>
              <w:jc w:val="center"/>
              <w:rPr>
                <w:sz w:val="20"/>
              </w:rPr>
            </w:pPr>
            <w:r w:rsidRPr="00276BCA">
              <w:rPr>
                <w:sz w:val="20"/>
              </w:rPr>
              <w:t>1.02 (0.80, 1.30)</w:t>
            </w:r>
          </w:p>
        </w:tc>
        <w:tc>
          <w:tcPr>
            <w:tcW w:w="832" w:type="pct"/>
            <w:vAlign w:val="center"/>
          </w:tcPr>
          <w:p w14:paraId="3ED2DD57" w14:textId="44EDE234" w:rsidR="0088643C" w:rsidRPr="00276BCA" w:rsidRDefault="00E749B9" w:rsidP="0088643C">
            <w:pPr>
              <w:keepNext/>
              <w:keepLines/>
              <w:widowControl w:val="0"/>
              <w:spacing w:before="0"/>
              <w:jc w:val="center"/>
              <w:rPr>
                <w:sz w:val="20"/>
              </w:rPr>
            </w:pPr>
            <w:r w:rsidRPr="00276BCA">
              <w:rPr>
                <w:sz w:val="20"/>
              </w:rPr>
              <w:t>-</w:t>
            </w:r>
          </w:p>
        </w:tc>
        <w:tc>
          <w:tcPr>
            <w:tcW w:w="918" w:type="pct"/>
          </w:tcPr>
          <w:p w14:paraId="3A82319D" w14:textId="77777777" w:rsidR="0088643C" w:rsidRPr="00276BCA" w:rsidRDefault="0088643C" w:rsidP="0088643C">
            <w:pPr>
              <w:keepNext/>
              <w:keepLines/>
              <w:widowControl w:val="0"/>
              <w:spacing w:before="0"/>
              <w:jc w:val="center"/>
              <w:rPr>
                <w:sz w:val="20"/>
                <w:vertAlign w:val="superscript"/>
              </w:rPr>
            </w:pPr>
            <w:r w:rsidRPr="00276BCA">
              <w:rPr>
                <w:sz w:val="20"/>
                <w:vertAlign w:val="superscript"/>
              </w:rPr>
              <w:t>-</w:t>
            </w:r>
          </w:p>
        </w:tc>
        <w:tc>
          <w:tcPr>
            <w:tcW w:w="1097" w:type="pct"/>
            <w:vAlign w:val="center"/>
          </w:tcPr>
          <w:p w14:paraId="2FB63A2A" w14:textId="77777777" w:rsidR="0088643C" w:rsidRPr="00276BCA" w:rsidRDefault="0088643C" w:rsidP="0088643C">
            <w:pPr>
              <w:keepNext/>
              <w:keepLines/>
              <w:widowControl w:val="0"/>
              <w:spacing w:before="0"/>
              <w:jc w:val="center"/>
              <w:rPr>
                <w:sz w:val="20"/>
                <w:vertAlign w:val="superscript"/>
              </w:rPr>
            </w:pPr>
            <w:r w:rsidRPr="00276BCA">
              <w:rPr>
                <w:sz w:val="20"/>
                <w:vertAlign w:val="superscript"/>
              </w:rPr>
              <w:t>-</w:t>
            </w:r>
          </w:p>
        </w:tc>
      </w:tr>
      <w:tr w:rsidR="00E41328" w:rsidRPr="00276BCA" w14:paraId="68B5AF89" w14:textId="77777777" w:rsidTr="77D89277">
        <w:tc>
          <w:tcPr>
            <w:tcW w:w="1345" w:type="pct"/>
            <w:vAlign w:val="center"/>
          </w:tcPr>
          <w:p w14:paraId="0AF8C7D2" w14:textId="7C47F36A" w:rsidR="0088643C" w:rsidRPr="00276BCA" w:rsidRDefault="1B287718" w:rsidP="77D89277">
            <w:pPr>
              <w:keepNext/>
              <w:keepLines/>
              <w:widowControl w:val="0"/>
              <w:spacing w:before="0"/>
              <w:jc w:val="left"/>
              <w:rPr>
                <w:sz w:val="20"/>
                <w:vertAlign w:val="superscript"/>
              </w:rPr>
            </w:pPr>
            <w:proofErr w:type="spellStart"/>
            <w:r w:rsidRPr="00276BCA">
              <w:rPr>
                <w:sz w:val="20"/>
              </w:rPr>
              <w:t>NIVO+</w:t>
            </w:r>
            <w:proofErr w:type="gramStart"/>
            <w:r w:rsidRPr="00276BCA">
              <w:rPr>
                <w:sz w:val="20"/>
              </w:rPr>
              <w:t>CAPOX</w:t>
            </w:r>
            <w:r w:rsidRPr="00276BCA">
              <w:rPr>
                <w:sz w:val="20"/>
                <w:vertAlign w:val="superscript"/>
              </w:rPr>
              <w:t>e,f</w:t>
            </w:r>
            <w:proofErr w:type="spellEnd"/>
            <w:proofErr w:type="gramEnd"/>
          </w:p>
        </w:tc>
        <w:tc>
          <w:tcPr>
            <w:tcW w:w="807" w:type="pct"/>
            <w:vAlign w:val="center"/>
          </w:tcPr>
          <w:p w14:paraId="0516824F" w14:textId="684593D4" w:rsidR="0088643C" w:rsidRPr="00276BCA" w:rsidRDefault="00E749B9" w:rsidP="0088643C">
            <w:pPr>
              <w:keepNext/>
              <w:keepLines/>
              <w:widowControl w:val="0"/>
              <w:spacing w:before="0"/>
              <w:jc w:val="center"/>
              <w:rPr>
                <w:sz w:val="20"/>
              </w:rPr>
            </w:pPr>
            <w:r w:rsidRPr="00276BCA">
              <w:rPr>
                <w:sz w:val="20"/>
              </w:rPr>
              <w:t>-</w:t>
            </w:r>
          </w:p>
        </w:tc>
        <w:tc>
          <w:tcPr>
            <w:tcW w:w="832" w:type="pct"/>
            <w:vAlign w:val="center"/>
          </w:tcPr>
          <w:p w14:paraId="4B91BAF5" w14:textId="77777777" w:rsidR="0088643C" w:rsidRPr="00276BCA" w:rsidRDefault="0088643C" w:rsidP="0088643C">
            <w:pPr>
              <w:keepNext/>
              <w:keepLines/>
              <w:widowControl w:val="0"/>
              <w:spacing w:before="0"/>
              <w:jc w:val="center"/>
              <w:rPr>
                <w:sz w:val="20"/>
              </w:rPr>
            </w:pPr>
            <w:r w:rsidRPr="00276BCA">
              <w:rPr>
                <w:sz w:val="20"/>
              </w:rPr>
              <w:t>0.94 (0.73. 1.20)</w:t>
            </w:r>
          </w:p>
        </w:tc>
        <w:tc>
          <w:tcPr>
            <w:tcW w:w="918" w:type="pct"/>
          </w:tcPr>
          <w:p w14:paraId="30BE33EE" w14:textId="77777777" w:rsidR="0088643C" w:rsidRPr="00276BCA" w:rsidRDefault="0088643C" w:rsidP="0088643C">
            <w:pPr>
              <w:keepNext/>
              <w:keepLines/>
              <w:widowControl w:val="0"/>
              <w:spacing w:before="0"/>
              <w:jc w:val="center"/>
              <w:rPr>
                <w:sz w:val="20"/>
              </w:rPr>
            </w:pPr>
            <w:r w:rsidRPr="00276BCA">
              <w:rPr>
                <w:sz w:val="20"/>
              </w:rPr>
              <w:t>-</w:t>
            </w:r>
          </w:p>
        </w:tc>
        <w:tc>
          <w:tcPr>
            <w:tcW w:w="1097" w:type="pct"/>
            <w:vAlign w:val="center"/>
          </w:tcPr>
          <w:p w14:paraId="0BDAECA8" w14:textId="77777777" w:rsidR="0088643C" w:rsidRPr="00276BCA" w:rsidRDefault="0088643C" w:rsidP="0088643C">
            <w:pPr>
              <w:keepNext/>
              <w:keepLines/>
              <w:widowControl w:val="0"/>
              <w:spacing w:before="0"/>
              <w:jc w:val="center"/>
              <w:rPr>
                <w:sz w:val="20"/>
              </w:rPr>
            </w:pPr>
            <w:r w:rsidRPr="00276BCA">
              <w:rPr>
                <w:sz w:val="20"/>
              </w:rPr>
              <w:t>-</w:t>
            </w:r>
          </w:p>
        </w:tc>
      </w:tr>
      <w:tr w:rsidR="00E41328" w:rsidRPr="00276BCA" w14:paraId="7AD9982B" w14:textId="77777777" w:rsidTr="77D89277">
        <w:tc>
          <w:tcPr>
            <w:tcW w:w="1345" w:type="pct"/>
            <w:vAlign w:val="center"/>
          </w:tcPr>
          <w:p w14:paraId="1D1C180D" w14:textId="3946529A" w:rsidR="0088643C" w:rsidRPr="002425ED" w:rsidRDefault="0088643C" w:rsidP="0088643C">
            <w:pPr>
              <w:keepNext/>
              <w:keepLines/>
              <w:widowControl w:val="0"/>
              <w:spacing w:before="0"/>
              <w:jc w:val="left"/>
              <w:rPr>
                <w:sz w:val="20"/>
              </w:rPr>
            </w:pPr>
            <w:r w:rsidRPr="002425ED">
              <w:rPr>
                <w:sz w:val="20"/>
              </w:rPr>
              <w:t>NIVO+mFOLFOX6/</w:t>
            </w:r>
            <w:proofErr w:type="spellStart"/>
            <w:proofErr w:type="gramStart"/>
            <w:r w:rsidRPr="002425ED">
              <w:rPr>
                <w:sz w:val="20"/>
              </w:rPr>
              <w:t>CAPOX</w:t>
            </w:r>
            <w:r w:rsidR="00FE1C68" w:rsidRPr="002425ED">
              <w:rPr>
                <w:sz w:val="20"/>
                <w:vertAlign w:val="superscript"/>
              </w:rPr>
              <w:t>c</w:t>
            </w:r>
            <w:r w:rsidRPr="002425ED">
              <w:rPr>
                <w:sz w:val="20"/>
                <w:vertAlign w:val="superscript"/>
              </w:rPr>
              <w:t>,e</w:t>
            </w:r>
            <w:proofErr w:type="gramEnd"/>
            <w:r w:rsidRPr="002425ED">
              <w:rPr>
                <w:sz w:val="20"/>
                <w:vertAlign w:val="superscript"/>
              </w:rPr>
              <w:t>,f</w:t>
            </w:r>
            <w:proofErr w:type="spellEnd"/>
          </w:p>
        </w:tc>
        <w:tc>
          <w:tcPr>
            <w:tcW w:w="807" w:type="pct"/>
            <w:vAlign w:val="center"/>
          </w:tcPr>
          <w:p w14:paraId="59D3792C" w14:textId="77777777" w:rsidR="0088643C" w:rsidRPr="00276BCA" w:rsidRDefault="0088643C" w:rsidP="0088643C">
            <w:pPr>
              <w:keepNext/>
              <w:keepLines/>
              <w:widowControl w:val="0"/>
              <w:spacing w:before="0"/>
              <w:jc w:val="center"/>
              <w:rPr>
                <w:sz w:val="20"/>
              </w:rPr>
            </w:pPr>
            <w:r w:rsidRPr="00276BCA">
              <w:rPr>
                <w:sz w:val="20"/>
              </w:rPr>
              <w:t>-</w:t>
            </w:r>
          </w:p>
        </w:tc>
        <w:tc>
          <w:tcPr>
            <w:tcW w:w="832" w:type="pct"/>
            <w:vAlign w:val="center"/>
          </w:tcPr>
          <w:p w14:paraId="20DC6DA5" w14:textId="77777777" w:rsidR="0088643C" w:rsidRPr="00276BCA" w:rsidRDefault="0088643C" w:rsidP="0088643C">
            <w:pPr>
              <w:keepNext/>
              <w:keepLines/>
              <w:widowControl w:val="0"/>
              <w:spacing w:before="0"/>
              <w:jc w:val="center"/>
              <w:rPr>
                <w:sz w:val="20"/>
              </w:rPr>
            </w:pPr>
            <w:r w:rsidRPr="00276BCA">
              <w:rPr>
                <w:sz w:val="20"/>
              </w:rPr>
              <w:t>-</w:t>
            </w:r>
          </w:p>
        </w:tc>
        <w:tc>
          <w:tcPr>
            <w:tcW w:w="918" w:type="pct"/>
            <w:vAlign w:val="center"/>
          </w:tcPr>
          <w:p w14:paraId="4367128E" w14:textId="77777777" w:rsidR="0088643C" w:rsidRPr="00276BCA" w:rsidRDefault="0088643C" w:rsidP="0088643C">
            <w:pPr>
              <w:keepNext/>
              <w:keepLines/>
              <w:widowControl w:val="0"/>
              <w:spacing w:before="0"/>
              <w:jc w:val="center"/>
              <w:rPr>
                <w:sz w:val="20"/>
              </w:rPr>
            </w:pPr>
            <w:r w:rsidRPr="00276BCA">
              <w:rPr>
                <w:sz w:val="20"/>
              </w:rPr>
              <w:t>0.97 (0.81, 1.16)</w:t>
            </w:r>
          </w:p>
        </w:tc>
        <w:tc>
          <w:tcPr>
            <w:tcW w:w="1097" w:type="pct"/>
            <w:vAlign w:val="center"/>
          </w:tcPr>
          <w:p w14:paraId="643FB397" w14:textId="77777777" w:rsidR="0088643C" w:rsidRPr="00276BCA" w:rsidRDefault="0088643C" w:rsidP="0088643C">
            <w:pPr>
              <w:keepNext/>
              <w:keepLines/>
              <w:widowControl w:val="0"/>
              <w:spacing w:before="0"/>
              <w:jc w:val="center"/>
              <w:rPr>
                <w:sz w:val="20"/>
              </w:rPr>
            </w:pPr>
            <w:r w:rsidRPr="00276BCA">
              <w:rPr>
                <w:sz w:val="20"/>
              </w:rPr>
              <w:t>-</w:t>
            </w:r>
          </w:p>
        </w:tc>
      </w:tr>
      <w:tr w:rsidR="00E41328" w:rsidRPr="00276BCA" w14:paraId="677E2FB4" w14:textId="77777777" w:rsidTr="77D89277">
        <w:tc>
          <w:tcPr>
            <w:tcW w:w="1345" w:type="pct"/>
            <w:vAlign w:val="center"/>
          </w:tcPr>
          <w:p w14:paraId="08AFB48B" w14:textId="71CE75D2" w:rsidR="0088643C" w:rsidRPr="00276BCA" w:rsidRDefault="1B287718" w:rsidP="77D89277">
            <w:pPr>
              <w:keepNext/>
              <w:keepLines/>
              <w:widowControl w:val="0"/>
              <w:spacing w:before="0"/>
              <w:jc w:val="left"/>
              <w:rPr>
                <w:sz w:val="20"/>
              </w:rPr>
            </w:pPr>
            <w:r w:rsidRPr="00276BCA">
              <w:rPr>
                <w:sz w:val="20"/>
              </w:rPr>
              <w:t>NIVO+ FOLFOX6/</w:t>
            </w:r>
            <w:proofErr w:type="spellStart"/>
            <w:proofErr w:type="gramStart"/>
            <w:r w:rsidRPr="00276BCA">
              <w:rPr>
                <w:sz w:val="20"/>
              </w:rPr>
              <w:t>CAPOX</w:t>
            </w:r>
            <w:r w:rsidRPr="00276BCA">
              <w:rPr>
                <w:sz w:val="20"/>
                <w:vertAlign w:val="superscript"/>
              </w:rPr>
              <w:t>e,f</w:t>
            </w:r>
            <w:proofErr w:type="spellEnd"/>
            <w:proofErr w:type="gramEnd"/>
            <w:r w:rsidRPr="00276BCA">
              <w:rPr>
                <w:sz w:val="20"/>
              </w:rPr>
              <w:t xml:space="preserve"> (global trials </w:t>
            </w:r>
            <w:proofErr w:type="spellStart"/>
            <w:r w:rsidRPr="00276BCA">
              <w:rPr>
                <w:sz w:val="20"/>
              </w:rPr>
              <w:t>only</w:t>
            </w:r>
            <w:r w:rsidR="3C33FBB5" w:rsidRPr="00276BCA">
              <w:rPr>
                <w:sz w:val="20"/>
                <w:vertAlign w:val="superscript"/>
              </w:rPr>
              <w:t>d</w:t>
            </w:r>
            <w:proofErr w:type="spellEnd"/>
            <w:r w:rsidRPr="00276BCA">
              <w:rPr>
                <w:sz w:val="20"/>
              </w:rPr>
              <w:t>)</w:t>
            </w:r>
          </w:p>
        </w:tc>
        <w:tc>
          <w:tcPr>
            <w:tcW w:w="807" w:type="pct"/>
            <w:vAlign w:val="center"/>
          </w:tcPr>
          <w:p w14:paraId="57ADE2FB" w14:textId="77777777" w:rsidR="0088643C" w:rsidRPr="00276BCA" w:rsidRDefault="0088643C" w:rsidP="0088643C">
            <w:pPr>
              <w:keepNext/>
              <w:keepLines/>
              <w:widowControl w:val="0"/>
              <w:spacing w:before="0"/>
              <w:jc w:val="center"/>
              <w:rPr>
                <w:sz w:val="20"/>
              </w:rPr>
            </w:pPr>
            <w:r w:rsidRPr="00276BCA">
              <w:rPr>
                <w:sz w:val="20"/>
              </w:rPr>
              <w:t>-</w:t>
            </w:r>
          </w:p>
        </w:tc>
        <w:tc>
          <w:tcPr>
            <w:tcW w:w="832" w:type="pct"/>
            <w:vAlign w:val="center"/>
          </w:tcPr>
          <w:p w14:paraId="44E990A6" w14:textId="77777777" w:rsidR="0088643C" w:rsidRPr="00276BCA" w:rsidRDefault="0088643C" w:rsidP="0088643C">
            <w:pPr>
              <w:keepNext/>
              <w:keepLines/>
              <w:widowControl w:val="0"/>
              <w:spacing w:before="0"/>
              <w:jc w:val="center"/>
              <w:rPr>
                <w:sz w:val="20"/>
              </w:rPr>
            </w:pPr>
            <w:r w:rsidRPr="00276BCA">
              <w:rPr>
                <w:sz w:val="20"/>
              </w:rPr>
              <w:t>-</w:t>
            </w:r>
          </w:p>
        </w:tc>
        <w:tc>
          <w:tcPr>
            <w:tcW w:w="918" w:type="pct"/>
            <w:vAlign w:val="center"/>
          </w:tcPr>
          <w:p w14:paraId="4F5F057F" w14:textId="77777777" w:rsidR="0088643C" w:rsidRPr="00276BCA" w:rsidRDefault="0088643C" w:rsidP="0088643C">
            <w:pPr>
              <w:keepNext/>
              <w:keepLines/>
              <w:widowControl w:val="0"/>
              <w:spacing w:before="0"/>
              <w:jc w:val="center"/>
              <w:rPr>
                <w:sz w:val="20"/>
              </w:rPr>
            </w:pPr>
            <w:r w:rsidRPr="00276BCA">
              <w:rPr>
                <w:sz w:val="20"/>
              </w:rPr>
              <w:t>-</w:t>
            </w:r>
          </w:p>
        </w:tc>
        <w:tc>
          <w:tcPr>
            <w:tcW w:w="1097" w:type="pct"/>
            <w:vAlign w:val="center"/>
          </w:tcPr>
          <w:p w14:paraId="0B62C723" w14:textId="77777777" w:rsidR="0088643C" w:rsidRPr="00276BCA" w:rsidRDefault="0088643C" w:rsidP="0088643C">
            <w:pPr>
              <w:keepNext/>
              <w:keepLines/>
              <w:widowControl w:val="0"/>
              <w:spacing w:before="0"/>
              <w:jc w:val="center"/>
              <w:rPr>
                <w:sz w:val="20"/>
              </w:rPr>
            </w:pPr>
            <w:r w:rsidRPr="00276BCA">
              <w:rPr>
                <w:sz w:val="20"/>
              </w:rPr>
              <w:t>0.98 (0.79,1.18)</w:t>
            </w:r>
          </w:p>
        </w:tc>
      </w:tr>
    </w:tbl>
    <w:p w14:paraId="6EF8E9C0" w14:textId="77777777" w:rsidR="008241B3" w:rsidRPr="00276BCA" w:rsidRDefault="008241B3" w:rsidP="008241B3">
      <w:pPr>
        <w:keepNext/>
        <w:keepLines/>
        <w:widowControl w:val="0"/>
        <w:spacing w:before="0" w:after="0"/>
        <w:contextualSpacing/>
        <w:rPr>
          <w:rFonts w:ascii="Arial Narrow" w:eastAsia="Times New Roman" w:hAnsi="Arial Narrow" w:cs="Arial"/>
          <w:snapToGrid w:val="0"/>
          <w:sz w:val="18"/>
          <w:szCs w:val="20"/>
        </w:rPr>
      </w:pPr>
      <w:r w:rsidRPr="00276BCA">
        <w:rPr>
          <w:rFonts w:ascii="Arial Narrow" w:eastAsia="Times New Roman" w:hAnsi="Arial Narrow" w:cs="Arial"/>
          <w:snapToGrid w:val="0"/>
          <w:sz w:val="18"/>
          <w:szCs w:val="20"/>
        </w:rPr>
        <w:t>Source: Prepared during evaluation using Table 3, pp59-60; Table 4, pp61-62; Table 5, p65; Table 6, p66; Table 7, p69; and Table 8, p70 of the ‘Attachment 04 - NMA for GC 1L Treatments - Study Report – 05312024’ to the submission.</w:t>
      </w:r>
    </w:p>
    <w:p w14:paraId="5E2C5107" w14:textId="2FC3F040" w:rsidR="008241B3" w:rsidRPr="00276BCA" w:rsidRDefault="074A3595" w:rsidP="77D89277">
      <w:pPr>
        <w:keepNext/>
        <w:keepLines/>
        <w:widowControl w:val="0"/>
        <w:spacing w:before="0" w:after="0"/>
        <w:contextualSpacing/>
        <w:rPr>
          <w:rFonts w:ascii="Arial Narrow" w:eastAsia="Times New Roman" w:hAnsi="Arial Narrow" w:cs="Arial"/>
          <w:snapToGrid w:val="0"/>
          <w:sz w:val="18"/>
          <w:szCs w:val="18"/>
        </w:rPr>
      </w:pPr>
      <w:r w:rsidRPr="00276BCA">
        <w:rPr>
          <w:rFonts w:ascii="Arial Narrow" w:eastAsia="Times New Roman" w:hAnsi="Arial Narrow" w:cs="Arial"/>
          <w:snapToGrid w:val="0"/>
          <w:sz w:val="18"/>
          <w:szCs w:val="18"/>
        </w:rPr>
        <w:t>CAPOX =</w:t>
      </w:r>
      <w:r w:rsidRPr="00276BCA">
        <w:t xml:space="preserve"> </w:t>
      </w:r>
      <w:r w:rsidRPr="00276BCA">
        <w:rPr>
          <w:rFonts w:ascii="Arial Narrow" w:eastAsia="Times New Roman" w:hAnsi="Arial Narrow" w:cs="Arial"/>
          <w:snapToGrid w:val="0"/>
          <w:sz w:val="18"/>
          <w:szCs w:val="18"/>
        </w:rPr>
        <w:t xml:space="preserve">capecitabine + oxaliplatin; </w:t>
      </w:r>
      <w:proofErr w:type="spellStart"/>
      <w:r w:rsidRPr="00276BCA">
        <w:rPr>
          <w:rFonts w:ascii="Arial Narrow" w:eastAsia="Times New Roman" w:hAnsi="Arial Narrow" w:cs="Arial"/>
          <w:snapToGrid w:val="0"/>
          <w:sz w:val="18"/>
          <w:szCs w:val="18"/>
        </w:rPr>
        <w:t>CrI</w:t>
      </w:r>
      <w:proofErr w:type="spellEnd"/>
      <w:r w:rsidRPr="00276BCA">
        <w:rPr>
          <w:rFonts w:ascii="Arial Narrow" w:eastAsia="Times New Roman" w:hAnsi="Arial Narrow" w:cs="Arial"/>
          <w:snapToGrid w:val="0"/>
          <w:sz w:val="18"/>
          <w:szCs w:val="18"/>
        </w:rPr>
        <w:t xml:space="preserve"> = credible interval; HR = hazard ratio; mFOLFOX</w:t>
      </w:r>
      <w:r w:rsidR="52ECB8DF" w:rsidRPr="00276BCA">
        <w:rPr>
          <w:rFonts w:ascii="Arial Narrow" w:eastAsia="Times New Roman" w:hAnsi="Arial Narrow" w:cs="Arial"/>
          <w:snapToGrid w:val="0"/>
          <w:sz w:val="18"/>
          <w:szCs w:val="18"/>
        </w:rPr>
        <w:t>6</w:t>
      </w:r>
      <w:r w:rsidRPr="00276BCA">
        <w:rPr>
          <w:rFonts w:ascii="Arial Narrow" w:eastAsia="Times New Roman" w:hAnsi="Arial Narrow" w:cs="Arial"/>
          <w:snapToGrid w:val="0"/>
          <w:sz w:val="18"/>
          <w:szCs w:val="18"/>
        </w:rPr>
        <w:t xml:space="preserve"> = leucovorin calcium (folinic acid) + fluorouracil + oxaliplatin; NIVO = nivolumab; OS = overall survival; PFS = progression-free survival; ZOLBE = </w:t>
      </w:r>
      <w:proofErr w:type="spellStart"/>
      <w:r w:rsidRPr="00276BCA">
        <w:rPr>
          <w:rFonts w:ascii="Arial Narrow" w:eastAsia="Times New Roman" w:hAnsi="Arial Narrow" w:cs="Arial"/>
          <w:snapToGrid w:val="0"/>
          <w:sz w:val="18"/>
          <w:szCs w:val="18"/>
        </w:rPr>
        <w:t>zolbetuximab</w:t>
      </w:r>
      <w:proofErr w:type="spellEnd"/>
      <w:r w:rsidRPr="00276BCA">
        <w:rPr>
          <w:rFonts w:ascii="Arial Narrow" w:eastAsia="Times New Roman" w:hAnsi="Arial Narrow" w:cs="Arial"/>
          <w:snapToGrid w:val="0"/>
          <w:sz w:val="18"/>
          <w:szCs w:val="18"/>
        </w:rPr>
        <w:t>.</w:t>
      </w:r>
    </w:p>
    <w:p w14:paraId="652D5122" w14:textId="77777777" w:rsidR="008241B3" w:rsidRPr="00276BCA" w:rsidRDefault="074A3595" w:rsidP="77D89277">
      <w:pPr>
        <w:keepNext/>
        <w:keepLines/>
        <w:widowControl w:val="0"/>
        <w:spacing w:before="0" w:after="0"/>
        <w:contextualSpacing/>
        <w:rPr>
          <w:rFonts w:ascii="Arial Narrow" w:eastAsia="Times New Roman" w:hAnsi="Arial Narrow" w:cs="Arial"/>
          <w:snapToGrid w:val="0"/>
          <w:sz w:val="18"/>
          <w:szCs w:val="18"/>
        </w:rPr>
      </w:pPr>
      <w:r w:rsidRPr="00276BCA">
        <w:rPr>
          <w:rFonts w:ascii="Arial Narrow" w:eastAsia="Times New Roman" w:hAnsi="Arial Narrow" w:cs="Arial"/>
          <w:snapToGrid w:val="0"/>
          <w:sz w:val="18"/>
          <w:szCs w:val="18"/>
        </w:rPr>
        <w:t>Note: A hazard ratio &lt;1 indicated a favourable result of the vertical treatment versus the horizontal treatment.</w:t>
      </w:r>
    </w:p>
    <w:p w14:paraId="62029F2C" w14:textId="1F8E6AE9" w:rsidR="0088643C" w:rsidRPr="00276BCA" w:rsidRDefault="074A3595" w:rsidP="77D89277">
      <w:pPr>
        <w:keepNext/>
        <w:keepLines/>
        <w:widowControl w:val="0"/>
        <w:spacing w:before="0" w:after="0"/>
        <w:contextualSpacing/>
        <w:rPr>
          <w:rFonts w:ascii="Arial Narrow" w:eastAsia="Times New Roman" w:hAnsi="Arial Narrow" w:cs="Arial"/>
          <w:snapToGrid w:val="0"/>
          <w:sz w:val="18"/>
          <w:szCs w:val="18"/>
        </w:rPr>
      </w:pPr>
      <w:proofErr w:type="spellStart"/>
      <w:r w:rsidRPr="00276BCA">
        <w:rPr>
          <w:rFonts w:ascii="Arial Narrow" w:eastAsia="Times New Roman" w:hAnsi="Arial Narrow" w:cs="Arial"/>
          <w:snapToGrid w:val="0"/>
          <w:sz w:val="18"/>
          <w:szCs w:val="18"/>
          <w:vertAlign w:val="superscript"/>
        </w:rPr>
        <w:t>a</w:t>
      </w:r>
      <w:proofErr w:type="spellEnd"/>
      <w:r w:rsidRPr="00276BCA">
        <w:rPr>
          <w:rFonts w:ascii="Arial Narrow" w:eastAsia="Times New Roman" w:hAnsi="Arial Narrow" w:cs="Arial"/>
          <w:snapToGrid w:val="0"/>
          <w:sz w:val="18"/>
          <w:szCs w:val="18"/>
          <w:vertAlign w:val="superscript"/>
        </w:rPr>
        <w:t xml:space="preserve"> </w:t>
      </w:r>
      <w:r w:rsidR="1B287718" w:rsidRPr="00276BCA">
        <w:rPr>
          <w:rFonts w:ascii="Arial Narrow" w:eastAsia="Times New Roman" w:hAnsi="Arial Narrow" w:cs="Arial"/>
          <w:snapToGrid w:val="0"/>
          <w:sz w:val="18"/>
          <w:szCs w:val="18"/>
        </w:rPr>
        <w:t xml:space="preserve">Using data from </w:t>
      </w:r>
      <w:r w:rsidR="597F0AAE" w:rsidRPr="00276BCA">
        <w:rPr>
          <w:rFonts w:ascii="Arial Narrow" w:eastAsia="Times New Roman" w:hAnsi="Arial Narrow" w:cs="Arial"/>
          <w:snapToGrid w:val="0"/>
          <w:sz w:val="18"/>
          <w:szCs w:val="18"/>
        </w:rPr>
        <w:t>SPOTLIGHT trial</w:t>
      </w:r>
    </w:p>
    <w:p w14:paraId="60903262" w14:textId="2670E48B" w:rsidR="006F66F3" w:rsidRPr="00276BCA" w:rsidRDefault="006F66F3" w:rsidP="008241B3">
      <w:pPr>
        <w:keepNext/>
        <w:keepLines/>
        <w:widowControl w:val="0"/>
        <w:spacing w:before="0" w:after="0"/>
        <w:contextualSpacing/>
        <w:rPr>
          <w:rFonts w:ascii="Arial Narrow" w:eastAsia="Times New Roman" w:hAnsi="Arial Narrow" w:cs="Arial"/>
          <w:snapToGrid w:val="0"/>
          <w:sz w:val="18"/>
          <w:szCs w:val="20"/>
        </w:rPr>
      </w:pPr>
      <w:r w:rsidRPr="00276BCA">
        <w:rPr>
          <w:rFonts w:ascii="Arial Narrow" w:eastAsia="Times New Roman" w:hAnsi="Arial Narrow" w:cs="Arial"/>
          <w:snapToGrid w:val="0"/>
          <w:sz w:val="18"/>
          <w:szCs w:val="20"/>
          <w:vertAlign w:val="superscript"/>
        </w:rPr>
        <w:t>b</w:t>
      </w:r>
      <w:r w:rsidRPr="00276BCA">
        <w:rPr>
          <w:rFonts w:ascii="Arial Narrow" w:eastAsia="Times New Roman" w:hAnsi="Arial Narrow" w:cs="Arial"/>
          <w:snapToGrid w:val="0"/>
          <w:sz w:val="18"/>
          <w:szCs w:val="20"/>
        </w:rPr>
        <w:t xml:space="preserve"> using data from GLOW trial</w:t>
      </w:r>
    </w:p>
    <w:p w14:paraId="168E6C28" w14:textId="11455EF8" w:rsidR="008241B3" w:rsidRPr="00276BCA" w:rsidRDefault="597F0AAE" w:rsidP="77D89277">
      <w:pPr>
        <w:keepNext/>
        <w:keepLines/>
        <w:widowControl w:val="0"/>
        <w:spacing w:before="0" w:after="0"/>
        <w:contextualSpacing/>
        <w:rPr>
          <w:rFonts w:ascii="Arial Narrow" w:eastAsia="Times New Roman" w:hAnsi="Arial Narrow" w:cs="Arial"/>
          <w:snapToGrid w:val="0"/>
          <w:sz w:val="18"/>
          <w:szCs w:val="18"/>
        </w:rPr>
      </w:pPr>
      <w:r w:rsidRPr="00276BCA">
        <w:rPr>
          <w:rFonts w:ascii="Arial Narrow" w:eastAsia="Times New Roman" w:hAnsi="Arial Narrow" w:cs="Arial"/>
          <w:snapToGrid w:val="0"/>
          <w:sz w:val="18"/>
          <w:szCs w:val="18"/>
          <w:vertAlign w:val="superscript"/>
        </w:rPr>
        <w:t>c</w:t>
      </w:r>
      <w:r w:rsidR="3C33FBB5" w:rsidRPr="00276BCA">
        <w:rPr>
          <w:rFonts w:ascii="Arial Narrow" w:eastAsia="Times New Roman" w:hAnsi="Arial Narrow" w:cs="Arial"/>
          <w:snapToGrid w:val="0"/>
          <w:sz w:val="18"/>
          <w:szCs w:val="18"/>
          <w:vertAlign w:val="superscript"/>
        </w:rPr>
        <w:t xml:space="preserve"> </w:t>
      </w:r>
      <w:r w:rsidR="074A3595" w:rsidRPr="00276BCA">
        <w:rPr>
          <w:rFonts w:ascii="Arial Narrow" w:eastAsia="Times New Roman" w:hAnsi="Arial Narrow" w:cs="Arial"/>
          <w:snapToGrid w:val="0"/>
          <w:sz w:val="18"/>
          <w:szCs w:val="18"/>
        </w:rPr>
        <w:t xml:space="preserve">The NMA assumed equivalent efficacy of CAPOX and </w:t>
      </w:r>
      <w:proofErr w:type="spellStart"/>
      <w:r w:rsidR="074A3595" w:rsidRPr="00276BCA">
        <w:rPr>
          <w:rFonts w:ascii="Arial Narrow" w:eastAsia="Times New Roman" w:hAnsi="Arial Narrow" w:cs="Arial"/>
          <w:snapToGrid w:val="0"/>
          <w:sz w:val="18"/>
          <w:szCs w:val="18"/>
        </w:rPr>
        <w:t>mFOLFOX</w:t>
      </w:r>
      <w:proofErr w:type="spellEnd"/>
      <w:r w:rsidR="074A3595" w:rsidRPr="00276BCA">
        <w:rPr>
          <w:rFonts w:ascii="Arial Narrow" w:eastAsia="Times New Roman" w:hAnsi="Arial Narrow" w:cs="Arial"/>
          <w:snapToGrid w:val="0"/>
          <w:sz w:val="18"/>
          <w:szCs w:val="18"/>
        </w:rPr>
        <w:t>.</w:t>
      </w:r>
    </w:p>
    <w:p w14:paraId="70D7F619" w14:textId="294B4C6F" w:rsidR="008241B3" w:rsidRPr="00276BCA" w:rsidRDefault="00FE1C68" w:rsidP="008241B3">
      <w:pPr>
        <w:keepNext/>
        <w:keepLines/>
        <w:widowControl w:val="0"/>
        <w:spacing w:before="0" w:after="0"/>
        <w:contextualSpacing/>
        <w:rPr>
          <w:rFonts w:ascii="Arial Narrow" w:eastAsia="Times New Roman" w:hAnsi="Arial Narrow" w:cs="Arial"/>
          <w:snapToGrid w:val="0"/>
          <w:sz w:val="18"/>
          <w:szCs w:val="20"/>
        </w:rPr>
      </w:pPr>
      <w:r w:rsidRPr="00276BCA">
        <w:rPr>
          <w:rFonts w:ascii="Arial Narrow" w:eastAsia="Times New Roman" w:hAnsi="Arial Narrow" w:cs="Arial"/>
          <w:snapToGrid w:val="0"/>
          <w:sz w:val="18"/>
          <w:szCs w:val="20"/>
          <w:vertAlign w:val="superscript"/>
        </w:rPr>
        <w:t>d</w:t>
      </w:r>
      <w:r w:rsidR="008241B3" w:rsidRPr="00276BCA">
        <w:rPr>
          <w:rFonts w:ascii="Arial Narrow" w:eastAsia="Times New Roman" w:hAnsi="Arial Narrow" w:cs="Arial"/>
          <w:snapToGrid w:val="0"/>
          <w:sz w:val="18"/>
          <w:szCs w:val="20"/>
          <w:vertAlign w:val="superscript"/>
        </w:rPr>
        <w:t xml:space="preserve"> </w:t>
      </w:r>
      <w:r w:rsidR="008241B3" w:rsidRPr="00276BCA">
        <w:rPr>
          <w:rFonts w:ascii="Arial Narrow" w:eastAsia="Times New Roman" w:hAnsi="Arial Narrow" w:cs="Arial"/>
          <w:snapToGrid w:val="0"/>
          <w:sz w:val="18"/>
          <w:szCs w:val="20"/>
        </w:rPr>
        <w:t>The NMA included only global trials that reflected US and Europe population and assumed equivalent efficacy of CAPOX and mFOLFOX</w:t>
      </w:r>
      <w:r w:rsidR="002C766E" w:rsidRPr="00276BCA">
        <w:rPr>
          <w:rFonts w:ascii="Arial Narrow" w:eastAsia="Times New Roman" w:hAnsi="Arial Narrow" w:cs="Arial"/>
          <w:snapToGrid w:val="0"/>
          <w:sz w:val="18"/>
          <w:szCs w:val="20"/>
        </w:rPr>
        <w:t>6</w:t>
      </w:r>
      <w:r w:rsidR="008241B3" w:rsidRPr="00276BCA">
        <w:rPr>
          <w:rFonts w:ascii="Arial Narrow" w:eastAsia="Times New Roman" w:hAnsi="Arial Narrow" w:cs="Arial"/>
          <w:snapToGrid w:val="0"/>
          <w:sz w:val="18"/>
          <w:szCs w:val="20"/>
        </w:rPr>
        <w:t>.</w:t>
      </w:r>
    </w:p>
    <w:p w14:paraId="263362F1" w14:textId="7104C1FB" w:rsidR="008A51BA" w:rsidRPr="00276BCA" w:rsidRDefault="3C33FBB5" w:rsidP="77D89277">
      <w:pPr>
        <w:keepNext/>
        <w:keepLines/>
        <w:widowControl w:val="0"/>
        <w:spacing w:before="0" w:after="0"/>
        <w:contextualSpacing/>
        <w:rPr>
          <w:rFonts w:ascii="Arial Narrow" w:eastAsia="Times New Roman" w:hAnsi="Arial Narrow" w:cs="Arial"/>
          <w:sz w:val="18"/>
          <w:szCs w:val="18"/>
        </w:rPr>
      </w:pPr>
      <w:r w:rsidRPr="00276BCA">
        <w:rPr>
          <w:rFonts w:ascii="Arial Narrow" w:eastAsia="Times New Roman" w:hAnsi="Arial Narrow" w:cs="Arial"/>
          <w:sz w:val="18"/>
          <w:szCs w:val="18"/>
          <w:vertAlign w:val="superscript"/>
        </w:rPr>
        <w:t>e</w:t>
      </w:r>
      <w:r w:rsidR="523D41B6" w:rsidRPr="00276BCA">
        <w:rPr>
          <w:rFonts w:ascii="Arial Narrow" w:eastAsia="Times New Roman" w:hAnsi="Arial Narrow" w:cs="Arial"/>
          <w:sz w:val="18"/>
          <w:szCs w:val="18"/>
        </w:rPr>
        <w:t xml:space="preserve"> </w:t>
      </w:r>
      <w:r w:rsidRPr="00276BCA">
        <w:rPr>
          <w:rFonts w:ascii="Arial Narrow" w:eastAsia="Times New Roman" w:hAnsi="Arial Narrow" w:cs="Arial"/>
          <w:sz w:val="18"/>
          <w:szCs w:val="18"/>
        </w:rPr>
        <w:t xml:space="preserve">Using data from </w:t>
      </w:r>
      <w:proofErr w:type="spellStart"/>
      <w:r w:rsidR="523D41B6" w:rsidRPr="00276BCA">
        <w:rPr>
          <w:rFonts w:ascii="Arial Narrow" w:eastAsia="Times New Roman" w:hAnsi="Arial Narrow" w:cs="Arial"/>
          <w:sz w:val="18"/>
          <w:szCs w:val="18"/>
        </w:rPr>
        <w:t>CheckMate</w:t>
      </w:r>
      <w:proofErr w:type="spellEnd"/>
      <w:r w:rsidR="523D41B6" w:rsidRPr="00276BCA">
        <w:rPr>
          <w:rFonts w:ascii="Arial Narrow" w:eastAsia="Times New Roman" w:hAnsi="Arial Narrow" w:cs="Arial"/>
          <w:sz w:val="18"/>
          <w:szCs w:val="18"/>
        </w:rPr>
        <w:t xml:space="preserve"> 649</w:t>
      </w:r>
    </w:p>
    <w:p w14:paraId="3699B22B" w14:textId="44E2CFD1" w:rsidR="213A6ABE" w:rsidRPr="00276BCA" w:rsidRDefault="00FE1C68" w:rsidP="00204461">
      <w:pPr>
        <w:keepLines/>
        <w:widowControl w:val="0"/>
        <w:spacing w:before="0" w:after="0"/>
        <w:contextualSpacing/>
        <w:rPr>
          <w:rFonts w:ascii="Arial Narrow" w:eastAsia="Times New Roman" w:hAnsi="Arial Narrow" w:cs="Arial"/>
          <w:sz w:val="18"/>
          <w:szCs w:val="18"/>
        </w:rPr>
      </w:pPr>
      <w:r w:rsidRPr="00276BCA">
        <w:rPr>
          <w:rFonts w:ascii="Arial Narrow" w:eastAsia="Times New Roman" w:hAnsi="Arial Narrow" w:cs="Arial"/>
          <w:sz w:val="18"/>
          <w:szCs w:val="18"/>
          <w:vertAlign w:val="superscript"/>
        </w:rPr>
        <w:t>f</w:t>
      </w:r>
      <w:r w:rsidR="213A6ABE" w:rsidRPr="00276BCA">
        <w:rPr>
          <w:rFonts w:ascii="Arial Narrow" w:eastAsia="Times New Roman" w:hAnsi="Arial Narrow" w:cs="Arial"/>
          <w:sz w:val="18"/>
          <w:szCs w:val="18"/>
        </w:rPr>
        <w:t xml:space="preserve"> </w:t>
      </w:r>
      <w:r w:rsidRPr="00276BCA">
        <w:rPr>
          <w:rFonts w:ascii="Arial Narrow" w:eastAsia="Times New Roman" w:hAnsi="Arial Narrow" w:cs="Arial"/>
          <w:sz w:val="18"/>
          <w:szCs w:val="18"/>
        </w:rPr>
        <w:t xml:space="preserve">Using data from </w:t>
      </w:r>
      <w:r w:rsidR="213A6ABE" w:rsidRPr="00276BCA">
        <w:rPr>
          <w:rFonts w:ascii="Arial Narrow" w:eastAsia="Times New Roman" w:hAnsi="Arial Narrow" w:cs="Arial"/>
          <w:sz w:val="18"/>
          <w:szCs w:val="18"/>
        </w:rPr>
        <w:t>ATTRACTION-4 trial</w:t>
      </w:r>
    </w:p>
    <w:p w14:paraId="64340747" w14:textId="2A1F2D36" w:rsidR="008241B3" w:rsidRPr="00276BCA" w:rsidRDefault="00330C42" w:rsidP="00EE7DB2">
      <w:pPr>
        <w:pStyle w:val="ListParagraph"/>
        <w:numPr>
          <w:ilvl w:val="4"/>
          <w:numId w:val="8"/>
        </w:numPr>
        <w:rPr>
          <w:color w:val="auto"/>
        </w:rPr>
      </w:pPr>
      <w:r w:rsidRPr="00276BCA">
        <w:rPr>
          <w:color w:val="auto"/>
        </w:rPr>
        <w:lastRenderedPageBreak/>
        <w:t>There were no statistically significant differences in PFS</w:t>
      </w:r>
      <w:r w:rsidR="00673A97" w:rsidRPr="00276BCA">
        <w:rPr>
          <w:color w:val="auto"/>
        </w:rPr>
        <w:t xml:space="preserve"> or OS</w:t>
      </w:r>
      <w:r w:rsidR="00242AC4" w:rsidRPr="00276BCA">
        <w:rPr>
          <w:color w:val="auto"/>
        </w:rPr>
        <w:t xml:space="preserve"> for </w:t>
      </w:r>
      <w:proofErr w:type="spellStart"/>
      <w:r w:rsidR="00242AC4" w:rsidRPr="00276BCA">
        <w:rPr>
          <w:color w:val="auto"/>
        </w:rPr>
        <w:t>zol</w:t>
      </w:r>
      <w:r w:rsidR="003E4B4F" w:rsidRPr="00276BCA">
        <w:rPr>
          <w:color w:val="auto"/>
        </w:rPr>
        <w:t>bet</w:t>
      </w:r>
      <w:r w:rsidR="00BC61EB" w:rsidRPr="00276BCA">
        <w:rPr>
          <w:color w:val="auto"/>
        </w:rPr>
        <w:t>uximab</w:t>
      </w:r>
      <w:proofErr w:type="spellEnd"/>
      <w:r w:rsidR="004D7D77" w:rsidRPr="00276BCA">
        <w:rPr>
          <w:color w:val="auto"/>
        </w:rPr>
        <w:t xml:space="preserve"> versus nivolumab</w:t>
      </w:r>
      <w:r w:rsidR="008854E6" w:rsidRPr="00276BCA">
        <w:rPr>
          <w:color w:val="auto"/>
        </w:rPr>
        <w:t xml:space="preserve"> </w:t>
      </w:r>
      <w:r w:rsidR="009F5967" w:rsidRPr="00276BCA">
        <w:rPr>
          <w:color w:val="auto"/>
        </w:rPr>
        <w:t xml:space="preserve">when used in combination with </w:t>
      </w:r>
      <w:r w:rsidR="00266D69" w:rsidRPr="00276BCA">
        <w:rPr>
          <w:color w:val="auto"/>
        </w:rPr>
        <w:t>CAPOX</w:t>
      </w:r>
      <w:r w:rsidR="001F09F4" w:rsidRPr="00276BCA">
        <w:rPr>
          <w:color w:val="auto"/>
        </w:rPr>
        <w:t xml:space="preserve">, </w:t>
      </w:r>
      <w:r w:rsidR="00E879FB" w:rsidRPr="00276BCA">
        <w:rPr>
          <w:color w:val="auto"/>
        </w:rPr>
        <w:t>mFOLFOX6</w:t>
      </w:r>
      <w:r w:rsidR="009F53E1" w:rsidRPr="00276BCA">
        <w:rPr>
          <w:color w:val="auto"/>
        </w:rPr>
        <w:t xml:space="preserve"> or both regimens combined.</w:t>
      </w:r>
      <w:r w:rsidR="008854E6" w:rsidRPr="00276BCA">
        <w:rPr>
          <w:color w:val="auto"/>
        </w:rPr>
        <w:t xml:space="preserve"> </w:t>
      </w:r>
      <w:r w:rsidR="00972830" w:rsidRPr="00276BCA">
        <w:rPr>
          <w:color w:val="auto"/>
        </w:rPr>
        <w:t>T</w:t>
      </w:r>
      <w:r w:rsidR="00F40552" w:rsidRPr="00276BCA">
        <w:rPr>
          <w:color w:val="auto"/>
        </w:rPr>
        <w:t>he</w:t>
      </w:r>
      <w:r w:rsidR="00972830" w:rsidRPr="00276BCA">
        <w:rPr>
          <w:color w:val="auto"/>
        </w:rPr>
        <w:t xml:space="preserve"> difference in PFS</w:t>
      </w:r>
      <w:r w:rsidR="008A5729" w:rsidRPr="00276BCA">
        <w:rPr>
          <w:color w:val="auto"/>
        </w:rPr>
        <w:t xml:space="preserve"> and OS</w:t>
      </w:r>
      <w:r w:rsidR="00972830" w:rsidRPr="00276BCA">
        <w:rPr>
          <w:color w:val="auto"/>
        </w:rPr>
        <w:t xml:space="preserve"> was </w:t>
      </w:r>
      <w:r w:rsidR="00BA064D" w:rsidRPr="00276BCA">
        <w:rPr>
          <w:color w:val="auto"/>
        </w:rPr>
        <w:t xml:space="preserve">also not statistically significant </w:t>
      </w:r>
      <w:r w:rsidR="5C984AEB" w:rsidRPr="00276BCA">
        <w:rPr>
          <w:color w:val="auto"/>
        </w:rPr>
        <w:t>when only global trials were included.</w:t>
      </w:r>
      <w:r w:rsidR="03873F68" w:rsidRPr="00276BCA">
        <w:rPr>
          <w:color w:val="auto"/>
        </w:rPr>
        <w:t xml:space="preserve"> </w:t>
      </w:r>
    </w:p>
    <w:p w14:paraId="3D26AF38" w14:textId="3739C462" w:rsidR="00657685" w:rsidRPr="00276BCA" w:rsidRDefault="589CB61C" w:rsidP="77D89277">
      <w:pPr>
        <w:pStyle w:val="ListParagraph"/>
        <w:numPr>
          <w:ilvl w:val="4"/>
          <w:numId w:val="8"/>
        </w:numPr>
        <w:rPr>
          <w:color w:val="auto"/>
        </w:rPr>
      </w:pPr>
      <w:r w:rsidRPr="00276BCA">
        <w:rPr>
          <w:color w:val="auto"/>
        </w:rPr>
        <w:t>T</w:t>
      </w:r>
      <w:r w:rsidR="1512DF22" w:rsidRPr="00276BCA">
        <w:rPr>
          <w:color w:val="auto"/>
        </w:rPr>
        <w:t xml:space="preserve">he independent search </w:t>
      </w:r>
      <w:r w:rsidR="007D7ED1" w:rsidRPr="00276BCA">
        <w:rPr>
          <w:color w:val="auto"/>
        </w:rPr>
        <w:t xml:space="preserve">conducted </w:t>
      </w:r>
      <w:r w:rsidR="5840D970" w:rsidRPr="00276BCA">
        <w:rPr>
          <w:color w:val="auto"/>
        </w:rPr>
        <w:t xml:space="preserve">during the evaluation </w:t>
      </w:r>
      <w:r w:rsidR="1512DF22" w:rsidRPr="00276BCA">
        <w:rPr>
          <w:color w:val="auto"/>
        </w:rPr>
        <w:t xml:space="preserve">identified two recently published systematic </w:t>
      </w:r>
      <w:r w:rsidR="1512DF22" w:rsidRPr="00276BCA">
        <w:t>review</w:t>
      </w:r>
      <w:r w:rsidR="1512DF22" w:rsidRPr="00276BCA">
        <w:rPr>
          <w:color w:val="auto"/>
        </w:rPr>
        <w:t xml:space="preserve"> and meta-analys</w:t>
      </w:r>
      <w:r w:rsidR="606DBDB6" w:rsidRPr="00276BCA">
        <w:rPr>
          <w:color w:val="auto"/>
        </w:rPr>
        <w:t>e</w:t>
      </w:r>
      <w:r w:rsidR="1512DF22" w:rsidRPr="00276BCA">
        <w:rPr>
          <w:color w:val="auto"/>
        </w:rPr>
        <w:t>s of first-line treatments for advanced G/GOJ cancer.</w:t>
      </w:r>
      <w:r w:rsidR="00B63736" w:rsidRPr="00276BCA">
        <w:rPr>
          <w:color w:val="auto"/>
          <w:vertAlign w:val="superscript"/>
        </w:rPr>
        <w:footnoteReference w:id="12"/>
      </w:r>
      <w:r w:rsidR="5840D970" w:rsidRPr="00276BCA">
        <w:rPr>
          <w:color w:val="auto"/>
          <w:vertAlign w:val="superscript"/>
        </w:rPr>
        <w:t>,</w:t>
      </w:r>
      <w:r w:rsidR="00B63736" w:rsidRPr="00276BCA">
        <w:rPr>
          <w:color w:val="auto"/>
          <w:vertAlign w:val="superscript"/>
        </w:rPr>
        <w:footnoteReference w:id="13"/>
      </w:r>
      <w:r w:rsidR="30E91A1F" w:rsidRPr="00276BCA">
        <w:rPr>
          <w:color w:val="auto"/>
          <w:vertAlign w:val="superscript"/>
        </w:rPr>
        <w:t xml:space="preserve"> </w:t>
      </w:r>
      <w:r w:rsidR="1512DF22" w:rsidRPr="00276BCA">
        <w:rPr>
          <w:color w:val="auto"/>
        </w:rPr>
        <w:t>Zhang et al. (2024) conducted an NMA</w:t>
      </w:r>
      <w:r w:rsidR="40759560" w:rsidRPr="00276BCA">
        <w:rPr>
          <w:color w:val="auto"/>
        </w:rPr>
        <w:t xml:space="preserve"> comparing</w:t>
      </w:r>
      <w:r w:rsidR="1512DF22" w:rsidRPr="00276BCA">
        <w:rPr>
          <w:color w:val="auto"/>
        </w:rPr>
        <w:t xml:space="preserve"> immunotherapies and </w:t>
      </w:r>
      <w:proofErr w:type="spellStart"/>
      <w:r w:rsidR="1512DF22" w:rsidRPr="00276BCA">
        <w:rPr>
          <w:color w:val="auto"/>
        </w:rPr>
        <w:t>zolbetuximab</w:t>
      </w:r>
      <w:proofErr w:type="spellEnd"/>
      <w:r w:rsidR="1512DF22" w:rsidRPr="00276BCA">
        <w:rPr>
          <w:color w:val="auto"/>
        </w:rPr>
        <w:t xml:space="preserve"> </w:t>
      </w:r>
      <w:r w:rsidR="40759560" w:rsidRPr="00276BCA">
        <w:rPr>
          <w:color w:val="auto"/>
        </w:rPr>
        <w:t>for the first-line</w:t>
      </w:r>
      <w:r w:rsidR="1512DF22" w:rsidRPr="00276BCA">
        <w:rPr>
          <w:color w:val="auto"/>
        </w:rPr>
        <w:t xml:space="preserve"> treatment of HER2-negative, unresectable, or metastatic gastric cancer. The analysis included eight trials with a total of 6,455 patients. </w:t>
      </w:r>
      <w:r w:rsidR="419D5FC3" w:rsidRPr="00276BCA">
        <w:rPr>
          <w:color w:val="auto"/>
        </w:rPr>
        <w:t>The study found</w:t>
      </w:r>
      <w:r w:rsidR="1512DF22" w:rsidRPr="00276BCA">
        <w:rPr>
          <w:color w:val="auto"/>
        </w:rPr>
        <w:t xml:space="preserve"> no statistically significant differences between </w:t>
      </w:r>
      <w:proofErr w:type="spellStart"/>
      <w:r w:rsidR="1512DF22" w:rsidRPr="00276BCA">
        <w:rPr>
          <w:color w:val="auto"/>
        </w:rPr>
        <w:t>zolbetuximab</w:t>
      </w:r>
      <w:proofErr w:type="spellEnd"/>
      <w:r w:rsidR="1512DF22" w:rsidRPr="00276BCA">
        <w:rPr>
          <w:color w:val="auto"/>
        </w:rPr>
        <w:t xml:space="preserve"> </w:t>
      </w:r>
      <w:r w:rsidR="1BF3D99E" w:rsidRPr="00276BCA">
        <w:rPr>
          <w:color w:val="auto"/>
        </w:rPr>
        <w:t xml:space="preserve">+ chemotherapy </w:t>
      </w:r>
      <w:r w:rsidR="1512DF22" w:rsidRPr="00276BCA">
        <w:rPr>
          <w:color w:val="auto"/>
        </w:rPr>
        <w:t>and nivolumab</w:t>
      </w:r>
      <w:r w:rsidR="1BF3D99E" w:rsidRPr="00276BCA">
        <w:rPr>
          <w:color w:val="auto"/>
        </w:rPr>
        <w:t xml:space="preserve"> + chemotherapy for OS</w:t>
      </w:r>
      <w:r w:rsidR="1512DF22" w:rsidRPr="00276BCA">
        <w:rPr>
          <w:color w:val="auto"/>
        </w:rPr>
        <w:t xml:space="preserve"> (HR = 0.98; 95% CI: 0.91, 1.07)</w:t>
      </w:r>
      <w:r w:rsidR="1BF3D99E" w:rsidRPr="00276BCA">
        <w:rPr>
          <w:color w:val="auto"/>
        </w:rPr>
        <w:t xml:space="preserve"> or PFS</w:t>
      </w:r>
      <w:r w:rsidR="1512DF22" w:rsidRPr="00276BCA">
        <w:rPr>
          <w:color w:val="auto"/>
        </w:rPr>
        <w:t xml:space="preserve"> (HR = 0.96; 95% CI: 0.88, 1.05). Wang et al. (2023) </w:t>
      </w:r>
      <w:r w:rsidR="164A39CC" w:rsidRPr="00276BCA">
        <w:rPr>
          <w:color w:val="auto"/>
        </w:rPr>
        <w:t xml:space="preserve">also </w:t>
      </w:r>
      <w:r w:rsidR="1512DF22" w:rsidRPr="00276BCA">
        <w:rPr>
          <w:color w:val="auto"/>
        </w:rPr>
        <w:t>conducted an NMA to compar</w:t>
      </w:r>
      <w:r w:rsidR="164A39CC" w:rsidRPr="00276BCA">
        <w:rPr>
          <w:color w:val="auto"/>
        </w:rPr>
        <w:t>e</w:t>
      </w:r>
      <w:r w:rsidR="1512DF22" w:rsidRPr="00276BCA">
        <w:rPr>
          <w:color w:val="auto"/>
        </w:rPr>
        <w:t xml:space="preserve"> different </w:t>
      </w:r>
      <w:r w:rsidR="164A39CC" w:rsidRPr="00276BCA">
        <w:rPr>
          <w:color w:val="auto"/>
        </w:rPr>
        <w:t>first-line</w:t>
      </w:r>
      <w:r w:rsidR="1512DF22" w:rsidRPr="00276BCA">
        <w:rPr>
          <w:color w:val="auto"/>
        </w:rPr>
        <w:t xml:space="preserve"> combination treatments for advanced gastric cancer. The analysis included 22 trials with a total of 10,787 patients. No significant differences were observed between nivolumab</w:t>
      </w:r>
      <w:r w:rsidR="30E91A1F" w:rsidRPr="00276BCA">
        <w:rPr>
          <w:color w:val="auto"/>
        </w:rPr>
        <w:t xml:space="preserve"> +chemotherapy </w:t>
      </w:r>
      <w:r w:rsidR="1512DF22" w:rsidRPr="00276BCA">
        <w:rPr>
          <w:color w:val="auto"/>
        </w:rPr>
        <w:t xml:space="preserve">and </w:t>
      </w:r>
      <w:proofErr w:type="spellStart"/>
      <w:r w:rsidR="1512DF22" w:rsidRPr="00276BCA">
        <w:rPr>
          <w:color w:val="auto"/>
        </w:rPr>
        <w:t>zolbetuximab</w:t>
      </w:r>
      <w:proofErr w:type="spellEnd"/>
      <w:r w:rsidR="30E91A1F" w:rsidRPr="00276BCA">
        <w:rPr>
          <w:color w:val="auto"/>
        </w:rPr>
        <w:t xml:space="preserve"> + chemotherapy</w:t>
      </w:r>
      <w:r w:rsidR="1512DF22" w:rsidRPr="00276BCA">
        <w:rPr>
          <w:color w:val="auto"/>
        </w:rPr>
        <w:t xml:space="preserve"> in terms of OS (HR = 1.13; 95% </w:t>
      </w:r>
      <w:proofErr w:type="spellStart"/>
      <w:r w:rsidR="1512DF22" w:rsidRPr="00276BCA">
        <w:rPr>
          <w:color w:val="auto"/>
        </w:rPr>
        <w:t>CrI</w:t>
      </w:r>
      <w:proofErr w:type="spellEnd"/>
      <w:r w:rsidR="1512DF22" w:rsidRPr="00276BCA">
        <w:rPr>
          <w:color w:val="auto"/>
        </w:rPr>
        <w:t xml:space="preserve">: 0.84, 1.55) and PFS (HR = 0.95; 95% </w:t>
      </w:r>
      <w:proofErr w:type="spellStart"/>
      <w:r w:rsidR="1512DF22" w:rsidRPr="00276BCA">
        <w:rPr>
          <w:color w:val="auto"/>
        </w:rPr>
        <w:t>C</w:t>
      </w:r>
      <w:r w:rsidR="3E359617" w:rsidRPr="00276BCA">
        <w:rPr>
          <w:color w:val="auto"/>
        </w:rPr>
        <w:t>r</w:t>
      </w:r>
      <w:r w:rsidR="1512DF22" w:rsidRPr="00276BCA">
        <w:rPr>
          <w:color w:val="auto"/>
        </w:rPr>
        <w:t>I</w:t>
      </w:r>
      <w:proofErr w:type="spellEnd"/>
      <w:r w:rsidR="1512DF22" w:rsidRPr="00276BCA">
        <w:rPr>
          <w:color w:val="auto"/>
        </w:rPr>
        <w:t>: 0.63, 1.62), and AEs (RR = 1.19; 95% CI: 0.9</w:t>
      </w:r>
      <w:r w:rsidR="008E72EF" w:rsidRPr="00276BCA">
        <w:rPr>
          <w:color w:val="auto"/>
        </w:rPr>
        <w:t>0</w:t>
      </w:r>
      <w:r w:rsidR="1512DF22" w:rsidRPr="00276BCA">
        <w:rPr>
          <w:color w:val="auto"/>
        </w:rPr>
        <w:t xml:space="preserve">, 1.57). </w:t>
      </w:r>
    </w:p>
    <w:p w14:paraId="1047C650" w14:textId="77777777" w:rsidR="007D5CA8" w:rsidRPr="00276BCA" w:rsidRDefault="00623454" w:rsidP="00074A38">
      <w:pPr>
        <w:pStyle w:val="OutlineHeading2"/>
        <w:rPr>
          <w:rFonts w:ascii="Calibri" w:hAnsi="Calibri" w:cs="Calibri"/>
          <w:iCs/>
        </w:rPr>
      </w:pPr>
      <w:r w:rsidRPr="00276BCA">
        <w:rPr>
          <w:rFonts w:ascii="Calibri" w:hAnsi="Calibri" w:cs="Calibri"/>
          <w:iCs/>
        </w:rPr>
        <w:t>Comparative harms</w:t>
      </w:r>
    </w:p>
    <w:p w14:paraId="1606488D" w14:textId="63A028EB" w:rsidR="00AD4B88" w:rsidRPr="00276BCA" w:rsidRDefault="3677820F" w:rsidP="77D89277">
      <w:pPr>
        <w:pStyle w:val="ListParagraph"/>
        <w:numPr>
          <w:ilvl w:val="4"/>
          <w:numId w:val="8"/>
        </w:numPr>
        <w:rPr>
          <w:color w:val="auto"/>
        </w:rPr>
      </w:pPr>
      <w:r w:rsidRPr="00276BCA">
        <w:rPr>
          <w:color w:val="auto"/>
        </w:rPr>
        <w:t xml:space="preserve">The submission presented an unanchored and unadjusted ITC of AEs between </w:t>
      </w:r>
      <w:proofErr w:type="spellStart"/>
      <w:r w:rsidRPr="00276BCA">
        <w:rPr>
          <w:color w:val="auto"/>
        </w:rPr>
        <w:t>zolbetuximab</w:t>
      </w:r>
      <w:proofErr w:type="spellEnd"/>
      <w:r w:rsidRPr="00276BCA">
        <w:rPr>
          <w:color w:val="auto"/>
        </w:rPr>
        <w:t xml:space="preserve"> and nivolumab, </w:t>
      </w:r>
      <w:r w:rsidR="58BE5F77" w:rsidRPr="00276BCA">
        <w:rPr>
          <w:color w:val="auto"/>
        </w:rPr>
        <w:t xml:space="preserve">comparing </w:t>
      </w:r>
      <w:r w:rsidRPr="00276BCA">
        <w:rPr>
          <w:color w:val="auto"/>
        </w:rPr>
        <w:t xml:space="preserve">pooled data from </w:t>
      </w:r>
      <w:r w:rsidR="1B605370" w:rsidRPr="00276BCA">
        <w:rPr>
          <w:color w:val="auto"/>
        </w:rPr>
        <w:t xml:space="preserve">the </w:t>
      </w:r>
      <w:r w:rsidR="58BE5F77" w:rsidRPr="00276BCA">
        <w:rPr>
          <w:color w:val="auto"/>
        </w:rPr>
        <w:t>S</w:t>
      </w:r>
      <w:r w:rsidRPr="00276BCA">
        <w:rPr>
          <w:color w:val="auto"/>
        </w:rPr>
        <w:t>POTLIGHT</w:t>
      </w:r>
      <w:r w:rsidR="548FBED7" w:rsidRPr="00276BCA">
        <w:rPr>
          <w:color w:val="auto"/>
        </w:rPr>
        <w:t xml:space="preserve"> and</w:t>
      </w:r>
      <w:r w:rsidRPr="00276BCA">
        <w:rPr>
          <w:color w:val="auto"/>
        </w:rPr>
        <w:t xml:space="preserve"> GLOW</w:t>
      </w:r>
      <w:r w:rsidR="58BE5F77" w:rsidRPr="00276BCA">
        <w:rPr>
          <w:color w:val="auto"/>
        </w:rPr>
        <w:t xml:space="preserve"> trial</w:t>
      </w:r>
      <w:r w:rsidR="1B605370" w:rsidRPr="00276BCA">
        <w:rPr>
          <w:color w:val="auto"/>
        </w:rPr>
        <w:t>s</w:t>
      </w:r>
      <w:r w:rsidR="58BE5F77" w:rsidRPr="00276BCA">
        <w:rPr>
          <w:color w:val="auto"/>
        </w:rPr>
        <w:t xml:space="preserve"> with </w:t>
      </w:r>
      <w:r w:rsidR="00464249" w:rsidRPr="00276BCA">
        <w:rPr>
          <w:color w:val="auto"/>
        </w:rPr>
        <w:t xml:space="preserve">that from </w:t>
      </w:r>
      <w:r w:rsidR="22821159" w:rsidRPr="00276BCA">
        <w:rPr>
          <w:color w:val="auto"/>
        </w:rPr>
        <w:t xml:space="preserve">the </w:t>
      </w:r>
      <w:proofErr w:type="spellStart"/>
      <w:r w:rsidRPr="00276BCA">
        <w:rPr>
          <w:color w:val="auto"/>
        </w:rPr>
        <w:t>CheckMate</w:t>
      </w:r>
      <w:proofErr w:type="spellEnd"/>
      <w:r w:rsidRPr="00276BCA">
        <w:rPr>
          <w:color w:val="auto"/>
        </w:rPr>
        <w:t xml:space="preserve"> 649 trial.</w:t>
      </w:r>
      <w:r w:rsidR="00852F50" w:rsidRPr="00276BCA">
        <w:rPr>
          <w:color w:val="auto"/>
        </w:rPr>
        <w:t xml:space="preserve"> </w:t>
      </w:r>
      <w:r w:rsidR="45C9EA70" w:rsidRPr="00276BCA">
        <w:rPr>
          <w:color w:val="auto"/>
        </w:rPr>
        <w:t>T</w:t>
      </w:r>
      <w:r w:rsidR="55F1ADA4" w:rsidRPr="00276BCA">
        <w:rPr>
          <w:color w:val="auto"/>
        </w:rPr>
        <w:t xml:space="preserve">he evaluation noted that </w:t>
      </w:r>
      <w:r w:rsidR="4D6C8782" w:rsidRPr="00276BCA">
        <w:rPr>
          <w:color w:val="auto"/>
        </w:rPr>
        <w:t>safety data from the ATTRACTION-4 trial were excluded, as the chemotherapy used (SOX) differed from those in the other trials (</w:t>
      </w:r>
      <w:proofErr w:type="spellStart"/>
      <w:r w:rsidR="4D6C8782" w:rsidRPr="00276BCA">
        <w:rPr>
          <w:color w:val="auto"/>
        </w:rPr>
        <w:t>mFOLFOX</w:t>
      </w:r>
      <w:proofErr w:type="spellEnd"/>
      <w:r w:rsidR="4D6C8782" w:rsidRPr="00276BCA">
        <w:rPr>
          <w:color w:val="auto"/>
        </w:rPr>
        <w:t>/CAPOX</w:t>
      </w:r>
      <w:r w:rsidR="4D6C8782" w:rsidRPr="00276BCA">
        <w:t>).</w:t>
      </w:r>
      <w:r w:rsidR="67EDE141" w:rsidRPr="00276BCA">
        <w:t xml:space="preserve"> </w:t>
      </w:r>
    </w:p>
    <w:p w14:paraId="7163C2D0" w14:textId="223CC119" w:rsidR="007F2884" w:rsidRPr="00276BCA" w:rsidRDefault="54E18BE6" w:rsidP="77D89277">
      <w:pPr>
        <w:pStyle w:val="ListParagraph"/>
        <w:numPr>
          <w:ilvl w:val="4"/>
          <w:numId w:val="8"/>
        </w:numPr>
        <w:rPr>
          <w:color w:val="auto"/>
        </w:rPr>
      </w:pPr>
      <w:r w:rsidRPr="00276BCA">
        <w:rPr>
          <w:color w:val="auto"/>
        </w:rPr>
        <w:t xml:space="preserve">The submission compared overall safety data from the primary analysis of </w:t>
      </w:r>
      <w:proofErr w:type="spellStart"/>
      <w:r w:rsidRPr="00276BCA">
        <w:rPr>
          <w:color w:val="auto"/>
        </w:rPr>
        <w:t>CheckMate</w:t>
      </w:r>
      <w:proofErr w:type="spellEnd"/>
      <w:r w:rsidRPr="00276BCA">
        <w:rPr>
          <w:color w:val="auto"/>
        </w:rPr>
        <w:t xml:space="preserve"> 649 (with a median follow-up of 12.1 months) to pooled data from the SPOTLIGHT (22.1 months) and GLOW (17.7 months) trials. Notably, treatment-related AEs were compared using the updated three-year follow-up data from the </w:t>
      </w:r>
      <w:proofErr w:type="spellStart"/>
      <w:r w:rsidRPr="00276BCA">
        <w:rPr>
          <w:color w:val="auto"/>
        </w:rPr>
        <w:t>CheckMate</w:t>
      </w:r>
      <w:proofErr w:type="spellEnd"/>
      <w:r w:rsidRPr="00276BCA">
        <w:rPr>
          <w:color w:val="auto"/>
        </w:rPr>
        <w:t xml:space="preserve"> 649 trial (minimum follow-up of 36.2 months) for nivolumab, against pooled data from SPOTLIGHT and GLOW for </w:t>
      </w:r>
      <w:proofErr w:type="spellStart"/>
      <w:r w:rsidRPr="00276BCA">
        <w:rPr>
          <w:color w:val="auto"/>
        </w:rPr>
        <w:t>zolbetuximab</w:t>
      </w:r>
      <w:proofErr w:type="spellEnd"/>
      <w:r w:rsidRPr="00276BCA">
        <w:rPr>
          <w:color w:val="auto"/>
        </w:rPr>
        <w:t>.</w:t>
      </w:r>
    </w:p>
    <w:p w14:paraId="34E62E6A" w14:textId="78733660" w:rsidR="00A7681C" w:rsidRPr="00276BCA" w:rsidRDefault="001B262E" w:rsidP="008E424C">
      <w:pPr>
        <w:pStyle w:val="ListParagraph"/>
        <w:numPr>
          <w:ilvl w:val="4"/>
          <w:numId w:val="8"/>
        </w:numPr>
        <w:rPr>
          <w:color w:val="auto"/>
        </w:rPr>
      </w:pPr>
      <w:r w:rsidRPr="00276BCA">
        <w:rPr>
          <w:color w:val="auto"/>
        </w:rPr>
        <w:t>A s</w:t>
      </w:r>
      <w:r w:rsidR="4B942E21" w:rsidRPr="00276BCA">
        <w:rPr>
          <w:color w:val="auto"/>
        </w:rPr>
        <w:t xml:space="preserve">ummary of any treatment emergent AEs (TEAEs) and treatment related TEAEs of Grade ≥3 </w:t>
      </w:r>
      <w:r w:rsidR="798A8CC1" w:rsidRPr="00276BCA">
        <w:rPr>
          <w:color w:val="auto"/>
        </w:rPr>
        <w:t>is</w:t>
      </w:r>
      <w:r w:rsidR="4B942E21" w:rsidRPr="00276BCA">
        <w:rPr>
          <w:color w:val="auto"/>
        </w:rPr>
        <w:t xml:space="preserve"> presented in</w:t>
      </w:r>
      <w:r w:rsidR="2DA8CD2D" w:rsidRPr="00276BCA">
        <w:rPr>
          <w:color w:val="auto"/>
        </w:rPr>
        <w:t xml:space="preserve"> </w:t>
      </w:r>
      <w:r w:rsidR="00FB3F3B" w:rsidRPr="00B13EC9">
        <w:rPr>
          <w:color w:val="auto"/>
          <w:highlight w:val="yellow"/>
        </w:rPr>
        <w:fldChar w:fldCharType="begin"/>
      </w:r>
      <w:r w:rsidR="00FB3F3B" w:rsidRPr="00276BCA">
        <w:rPr>
          <w:color w:val="auto"/>
        </w:rPr>
        <w:instrText xml:space="preserve"> REF _Ref184065831 \h </w:instrText>
      </w:r>
      <w:r w:rsidR="00E87086" w:rsidRPr="00B13EC9">
        <w:rPr>
          <w:color w:val="auto"/>
          <w:highlight w:val="yellow"/>
        </w:rPr>
        <w:instrText xml:space="preserve"> \* MERGEFORMAT </w:instrText>
      </w:r>
      <w:r w:rsidR="00FB3F3B" w:rsidRPr="00B13EC9">
        <w:rPr>
          <w:color w:val="auto"/>
          <w:highlight w:val="yellow"/>
        </w:rPr>
      </w:r>
      <w:r w:rsidR="00FB3F3B" w:rsidRPr="00B13EC9">
        <w:rPr>
          <w:color w:val="auto"/>
          <w:highlight w:val="yellow"/>
        </w:rPr>
        <w:fldChar w:fldCharType="separate"/>
      </w:r>
      <w:r w:rsidR="0011458F" w:rsidRPr="00276BCA">
        <w:t xml:space="preserve">Table </w:t>
      </w:r>
      <w:r w:rsidR="0011458F">
        <w:t>9</w:t>
      </w:r>
      <w:r w:rsidR="00FB3F3B" w:rsidRPr="00B13EC9">
        <w:rPr>
          <w:color w:val="auto"/>
          <w:highlight w:val="yellow"/>
        </w:rPr>
        <w:fldChar w:fldCharType="end"/>
      </w:r>
      <w:r w:rsidR="00C9403C" w:rsidRPr="00276BCA">
        <w:rPr>
          <w:color w:val="auto"/>
        </w:rPr>
        <w:t xml:space="preserve"> </w:t>
      </w:r>
      <w:r w:rsidR="2DA8CD2D" w:rsidRPr="00276BCA">
        <w:rPr>
          <w:color w:val="auto"/>
        </w:rPr>
        <w:t xml:space="preserve">and </w:t>
      </w:r>
      <w:r w:rsidR="00FB3F3B" w:rsidRPr="00B13EC9">
        <w:rPr>
          <w:color w:val="auto"/>
          <w:highlight w:val="yellow"/>
        </w:rPr>
        <w:fldChar w:fldCharType="begin"/>
      </w:r>
      <w:r w:rsidR="00FB3F3B" w:rsidRPr="00276BCA">
        <w:rPr>
          <w:color w:val="auto"/>
        </w:rPr>
        <w:instrText xml:space="preserve"> REF _Ref184065837 \h </w:instrText>
      </w:r>
      <w:r w:rsidR="00E87086" w:rsidRPr="00B13EC9">
        <w:rPr>
          <w:color w:val="auto"/>
          <w:highlight w:val="yellow"/>
        </w:rPr>
        <w:instrText xml:space="preserve"> \* MERGEFORMAT </w:instrText>
      </w:r>
      <w:r w:rsidR="00FB3F3B" w:rsidRPr="00B13EC9">
        <w:rPr>
          <w:color w:val="auto"/>
          <w:highlight w:val="yellow"/>
        </w:rPr>
      </w:r>
      <w:r w:rsidR="00FB3F3B" w:rsidRPr="00B13EC9">
        <w:rPr>
          <w:color w:val="auto"/>
          <w:highlight w:val="yellow"/>
        </w:rPr>
        <w:fldChar w:fldCharType="separate"/>
      </w:r>
      <w:r w:rsidR="0011458F" w:rsidRPr="00276BCA">
        <w:t xml:space="preserve">Table </w:t>
      </w:r>
      <w:r w:rsidR="0011458F">
        <w:t>10</w:t>
      </w:r>
      <w:r w:rsidR="00FB3F3B" w:rsidRPr="00B13EC9">
        <w:rPr>
          <w:color w:val="auto"/>
          <w:highlight w:val="yellow"/>
        </w:rPr>
        <w:fldChar w:fldCharType="end"/>
      </w:r>
      <w:r w:rsidR="4B942E21" w:rsidRPr="00276BCA">
        <w:rPr>
          <w:color w:val="auto"/>
        </w:rPr>
        <w:t>, respectively.</w:t>
      </w:r>
    </w:p>
    <w:p w14:paraId="50ECBCDA" w14:textId="0C6EE987" w:rsidR="00151D79" w:rsidRPr="00276BCA" w:rsidRDefault="3938A134" w:rsidP="00204461">
      <w:pPr>
        <w:pStyle w:val="Caption"/>
      </w:pPr>
      <w:bookmarkStart w:id="57" w:name="_Ref184065831"/>
      <w:r w:rsidRPr="00276BCA">
        <w:lastRenderedPageBreak/>
        <w:t xml:space="preserve">Table </w:t>
      </w:r>
      <w:r w:rsidR="005E7C50">
        <w:fldChar w:fldCharType="begin"/>
      </w:r>
      <w:r w:rsidR="005E7C50">
        <w:instrText xml:space="preserve"> SEQ Table_PBAC. \* ARABIC </w:instrText>
      </w:r>
      <w:r w:rsidR="005E7C50">
        <w:fldChar w:fldCharType="separate"/>
      </w:r>
      <w:r w:rsidR="0011458F">
        <w:rPr>
          <w:noProof/>
        </w:rPr>
        <w:t>9</w:t>
      </w:r>
      <w:r w:rsidR="005E7C50">
        <w:rPr>
          <w:noProof/>
        </w:rPr>
        <w:fldChar w:fldCharType="end"/>
      </w:r>
      <w:bookmarkEnd w:id="57"/>
      <w:r w:rsidR="00F1639D" w:rsidRPr="00276BCA">
        <w:t xml:space="preserve">: </w:t>
      </w:r>
      <w:r w:rsidRPr="00276BCA">
        <w:t xml:space="preserve">Summary of TEAEs in the SPOTLIGHT/GLOW combined and </w:t>
      </w:r>
      <w:proofErr w:type="spellStart"/>
      <w:r w:rsidRPr="00276BCA">
        <w:t>CheckMate</w:t>
      </w:r>
      <w:proofErr w:type="spellEnd"/>
      <w:r w:rsidRPr="00276BCA">
        <w:t xml:space="preserve"> 649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9: Summary of TEAEs in the SPOTLIGHT/GLOW combined and CheckMate 649"/>
      </w:tblPr>
      <w:tblGrid>
        <w:gridCol w:w="1413"/>
        <w:gridCol w:w="1417"/>
        <w:gridCol w:w="1276"/>
        <w:gridCol w:w="1134"/>
        <w:gridCol w:w="1276"/>
        <w:gridCol w:w="1276"/>
        <w:gridCol w:w="1224"/>
      </w:tblGrid>
      <w:tr w:rsidR="00E41328" w:rsidRPr="00276BCA" w14:paraId="519F45E6" w14:textId="77777777" w:rsidTr="77D89277">
        <w:trPr>
          <w:tblHeader/>
        </w:trPr>
        <w:tc>
          <w:tcPr>
            <w:tcW w:w="1413" w:type="dxa"/>
            <w:vMerge w:val="restart"/>
            <w:vAlign w:val="center"/>
          </w:tcPr>
          <w:p w14:paraId="5E4DC210" w14:textId="77777777" w:rsidR="00151D79" w:rsidRPr="00276BCA" w:rsidRDefault="00151D79" w:rsidP="00151D79">
            <w:pPr>
              <w:keepNext/>
              <w:spacing w:before="0" w:after="0"/>
              <w:jc w:val="left"/>
              <w:rPr>
                <w:rFonts w:ascii="Arial Narrow" w:eastAsia="MS Gothic" w:hAnsi="Arial Narrow" w:cs="Times New Roman"/>
                <w:b/>
                <w:sz w:val="20"/>
                <w:szCs w:val="24"/>
                <w:lang w:eastAsia="en-AU"/>
              </w:rPr>
            </w:pPr>
          </w:p>
        </w:tc>
        <w:tc>
          <w:tcPr>
            <w:tcW w:w="3827" w:type="dxa"/>
            <w:gridSpan w:val="3"/>
            <w:vAlign w:val="center"/>
          </w:tcPr>
          <w:p w14:paraId="681AB59A" w14:textId="7FFF73C8" w:rsidR="00151D79" w:rsidRPr="00276BCA" w:rsidRDefault="00151D79" w:rsidP="00151D7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SPOTLIGHT/GLOW combined</w:t>
            </w:r>
            <w:r w:rsidR="00C10B84" w:rsidRPr="00276BCA">
              <w:rPr>
                <w:rFonts w:ascii="Arial Narrow" w:eastAsia="MS Gothic" w:hAnsi="Arial Narrow" w:cs="Times New Roman"/>
                <w:b/>
                <w:sz w:val="20"/>
                <w:szCs w:val="24"/>
                <w:lang w:eastAsia="en-AU"/>
              </w:rPr>
              <w:t xml:space="preserve"> </w:t>
            </w:r>
          </w:p>
        </w:tc>
        <w:tc>
          <w:tcPr>
            <w:tcW w:w="3776" w:type="dxa"/>
            <w:gridSpan w:val="3"/>
          </w:tcPr>
          <w:p w14:paraId="63B5D452" w14:textId="77777777" w:rsidR="00151D79" w:rsidRPr="00276BCA" w:rsidRDefault="00151D79" w:rsidP="00151D7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CheckMate649</w:t>
            </w:r>
          </w:p>
        </w:tc>
      </w:tr>
      <w:tr w:rsidR="00E41328" w:rsidRPr="00276BCA" w14:paraId="469589DB" w14:textId="77777777" w:rsidTr="77D89277">
        <w:trPr>
          <w:tblHeader/>
        </w:trPr>
        <w:tc>
          <w:tcPr>
            <w:tcW w:w="1413" w:type="dxa"/>
            <w:vMerge/>
            <w:vAlign w:val="center"/>
          </w:tcPr>
          <w:p w14:paraId="664968E9" w14:textId="77777777" w:rsidR="00151D79" w:rsidRPr="00276BCA" w:rsidRDefault="00151D79" w:rsidP="00151D79">
            <w:pPr>
              <w:keepNext/>
              <w:spacing w:before="0" w:after="0"/>
              <w:jc w:val="left"/>
              <w:rPr>
                <w:rFonts w:ascii="Arial Narrow" w:eastAsia="MS Gothic" w:hAnsi="Arial Narrow" w:cs="Times New Roman"/>
                <w:b/>
                <w:sz w:val="20"/>
                <w:szCs w:val="24"/>
                <w:lang w:eastAsia="en-AU"/>
              </w:rPr>
            </w:pPr>
          </w:p>
        </w:tc>
        <w:tc>
          <w:tcPr>
            <w:tcW w:w="1417" w:type="dxa"/>
            <w:vAlign w:val="center"/>
          </w:tcPr>
          <w:p w14:paraId="294AA31D" w14:textId="5E108748" w:rsidR="00151D79" w:rsidRPr="00276BCA" w:rsidRDefault="3938A134" w:rsidP="77D89277">
            <w:pPr>
              <w:keepNext/>
              <w:spacing w:before="0" w:after="0"/>
              <w:jc w:val="center"/>
              <w:rPr>
                <w:rFonts w:ascii="Arial Narrow" w:eastAsia="MS Gothic" w:hAnsi="Arial Narrow" w:cs="Times New Roman"/>
                <w:b/>
                <w:bCs/>
                <w:sz w:val="20"/>
                <w:szCs w:val="20"/>
                <w:lang w:eastAsia="en-AU"/>
              </w:rPr>
            </w:pPr>
            <w:proofErr w:type="spellStart"/>
            <w:r w:rsidRPr="00276BCA">
              <w:rPr>
                <w:rFonts w:ascii="Arial Narrow" w:eastAsia="MS Gothic" w:hAnsi="Arial Narrow" w:cs="Times New Roman"/>
                <w:b/>
                <w:bCs/>
                <w:sz w:val="20"/>
                <w:szCs w:val="20"/>
                <w:lang w:eastAsia="en-AU"/>
              </w:rPr>
              <w:t>ZOLBE+chemo</w:t>
            </w:r>
            <w:proofErr w:type="spellEnd"/>
          </w:p>
          <w:p w14:paraId="2F605BAA" w14:textId="77777777" w:rsidR="00151D79" w:rsidRPr="00276BCA" w:rsidRDefault="00151D79" w:rsidP="00151D7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n with event/</w:t>
            </w:r>
          </w:p>
          <w:p w14:paraId="1EA95137" w14:textId="77777777" w:rsidR="00151D79" w:rsidRPr="00276BCA" w:rsidRDefault="00151D79" w:rsidP="00151D7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N (%)</w:t>
            </w:r>
          </w:p>
        </w:tc>
        <w:tc>
          <w:tcPr>
            <w:tcW w:w="1276" w:type="dxa"/>
            <w:vAlign w:val="center"/>
          </w:tcPr>
          <w:p w14:paraId="609D7741" w14:textId="77777777" w:rsidR="00151D79" w:rsidRPr="00276BCA" w:rsidRDefault="00151D79" w:rsidP="00151D7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Chemo</w:t>
            </w:r>
          </w:p>
          <w:p w14:paraId="13F4F55F" w14:textId="77777777" w:rsidR="00151D79" w:rsidRPr="00276BCA" w:rsidRDefault="00151D79" w:rsidP="00151D7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n with event/</w:t>
            </w:r>
          </w:p>
          <w:p w14:paraId="3776018C" w14:textId="77777777" w:rsidR="00151D79" w:rsidRPr="00276BCA" w:rsidRDefault="00151D79" w:rsidP="00151D7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N (%)</w:t>
            </w:r>
          </w:p>
        </w:tc>
        <w:tc>
          <w:tcPr>
            <w:tcW w:w="1134" w:type="dxa"/>
            <w:vAlign w:val="center"/>
          </w:tcPr>
          <w:p w14:paraId="45262F00" w14:textId="77777777" w:rsidR="00151D79" w:rsidRPr="00276BCA" w:rsidRDefault="00151D79" w:rsidP="00151D7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RD</w:t>
            </w:r>
          </w:p>
          <w:p w14:paraId="64E5F65A" w14:textId="77777777" w:rsidR="00151D79" w:rsidRPr="00276BCA" w:rsidRDefault="00151D79" w:rsidP="00151D7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(95% CI)</w:t>
            </w:r>
          </w:p>
        </w:tc>
        <w:tc>
          <w:tcPr>
            <w:tcW w:w="1276" w:type="dxa"/>
          </w:tcPr>
          <w:p w14:paraId="6528D55A" w14:textId="130C3207" w:rsidR="00151D79" w:rsidRPr="00276BCA" w:rsidRDefault="3938A134" w:rsidP="77D89277">
            <w:pPr>
              <w:keepNext/>
              <w:spacing w:before="0" w:after="0"/>
              <w:jc w:val="center"/>
              <w:rPr>
                <w:rFonts w:ascii="Arial Narrow" w:eastAsia="MS Gothic" w:hAnsi="Arial Narrow" w:cs="Times New Roman"/>
                <w:b/>
                <w:bCs/>
                <w:sz w:val="20"/>
                <w:szCs w:val="20"/>
                <w:lang w:eastAsia="en-AU"/>
              </w:rPr>
            </w:pPr>
            <w:proofErr w:type="spellStart"/>
            <w:r w:rsidRPr="00276BCA">
              <w:rPr>
                <w:rFonts w:ascii="Arial Narrow" w:eastAsia="MS Gothic" w:hAnsi="Arial Narrow" w:cs="Times New Roman"/>
                <w:b/>
                <w:bCs/>
                <w:sz w:val="20"/>
                <w:szCs w:val="20"/>
                <w:lang w:eastAsia="en-AU"/>
              </w:rPr>
              <w:t>NIVO+chemo</w:t>
            </w:r>
            <w:proofErr w:type="spellEnd"/>
            <w:r w:rsidRPr="00276BCA">
              <w:rPr>
                <w:rFonts w:ascii="Arial Narrow" w:eastAsia="MS Gothic" w:hAnsi="Arial Narrow" w:cs="Times New Roman"/>
                <w:b/>
                <w:bCs/>
                <w:sz w:val="20"/>
                <w:szCs w:val="20"/>
                <w:lang w:eastAsia="en-AU"/>
              </w:rPr>
              <w:t xml:space="preserve"> n with event/</w:t>
            </w:r>
          </w:p>
          <w:p w14:paraId="6A8DC4CB" w14:textId="77777777" w:rsidR="00151D79" w:rsidRPr="00276BCA" w:rsidRDefault="00151D79" w:rsidP="00151D7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N (%)</w:t>
            </w:r>
          </w:p>
        </w:tc>
        <w:tc>
          <w:tcPr>
            <w:tcW w:w="1276" w:type="dxa"/>
            <w:vAlign w:val="center"/>
          </w:tcPr>
          <w:p w14:paraId="5BC39D8D" w14:textId="77777777" w:rsidR="00151D79" w:rsidRPr="00276BCA" w:rsidRDefault="00151D79" w:rsidP="00151D7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Chemo</w:t>
            </w:r>
          </w:p>
          <w:p w14:paraId="7A800316" w14:textId="77777777" w:rsidR="00151D79" w:rsidRPr="00276BCA" w:rsidRDefault="00151D79" w:rsidP="00151D7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n with event/</w:t>
            </w:r>
          </w:p>
          <w:p w14:paraId="1C034D2B" w14:textId="77777777" w:rsidR="00151D79" w:rsidRPr="00276BCA" w:rsidRDefault="00151D79" w:rsidP="00151D7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N (%)</w:t>
            </w:r>
          </w:p>
        </w:tc>
        <w:tc>
          <w:tcPr>
            <w:tcW w:w="1224" w:type="dxa"/>
            <w:vAlign w:val="center"/>
          </w:tcPr>
          <w:p w14:paraId="45B42CEF" w14:textId="77777777" w:rsidR="00151D79" w:rsidRPr="00276BCA" w:rsidRDefault="00151D79" w:rsidP="00151D7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RD</w:t>
            </w:r>
          </w:p>
          <w:p w14:paraId="2C2C9D26" w14:textId="77777777" w:rsidR="00151D79" w:rsidRPr="00276BCA" w:rsidRDefault="00151D79" w:rsidP="00151D7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(95% CI)</w:t>
            </w:r>
          </w:p>
        </w:tc>
      </w:tr>
      <w:tr w:rsidR="00E41328" w:rsidRPr="00276BCA" w14:paraId="29F915FF" w14:textId="77777777" w:rsidTr="77D89277">
        <w:tc>
          <w:tcPr>
            <w:tcW w:w="1413" w:type="dxa"/>
            <w:vAlign w:val="center"/>
          </w:tcPr>
          <w:p w14:paraId="71D6623C" w14:textId="77777777" w:rsidR="00151D79" w:rsidRPr="00276BCA" w:rsidRDefault="00151D79" w:rsidP="00151D79">
            <w:pPr>
              <w:keepNext/>
              <w:spacing w:before="0" w:after="0"/>
              <w:jc w:val="left"/>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Total number of patients with at least one AE</w:t>
            </w:r>
          </w:p>
        </w:tc>
        <w:tc>
          <w:tcPr>
            <w:tcW w:w="1417" w:type="dxa"/>
          </w:tcPr>
          <w:p w14:paraId="4883832B"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529/533</w:t>
            </w:r>
          </w:p>
          <w:p w14:paraId="784BEDB2"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(99.2%)</w:t>
            </w:r>
          </w:p>
        </w:tc>
        <w:tc>
          <w:tcPr>
            <w:tcW w:w="1276" w:type="dxa"/>
          </w:tcPr>
          <w:p w14:paraId="13EAC725"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521/527</w:t>
            </w:r>
          </w:p>
          <w:p w14:paraId="30E6851F"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(98.9%)</w:t>
            </w:r>
          </w:p>
        </w:tc>
        <w:tc>
          <w:tcPr>
            <w:tcW w:w="1134" w:type="dxa"/>
          </w:tcPr>
          <w:p w14:paraId="168DD653"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0.00</w:t>
            </w:r>
          </w:p>
          <w:p w14:paraId="5A63DC62"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(-0.01,.01)</w:t>
            </w:r>
          </w:p>
        </w:tc>
        <w:tc>
          <w:tcPr>
            <w:tcW w:w="1276" w:type="dxa"/>
          </w:tcPr>
          <w:p w14:paraId="440A7837"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776/782</w:t>
            </w:r>
          </w:p>
          <w:p w14:paraId="60B29CF0"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(99.2%)</w:t>
            </w:r>
          </w:p>
        </w:tc>
        <w:tc>
          <w:tcPr>
            <w:tcW w:w="1276" w:type="dxa"/>
          </w:tcPr>
          <w:p w14:paraId="3F3B7D8D"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752/767</w:t>
            </w:r>
          </w:p>
          <w:p w14:paraId="684C664F"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(98.0%)</w:t>
            </w:r>
          </w:p>
        </w:tc>
        <w:tc>
          <w:tcPr>
            <w:tcW w:w="1224" w:type="dxa"/>
          </w:tcPr>
          <w:p w14:paraId="55FDC79B"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w:t>
            </w:r>
          </w:p>
          <w:p w14:paraId="03DF5629"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(0.00, 0.02)</w:t>
            </w:r>
          </w:p>
        </w:tc>
      </w:tr>
      <w:tr w:rsidR="00E41328" w:rsidRPr="00276BCA" w14:paraId="3BC4B788" w14:textId="77777777" w:rsidTr="77D89277">
        <w:tc>
          <w:tcPr>
            <w:tcW w:w="1413" w:type="dxa"/>
            <w:vAlign w:val="center"/>
          </w:tcPr>
          <w:p w14:paraId="53CDACD4" w14:textId="77777777" w:rsidR="00151D79" w:rsidRPr="00276BCA" w:rsidRDefault="00151D79" w:rsidP="00454B25">
            <w:pPr>
              <w:keepNext/>
              <w:numPr>
                <w:ilvl w:val="0"/>
                <w:numId w:val="30"/>
              </w:numPr>
              <w:spacing w:before="0" w:after="0"/>
              <w:ind w:left="166" w:hanging="142"/>
              <w:jc w:val="left"/>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Grade 3/4 AE</w:t>
            </w:r>
          </w:p>
        </w:tc>
        <w:tc>
          <w:tcPr>
            <w:tcW w:w="1417" w:type="dxa"/>
          </w:tcPr>
          <w:p w14:paraId="146C2F03"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378/533</w:t>
            </w:r>
          </w:p>
          <w:p w14:paraId="15545272"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(70.9%)</w:t>
            </w:r>
          </w:p>
        </w:tc>
        <w:tc>
          <w:tcPr>
            <w:tcW w:w="1276" w:type="dxa"/>
          </w:tcPr>
          <w:p w14:paraId="5EEB9669"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334/527</w:t>
            </w:r>
          </w:p>
          <w:p w14:paraId="0EF6206D"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(63.4%)</w:t>
            </w:r>
          </w:p>
        </w:tc>
        <w:tc>
          <w:tcPr>
            <w:tcW w:w="1134" w:type="dxa"/>
          </w:tcPr>
          <w:p w14:paraId="1346A6C1"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0.08</w:t>
            </w:r>
          </w:p>
          <w:p w14:paraId="1877F396"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(0.03, 0.12)</w:t>
            </w:r>
          </w:p>
        </w:tc>
        <w:tc>
          <w:tcPr>
            <w:tcW w:w="1276" w:type="dxa"/>
          </w:tcPr>
          <w:p w14:paraId="4CC8812E"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540/782</w:t>
            </w:r>
          </w:p>
          <w:p w14:paraId="4310AAB0"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(69.1%)</w:t>
            </w:r>
          </w:p>
        </w:tc>
        <w:tc>
          <w:tcPr>
            <w:tcW w:w="1276" w:type="dxa"/>
          </w:tcPr>
          <w:p w14:paraId="7170E7C5"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456/767</w:t>
            </w:r>
          </w:p>
          <w:p w14:paraId="1378557F"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(59.5%)</w:t>
            </w:r>
          </w:p>
        </w:tc>
        <w:tc>
          <w:tcPr>
            <w:tcW w:w="1224" w:type="dxa"/>
          </w:tcPr>
          <w:p w14:paraId="0A74B664"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0.10</w:t>
            </w:r>
          </w:p>
          <w:p w14:paraId="3A85D838"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(0.05, 0.14)</w:t>
            </w:r>
          </w:p>
        </w:tc>
      </w:tr>
      <w:tr w:rsidR="00E41328" w:rsidRPr="00276BCA" w14:paraId="1E5AB398" w14:textId="77777777" w:rsidTr="77D89277">
        <w:tc>
          <w:tcPr>
            <w:tcW w:w="1413" w:type="dxa"/>
            <w:vAlign w:val="center"/>
          </w:tcPr>
          <w:p w14:paraId="04C1B86C" w14:textId="77777777" w:rsidR="00151D79" w:rsidRPr="00276BCA" w:rsidRDefault="00151D79" w:rsidP="00454B25">
            <w:pPr>
              <w:keepNext/>
              <w:numPr>
                <w:ilvl w:val="0"/>
                <w:numId w:val="30"/>
              </w:numPr>
              <w:spacing w:before="0" w:after="0"/>
              <w:ind w:left="166" w:hanging="142"/>
              <w:jc w:val="left"/>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Grade 5 AE</w:t>
            </w:r>
          </w:p>
        </w:tc>
        <w:tc>
          <w:tcPr>
            <w:tcW w:w="1417" w:type="dxa"/>
          </w:tcPr>
          <w:p w14:paraId="16CCBCD0"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49/533</w:t>
            </w:r>
          </w:p>
          <w:p w14:paraId="4774262B"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(9.2%)</w:t>
            </w:r>
          </w:p>
        </w:tc>
        <w:tc>
          <w:tcPr>
            <w:tcW w:w="1276" w:type="dxa"/>
          </w:tcPr>
          <w:p w14:paraId="4DE918B6"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56/527</w:t>
            </w:r>
          </w:p>
          <w:p w14:paraId="0265D6D6"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(10.6%)</w:t>
            </w:r>
          </w:p>
        </w:tc>
        <w:tc>
          <w:tcPr>
            <w:tcW w:w="1134" w:type="dxa"/>
          </w:tcPr>
          <w:p w14:paraId="17EF859E"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w:t>
            </w:r>
          </w:p>
          <w:p w14:paraId="5AE5C8E1"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(-0.04, 0.02)</w:t>
            </w:r>
          </w:p>
        </w:tc>
        <w:tc>
          <w:tcPr>
            <w:tcW w:w="1276" w:type="dxa"/>
          </w:tcPr>
          <w:p w14:paraId="3C583F59"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81/782</w:t>
            </w:r>
          </w:p>
          <w:p w14:paraId="20830A7B"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(10.4%)</w:t>
            </w:r>
          </w:p>
        </w:tc>
        <w:tc>
          <w:tcPr>
            <w:tcW w:w="1276" w:type="dxa"/>
          </w:tcPr>
          <w:p w14:paraId="5E35DFA8"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63/767</w:t>
            </w:r>
          </w:p>
          <w:p w14:paraId="53D21B1A"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(8.2%)</w:t>
            </w:r>
          </w:p>
        </w:tc>
        <w:tc>
          <w:tcPr>
            <w:tcW w:w="1224" w:type="dxa"/>
          </w:tcPr>
          <w:p w14:paraId="3E66A3F0"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0.02</w:t>
            </w:r>
          </w:p>
          <w:p w14:paraId="02AC12D2"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 0.05)</w:t>
            </w:r>
          </w:p>
        </w:tc>
      </w:tr>
      <w:tr w:rsidR="00E41328" w:rsidRPr="00276BCA" w14:paraId="5B02F203" w14:textId="77777777" w:rsidTr="77D89277">
        <w:tc>
          <w:tcPr>
            <w:tcW w:w="1413" w:type="dxa"/>
          </w:tcPr>
          <w:p w14:paraId="18A895A1" w14:textId="77777777" w:rsidR="00151D79" w:rsidRPr="00276BCA" w:rsidRDefault="00151D79" w:rsidP="00151D79">
            <w:pPr>
              <w:keepNext/>
              <w:spacing w:before="0" w:after="0"/>
              <w:jc w:val="left"/>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AEs related to any treatment</w:t>
            </w:r>
          </w:p>
        </w:tc>
        <w:tc>
          <w:tcPr>
            <w:tcW w:w="1417" w:type="dxa"/>
          </w:tcPr>
          <w:p w14:paraId="16810FF1"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523/533</w:t>
            </w:r>
          </w:p>
          <w:p w14:paraId="704D4AD8"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(98.1%)</w:t>
            </w:r>
          </w:p>
        </w:tc>
        <w:tc>
          <w:tcPr>
            <w:tcW w:w="1276" w:type="dxa"/>
          </w:tcPr>
          <w:p w14:paraId="603D2672"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502/527</w:t>
            </w:r>
          </w:p>
          <w:p w14:paraId="24F8C57F"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(95.3%)</w:t>
            </w:r>
          </w:p>
        </w:tc>
        <w:tc>
          <w:tcPr>
            <w:tcW w:w="1134" w:type="dxa"/>
          </w:tcPr>
          <w:p w14:paraId="76BD6A0E"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0.03</w:t>
            </w:r>
          </w:p>
          <w:p w14:paraId="5B9AA1E1"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(0.01, 0.05)</w:t>
            </w:r>
          </w:p>
        </w:tc>
        <w:tc>
          <w:tcPr>
            <w:tcW w:w="1276" w:type="dxa"/>
          </w:tcPr>
          <w:p w14:paraId="56412C3F"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738/782</w:t>
            </w:r>
          </w:p>
          <w:p w14:paraId="1D4B623A"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(94.4%)</w:t>
            </w:r>
          </w:p>
        </w:tc>
        <w:tc>
          <w:tcPr>
            <w:tcW w:w="1276" w:type="dxa"/>
          </w:tcPr>
          <w:p w14:paraId="70040FC7"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679/767</w:t>
            </w:r>
          </w:p>
          <w:p w14:paraId="66DE34C9"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(88.5%)</w:t>
            </w:r>
          </w:p>
        </w:tc>
        <w:tc>
          <w:tcPr>
            <w:tcW w:w="1224" w:type="dxa"/>
          </w:tcPr>
          <w:p w14:paraId="759BE7A5"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0.06</w:t>
            </w:r>
          </w:p>
          <w:p w14:paraId="7912A2F8"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(0.03, 0.09)</w:t>
            </w:r>
          </w:p>
        </w:tc>
      </w:tr>
      <w:tr w:rsidR="00E41328" w:rsidRPr="00276BCA" w14:paraId="7F7E6BD7" w14:textId="77777777" w:rsidTr="77D89277">
        <w:tc>
          <w:tcPr>
            <w:tcW w:w="1413" w:type="dxa"/>
          </w:tcPr>
          <w:p w14:paraId="1B0B48EA" w14:textId="77777777" w:rsidR="00151D79" w:rsidRPr="00276BCA" w:rsidRDefault="00151D79" w:rsidP="00454B25">
            <w:pPr>
              <w:keepNext/>
              <w:numPr>
                <w:ilvl w:val="0"/>
                <w:numId w:val="30"/>
              </w:numPr>
              <w:spacing w:before="0" w:after="0"/>
              <w:ind w:left="166" w:hanging="166"/>
              <w:jc w:val="left"/>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Treatment-related Grade 3/4 AE</w:t>
            </w:r>
          </w:p>
        </w:tc>
        <w:tc>
          <w:tcPr>
            <w:tcW w:w="1417" w:type="dxa"/>
          </w:tcPr>
          <w:p w14:paraId="1AF8FB19"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352/533</w:t>
            </w:r>
          </w:p>
          <w:p w14:paraId="5CC5A980"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(66.0%)</w:t>
            </w:r>
          </w:p>
        </w:tc>
        <w:tc>
          <w:tcPr>
            <w:tcW w:w="1276" w:type="dxa"/>
          </w:tcPr>
          <w:p w14:paraId="26046EEA"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276/527</w:t>
            </w:r>
          </w:p>
          <w:p w14:paraId="131FD191"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(52.4%)</w:t>
            </w:r>
          </w:p>
        </w:tc>
        <w:tc>
          <w:tcPr>
            <w:tcW w:w="1134" w:type="dxa"/>
          </w:tcPr>
          <w:p w14:paraId="46B750E3"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0.14</w:t>
            </w:r>
          </w:p>
          <w:p w14:paraId="01A6EA90"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(0.09, 0.19)</w:t>
            </w:r>
          </w:p>
        </w:tc>
        <w:tc>
          <w:tcPr>
            <w:tcW w:w="1276" w:type="dxa"/>
          </w:tcPr>
          <w:p w14:paraId="7B813E79"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462/782</w:t>
            </w:r>
          </w:p>
          <w:p w14:paraId="28468F96"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(59.1%)</w:t>
            </w:r>
          </w:p>
        </w:tc>
        <w:tc>
          <w:tcPr>
            <w:tcW w:w="1276" w:type="dxa"/>
          </w:tcPr>
          <w:p w14:paraId="35FF349A"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341/767</w:t>
            </w:r>
          </w:p>
          <w:p w14:paraId="1A91B9E3"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(44.5%)</w:t>
            </w:r>
          </w:p>
        </w:tc>
        <w:tc>
          <w:tcPr>
            <w:tcW w:w="1224" w:type="dxa"/>
          </w:tcPr>
          <w:p w14:paraId="6394E6F2"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0.15</w:t>
            </w:r>
          </w:p>
          <w:p w14:paraId="626CB591"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(0.10, 0.20)</w:t>
            </w:r>
          </w:p>
        </w:tc>
      </w:tr>
      <w:tr w:rsidR="00E41328" w:rsidRPr="00276BCA" w14:paraId="6DDC4D5D" w14:textId="77777777" w:rsidTr="77D89277">
        <w:tc>
          <w:tcPr>
            <w:tcW w:w="1413" w:type="dxa"/>
          </w:tcPr>
          <w:p w14:paraId="2FFC1416" w14:textId="77777777" w:rsidR="00151D79" w:rsidRPr="00276BCA" w:rsidRDefault="00151D79" w:rsidP="00454B25">
            <w:pPr>
              <w:keepNext/>
              <w:numPr>
                <w:ilvl w:val="0"/>
                <w:numId w:val="30"/>
              </w:numPr>
              <w:spacing w:before="0" w:after="0"/>
              <w:ind w:left="166" w:hanging="166"/>
              <w:jc w:val="left"/>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Treatment-related Grade 5 AE</w:t>
            </w:r>
          </w:p>
        </w:tc>
        <w:tc>
          <w:tcPr>
            <w:tcW w:w="1417" w:type="dxa"/>
          </w:tcPr>
          <w:p w14:paraId="749B68EE"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11/533</w:t>
            </w:r>
          </w:p>
          <w:p w14:paraId="0915639B"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(2.1%)</w:t>
            </w:r>
          </w:p>
        </w:tc>
        <w:tc>
          <w:tcPr>
            <w:tcW w:w="1276" w:type="dxa"/>
          </w:tcPr>
          <w:p w14:paraId="149AEF94"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11/527</w:t>
            </w:r>
          </w:p>
          <w:p w14:paraId="16E5B212"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(2.1%)</w:t>
            </w:r>
          </w:p>
        </w:tc>
        <w:tc>
          <w:tcPr>
            <w:tcW w:w="1134" w:type="dxa"/>
          </w:tcPr>
          <w:p w14:paraId="04ED23F3"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0.00</w:t>
            </w:r>
          </w:p>
          <w:p w14:paraId="1888D8BA"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 0.01)</w:t>
            </w:r>
          </w:p>
        </w:tc>
        <w:tc>
          <w:tcPr>
            <w:tcW w:w="1276" w:type="dxa"/>
          </w:tcPr>
          <w:p w14:paraId="54EF1AEE"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4/782</w:t>
            </w:r>
          </w:p>
          <w:p w14:paraId="73E9019C"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(0.5%)</w:t>
            </w:r>
          </w:p>
        </w:tc>
        <w:tc>
          <w:tcPr>
            <w:tcW w:w="1276" w:type="dxa"/>
          </w:tcPr>
          <w:p w14:paraId="4CEFC61E"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0/767</w:t>
            </w:r>
          </w:p>
          <w:p w14:paraId="25903DE6"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w:t>
            </w:r>
          </w:p>
        </w:tc>
        <w:tc>
          <w:tcPr>
            <w:tcW w:w="1224" w:type="dxa"/>
          </w:tcPr>
          <w:p w14:paraId="29A36198"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w:t>
            </w:r>
          </w:p>
          <w:p w14:paraId="7BE3D12B"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(-0.00, 0.01)</w:t>
            </w:r>
          </w:p>
        </w:tc>
      </w:tr>
      <w:tr w:rsidR="00E41328" w:rsidRPr="00276BCA" w14:paraId="3A3A35FE" w14:textId="77777777" w:rsidTr="77D89277">
        <w:tc>
          <w:tcPr>
            <w:tcW w:w="1413" w:type="dxa"/>
          </w:tcPr>
          <w:p w14:paraId="3790D49C" w14:textId="77777777" w:rsidR="00151D79" w:rsidRPr="00276BCA" w:rsidRDefault="00151D79" w:rsidP="00151D79">
            <w:pPr>
              <w:keepNext/>
              <w:spacing w:before="0" w:after="0"/>
              <w:jc w:val="left"/>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SAE</w:t>
            </w:r>
          </w:p>
        </w:tc>
        <w:tc>
          <w:tcPr>
            <w:tcW w:w="1417" w:type="dxa"/>
          </w:tcPr>
          <w:p w14:paraId="4A3926D5"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245/533</w:t>
            </w:r>
          </w:p>
          <w:p w14:paraId="0D93A222"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(46.0%)</w:t>
            </w:r>
          </w:p>
        </w:tc>
        <w:tc>
          <w:tcPr>
            <w:tcW w:w="1276" w:type="dxa"/>
          </w:tcPr>
          <w:p w14:paraId="73BFA347"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245/527</w:t>
            </w:r>
          </w:p>
          <w:p w14:paraId="19E7CC16"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(46.5%)</w:t>
            </w:r>
          </w:p>
        </w:tc>
        <w:tc>
          <w:tcPr>
            <w:tcW w:w="1134" w:type="dxa"/>
          </w:tcPr>
          <w:p w14:paraId="6C8D340B"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w:t>
            </w:r>
          </w:p>
          <w:p w14:paraId="001271DA"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(-0.05, 0.04)</w:t>
            </w:r>
          </w:p>
        </w:tc>
        <w:tc>
          <w:tcPr>
            <w:tcW w:w="1276" w:type="dxa"/>
          </w:tcPr>
          <w:p w14:paraId="5EA66261"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423/782</w:t>
            </w:r>
          </w:p>
          <w:p w14:paraId="30190732"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(54.1%)</w:t>
            </w:r>
          </w:p>
        </w:tc>
        <w:tc>
          <w:tcPr>
            <w:tcW w:w="1276" w:type="dxa"/>
          </w:tcPr>
          <w:p w14:paraId="4B35D61D"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335/767</w:t>
            </w:r>
          </w:p>
          <w:p w14:paraId="6B640547"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(43.7%)</w:t>
            </w:r>
          </w:p>
        </w:tc>
        <w:tc>
          <w:tcPr>
            <w:tcW w:w="1224" w:type="dxa"/>
          </w:tcPr>
          <w:p w14:paraId="772B6076"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0.10</w:t>
            </w:r>
          </w:p>
          <w:p w14:paraId="56208FD1"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(0.05, 0.15)</w:t>
            </w:r>
          </w:p>
        </w:tc>
      </w:tr>
      <w:tr w:rsidR="00E41328" w:rsidRPr="00276BCA" w14:paraId="3988999A" w14:textId="77777777" w:rsidTr="77D89277">
        <w:tc>
          <w:tcPr>
            <w:tcW w:w="1413" w:type="dxa"/>
          </w:tcPr>
          <w:p w14:paraId="66362EC8" w14:textId="77777777" w:rsidR="00151D79" w:rsidRPr="00276BCA" w:rsidRDefault="00151D79" w:rsidP="00151D79">
            <w:pPr>
              <w:keepNext/>
              <w:spacing w:before="0" w:after="0"/>
              <w:jc w:val="left"/>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Treatment-related SAE</w:t>
            </w:r>
          </w:p>
        </w:tc>
        <w:tc>
          <w:tcPr>
            <w:tcW w:w="1417" w:type="dxa"/>
          </w:tcPr>
          <w:p w14:paraId="47ADA2DF"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134/533</w:t>
            </w:r>
          </w:p>
          <w:p w14:paraId="6B4E1449"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(25.1%)</w:t>
            </w:r>
          </w:p>
        </w:tc>
        <w:tc>
          <w:tcPr>
            <w:tcW w:w="1276" w:type="dxa"/>
          </w:tcPr>
          <w:p w14:paraId="2D6D151B"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97/527</w:t>
            </w:r>
          </w:p>
          <w:p w14:paraId="4CCF6587"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(18.4%)</w:t>
            </w:r>
          </w:p>
        </w:tc>
        <w:tc>
          <w:tcPr>
            <w:tcW w:w="1134" w:type="dxa"/>
          </w:tcPr>
          <w:p w14:paraId="4B76D923"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0.07</w:t>
            </w:r>
          </w:p>
          <w:p w14:paraId="2974FF8A"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(0.01, 0.08)</w:t>
            </w:r>
          </w:p>
        </w:tc>
        <w:tc>
          <w:tcPr>
            <w:tcW w:w="1276" w:type="dxa"/>
          </w:tcPr>
          <w:p w14:paraId="087C1339"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172/782</w:t>
            </w:r>
          </w:p>
          <w:p w14:paraId="1AFA2D21"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(22.0%)</w:t>
            </w:r>
          </w:p>
        </w:tc>
        <w:tc>
          <w:tcPr>
            <w:tcW w:w="1276" w:type="dxa"/>
          </w:tcPr>
          <w:p w14:paraId="0AA2000B"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93/767</w:t>
            </w:r>
          </w:p>
          <w:p w14:paraId="03E84A31"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(12.1%)</w:t>
            </w:r>
          </w:p>
        </w:tc>
        <w:tc>
          <w:tcPr>
            <w:tcW w:w="1224" w:type="dxa"/>
          </w:tcPr>
          <w:p w14:paraId="0172E304"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0.10</w:t>
            </w:r>
          </w:p>
          <w:p w14:paraId="2F7BC02F"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(0.06, 0.14)</w:t>
            </w:r>
          </w:p>
        </w:tc>
      </w:tr>
      <w:tr w:rsidR="00E41328" w:rsidRPr="00276BCA" w14:paraId="474A6153" w14:textId="77777777" w:rsidTr="77D89277">
        <w:tc>
          <w:tcPr>
            <w:tcW w:w="1413" w:type="dxa"/>
          </w:tcPr>
          <w:p w14:paraId="487975B6" w14:textId="77777777" w:rsidR="00151D79" w:rsidRPr="00276BCA" w:rsidRDefault="00151D79" w:rsidP="00151D79">
            <w:pPr>
              <w:keepNext/>
              <w:spacing w:before="0" w:after="0"/>
              <w:jc w:val="left"/>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AE leading to discontinuation from any study treatment</w:t>
            </w:r>
          </w:p>
        </w:tc>
        <w:tc>
          <w:tcPr>
            <w:tcW w:w="1417" w:type="dxa"/>
          </w:tcPr>
          <w:p w14:paraId="76A5914B"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199/533</w:t>
            </w:r>
          </w:p>
          <w:p w14:paraId="48C3E3B4"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(37.3%)</w:t>
            </w:r>
          </w:p>
        </w:tc>
        <w:tc>
          <w:tcPr>
            <w:tcW w:w="1276" w:type="dxa"/>
          </w:tcPr>
          <w:p w14:paraId="1E035B2A"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169/527</w:t>
            </w:r>
          </w:p>
          <w:p w14:paraId="01CD2DE2"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(32.1%)</w:t>
            </w:r>
          </w:p>
        </w:tc>
        <w:tc>
          <w:tcPr>
            <w:tcW w:w="1134" w:type="dxa"/>
          </w:tcPr>
          <w:p w14:paraId="3765DF7D"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0.05</w:t>
            </w:r>
          </w:p>
          <w:p w14:paraId="5A3B9494"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 0.08)</w:t>
            </w:r>
          </w:p>
        </w:tc>
        <w:tc>
          <w:tcPr>
            <w:tcW w:w="1276" w:type="dxa"/>
          </w:tcPr>
          <w:p w14:paraId="3ABFDE43"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371/782</w:t>
            </w:r>
          </w:p>
          <w:p w14:paraId="6DBE8AC7"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(47.4%)</w:t>
            </w:r>
          </w:p>
        </w:tc>
        <w:tc>
          <w:tcPr>
            <w:tcW w:w="1276" w:type="dxa"/>
          </w:tcPr>
          <w:p w14:paraId="41DED759"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251/767</w:t>
            </w:r>
          </w:p>
          <w:p w14:paraId="1CF85045"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(32.7%)</w:t>
            </w:r>
          </w:p>
        </w:tc>
        <w:tc>
          <w:tcPr>
            <w:tcW w:w="1224" w:type="dxa"/>
          </w:tcPr>
          <w:p w14:paraId="7D2C1FDC"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0.15</w:t>
            </w:r>
          </w:p>
          <w:p w14:paraId="20CF2EFD"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(0.10, 0.20)</w:t>
            </w:r>
          </w:p>
        </w:tc>
      </w:tr>
      <w:tr w:rsidR="00FB3F3B" w:rsidRPr="00276BCA" w14:paraId="43EBC8BC" w14:textId="77777777" w:rsidTr="77D89277">
        <w:tc>
          <w:tcPr>
            <w:tcW w:w="1413" w:type="dxa"/>
          </w:tcPr>
          <w:p w14:paraId="0B847696" w14:textId="77777777" w:rsidR="00151D79" w:rsidRPr="00276BCA" w:rsidRDefault="00151D79" w:rsidP="00151D79">
            <w:pPr>
              <w:keepNext/>
              <w:spacing w:before="0" w:after="0"/>
              <w:jc w:val="left"/>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Treatment-related AE leading to discontinuation from any study treatment</w:t>
            </w:r>
          </w:p>
        </w:tc>
        <w:tc>
          <w:tcPr>
            <w:tcW w:w="1417" w:type="dxa"/>
          </w:tcPr>
          <w:p w14:paraId="73C60C44"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110/533</w:t>
            </w:r>
          </w:p>
          <w:p w14:paraId="0FD17A40"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(20.6%)</w:t>
            </w:r>
          </w:p>
        </w:tc>
        <w:tc>
          <w:tcPr>
            <w:tcW w:w="1276" w:type="dxa"/>
          </w:tcPr>
          <w:p w14:paraId="724BB24D"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78/527</w:t>
            </w:r>
          </w:p>
          <w:p w14:paraId="5D0437FF"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(14.8%)</w:t>
            </w:r>
          </w:p>
        </w:tc>
        <w:tc>
          <w:tcPr>
            <w:tcW w:w="1134" w:type="dxa"/>
          </w:tcPr>
          <w:p w14:paraId="05E50D94"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0.06</w:t>
            </w:r>
          </w:p>
          <w:p w14:paraId="3F46955F"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(0.01, 0.07)</w:t>
            </w:r>
          </w:p>
        </w:tc>
        <w:tc>
          <w:tcPr>
            <w:tcW w:w="1276" w:type="dxa"/>
          </w:tcPr>
          <w:p w14:paraId="11DD369B"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284/782</w:t>
            </w:r>
          </w:p>
          <w:p w14:paraId="6E848AA8"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(36.3%)</w:t>
            </w:r>
          </w:p>
        </w:tc>
        <w:tc>
          <w:tcPr>
            <w:tcW w:w="1276" w:type="dxa"/>
          </w:tcPr>
          <w:p w14:paraId="6DC851A1"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181/767</w:t>
            </w:r>
          </w:p>
          <w:p w14:paraId="38F07E68"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(23.6%)</w:t>
            </w:r>
          </w:p>
        </w:tc>
        <w:tc>
          <w:tcPr>
            <w:tcW w:w="1224" w:type="dxa"/>
          </w:tcPr>
          <w:p w14:paraId="7D2E2B6D"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0.13</w:t>
            </w:r>
          </w:p>
          <w:p w14:paraId="6F44F805" w14:textId="77777777" w:rsidR="00151D79" w:rsidRPr="00276BCA" w:rsidRDefault="00151D79" w:rsidP="00151D7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(0.08, 0.17)</w:t>
            </w:r>
          </w:p>
        </w:tc>
      </w:tr>
    </w:tbl>
    <w:p w14:paraId="4780A3F2" w14:textId="77777777" w:rsidR="00151D79" w:rsidRPr="00276BCA" w:rsidRDefault="00151D79" w:rsidP="00151D79">
      <w:pPr>
        <w:spacing w:before="0" w:after="120"/>
        <w:contextualSpacing/>
        <w:rPr>
          <w:rFonts w:ascii="Arial Narrow" w:eastAsia="Times New Roman" w:hAnsi="Arial Narrow" w:cs="Arial"/>
          <w:snapToGrid w:val="0"/>
          <w:sz w:val="20"/>
          <w:lang w:eastAsia="en-AU"/>
        </w:rPr>
      </w:pPr>
      <w:r w:rsidRPr="00276BCA">
        <w:rPr>
          <w:rFonts w:ascii="Arial Narrow" w:eastAsia="Times New Roman" w:hAnsi="Arial Narrow" w:cs="Arial"/>
          <w:snapToGrid w:val="0"/>
          <w:sz w:val="18"/>
          <w:lang w:eastAsia="en-AU"/>
        </w:rPr>
        <w:t>Source: Table 2-34, p135 of the submission.</w:t>
      </w:r>
    </w:p>
    <w:p w14:paraId="2D1E57FA" w14:textId="1039BF78" w:rsidR="00151D79" w:rsidRPr="00276BCA" w:rsidRDefault="00151D79" w:rsidP="00151D79">
      <w:pPr>
        <w:spacing w:before="0" w:after="120"/>
        <w:contextualSpacing/>
        <w:rPr>
          <w:rFonts w:ascii="Arial Narrow" w:eastAsia="Times New Roman" w:hAnsi="Arial Narrow" w:cs="Arial"/>
          <w:snapToGrid w:val="0"/>
          <w:sz w:val="18"/>
          <w:szCs w:val="18"/>
          <w:lang w:eastAsia="en-AU"/>
        </w:rPr>
      </w:pPr>
      <w:r w:rsidRPr="00276BCA">
        <w:rPr>
          <w:rFonts w:ascii="Arial Narrow" w:eastAsia="Calibri" w:hAnsi="Arial Narrow" w:cs="Arial"/>
          <w:snapToGrid w:val="0"/>
          <w:sz w:val="18"/>
          <w:szCs w:val="18"/>
          <w:lang w:eastAsia="en-AU"/>
        </w:rPr>
        <w:t xml:space="preserve">AE = adverse events; chemo = chemotherapy; CI = confidence interval; n = number of participants reporting data; N = total participants in group; </w:t>
      </w:r>
      <w:r w:rsidR="002C21B2" w:rsidRPr="00276BCA">
        <w:rPr>
          <w:rFonts w:ascii="Arial Narrow" w:eastAsia="Calibri" w:hAnsi="Arial Narrow" w:cs="Arial"/>
          <w:snapToGrid w:val="0"/>
          <w:sz w:val="18"/>
          <w:szCs w:val="18"/>
          <w:lang w:eastAsia="en-AU"/>
        </w:rPr>
        <w:t xml:space="preserve">NIVO = nivolumab; </w:t>
      </w:r>
      <w:r w:rsidRPr="00276BCA">
        <w:rPr>
          <w:rFonts w:ascii="Arial Narrow" w:eastAsia="Calibri" w:hAnsi="Arial Narrow" w:cs="Arial"/>
          <w:snapToGrid w:val="0"/>
          <w:sz w:val="18"/>
          <w:szCs w:val="18"/>
          <w:lang w:eastAsia="en-AU"/>
        </w:rPr>
        <w:t xml:space="preserve">RD = risk difference; SAE = serious adverse event; TEAE = treatment emergent adverse event; ZOLBE = </w:t>
      </w:r>
      <w:proofErr w:type="spellStart"/>
      <w:r w:rsidRPr="00276BCA">
        <w:rPr>
          <w:rFonts w:ascii="Arial Narrow" w:eastAsia="Calibri" w:hAnsi="Arial Narrow" w:cs="Arial"/>
          <w:snapToGrid w:val="0"/>
          <w:sz w:val="18"/>
          <w:szCs w:val="18"/>
          <w:lang w:eastAsia="en-AU"/>
        </w:rPr>
        <w:t>zolbetuximab</w:t>
      </w:r>
      <w:proofErr w:type="spellEnd"/>
      <w:r w:rsidRPr="00276BCA">
        <w:rPr>
          <w:rFonts w:ascii="Arial Narrow" w:eastAsia="Calibri" w:hAnsi="Arial Narrow" w:cs="Arial"/>
          <w:snapToGrid w:val="0"/>
          <w:sz w:val="18"/>
          <w:szCs w:val="18"/>
          <w:lang w:eastAsia="en-AU"/>
        </w:rPr>
        <w:t>.</w:t>
      </w:r>
    </w:p>
    <w:p w14:paraId="667A250E" w14:textId="5844EB49" w:rsidR="00EE38AC" w:rsidRPr="00276BCA" w:rsidRDefault="006615E0" w:rsidP="77D89277">
      <w:pPr>
        <w:pStyle w:val="ListParagraph"/>
        <w:numPr>
          <w:ilvl w:val="4"/>
          <w:numId w:val="8"/>
        </w:numPr>
        <w:rPr>
          <w:color w:val="auto"/>
        </w:rPr>
      </w:pPr>
      <w:r w:rsidRPr="00276BCA">
        <w:rPr>
          <w:color w:val="auto"/>
        </w:rPr>
        <w:t>A</w:t>
      </w:r>
      <w:r w:rsidR="09FD77D0" w:rsidRPr="00276BCA">
        <w:rPr>
          <w:color w:val="auto"/>
        </w:rPr>
        <w:t xml:space="preserve"> higher proportion of Grade 3-4 TEAEs occurred in </w:t>
      </w:r>
      <w:r w:rsidR="00B22101" w:rsidRPr="00276BCA">
        <w:rPr>
          <w:color w:val="auto"/>
        </w:rPr>
        <w:t xml:space="preserve">the </w:t>
      </w:r>
      <w:proofErr w:type="spellStart"/>
      <w:r w:rsidR="00047771" w:rsidRPr="00276BCA">
        <w:rPr>
          <w:color w:val="auto"/>
        </w:rPr>
        <w:t>zol</w:t>
      </w:r>
      <w:r w:rsidR="00F41643" w:rsidRPr="00276BCA">
        <w:rPr>
          <w:color w:val="auto"/>
        </w:rPr>
        <w:t>betuximab</w:t>
      </w:r>
      <w:proofErr w:type="spellEnd"/>
      <w:r w:rsidR="00F41643" w:rsidRPr="00276BCA">
        <w:rPr>
          <w:color w:val="auto"/>
        </w:rPr>
        <w:t xml:space="preserve"> and nivolumab treatment arms compared with the chemotherapy alone arms</w:t>
      </w:r>
      <w:r w:rsidR="004C6D8C" w:rsidRPr="00276BCA">
        <w:rPr>
          <w:color w:val="auto"/>
        </w:rPr>
        <w:t>:</w:t>
      </w:r>
      <w:r w:rsidR="09FD77D0" w:rsidRPr="00276BCA">
        <w:rPr>
          <w:color w:val="auto"/>
        </w:rPr>
        <w:t xml:space="preserve"> 70.9% vs 63.4%</w:t>
      </w:r>
      <w:r w:rsidR="09FD77D0" w:rsidRPr="00276BCA" w:rsidDel="00362001">
        <w:rPr>
          <w:color w:val="auto"/>
        </w:rPr>
        <w:t xml:space="preserve"> </w:t>
      </w:r>
      <w:r w:rsidR="09FD77D0" w:rsidRPr="00276BCA">
        <w:rPr>
          <w:color w:val="auto"/>
        </w:rPr>
        <w:t>and 69.1% vs 59.5%</w:t>
      </w:r>
      <w:r w:rsidR="0028095D" w:rsidRPr="00276BCA">
        <w:rPr>
          <w:color w:val="auto"/>
        </w:rPr>
        <w:t>, respectively</w:t>
      </w:r>
      <w:r w:rsidR="09FD77D0" w:rsidRPr="00276BCA">
        <w:rPr>
          <w:color w:val="auto"/>
        </w:rPr>
        <w:t xml:space="preserve">. </w:t>
      </w:r>
      <w:r w:rsidR="6653C060" w:rsidRPr="00276BCA">
        <w:rPr>
          <w:color w:val="auto"/>
        </w:rPr>
        <w:t>This trend was also observed for treatment related Grade 3-4 TEAE.</w:t>
      </w:r>
    </w:p>
    <w:p w14:paraId="7FCAE1E6" w14:textId="4B98FEC2" w:rsidR="00CA71EC" w:rsidRPr="00276BCA" w:rsidRDefault="0059086C" w:rsidP="00DD4F88">
      <w:pPr>
        <w:pStyle w:val="ListParagraph"/>
        <w:numPr>
          <w:ilvl w:val="4"/>
          <w:numId w:val="8"/>
        </w:numPr>
        <w:rPr>
          <w:color w:val="auto"/>
        </w:rPr>
      </w:pPr>
      <w:r w:rsidRPr="00276BCA">
        <w:rPr>
          <w:color w:val="auto"/>
        </w:rPr>
        <w:t xml:space="preserve">The addition of </w:t>
      </w:r>
      <w:proofErr w:type="spellStart"/>
      <w:r w:rsidR="003B1961" w:rsidRPr="00276BCA">
        <w:rPr>
          <w:color w:val="auto"/>
        </w:rPr>
        <w:t>zol</w:t>
      </w:r>
      <w:r w:rsidR="00B07D55" w:rsidRPr="00276BCA">
        <w:rPr>
          <w:color w:val="auto"/>
        </w:rPr>
        <w:t>betuximab</w:t>
      </w:r>
      <w:proofErr w:type="spellEnd"/>
      <w:r w:rsidR="00B07D55" w:rsidRPr="00276BCA">
        <w:rPr>
          <w:color w:val="auto"/>
        </w:rPr>
        <w:t xml:space="preserve"> </w:t>
      </w:r>
      <w:r w:rsidR="00E5449B" w:rsidRPr="00276BCA">
        <w:rPr>
          <w:color w:val="auto"/>
        </w:rPr>
        <w:t xml:space="preserve">did not increase the proportion of patients with a </w:t>
      </w:r>
      <w:r w:rsidR="5526382D" w:rsidRPr="00276BCA">
        <w:rPr>
          <w:color w:val="auto"/>
        </w:rPr>
        <w:t>serious TEAEs (46</w:t>
      </w:r>
      <w:r w:rsidR="00DD4F88" w:rsidRPr="00276BCA">
        <w:rPr>
          <w:color w:val="auto"/>
        </w:rPr>
        <w:t>.0</w:t>
      </w:r>
      <w:r w:rsidR="5526382D" w:rsidRPr="00276BCA">
        <w:rPr>
          <w:color w:val="auto"/>
        </w:rPr>
        <w:t xml:space="preserve">% vs 46.5%), </w:t>
      </w:r>
      <w:r w:rsidR="00007B5B" w:rsidRPr="00276BCA">
        <w:rPr>
          <w:color w:val="auto"/>
        </w:rPr>
        <w:t>whereas there was an increase with the addition of nivolumab</w:t>
      </w:r>
      <w:r w:rsidR="5526382D" w:rsidRPr="00276BCA">
        <w:rPr>
          <w:color w:val="auto"/>
        </w:rPr>
        <w:t xml:space="preserve"> (54.1% vs 43.7%). </w:t>
      </w:r>
      <w:r w:rsidR="00304CBD" w:rsidRPr="00276BCA">
        <w:rPr>
          <w:color w:val="auto"/>
        </w:rPr>
        <w:t xml:space="preserve">A higher proportion of </w:t>
      </w:r>
      <w:r w:rsidR="5526382D" w:rsidRPr="00276BCA">
        <w:rPr>
          <w:color w:val="auto"/>
        </w:rPr>
        <w:t xml:space="preserve">serious TEAEs were </w:t>
      </w:r>
      <w:r w:rsidR="001A477D" w:rsidRPr="00276BCA">
        <w:rPr>
          <w:color w:val="auto"/>
        </w:rPr>
        <w:t>observed</w:t>
      </w:r>
      <w:r w:rsidR="5526382D" w:rsidRPr="00276BCA">
        <w:rPr>
          <w:color w:val="auto"/>
        </w:rPr>
        <w:t xml:space="preserve"> in </w:t>
      </w:r>
      <w:r w:rsidR="419F87C6" w:rsidRPr="00276BCA">
        <w:rPr>
          <w:color w:val="auto"/>
        </w:rPr>
        <w:t xml:space="preserve">the </w:t>
      </w:r>
      <w:proofErr w:type="spellStart"/>
      <w:r w:rsidR="5526382D" w:rsidRPr="00276BCA">
        <w:rPr>
          <w:color w:val="auto"/>
        </w:rPr>
        <w:t>zolbetuximab</w:t>
      </w:r>
      <w:proofErr w:type="spellEnd"/>
      <w:r w:rsidR="5526382D" w:rsidRPr="00276BCA">
        <w:rPr>
          <w:color w:val="auto"/>
        </w:rPr>
        <w:t xml:space="preserve"> </w:t>
      </w:r>
      <w:r w:rsidR="007A01DD" w:rsidRPr="00276BCA">
        <w:rPr>
          <w:color w:val="auto"/>
        </w:rPr>
        <w:t xml:space="preserve">and nivolumab treatment </w:t>
      </w:r>
      <w:r w:rsidR="5526382D" w:rsidRPr="00276BCA">
        <w:rPr>
          <w:color w:val="auto"/>
        </w:rPr>
        <w:t>arm</w:t>
      </w:r>
      <w:r w:rsidR="007A01DD" w:rsidRPr="00276BCA">
        <w:rPr>
          <w:color w:val="auto"/>
        </w:rPr>
        <w:t>s compared with the chemotherapy alone arms:</w:t>
      </w:r>
      <w:r w:rsidR="5526382D" w:rsidRPr="00276BCA" w:rsidDel="007A01DD">
        <w:rPr>
          <w:color w:val="auto"/>
        </w:rPr>
        <w:t xml:space="preserve"> </w:t>
      </w:r>
      <w:r w:rsidR="5526382D" w:rsidRPr="00276BCA">
        <w:rPr>
          <w:color w:val="auto"/>
        </w:rPr>
        <w:t>25.1% vs 18.4% and 22.0% vs 12.1%</w:t>
      </w:r>
      <w:r w:rsidR="007A01DD" w:rsidRPr="00276BCA">
        <w:rPr>
          <w:color w:val="auto"/>
        </w:rPr>
        <w:t>, respectively</w:t>
      </w:r>
      <w:r w:rsidR="5526382D" w:rsidRPr="00276BCA">
        <w:rPr>
          <w:color w:val="auto"/>
        </w:rPr>
        <w:t xml:space="preserve">. </w:t>
      </w:r>
    </w:p>
    <w:p w14:paraId="05C56CBF" w14:textId="1E6C5358" w:rsidR="00896EE9" w:rsidRPr="00276BCA" w:rsidRDefault="61D2651F" w:rsidP="00204461">
      <w:pPr>
        <w:pStyle w:val="Caption"/>
      </w:pPr>
      <w:bookmarkStart w:id="58" w:name="_Ref184065837"/>
      <w:r w:rsidRPr="00276BCA">
        <w:lastRenderedPageBreak/>
        <w:t xml:space="preserve">Table </w:t>
      </w:r>
      <w:r w:rsidR="005E7C50">
        <w:fldChar w:fldCharType="begin"/>
      </w:r>
      <w:r w:rsidR="005E7C50">
        <w:instrText xml:space="preserve"> SEQ Table_PBAC. \* ARABIC </w:instrText>
      </w:r>
      <w:r w:rsidR="005E7C50">
        <w:fldChar w:fldCharType="separate"/>
      </w:r>
      <w:r w:rsidR="0011458F">
        <w:rPr>
          <w:noProof/>
        </w:rPr>
        <w:t>10</w:t>
      </w:r>
      <w:r w:rsidR="005E7C50">
        <w:rPr>
          <w:noProof/>
        </w:rPr>
        <w:fldChar w:fldCharType="end"/>
      </w:r>
      <w:bookmarkEnd w:id="58"/>
      <w:r w:rsidR="00F1639D" w:rsidRPr="00276BCA">
        <w:t xml:space="preserve">: </w:t>
      </w:r>
      <w:r w:rsidRPr="00276BCA">
        <w:t xml:space="preserve">Summary of treatment related TEAEs (≥10%) in the SPOTLIGHT/GLOW combined and </w:t>
      </w:r>
      <w:proofErr w:type="spellStart"/>
      <w:r w:rsidRPr="00276BCA">
        <w:t>CheckMate</w:t>
      </w:r>
      <w:proofErr w:type="spellEnd"/>
      <w:r w:rsidRPr="00276BCA">
        <w:t xml:space="preserve"> 649; Grade 3-4 occurrences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0: Summary of treatment related TEAEs (≥10%) in the SPOTLIGHT/GLOW combined and CheckMate 649; Grade 3-4 occurrences only"/>
      </w:tblPr>
      <w:tblGrid>
        <w:gridCol w:w="1413"/>
        <w:gridCol w:w="1417"/>
        <w:gridCol w:w="1276"/>
        <w:gridCol w:w="1134"/>
        <w:gridCol w:w="1276"/>
        <w:gridCol w:w="1276"/>
        <w:gridCol w:w="1224"/>
      </w:tblGrid>
      <w:tr w:rsidR="00E41328" w:rsidRPr="00276BCA" w14:paraId="5B25BBB9" w14:textId="77777777" w:rsidTr="77D89277">
        <w:trPr>
          <w:tblHeader/>
        </w:trPr>
        <w:tc>
          <w:tcPr>
            <w:tcW w:w="1413" w:type="dxa"/>
            <w:vMerge w:val="restart"/>
            <w:vAlign w:val="center"/>
          </w:tcPr>
          <w:p w14:paraId="53468229" w14:textId="77777777" w:rsidR="00896EE9" w:rsidRPr="00276BCA" w:rsidRDefault="00896EE9" w:rsidP="00896EE9">
            <w:pPr>
              <w:keepNext/>
              <w:spacing w:before="0" w:after="0"/>
              <w:jc w:val="left"/>
              <w:rPr>
                <w:rFonts w:ascii="Arial Narrow" w:eastAsia="MS Gothic" w:hAnsi="Arial Narrow" w:cs="Times New Roman"/>
                <w:b/>
                <w:sz w:val="20"/>
                <w:szCs w:val="24"/>
                <w:lang w:eastAsia="en-AU"/>
              </w:rPr>
            </w:pPr>
          </w:p>
        </w:tc>
        <w:tc>
          <w:tcPr>
            <w:tcW w:w="3827" w:type="dxa"/>
            <w:gridSpan w:val="3"/>
            <w:vAlign w:val="center"/>
          </w:tcPr>
          <w:p w14:paraId="52FC42D9" w14:textId="77777777" w:rsidR="00896EE9" w:rsidRPr="00276BCA" w:rsidRDefault="00896EE9" w:rsidP="00896EE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SPOTLIGHT/GLOW combined</w:t>
            </w:r>
          </w:p>
        </w:tc>
        <w:tc>
          <w:tcPr>
            <w:tcW w:w="3776" w:type="dxa"/>
            <w:gridSpan w:val="3"/>
          </w:tcPr>
          <w:p w14:paraId="329D6483" w14:textId="77777777" w:rsidR="00896EE9" w:rsidRPr="00276BCA" w:rsidRDefault="00896EE9" w:rsidP="00896EE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CheckMate649</w:t>
            </w:r>
          </w:p>
        </w:tc>
      </w:tr>
      <w:tr w:rsidR="00E41328" w:rsidRPr="00276BCA" w14:paraId="516AF0FE" w14:textId="77777777" w:rsidTr="77D89277">
        <w:trPr>
          <w:tblHeader/>
        </w:trPr>
        <w:tc>
          <w:tcPr>
            <w:tcW w:w="1413" w:type="dxa"/>
            <w:vMerge/>
            <w:vAlign w:val="center"/>
          </w:tcPr>
          <w:p w14:paraId="519F82A5" w14:textId="77777777" w:rsidR="00896EE9" w:rsidRPr="00276BCA" w:rsidRDefault="00896EE9" w:rsidP="00896EE9">
            <w:pPr>
              <w:keepNext/>
              <w:spacing w:before="0" w:after="0"/>
              <w:jc w:val="left"/>
              <w:rPr>
                <w:rFonts w:ascii="Arial Narrow" w:eastAsia="MS Gothic" w:hAnsi="Arial Narrow" w:cs="Times New Roman"/>
                <w:b/>
                <w:sz w:val="20"/>
                <w:szCs w:val="24"/>
                <w:lang w:eastAsia="en-AU"/>
              </w:rPr>
            </w:pPr>
          </w:p>
        </w:tc>
        <w:tc>
          <w:tcPr>
            <w:tcW w:w="1417" w:type="dxa"/>
            <w:vAlign w:val="center"/>
          </w:tcPr>
          <w:p w14:paraId="6F63D6FE" w14:textId="57977629" w:rsidR="00896EE9" w:rsidRPr="00276BCA" w:rsidRDefault="61D2651F" w:rsidP="77D89277">
            <w:pPr>
              <w:keepNext/>
              <w:spacing w:before="0" w:after="0"/>
              <w:jc w:val="center"/>
              <w:rPr>
                <w:rFonts w:ascii="Arial Narrow" w:eastAsia="MS Gothic" w:hAnsi="Arial Narrow" w:cs="Times New Roman"/>
                <w:b/>
                <w:bCs/>
                <w:sz w:val="20"/>
                <w:szCs w:val="20"/>
                <w:lang w:eastAsia="en-AU"/>
              </w:rPr>
            </w:pPr>
            <w:proofErr w:type="spellStart"/>
            <w:r w:rsidRPr="00276BCA">
              <w:rPr>
                <w:rFonts w:ascii="Arial Narrow" w:eastAsia="MS Gothic" w:hAnsi="Arial Narrow" w:cs="Times New Roman"/>
                <w:b/>
                <w:bCs/>
                <w:sz w:val="20"/>
                <w:szCs w:val="20"/>
                <w:lang w:eastAsia="en-AU"/>
              </w:rPr>
              <w:t>ZOLBE+chemo</w:t>
            </w:r>
            <w:proofErr w:type="spellEnd"/>
          </w:p>
          <w:p w14:paraId="643BD36B" w14:textId="77777777" w:rsidR="00896EE9" w:rsidRPr="00276BCA" w:rsidRDefault="00896EE9" w:rsidP="00896EE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n with event/</w:t>
            </w:r>
          </w:p>
          <w:p w14:paraId="662AA788" w14:textId="77777777" w:rsidR="00896EE9" w:rsidRPr="00276BCA" w:rsidRDefault="00896EE9" w:rsidP="00896EE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N (%)</w:t>
            </w:r>
          </w:p>
        </w:tc>
        <w:tc>
          <w:tcPr>
            <w:tcW w:w="1276" w:type="dxa"/>
            <w:vAlign w:val="center"/>
          </w:tcPr>
          <w:p w14:paraId="0D69E952" w14:textId="77777777" w:rsidR="00896EE9" w:rsidRPr="00276BCA" w:rsidRDefault="00896EE9" w:rsidP="00896EE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Chemo</w:t>
            </w:r>
          </w:p>
          <w:p w14:paraId="3328AB42" w14:textId="77777777" w:rsidR="00896EE9" w:rsidRPr="00276BCA" w:rsidRDefault="00896EE9" w:rsidP="00896EE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n with event/</w:t>
            </w:r>
          </w:p>
          <w:p w14:paraId="3A3ECCDB" w14:textId="77777777" w:rsidR="00896EE9" w:rsidRPr="00276BCA" w:rsidRDefault="00896EE9" w:rsidP="00896EE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N (%)</w:t>
            </w:r>
          </w:p>
        </w:tc>
        <w:tc>
          <w:tcPr>
            <w:tcW w:w="1134" w:type="dxa"/>
            <w:vAlign w:val="center"/>
          </w:tcPr>
          <w:p w14:paraId="1645CB26" w14:textId="77777777" w:rsidR="00896EE9" w:rsidRPr="00276BCA" w:rsidRDefault="00896EE9" w:rsidP="00896EE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RD</w:t>
            </w:r>
          </w:p>
          <w:p w14:paraId="0E8F1F43" w14:textId="77777777" w:rsidR="00896EE9" w:rsidRPr="00276BCA" w:rsidRDefault="00896EE9" w:rsidP="00896EE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(95% CI)</w:t>
            </w:r>
          </w:p>
        </w:tc>
        <w:tc>
          <w:tcPr>
            <w:tcW w:w="1276" w:type="dxa"/>
          </w:tcPr>
          <w:p w14:paraId="23AF187F" w14:textId="6955D129" w:rsidR="00896EE9" w:rsidRPr="00276BCA" w:rsidRDefault="61D2651F" w:rsidP="77D89277">
            <w:pPr>
              <w:keepNext/>
              <w:spacing w:before="0" w:after="0"/>
              <w:jc w:val="center"/>
              <w:rPr>
                <w:rFonts w:ascii="Arial Narrow" w:eastAsia="MS Gothic" w:hAnsi="Arial Narrow" w:cs="Times New Roman"/>
                <w:b/>
                <w:bCs/>
                <w:sz w:val="20"/>
                <w:szCs w:val="20"/>
                <w:lang w:eastAsia="en-AU"/>
              </w:rPr>
            </w:pPr>
            <w:proofErr w:type="spellStart"/>
            <w:r w:rsidRPr="00276BCA">
              <w:rPr>
                <w:rFonts w:ascii="Arial Narrow" w:eastAsia="MS Gothic" w:hAnsi="Arial Narrow" w:cs="Times New Roman"/>
                <w:b/>
                <w:bCs/>
                <w:sz w:val="20"/>
                <w:szCs w:val="20"/>
                <w:lang w:eastAsia="en-AU"/>
              </w:rPr>
              <w:t>NIVO+chemo</w:t>
            </w:r>
            <w:proofErr w:type="spellEnd"/>
            <w:r w:rsidRPr="00276BCA">
              <w:rPr>
                <w:rFonts w:ascii="Arial Narrow" w:eastAsia="MS Gothic" w:hAnsi="Arial Narrow" w:cs="Times New Roman"/>
                <w:b/>
                <w:bCs/>
                <w:sz w:val="20"/>
                <w:szCs w:val="20"/>
                <w:lang w:eastAsia="en-AU"/>
              </w:rPr>
              <w:t xml:space="preserve"> n with event/</w:t>
            </w:r>
          </w:p>
          <w:p w14:paraId="0F4B7ABC" w14:textId="77777777" w:rsidR="00896EE9" w:rsidRPr="00276BCA" w:rsidRDefault="00896EE9" w:rsidP="00896EE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N (%)</w:t>
            </w:r>
          </w:p>
        </w:tc>
        <w:tc>
          <w:tcPr>
            <w:tcW w:w="1276" w:type="dxa"/>
            <w:vAlign w:val="center"/>
          </w:tcPr>
          <w:p w14:paraId="5DB0336B" w14:textId="77777777" w:rsidR="00896EE9" w:rsidRPr="00276BCA" w:rsidRDefault="00896EE9" w:rsidP="00896EE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Chemo</w:t>
            </w:r>
          </w:p>
          <w:p w14:paraId="4BB187C2" w14:textId="77777777" w:rsidR="00896EE9" w:rsidRPr="00276BCA" w:rsidRDefault="00896EE9" w:rsidP="00896EE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n with event/</w:t>
            </w:r>
          </w:p>
          <w:p w14:paraId="74B1E8ED" w14:textId="77777777" w:rsidR="00896EE9" w:rsidRPr="00276BCA" w:rsidRDefault="00896EE9" w:rsidP="00896EE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N (%)</w:t>
            </w:r>
          </w:p>
        </w:tc>
        <w:tc>
          <w:tcPr>
            <w:tcW w:w="1224" w:type="dxa"/>
            <w:vAlign w:val="center"/>
          </w:tcPr>
          <w:p w14:paraId="6841C8ED" w14:textId="77777777" w:rsidR="00896EE9" w:rsidRPr="00276BCA" w:rsidRDefault="00896EE9" w:rsidP="00896EE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RD</w:t>
            </w:r>
          </w:p>
          <w:p w14:paraId="3EC61D9D" w14:textId="77777777" w:rsidR="00896EE9" w:rsidRPr="00276BCA" w:rsidRDefault="00896EE9" w:rsidP="00896EE9">
            <w:pPr>
              <w:keepNext/>
              <w:spacing w:before="0" w:after="0"/>
              <w:jc w:val="center"/>
              <w:rPr>
                <w:rFonts w:ascii="Arial Narrow" w:eastAsia="MS Gothic" w:hAnsi="Arial Narrow" w:cs="Times New Roman"/>
                <w:b/>
                <w:sz w:val="20"/>
                <w:szCs w:val="24"/>
                <w:lang w:eastAsia="en-AU"/>
              </w:rPr>
            </w:pPr>
            <w:r w:rsidRPr="00276BCA">
              <w:rPr>
                <w:rFonts w:ascii="Arial Narrow" w:eastAsia="MS Gothic" w:hAnsi="Arial Narrow" w:cs="Times New Roman"/>
                <w:b/>
                <w:sz w:val="20"/>
                <w:szCs w:val="24"/>
                <w:lang w:eastAsia="en-AU"/>
              </w:rPr>
              <w:t>(95% CI)</w:t>
            </w:r>
          </w:p>
        </w:tc>
      </w:tr>
      <w:tr w:rsidR="00E41328" w:rsidRPr="00276BCA" w14:paraId="5DCB22E3" w14:textId="77777777" w:rsidTr="77D89277">
        <w:tc>
          <w:tcPr>
            <w:tcW w:w="1413" w:type="dxa"/>
            <w:vAlign w:val="center"/>
          </w:tcPr>
          <w:p w14:paraId="0EAC1BC4" w14:textId="77777777" w:rsidR="00896EE9" w:rsidRPr="00276BCA" w:rsidRDefault="00896EE9" w:rsidP="00896EE9">
            <w:pPr>
              <w:keepNext/>
              <w:spacing w:before="0" w:after="0"/>
              <w:jc w:val="left"/>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Overall</w:t>
            </w:r>
          </w:p>
        </w:tc>
        <w:tc>
          <w:tcPr>
            <w:tcW w:w="1417" w:type="dxa"/>
            <w:vAlign w:val="center"/>
          </w:tcPr>
          <w:p w14:paraId="7BB1D95C"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353/533</w:t>
            </w:r>
          </w:p>
          <w:p w14:paraId="70EC903C"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(66.2%)</w:t>
            </w:r>
          </w:p>
        </w:tc>
        <w:tc>
          <w:tcPr>
            <w:tcW w:w="1276" w:type="dxa"/>
            <w:vAlign w:val="center"/>
          </w:tcPr>
          <w:p w14:paraId="3E664AB4"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279/527</w:t>
            </w:r>
          </w:p>
          <w:p w14:paraId="754CAD6F"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(52.9%)</w:t>
            </w:r>
          </w:p>
        </w:tc>
        <w:tc>
          <w:tcPr>
            <w:tcW w:w="1134" w:type="dxa"/>
            <w:vAlign w:val="center"/>
          </w:tcPr>
          <w:p w14:paraId="19A6778F"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0.13</w:t>
            </w:r>
          </w:p>
          <w:p w14:paraId="224562B9"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(0.08, 0.18)</w:t>
            </w:r>
          </w:p>
        </w:tc>
        <w:tc>
          <w:tcPr>
            <w:tcW w:w="1276" w:type="dxa"/>
            <w:vAlign w:val="center"/>
          </w:tcPr>
          <w:p w14:paraId="5AE90868"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473/782</w:t>
            </w:r>
          </w:p>
          <w:p w14:paraId="38F45646"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(60.5%)</w:t>
            </w:r>
          </w:p>
        </w:tc>
        <w:tc>
          <w:tcPr>
            <w:tcW w:w="1276" w:type="dxa"/>
            <w:vAlign w:val="center"/>
          </w:tcPr>
          <w:p w14:paraId="109E82C4"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346/767</w:t>
            </w:r>
          </w:p>
          <w:p w14:paraId="2C0B49AF"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(45.1%)</w:t>
            </w:r>
          </w:p>
        </w:tc>
        <w:tc>
          <w:tcPr>
            <w:tcW w:w="1224" w:type="dxa"/>
            <w:vAlign w:val="center"/>
          </w:tcPr>
          <w:p w14:paraId="4816860E"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0.15</w:t>
            </w:r>
          </w:p>
          <w:p w14:paraId="2321ABDE"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(0.10, 0.20)</w:t>
            </w:r>
          </w:p>
        </w:tc>
      </w:tr>
      <w:tr w:rsidR="00E41328" w:rsidRPr="00276BCA" w14:paraId="08F6C88A" w14:textId="77777777" w:rsidTr="77D89277">
        <w:tc>
          <w:tcPr>
            <w:tcW w:w="1413" w:type="dxa"/>
            <w:vAlign w:val="center"/>
          </w:tcPr>
          <w:p w14:paraId="550643FE" w14:textId="77777777" w:rsidR="00896EE9" w:rsidRPr="00276BCA" w:rsidRDefault="00896EE9" w:rsidP="00896EE9">
            <w:pPr>
              <w:keepNext/>
              <w:spacing w:before="0" w:after="0"/>
              <w:jc w:val="left"/>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Nausea</w:t>
            </w:r>
          </w:p>
        </w:tc>
        <w:tc>
          <w:tcPr>
            <w:tcW w:w="1417" w:type="dxa"/>
            <w:vAlign w:val="center"/>
          </w:tcPr>
          <w:p w14:paraId="6C6B45D5"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62/533</w:t>
            </w:r>
          </w:p>
          <w:p w14:paraId="6A62DF0F"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(11.6%)</w:t>
            </w:r>
          </w:p>
        </w:tc>
        <w:tc>
          <w:tcPr>
            <w:tcW w:w="1276" w:type="dxa"/>
            <w:vAlign w:val="center"/>
          </w:tcPr>
          <w:p w14:paraId="6E1424D4"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15/527</w:t>
            </w:r>
          </w:p>
          <w:p w14:paraId="15D5C5D0"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(2.8%)</w:t>
            </w:r>
          </w:p>
        </w:tc>
        <w:tc>
          <w:tcPr>
            <w:tcW w:w="1134" w:type="dxa"/>
            <w:vAlign w:val="center"/>
          </w:tcPr>
          <w:p w14:paraId="45128C83"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0.09</w:t>
            </w:r>
          </w:p>
          <w:p w14:paraId="73A55028"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(0.06, 0.11)</w:t>
            </w:r>
          </w:p>
        </w:tc>
        <w:tc>
          <w:tcPr>
            <w:tcW w:w="1276" w:type="dxa"/>
            <w:vAlign w:val="center"/>
          </w:tcPr>
          <w:p w14:paraId="2801152E"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21/782</w:t>
            </w:r>
          </w:p>
          <w:p w14:paraId="4C9648EC"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(2.7%)</w:t>
            </w:r>
          </w:p>
        </w:tc>
        <w:tc>
          <w:tcPr>
            <w:tcW w:w="1276" w:type="dxa"/>
            <w:vAlign w:val="center"/>
          </w:tcPr>
          <w:p w14:paraId="3C785CF4"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19/767</w:t>
            </w:r>
          </w:p>
          <w:p w14:paraId="7092C099"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(2.5%)</w:t>
            </w:r>
          </w:p>
        </w:tc>
        <w:tc>
          <w:tcPr>
            <w:tcW w:w="1224" w:type="dxa"/>
            <w:vAlign w:val="center"/>
          </w:tcPr>
          <w:p w14:paraId="48F3A41E"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0.00</w:t>
            </w:r>
          </w:p>
          <w:p w14:paraId="45EBFA86"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 0.02)</w:t>
            </w:r>
          </w:p>
        </w:tc>
      </w:tr>
      <w:tr w:rsidR="00E41328" w:rsidRPr="00276BCA" w14:paraId="214A8933" w14:textId="77777777" w:rsidTr="77D89277">
        <w:tc>
          <w:tcPr>
            <w:tcW w:w="1413" w:type="dxa"/>
            <w:vAlign w:val="center"/>
          </w:tcPr>
          <w:p w14:paraId="7E781226" w14:textId="77777777" w:rsidR="00896EE9" w:rsidRPr="00276BCA" w:rsidRDefault="00896EE9" w:rsidP="00896EE9">
            <w:pPr>
              <w:keepNext/>
              <w:spacing w:before="0" w:after="0"/>
              <w:jc w:val="left"/>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Vomiting</w:t>
            </w:r>
          </w:p>
        </w:tc>
        <w:tc>
          <w:tcPr>
            <w:tcW w:w="1417" w:type="dxa"/>
            <w:vAlign w:val="center"/>
          </w:tcPr>
          <w:p w14:paraId="5F5D2899"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68/533</w:t>
            </w:r>
          </w:p>
          <w:p w14:paraId="13EB6BE6"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(12.8%)</w:t>
            </w:r>
          </w:p>
        </w:tc>
        <w:tc>
          <w:tcPr>
            <w:tcW w:w="1276" w:type="dxa"/>
            <w:vAlign w:val="center"/>
          </w:tcPr>
          <w:p w14:paraId="499702C3"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15/527</w:t>
            </w:r>
          </w:p>
          <w:p w14:paraId="4151D31F"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(2.8%)</w:t>
            </w:r>
          </w:p>
        </w:tc>
        <w:tc>
          <w:tcPr>
            <w:tcW w:w="1134" w:type="dxa"/>
            <w:vAlign w:val="center"/>
          </w:tcPr>
          <w:p w14:paraId="7B1D35C2"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0.10</w:t>
            </w:r>
          </w:p>
          <w:p w14:paraId="2AA44A17"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(0.07, 0.13)</w:t>
            </w:r>
          </w:p>
        </w:tc>
        <w:tc>
          <w:tcPr>
            <w:tcW w:w="1276" w:type="dxa"/>
            <w:vAlign w:val="center"/>
          </w:tcPr>
          <w:p w14:paraId="7BBB1C82"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17/782</w:t>
            </w:r>
          </w:p>
          <w:p w14:paraId="5441A45B"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(2.2%)</w:t>
            </w:r>
          </w:p>
        </w:tc>
        <w:tc>
          <w:tcPr>
            <w:tcW w:w="1276" w:type="dxa"/>
            <w:vAlign w:val="center"/>
          </w:tcPr>
          <w:p w14:paraId="754B1E15"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24/767</w:t>
            </w:r>
          </w:p>
          <w:p w14:paraId="5DCE0277"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(3.1%)</w:t>
            </w:r>
          </w:p>
        </w:tc>
        <w:tc>
          <w:tcPr>
            <w:tcW w:w="1224" w:type="dxa"/>
            <w:vAlign w:val="center"/>
          </w:tcPr>
          <w:p w14:paraId="43416C5E"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w:t>
            </w:r>
          </w:p>
          <w:p w14:paraId="3FE72385"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(-0.03, 0.01)</w:t>
            </w:r>
          </w:p>
        </w:tc>
      </w:tr>
      <w:tr w:rsidR="00E41328" w:rsidRPr="00276BCA" w14:paraId="291F8972" w14:textId="77777777" w:rsidTr="77D89277">
        <w:tc>
          <w:tcPr>
            <w:tcW w:w="1413" w:type="dxa"/>
            <w:vAlign w:val="center"/>
          </w:tcPr>
          <w:p w14:paraId="437E21E0" w14:textId="77777777" w:rsidR="00896EE9" w:rsidRPr="00276BCA" w:rsidRDefault="00896EE9" w:rsidP="00896EE9">
            <w:pPr>
              <w:keepNext/>
              <w:spacing w:before="0" w:after="0"/>
              <w:jc w:val="left"/>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Decreased appetite</w:t>
            </w:r>
          </w:p>
        </w:tc>
        <w:tc>
          <w:tcPr>
            <w:tcW w:w="1417" w:type="dxa"/>
            <w:vAlign w:val="center"/>
          </w:tcPr>
          <w:p w14:paraId="58E658A1"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25/533</w:t>
            </w:r>
          </w:p>
          <w:p w14:paraId="17E2F28E"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(4.7%)</w:t>
            </w:r>
          </w:p>
        </w:tc>
        <w:tc>
          <w:tcPr>
            <w:tcW w:w="1276" w:type="dxa"/>
            <w:vAlign w:val="center"/>
          </w:tcPr>
          <w:p w14:paraId="787FF1CC"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7/527</w:t>
            </w:r>
          </w:p>
          <w:p w14:paraId="5F6C127F"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(1.3%)</w:t>
            </w:r>
          </w:p>
        </w:tc>
        <w:tc>
          <w:tcPr>
            <w:tcW w:w="1134" w:type="dxa"/>
            <w:vAlign w:val="center"/>
          </w:tcPr>
          <w:p w14:paraId="500E87D9"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0.03</w:t>
            </w:r>
          </w:p>
          <w:p w14:paraId="587E7762"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(0.02, 0.05)</w:t>
            </w:r>
          </w:p>
        </w:tc>
        <w:tc>
          <w:tcPr>
            <w:tcW w:w="1276" w:type="dxa"/>
            <w:vAlign w:val="center"/>
          </w:tcPr>
          <w:p w14:paraId="06B6C57E"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14/782</w:t>
            </w:r>
          </w:p>
          <w:p w14:paraId="2CC332EA"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(1.8%)</w:t>
            </w:r>
          </w:p>
        </w:tc>
        <w:tc>
          <w:tcPr>
            <w:tcW w:w="1276" w:type="dxa"/>
            <w:vAlign w:val="center"/>
          </w:tcPr>
          <w:p w14:paraId="57850111"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13/767</w:t>
            </w:r>
          </w:p>
          <w:p w14:paraId="2486BCA6"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(1.7%)</w:t>
            </w:r>
          </w:p>
        </w:tc>
        <w:tc>
          <w:tcPr>
            <w:tcW w:w="1224" w:type="dxa"/>
            <w:vAlign w:val="center"/>
          </w:tcPr>
          <w:p w14:paraId="5FFFED1E"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0.00</w:t>
            </w:r>
          </w:p>
          <w:p w14:paraId="7838764E"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 0.01)</w:t>
            </w:r>
          </w:p>
        </w:tc>
      </w:tr>
      <w:tr w:rsidR="00E41328" w:rsidRPr="00276BCA" w14:paraId="352BD594" w14:textId="77777777" w:rsidTr="77D89277">
        <w:tc>
          <w:tcPr>
            <w:tcW w:w="1413" w:type="dxa"/>
            <w:vAlign w:val="center"/>
          </w:tcPr>
          <w:p w14:paraId="39E89EAD" w14:textId="77777777" w:rsidR="00896EE9" w:rsidRPr="00276BCA" w:rsidRDefault="00896EE9" w:rsidP="00896EE9">
            <w:pPr>
              <w:keepNext/>
              <w:spacing w:before="0" w:after="0"/>
              <w:jc w:val="left"/>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Diarrhoea</w:t>
            </w:r>
          </w:p>
        </w:tc>
        <w:tc>
          <w:tcPr>
            <w:tcW w:w="1417" w:type="dxa"/>
            <w:vAlign w:val="center"/>
          </w:tcPr>
          <w:p w14:paraId="2C1C1888"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21/533</w:t>
            </w:r>
          </w:p>
          <w:p w14:paraId="4CE5F066"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(3.9%)</w:t>
            </w:r>
          </w:p>
        </w:tc>
        <w:tc>
          <w:tcPr>
            <w:tcW w:w="1276" w:type="dxa"/>
            <w:vAlign w:val="center"/>
          </w:tcPr>
          <w:p w14:paraId="2C444E79"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19/527</w:t>
            </w:r>
          </w:p>
          <w:p w14:paraId="5383547E"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(3.6%)</w:t>
            </w:r>
          </w:p>
        </w:tc>
        <w:tc>
          <w:tcPr>
            <w:tcW w:w="1134" w:type="dxa"/>
            <w:vAlign w:val="center"/>
          </w:tcPr>
          <w:p w14:paraId="704D4C1F"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0.00</w:t>
            </w:r>
          </w:p>
          <w:p w14:paraId="606E461C"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(-0.02, 0.02)</w:t>
            </w:r>
          </w:p>
        </w:tc>
        <w:tc>
          <w:tcPr>
            <w:tcW w:w="1276" w:type="dxa"/>
            <w:vAlign w:val="center"/>
          </w:tcPr>
          <w:p w14:paraId="01847BF7"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35/782</w:t>
            </w:r>
          </w:p>
          <w:p w14:paraId="52945366"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(4.5%)</w:t>
            </w:r>
          </w:p>
        </w:tc>
        <w:tc>
          <w:tcPr>
            <w:tcW w:w="1276" w:type="dxa"/>
            <w:vAlign w:val="center"/>
          </w:tcPr>
          <w:p w14:paraId="1F505164"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24/767</w:t>
            </w:r>
          </w:p>
          <w:p w14:paraId="674F2665"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(3.1%)</w:t>
            </w:r>
          </w:p>
        </w:tc>
        <w:tc>
          <w:tcPr>
            <w:tcW w:w="1224" w:type="dxa"/>
            <w:vAlign w:val="center"/>
          </w:tcPr>
          <w:p w14:paraId="6280CBF4"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w:t>
            </w:r>
          </w:p>
          <w:p w14:paraId="021D32A0"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 0.03)</w:t>
            </w:r>
          </w:p>
        </w:tc>
      </w:tr>
      <w:tr w:rsidR="00E41328" w:rsidRPr="00276BCA" w14:paraId="313A9CA8" w14:textId="77777777" w:rsidTr="77D89277">
        <w:tc>
          <w:tcPr>
            <w:tcW w:w="1413" w:type="dxa"/>
            <w:vAlign w:val="center"/>
          </w:tcPr>
          <w:p w14:paraId="6DAD641C" w14:textId="77777777" w:rsidR="00896EE9" w:rsidRPr="00276BCA" w:rsidRDefault="00896EE9" w:rsidP="00896EE9">
            <w:pPr>
              <w:keepNext/>
              <w:spacing w:before="0" w:after="0"/>
              <w:jc w:val="left"/>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Neutrophil count decreased</w:t>
            </w:r>
          </w:p>
        </w:tc>
        <w:tc>
          <w:tcPr>
            <w:tcW w:w="1417" w:type="dxa"/>
            <w:vAlign w:val="center"/>
          </w:tcPr>
          <w:p w14:paraId="2FE672BF"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90/533</w:t>
            </w:r>
          </w:p>
          <w:p w14:paraId="36CCC482"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(16.9%)</w:t>
            </w:r>
          </w:p>
        </w:tc>
        <w:tc>
          <w:tcPr>
            <w:tcW w:w="1276" w:type="dxa"/>
            <w:vAlign w:val="center"/>
          </w:tcPr>
          <w:p w14:paraId="689B6EC3"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83/527</w:t>
            </w:r>
          </w:p>
          <w:p w14:paraId="2DF5303E"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(15.7%)</w:t>
            </w:r>
          </w:p>
        </w:tc>
        <w:tc>
          <w:tcPr>
            <w:tcW w:w="1134" w:type="dxa"/>
            <w:vAlign w:val="center"/>
          </w:tcPr>
          <w:p w14:paraId="3248889A"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w:t>
            </w:r>
          </w:p>
          <w:p w14:paraId="23AD39C3"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(-0.03, 0.05)</w:t>
            </w:r>
          </w:p>
        </w:tc>
        <w:tc>
          <w:tcPr>
            <w:tcW w:w="1276" w:type="dxa"/>
            <w:vAlign w:val="center"/>
          </w:tcPr>
          <w:p w14:paraId="478DC20F"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84/782</w:t>
            </w:r>
          </w:p>
          <w:p w14:paraId="245A9996"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(10.7%)</w:t>
            </w:r>
          </w:p>
        </w:tc>
        <w:tc>
          <w:tcPr>
            <w:tcW w:w="1276" w:type="dxa"/>
            <w:vAlign w:val="center"/>
          </w:tcPr>
          <w:p w14:paraId="42C2C4B1"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67/767</w:t>
            </w:r>
          </w:p>
          <w:p w14:paraId="450092CB"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(8.7%)</w:t>
            </w:r>
          </w:p>
        </w:tc>
        <w:tc>
          <w:tcPr>
            <w:tcW w:w="1224" w:type="dxa"/>
            <w:vAlign w:val="center"/>
          </w:tcPr>
          <w:p w14:paraId="420C3D14"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0.02</w:t>
            </w:r>
          </w:p>
          <w:p w14:paraId="6A8FFF1B"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 0.05)</w:t>
            </w:r>
          </w:p>
        </w:tc>
      </w:tr>
      <w:tr w:rsidR="00E41328" w:rsidRPr="00276BCA" w14:paraId="285161B0" w14:textId="77777777" w:rsidTr="77D89277">
        <w:tc>
          <w:tcPr>
            <w:tcW w:w="1413" w:type="dxa"/>
            <w:vAlign w:val="center"/>
          </w:tcPr>
          <w:p w14:paraId="30989773" w14:textId="77777777" w:rsidR="00896EE9" w:rsidRPr="00276BCA" w:rsidRDefault="00896EE9" w:rsidP="00896EE9">
            <w:pPr>
              <w:keepNext/>
              <w:spacing w:before="0" w:after="0"/>
              <w:jc w:val="left"/>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Peripheral sensory neuropathy</w:t>
            </w:r>
          </w:p>
        </w:tc>
        <w:tc>
          <w:tcPr>
            <w:tcW w:w="1417" w:type="dxa"/>
            <w:vAlign w:val="center"/>
          </w:tcPr>
          <w:p w14:paraId="68F6D604"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13/533</w:t>
            </w:r>
          </w:p>
          <w:p w14:paraId="607D3CFB"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(2.4%)</w:t>
            </w:r>
          </w:p>
        </w:tc>
        <w:tc>
          <w:tcPr>
            <w:tcW w:w="1276" w:type="dxa"/>
            <w:vAlign w:val="center"/>
          </w:tcPr>
          <w:p w14:paraId="3F9947BE"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20/527</w:t>
            </w:r>
          </w:p>
          <w:p w14:paraId="766226B3"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(3.8%)</w:t>
            </w:r>
          </w:p>
        </w:tc>
        <w:tc>
          <w:tcPr>
            <w:tcW w:w="1134" w:type="dxa"/>
            <w:vAlign w:val="center"/>
          </w:tcPr>
          <w:p w14:paraId="2E73A9B3"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w:t>
            </w:r>
          </w:p>
          <w:p w14:paraId="2641F77E"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(-0.03, 0.00)</w:t>
            </w:r>
          </w:p>
        </w:tc>
        <w:tc>
          <w:tcPr>
            <w:tcW w:w="1276" w:type="dxa"/>
            <w:vAlign w:val="center"/>
          </w:tcPr>
          <w:p w14:paraId="4BC070D8"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34/782</w:t>
            </w:r>
          </w:p>
          <w:p w14:paraId="30B5E0AB"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(4.3%)</w:t>
            </w:r>
          </w:p>
        </w:tc>
        <w:tc>
          <w:tcPr>
            <w:tcW w:w="1276" w:type="dxa"/>
            <w:vAlign w:val="center"/>
          </w:tcPr>
          <w:p w14:paraId="4C78BD90"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23/767</w:t>
            </w:r>
          </w:p>
          <w:p w14:paraId="4F0D150E"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(3.0%)</w:t>
            </w:r>
          </w:p>
        </w:tc>
        <w:tc>
          <w:tcPr>
            <w:tcW w:w="1224" w:type="dxa"/>
            <w:vAlign w:val="center"/>
          </w:tcPr>
          <w:p w14:paraId="43ED8876"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w:t>
            </w:r>
          </w:p>
          <w:p w14:paraId="0A98F08F"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 0.03)</w:t>
            </w:r>
          </w:p>
        </w:tc>
      </w:tr>
      <w:tr w:rsidR="00E41328" w:rsidRPr="00276BCA" w14:paraId="66A95CF1" w14:textId="77777777" w:rsidTr="77D89277">
        <w:tc>
          <w:tcPr>
            <w:tcW w:w="1413" w:type="dxa"/>
            <w:vAlign w:val="center"/>
          </w:tcPr>
          <w:p w14:paraId="551D5834" w14:textId="77777777" w:rsidR="00896EE9" w:rsidRPr="00276BCA" w:rsidRDefault="00896EE9" w:rsidP="00896EE9">
            <w:pPr>
              <w:keepNext/>
              <w:spacing w:before="0" w:after="0"/>
              <w:jc w:val="left"/>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Neutropenia</w:t>
            </w:r>
          </w:p>
        </w:tc>
        <w:tc>
          <w:tcPr>
            <w:tcW w:w="1417" w:type="dxa"/>
            <w:vAlign w:val="center"/>
          </w:tcPr>
          <w:p w14:paraId="61CDB6BA"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53/533</w:t>
            </w:r>
          </w:p>
          <w:p w14:paraId="2BE7F6BB"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(9.9%)</w:t>
            </w:r>
          </w:p>
        </w:tc>
        <w:tc>
          <w:tcPr>
            <w:tcW w:w="1276" w:type="dxa"/>
            <w:vAlign w:val="center"/>
          </w:tcPr>
          <w:p w14:paraId="7CF132C1"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37/527</w:t>
            </w:r>
          </w:p>
          <w:p w14:paraId="4C35199D"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(7.0%)</w:t>
            </w:r>
          </w:p>
        </w:tc>
        <w:tc>
          <w:tcPr>
            <w:tcW w:w="1134" w:type="dxa"/>
            <w:vAlign w:val="center"/>
          </w:tcPr>
          <w:p w14:paraId="2C246D7C"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0.03</w:t>
            </w:r>
          </w:p>
          <w:p w14:paraId="0C88F289"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(0.00, 0.06)</w:t>
            </w:r>
          </w:p>
        </w:tc>
        <w:tc>
          <w:tcPr>
            <w:tcW w:w="1276" w:type="dxa"/>
            <w:vAlign w:val="center"/>
          </w:tcPr>
          <w:p w14:paraId="7CCD25FE"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123/782</w:t>
            </w:r>
          </w:p>
          <w:p w14:paraId="65377243"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(15.7%)</w:t>
            </w:r>
          </w:p>
        </w:tc>
        <w:tc>
          <w:tcPr>
            <w:tcW w:w="1276" w:type="dxa"/>
            <w:vAlign w:val="center"/>
          </w:tcPr>
          <w:p w14:paraId="1B27713F"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96/767</w:t>
            </w:r>
          </w:p>
          <w:p w14:paraId="53304FDC"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(12.5%)</w:t>
            </w:r>
          </w:p>
        </w:tc>
        <w:tc>
          <w:tcPr>
            <w:tcW w:w="1224" w:type="dxa"/>
            <w:vAlign w:val="center"/>
          </w:tcPr>
          <w:p w14:paraId="7F7479D1"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0.03</w:t>
            </w:r>
          </w:p>
          <w:p w14:paraId="32725165"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(0.00, 0.07)</w:t>
            </w:r>
          </w:p>
        </w:tc>
      </w:tr>
      <w:tr w:rsidR="00E41328" w:rsidRPr="00276BCA" w14:paraId="540072BA" w14:textId="77777777" w:rsidTr="77D89277">
        <w:tc>
          <w:tcPr>
            <w:tcW w:w="1413" w:type="dxa"/>
            <w:vAlign w:val="center"/>
          </w:tcPr>
          <w:p w14:paraId="0A5F6DCF" w14:textId="77777777" w:rsidR="00896EE9" w:rsidRPr="00276BCA" w:rsidRDefault="00896EE9" w:rsidP="00896EE9">
            <w:pPr>
              <w:keepNext/>
              <w:spacing w:before="0" w:after="0"/>
              <w:jc w:val="left"/>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Anaemia</w:t>
            </w:r>
          </w:p>
        </w:tc>
        <w:tc>
          <w:tcPr>
            <w:tcW w:w="1417" w:type="dxa"/>
            <w:vAlign w:val="center"/>
          </w:tcPr>
          <w:p w14:paraId="0A045307"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26/533</w:t>
            </w:r>
          </w:p>
          <w:p w14:paraId="62F1E931"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(4.9%)</w:t>
            </w:r>
          </w:p>
        </w:tc>
        <w:tc>
          <w:tcPr>
            <w:tcW w:w="1276" w:type="dxa"/>
            <w:vAlign w:val="center"/>
          </w:tcPr>
          <w:p w14:paraId="758BD8BC"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24/527</w:t>
            </w:r>
          </w:p>
          <w:p w14:paraId="11069FA2"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(4.6%)</w:t>
            </w:r>
          </w:p>
        </w:tc>
        <w:tc>
          <w:tcPr>
            <w:tcW w:w="1134" w:type="dxa"/>
            <w:vAlign w:val="center"/>
          </w:tcPr>
          <w:p w14:paraId="4626BCBA"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0.00</w:t>
            </w:r>
          </w:p>
          <w:p w14:paraId="57231239"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(-0.02, 0.02)</w:t>
            </w:r>
          </w:p>
        </w:tc>
        <w:tc>
          <w:tcPr>
            <w:tcW w:w="1276" w:type="dxa"/>
            <w:vAlign w:val="center"/>
          </w:tcPr>
          <w:p w14:paraId="777EE8B3"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47/782</w:t>
            </w:r>
          </w:p>
          <w:p w14:paraId="5AB20C9E"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(6.0%)</w:t>
            </w:r>
          </w:p>
        </w:tc>
        <w:tc>
          <w:tcPr>
            <w:tcW w:w="1276" w:type="dxa"/>
            <w:vAlign w:val="center"/>
          </w:tcPr>
          <w:p w14:paraId="7B9AF152"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20/767</w:t>
            </w:r>
          </w:p>
          <w:p w14:paraId="0228D486"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(2.6%)</w:t>
            </w:r>
          </w:p>
        </w:tc>
        <w:tc>
          <w:tcPr>
            <w:tcW w:w="1224" w:type="dxa"/>
            <w:vAlign w:val="center"/>
          </w:tcPr>
          <w:p w14:paraId="736DC45C"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0.03</w:t>
            </w:r>
          </w:p>
          <w:p w14:paraId="5512F9A8"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(0.01, 0.05)</w:t>
            </w:r>
          </w:p>
        </w:tc>
      </w:tr>
      <w:tr w:rsidR="00FB3F3B" w:rsidRPr="00276BCA" w14:paraId="6D868095" w14:textId="77777777" w:rsidTr="77D89277">
        <w:tc>
          <w:tcPr>
            <w:tcW w:w="1413" w:type="dxa"/>
            <w:vAlign w:val="center"/>
          </w:tcPr>
          <w:p w14:paraId="303E3B76" w14:textId="77777777" w:rsidR="00896EE9" w:rsidRPr="00276BCA" w:rsidRDefault="00896EE9" w:rsidP="00896EE9">
            <w:pPr>
              <w:keepNext/>
              <w:spacing w:before="0" w:after="0"/>
              <w:jc w:val="left"/>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Fatigue</w:t>
            </w:r>
          </w:p>
        </w:tc>
        <w:tc>
          <w:tcPr>
            <w:tcW w:w="1417" w:type="dxa"/>
            <w:vAlign w:val="center"/>
          </w:tcPr>
          <w:p w14:paraId="5E7BFB4D"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17/533</w:t>
            </w:r>
          </w:p>
          <w:p w14:paraId="5564A638"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(3.2%)</w:t>
            </w:r>
          </w:p>
        </w:tc>
        <w:tc>
          <w:tcPr>
            <w:tcW w:w="1276" w:type="dxa"/>
            <w:vAlign w:val="center"/>
          </w:tcPr>
          <w:p w14:paraId="114985BE"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15/527</w:t>
            </w:r>
          </w:p>
          <w:p w14:paraId="4C9C83DE"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(2.8%)</w:t>
            </w:r>
          </w:p>
        </w:tc>
        <w:tc>
          <w:tcPr>
            <w:tcW w:w="1134" w:type="dxa"/>
            <w:vAlign w:val="center"/>
          </w:tcPr>
          <w:p w14:paraId="2B7BBE2E"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0.00</w:t>
            </w:r>
          </w:p>
          <w:p w14:paraId="453BBF15"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 0.02)</w:t>
            </w:r>
          </w:p>
        </w:tc>
        <w:tc>
          <w:tcPr>
            <w:tcW w:w="1276" w:type="dxa"/>
            <w:vAlign w:val="center"/>
          </w:tcPr>
          <w:p w14:paraId="201E5056"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30/782</w:t>
            </w:r>
          </w:p>
          <w:p w14:paraId="45FCC690"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(3.8%)</w:t>
            </w:r>
          </w:p>
        </w:tc>
        <w:tc>
          <w:tcPr>
            <w:tcW w:w="1276" w:type="dxa"/>
            <w:vAlign w:val="center"/>
          </w:tcPr>
          <w:p w14:paraId="0D5A5B8E"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18/767</w:t>
            </w:r>
          </w:p>
          <w:p w14:paraId="5E7716DF"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(2.3%)</w:t>
            </w:r>
          </w:p>
        </w:tc>
        <w:tc>
          <w:tcPr>
            <w:tcW w:w="1224" w:type="dxa"/>
            <w:vAlign w:val="center"/>
          </w:tcPr>
          <w:p w14:paraId="19B5635F"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0.00</w:t>
            </w:r>
          </w:p>
          <w:p w14:paraId="5EB1FEBD" w14:textId="77777777" w:rsidR="00896EE9" w:rsidRPr="00276BCA" w:rsidRDefault="00896EE9" w:rsidP="00896EE9">
            <w:pPr>
              <w:keepNext/>
              <w:spacing w:before="0" w:after="0"/>
              <w:jc w:val="center"/>
              <w:rPr>
                <w:rFonts w:ascii="Arial Narrow" w:eastAsia="MS Gothic" w:hAnsi="Arial Narrow" w:cs="Times New Roman"/>
                <w:sz w:val="20"/>
                <w:szCs w:val="24"/>
                <w:lang w:eastAsia="en-AU"/>
              </w:rPr>
            </w:pPr>
            <w:r w:rsidRPr="00276BCA">
              <w:rPr>
                <w:rFonts w:ascii="Arial Narrow" w:eastAsia="MS Gothic" w:hAnsi="Arial Narrow" w:cs="Times New Roman"/>
                <w:sz w:val="20"/>
                <w:szCs w:val="24"/>
                <w:lang w:eastAsia="en-AU"/>
              </w:rPr>
              <w:t>(-0.01, 0.02)</w:t>
            </w:r>
          </w:p>
        </w:tc>
      </w:tr>
    </w:tbl>
    <w:p w14:paraId="5BFFD1DB" w14:textId="77777777" w:rsidR="00896EE9" w:rsidRPr="00276BCA" w:rsidRDefault="00896EE9" w:rsidP="00896EE9">
      <w:pPr>
        <w:spacing w:before="0" w:after="120"/>
        <w:contextualSpacing/>
        <w:rPr>
          <w:rFonts w:ascii="Arial Narrow" w:eastAsia="Times New Roman" w:hAnsi="Arial Narrow" w:cs="Arial"/>
          <w:snapToGrid w:val="0"/>
          <w:sz w:val="20"/>
          <w:lang w:eastAsia="en-AU"/>
        </w:rPr>
      </w:pPr>
      <w:r w:rsidRPr="00276BCA">
        <w:rPr>
          <w:rFonts w:ascii="Arial Narrow" w:eastAsia="Times New Roman" w:hAnsi="Arial Narrow" w:cs="Arial"/>
          <w:snapToGrid w:val="0"/>
          <w:sz w:val="18"/>
          <w:lang w:eastAsia="en-AU"/>
        </w:rPr>
        <w:t>Source: Table 2-36, p135 of the submission.</w:t>
      </w:r>
    </w:p>
    <w:p w14:paraId="0022B6F9" w14:textId="495247AA" w:rsidR="00896EE9" w:rsidRPr="00276BCA" w:rsidRDefault="00896EE9" w:rsidP="00896EE9">
      <w:pPr>
        <w:spacing w:before="0" w:after="120"/>
        <w:contextualSpacing/>
        <w:rPr>
          <w:rFonts w:ascii="Arial Narrow" w:eastAsia="Calibri" w:hAnsi="Arial Narrow" w:cs="Arial"/>
          <w:snapToGrid w:val="0"/>
          <w:sz w:val="18"/>
          <w:szCs w:val="18"/>
          <w:lang w:eastAsia="en-AU"/>
        </w:rPr>
      </w:pPr>
      <w:r w:rsidRPr="00276BCA">
        <w:rPr>
          <w:rFonts w:ascii="Arial Narrow" w:eastAsia="Calibri" w:hAnsi="Arial Narrow" w:cs="Arial"/>
          <w:snapToGrid w:val="0"/>
          <w:sz w:val="18"/>
          <w:szCs w:val="18"/>
          <w:lang w:eastAsia="en-AU"/>
        </w:rPr>
        <w:t xml:space="preserve">chemo = chemotherapy; CI = confidence interval; n = number of participants reporting data; N = total participants in group; </w:t>
      </w:r>
      <w:r w:rsidR="00F469FD" w:rsidRPr="00276BCA">
        <w:rPr>
          <w:rFonts w:ascii="Arial Narrow" w:eastAsia="Calibri" w:hAnsi="Arial Narrow" w:cs="Arial"/>
          <w:snapToGrid w:val="0"/>
          <w:sz w:val="18"/>
          <w:szCs w:val="18"/>
          <w:lang w:eastAsia="en-AU"/>
        </w:rPr>
        <w:t xml:space="preserve">NIVO = nivolumab; </w:t>
      </w:r>
      <w:r w:rsidRPr="00276BCA">
        <w:rPr>
          <w:rFonts w:ascii="Arial Narrow" w:eastAsia="Calibri" w:hAnsi="Arial Narrow" w:cs="Arial"/>
          <w:snapToGrid w:val="0"/>
          <w:sz w:val="18"/>
          <w:szCs w:val="18"/>
          <w:lang w:eastAsia="en-AU"/>
        </w:rPr>
        <w:t xml:space="preserve">RD = risk difference; TEAE = treatment emergent adverse event; ZOLBE = </w:t>
      </w:r>
      <w:proofErr w:type="spellStart"/>
      <w:r w:rsidRPr="00276BCA">
        <w:rPr>
          <w:rFonts w:ascii="Arial Narrow" w:eastAsia="Calibri" w:hAnsi="Arial Narrow" w:cs="Arial"/>
          <w:snapToGrid w:val="0"/>
          <w:sz w:val="18"/>
          <w:szCs w:val="18"/>
          <w:lang w:eastAsia="en-AU"/>
        </w:rPr>
        <w:t>zolbetuximab</w:t>
      </w:r>
      <w:proofErr w:type="spellEnd"/>
      <w:r w:rsidRPr="00276BCA">
        <w:rPr>
          <w:rFonts w:ascii="Arial Narrow" w:eastAsia="Calibri" w:hAnsi="Arial Narrow" w:cs="Arial"/>
          <w:snapToGrid w:val="0"/>
          <w:sz w:val="18"/>
          <w:szCs w:val="18"/>
          <w:lang w:eastAsia="en-AU"/>
        </w:rPr>
        <w:t>.</w:t>
      </w:r>
    </w:p>
    <w:p w14:paraId="0A9F90B7" w14:textId="631312AB" w:rsidR="008F57F9" w:rsidRPr="00276BCA" w:rsidRDefault="3103987E" w:rsidP="001C5FB8">
      <w:pPr>
        <w:pStyle w:val="ListParagraph"/>
        <w:numPr>
          <w:ilvl w:val="4"/>
          <w:numId w:val="8"/>
        </w:numPr>
        <w:rPr>
          <w:color w:val="auto"/>
        </w:rPr>
      </w:pPr>
      <w:proofErr w:type="spellStart"/>
      <w:r w:rsidRPr="00276BCA">
        <w:rPr>
          <w:color w:val="auto"/>
        </w:rPr>
        <w:t>Zolbetuximab</w:t>
      </w:r>
      <w:proofErr w:type="spellEnd"/>
      <w:r w:rsidRPr="00276BCA">
        <w:rPr>
          <w:color w:val="auto"/>
        </w:rPr>
        <w:t xml:space="preserve"> and nivolumab have distinct safety profiles.</w:t>
      </w:r>
      <w:r w:rsidR="6938DD59" w:rsidRPr="00276BCA">
        <w:rPr>
          <w:color w:val="auto"/>
        </w:rPr>
        <w:t xml:space="preserve"> </w:t>
      </w:r>
      <w:r w:rsidRPr="00276BCA">
        <w:rPr>
          <w:color w:val="auto"/>
        </w:rPr>
        <w:t xml:space="preserve">Compared to chemotherapy, the most common Grade 3-4 TEAEs with </w:t>
      </w:r>
      <w:proofErr w:type="spellStart"/>
      <w:r w:rsidRPr="00276BCA">
        <w:rPr>
          <w:color w:val="auto"/>
        </w:rPr>
        <w:t>zolbetuximab</w:t>
      </w:r>
      <w:proofErr w:type="spellEnd"/>
      <w:r w:rsidRPr="00276BCA">
        <w:rPr>
          <w:color w:val="auto"/>
        </w:rPr>
        <w:t xml:space="preserve"> were nausea, vomiting, neutropenia and decreased appetite, whereas </w:t>
      </w:r>
      <w:r w:rsidR="26656845" w:rsidRPr="00276BCA">
        <w:rPr>
          <w:color w:val="auto"/>
        </w:rPr>
        <w:t xml:space="preserve">for nivolumab, </w:t>
      </w:r>
      <w:r w:rsidR="7BDF964F" w:rsidRPr="00276BCA">
        <w:rPr>
          <w:color w:val="auto"/>
        </w:rPr>
        <w:t>neutropenia</w:t>
      </w:r>
      <w:r w:rsidRPr="00276BCA">
        <w:rPr>
          <w:color w:val="auto"/>
        </w:rPr>
        <w:t xml:space="preserve">, anaemia, </w:t>
      </w:r>
      <w:r w:rsidR="7BDF964F" w:rsidRPr="00276BCA">
        <w:rPr>
          <w:color w:val="auto"/>
        </w:rPr>
        <w:t xml:space="preserve">diarrhoea, </w:t>
      </w:r>
      <w:r w:rsidRPr="00276BCA">
        <w:rPr>
          <w:color w:val="auto"/>
        </w:rPr>
        <w:t>fatigue, liver enzyme elevations, and lipase increases w</w:t>
      </w:r>
      <w:r w:rsidR="22B0D6FA" w:rsidRPr="00276BCA">
        <w:rPr>
          <w:color w:val="auto"/>
        </w:rPr>
        <w:t>ere</w:t>
      </w:r>
      <w:r w:rsidRPr="00276BCA">
        <w:rPr>
          <w:color w:val="auto"/>
        </w:rPr>
        <w:t xml:space="preserve"> the most common Grade 3-4 TEAEs reported.</w:t>
      </w:r>
      <w:r w:rsidR="7D64C5EB" w:rsidRPr="00276BCA">
        <w:rPr>
          <w:color w:val="auto"/>
        </w:rPr>
        <w:t xml:space="preserve"> </w:t>
      </w:r>
      <w:r w:rsidR="17E27C46" w:rsidRPr="00276BCA">
        <w:rPr>
          <w:color w:val="auto"/>
        </w:rPr>
        <w:t>A h</w:t>
      </w:r>
      <w:r w:rsidR="5E26D943" w:rsidRPr="00276BCA">
        <w:rPr>
          <w:color w:val="auto"/>
        </w:rPr>
        <w:t xml:space="preserve">igher </w:t>
      </w:r>
      <w:r w:rsidR="5AAF21CB" w:rsidRPr="00276BCA">
        <w:rPr>
          <w:color w:val="auto"/>
        </w:rPr>
        <w:t>incidence of Grade 3-4 nausea and vomiting w</w:t>
      </w:r>
      <w:r w:rsidR="17E27C46" w:rsidRPr="00276BCA">
        <w:rPr>
          <w:color w:val="auto"/>
        </w:rPr>
        <w:t>as</w:t>
      </w:r>
      <w:r w:rsidR="5AAF21CB" w:rsidRPr="00276BCA">
        <w:rPr>
          <w:color w:val="auto"/>
        </w:rPr>
        <w:t xml:space="preserve"> obser</w:t>
      </w:r>
      <w:r w:rsidR="3FA9EFFA" w:rsidRPr="00276BCA">
        <w:rPr>
          <w:color w:val="auto"/>
        </w:rPr>
        <w:t xml:space="preserve">ved with </w:t>
      </w:r>
      <w:proofErr w:type="spellStart"/>
      <w:r w:rsidR="3FA9EFFA" w:rsidRPr="00276BCA">
        <w:rPr>
          <w:color w:val="auto"/>
        </w:rPr>
        <w:t>zolbetuximab</w:t>
      </w:r>
      <w:proofErr w:type="spellEnd"/>
      <w:r w:rsidR="5E23B8A5" w:rsidRPr="00276BCA">
        <w:rPr>
          <w:color w:val="auto"/>
        </w:rPr>
        <w:t>, while nivolumab was associated with higher incidence of Grade 3-4</w:t>
      </w:r>
      <w:r w:rsidR="7FEA5DCB" w:rsidRPr="00276BCA">
        <w:rPr>
          <w:color w:val="auto"/>
        </w:rPr>
        <w:t xml:space="preserve"> neutropenia and anaemia</w:t>
      </w:r>
      <w:r w:rsidR="5BCF5158" w:rsidRPr="00276BCA">
        <w:rPr>
          <w:color w:val="auto"/>
        </w:rPr>
        <w:t>.</w:t>
      </w:r>
      <w:r w:rsidRPr="00276BCA">
        <w:rPr>
          <w:color w:val="auto"/>
        </w:rPr>
        <w:t xml:space="preserve"> </w:t>
      </w:r>
      <w:r w:rsidR="1F278B69" w:rsidRPr="00276BCA">
        <w:rPr>
          <w:color w:val="auto"/>
        </w:rPr>
        <w:t>The</w:t>
      </w:r>
      <w:r w:rsidR="00076188" w:rsidRPr="00276BCA" w:rsidDel="00672107">
        <w:rPr>
          <w:color w:val="auto"/>
        </w:rPr>
        <w:t xml:space="preserve"> </w:t>
      </w:r>
      <w:r w:rsidR="1F278B69" w:rsidRPr="00276BCA">
        <w:rPr>
          <w:color w:val="auto"/>
        </w:rPr>
        <w:t xml:space="preserve">ESCs </w:t>
      </w:r>
      <w:r w:rsidR="00672107" w:rsidRPr="00276BCA">
        <w:rPr>
          <w:color w:val="auto"/>
        </w:rPr>
        <w:t xml:space="preserve">considered </w:t>
      </w:r>
      <w:r w:rsidR="1028AFBA" w:rsidRPr="00276BCA">
        <w:rPr>
          <w:color w:val="auto"/>
        </w:rPr>
        <w:t xml:space="preserve">that </w:t>
      </w:r>
      <w:r w:rsidR="2C668161" w:rsidRPr="00276BCA">
        <w:rPr>
          <w:color w:val="auto"/>
        </w:rPr>
        <w:t xml:space="preserve">the higher </w:t>
      </w:r>
      <w:r w:rsidR="075C55E0" w:rsidRPr="00276BCA">
        <w:rPr>
          <w:color w:val="auto"/>
        </w:rPr>
        <w:t xml:space="preserve">incidence of Grade 3-4 nausea and vomiting observed with </w:t>
      </w:r>
      <w:proofErr w:type="spellStart"/>
      <w:r w:rsidR="075C55E0" w:rsidRPr="00276BCA">
        <w:rPr>
          <w:color w:val="auto"/>
        </w:rPr>
        <w:t>zolbetuximab</w:t>
      </w:r>
      <w:proofErr w:type="spellEnd"/>
      <w:r w:rsidR="075C55E0" w:rsidRPr="00276BCA">
        <w:rPr>
          <w:color w:val="auto"/>
        </w:rPr>
        <w:t xml:space="preserve"> may </w:t>
      </w:r>
      <w:r w:rsidR="5795DF2F" w:rsidRPr="00276BCA">
        <w:rPr>
          <w:color w:val="auto"/>
        </w:rPr>
        <w:t>significantly</w:t>
      </w:r>
      <w:r w:rsidR="075C55E0" w:rsidRPr="00276BCA">
        <w:rPr>
          <w:color w:val="auto"/>
        </w:rPr>
        <w:t xml:space="preserve"> affect quality of life. </w:t>
      </w:r>
    </w:p>
    <w:p w14:paraId="3BD660B8" w14:textId="77777777" w:rsidR="00624315" w:rsidRPr="00276BCA" w:rsidRDefault="00624315" w:rsidP="00074A38">
      <w:pPr>
        <w:pStyle w:val="OutlineHeading2"/>
        <w:rPr>
          <w:rFonts w:ascii="Calibri" w:hAnsi="Calibri" w:cs="Calibri"/>
          <w:iCs/>
        </w:rPr>
      </w:pPr>
      <w:bookmarkStart w:id="59" w:name="_Toc413139281"/>
      <w:r w:rsidRPr="00276BCA">
        <w:rPr>
          <w:rFonts w:ascii="Calibri" w:hAnsi="Calibri" w:cs="Calibri"/>
          <w:iCs/>
        </w:rPr>
        <w:t>Benefits</w:t>
      </w:r>
      <w:r w:rsidR="00233714" w:rsidRPr="00276BCA">
        <w:rPr>
          <w:rFonts w:ascii="Calibri" w:hAnsi="Calibri" w:cs="Calibri"/>
          <w:iCs/>
        </w:rPr>
        <w:t>/</w:t>
      </w:r>
      <w:r w:rsidRPr="00276BCA">
        <w:rPr>
          <w:rFonts w:ascii="Calibri" w:hAnsi="Calibri" w:cs="Calibri"/>
          <w:iCs/>
        </w:rPr>
        <w:t xml:space="preserve"> harms</w:t>
      </w:r>
    </w:p>
    <w:p w14:paraId="19929325" w14:textId="6C0D2727" w:rsidR="0033484C" w:rsidRPr="00276BCA" w:rsidRDefault="3C42473E" w:rsidP="77D89277">
      <w:pPr>
        <w:pStyle w:val="ListParagraph"/>
        <w:numPr>
          <w:ilvl w:val="4"/>
          <w:numId w:val="8"/>
        </w:numPr>
        <w:rPr>
          <w:color w:val="auto"/>
        </w:rPr>
      </w:pPr>
      <w:r w:rsidRPr="00276BCA">
        <w:rPr>
          <w:color w:val="auto"/>
        </w:rPr>
        <w:t xml:space="preserve">A benefits and harms table </w:t>
      </w:r>
      <w:r w:rsidR="39E8EFEB" w:rsidRPr="00276BCA">
        <w:rPr>
          <w:color w:val="auto"/>
        </w:rPr>
        <w:t xml:space="preserve">is </w:t>
      </w:r>
      <w:r w:rsidRPr="00276BCA">
        <w:rPr>
          <w:color w:val="auto"/>
        </w:rPr>
        <w:t>not presented</w:t>
      </w:r>
      <w:r w:rsidR="39E8EFEB" w:rsidRPr="00276BCA">
        <w:rPr>
          <w:color w:val="auto"/>
        </w:rPr>
        <w:t>,</w:t>
      </w:r>
      <w:r w:rsidRPr="00276BCA">
        <w:rPr>
          <w:color w:val="auto"/>
        </w:rPr>
        <w:t xml:space="preserve"> as the submission made a claim of noninferiority.</w:t>
      </w:r>
    </w:p>
    <w:p w14:paraId="62EFED6C" w14:textId="77777777" w:rsidR="008C3D0F" w:rsidRPr="00276BCA" w:rsidRDefault="005C4817" w:rsidP="00074A38">
      <w:pPr>
        <w:pStyle w:val="OutlineHeading2"/>
        <w:rPr>
          <w:rFonts w:ascii="Calibri" w:hAnsi="Calibri" w:cs="Calibri"/>
          <w:iCs/>
        </w:rPr>
      </w:pPr>
      <w:bookmarkStart w:id="60" w:name="_Toc413139282"/>
      <w:bookmarkEnd w:id="59"/>
      <w:r w:rsidRPr="00276BCA">
        <w:rPr>
          <w:rFonts w:ascii="Calibri" w:hAnsi="Calibri" w:cs="Calibri"/>
          <w:iCs/>
        </w:rPr>
        <w:t>Clinical claim</w:t>
      </w:r>
    </w:p>
    <w:p w14:paraId="33691787" w14:textId="3215931C" w:rsidR="00523EAF" w:rsidRPr="00276BCA" w:rsidRDefault="009B3F3C" w:rsidP="008E424C">
      <w:pPr>
        <w:pStyle w:val="ListParagraph"/>
        <w:numPr>
          <w:ilvl w:val="4"/>
          <w:numId w:val="8"/>
        </w:numPr>
        <w:rPr>
          <w:color w:val="auto"/>
        </w:rPr>
      </w:pPr>
      <w:r w:rsidRPr="00276BCA">
        <w:rPr>
          <w:color w:val="auto"/>
        </w:rPr>
        <w:t xml:space="preserve">The submission described </w:t>
      </w:r>
      <w:proofErr w:type="spellStart"/>
      <w:r w:rsidR="4DDE03CF" w:rsidRPr="00276BCA">
        <w:rPr>
          <w:color w:val="auto"/>
        </w:rPr>
        <w:t>zolbetuximab</w:t>
      </w:r>
      <w:proofErr w:type="spellEnd"/>
      <w:r w:rsidR="4DDE03CF" w:rsidRPr="00276BCA">
        <w:rPr>
          <w:color w:val="auto"/>
        </w:rPr>
        <w:t xml:space="preserve"> + chemotherapy </w:t>
      </w:r>
      <w:r w:rsidRPr="00276BCA">
        <w:rPr>
          <w:color w:val="auto"/>
        </w:rPr>
        <w:t xml:space="preserve">as noninferior in terms of effectiveness compared to </w:t>
      </w:r>
      <w:r w:rsidR="4DDE03CF" w:rsidRPr="00276BCA">
        <w:rPr>
          <w:color w:val="auto"/>
        </w:rPr>
        <w:t>nivolumab + chemotherapy</w:t>
      </w:r>
      <w:r w:rsidR="007A11EE" w:rsidRPr="00276BCA">
        <w:rPr>
          <w:color w:val="auto"/>
        </w:rPr>
        <w:t xml:space="preserve"> for </w:t>
      </w:r>
      <w:r w:rsidR="00E527A1" w:rsidRPr="00276BCA">
        <w:rPr>
          <w:color w:val="auto"/>
        </w:rPr>
        <w:t>patients</w:t>
      </w:r>
      <w:r w:rsidR="007A11EE" w:rsidRPr="00276BCA">
        <w:rPr>
          <w:color w:val="auto"/>
        </w:rPr>
        <w:t xml:space="preserve"> with</w:t>
      </w:r>
      <w:r w:rsidR="00E32302" w:rsidRPr="00276BCA">
        <w:rPr>
          <w:color w:val="auto"/>
        </w:rPr>
        <w:t xml:space="preserve"> G/</w:t>
      </w:r>
      <w:r w:rsidR="004A3436" w:rsidRPr="00276BCA">
        <w:rPr>
          <w:color w:val="auto"/>
        </w:rPr>
        <w:t>GOJ cancer.</w:t>
      </w:r>
      <w:r w:rsidRPr="00276BCA">
        <w:rPr>
          <w:color w:val="auto"/>
        </w:rPr>
        <w:t xml:space="preserve"> </w:t>
      </w:r>
      <w:r w:rsidR="00E87086" w:rsidRPr="00276BCA">
        <w:rPr>
          <w:color w:val="auto"/>
        </w:rPr>
        <w:t xml:space="preserve">The evaluation </w:t>
      </w:r>
      <w:r w:rsidR="006F1474" w:rsidRPr="00276BCA">
        <w:rPr>
          <w:color w:val="auto"/>
        </w:rPr>
        <w:t xml:space="preserve">and the ESCs </w:t>
      </w:r>
      <w:r w:rsidR="00E87086" w:rsidRPr="00276BCA">
        <w:rPr>
          <w:color w:val="auto"/>
        </w:rPr>
        <w:t xml:space="preserve">considered that </w:t>
      </w:r>
      <w:r w:rsidR="005D3FE9" w:rsidRPr="00276BCA">
        <w:rPr>
          <w:color w:val="auto"/>
        </w:rPr>
        <w:t>t</w:t>
      </w:r>
      <w:r w:rsidRPr="00276BCA">
        <w:rPr>
          <w:color w:val="auto"/>
        </w:rPr>
        <w:t xml:space="preserve">his claim was </w:t>
      </w:r>
      <w:r w:rsidR="178D7173" w:rsidRPr="00276BCA">
        <w:rPr>
          <w:color w:val="auto"/>
        </w:rPr>
        <w:t>uncertain</w:t>
      </w:r>
      <w:r w:rsidR="006808D1" w:rsidRPr="00276BCA">
        <w:rPr>
          <w:color w:val="auto"/>
        </w:rPr>
        <w:t xml:space="preserve"> </w:t>
      </w:r>
      <w:r w:rsidR="178D7173" w:rsidRPr="00276BCA">
        <w:rPr>
          <w:color w:val="auto"/>
        </w:rPr>
        <w:t>because</w:t>
      </w:r>
      <w:r w:rsidRPr="00276BCA">
        <w:rPr>
          <w:color w:val="auto"/>
        </w:rPr>
        <w:t xml:space="preserve">: </w:t>
      </w:r>
    </w:p>
    <w:p w14:paraId="1D3FBBF8" w14:textId="56978CA2" w:rsidR="005967C8" w:rsidRPr="00276BCA" w:rsidRDefault="0A315108" w:rsidP="005967C8">
      <w:pPr>
        <w:pStyle w:val="PBACESParagraphBulletPoint"/>
      </w:pPr>
      <w:r w:rsidRPr="00276BCA">
        <w:lastRenderedPageBreak/>
        <w:t xml:space="preserve">Evidence </w:t>
      </w:r>
      <w:r w:rsidR="00AE2893" w:rsidRPr="00276BCA">
        <w:t xml:space="preserve">for </w:t>
      </w:r>
      <w:proofErr w:type="spellStart"/>
      <w:r w:rsidRPr="00276BCA">
        <w:t>zolbetuximab</w:t>
      </w:r>
      <w:proofErr w:type="spellEnd"/>
      <w:r w:rsidRPr="00276BCA">
        <w:t xml:space="preserve"> was limited to patients with CLDN18.2+ tumours, </w:t>
      </w:r>
      <w:r w:rsidR="000811C9" w:rsidRPr="00276BCA">
        <w:t>and</w:t>
      </w:r>
      <w:r w:rsidRPr="00276BCA">
        <w:t xml:space="preserve"> CLDN18.2 expression status was not assessed in</w:t>
      </w:r>
      <w:r w:rsidR="003313C4" w:rsidRPr="00276BCA">
        <w:t xml:space="preserve"> the</w:t>
      </w:r>
      <w:r w:rsidRPr="00276BCA">
        <w:t xml:space="preserve"> nivolumab trials (</w:t>
      </w:r>
      <w:proofErr w:type="spellStart"/>
      <w:r w:rsidRPr="00276BCA">
        <w:t>CheckMate</w:t>
      </w:r>
      <w:proofErr w:type="spellEnd"/>
      <w:r w:rsidRPr="00276BCA">
        <w:t xml:space="preserve"> 649 and ATTRACTION-4).</w:t>
      </w:r>
      <w:r w:rsidR="27D91BF1" w:rsidRPr="00276BCA">
        <w:t xml:space="preserve"> </w:t>
      </w:r>
      <w:r w:rsidR="36D03D0E" w:rsidRPr="00276BCA">
        <w:t>The PSCR argued that CLDN18.2 expression does not correlate with outcomes, and is independent from other biomarkers, and highlighted that both nivolumab trials likely included both CLDN18.2+ and CLDN18.2− patients. However, the ESCs considered that the prognostic value of CLDN18.2 expression was uncertain, potentially negatively i</w:t>
      </w:r>
      <w:r w:rsidR="04C4DC9F" w:rsidRPr="00276BCA">
        <w:t>mpacting</w:t>
      </w:r>
      <w:r w:rsidR="36D03D0E" w:rsidRPr="00276BCA">
        <w:t xml:space="preserve"> overall survival in G/GOJ patients</w:t>
      </w:r>
      <w:r w:rsidR="41AD06C4" w:rsidRPr="00276BCA">
        <w:t>.</w:t>
      </w:r>
      <w:r w:rsidR="00133CE7" w:rsidRPr="00276BCA">
        <w:t xml:space="preserve"> </w:t>
      </w:r>
    </w:p>
    <w:p w14:paraId="6AB72ADE" w14:textId="17B80B36" w:rsidR="00523EAF" w:rsidRPr="00276BCA" w:rsidRDefault="60CCF411" w:rsidP="77D89277">
      <w:pPr>
        <w:pStyle w:val="PBACESParagraphBulletPoint"/>
        <w:rPr>
          <w:color w:val="auto"/>
        </w:rPr>
      </w:pPr>
      <w:r w:rsidRPr="00276BCA">
        <w:rPr>
          <w:color w:val="auto"/>
        </w:rPr>
        <w:t xml:space="preserve">The results of the NMA may not be reliable due to potential transitivity issues between the </w:t>
      </w:r>
      <w:proofErr w:type="spellStart"/>
      <w:r w:rsidRPr="00276BCA">
        <w:rPr>
          <w:color w:val="auto"/>
        </w:rPr>
        <w:t>zolbetuximab</w:t>
      </w:r>
      <w:proofErr w:type="spellEnd"/>
      <w:r w:rsidRPr="00276BCA">
        <w:rPr>
          <w:color w:val="auto"/>
        </w:rPr>
        <w:t xml:space="preserve"> (SPOTLIGHT and GLOW) and nivolumab (</w:t>
      </w:r>
      <w:proofErr w:type="spellStart"/>
      <w:r w:rsidRPr="00276BCA">
        <w:rPr>
          <w:color w:val="auto"/>
        </w:rPr>
        <w:t>CheckMate</w:t>
      </w:r>
      <w:proofErr w:type="spellEnd"/>
      <w:r w:rsidRPr="00276BCA">
        <w:rPr>
          <w:color w:val="auto"/>
        </w:rPr>
        <w:t xml:space="preserve"> 649 and ATTRACTION-4) trials, including differences in terms </w:t>
      </w:r>
      <w:r w:rsidR="265764F6" w:rsidRPr="00276BCA">
        <w:rPr>
          <w:color w:val="auto"/>
        </w:rPr>
        <w:t>of eligibility</w:t>
      </w:r>
      <w:r w:rsidR="39DF6611" w:rsidRPr="00276BCA">
        <w:rPr>
          <w:color w:val="auto"/>
        </w:rPr>
        <w:t xml:space="preserve"> criteria, primary disease site, </w:t>
      </w:r>
      <w:r w:rsidR="123B3D5A" w:rsidRPr="00276BCA">
        <w:rPr>
          <w:color w:val="auto"/>
        </w:rPr>
        <w:t>ancestry</w:t>
      </w:r>
      <w:r w:rsidR="39DF6611" w:rsidRPr="00276BCA">
        <w:rPr>
          <w:color w:val="auto"/>
        </w:rPr>
        <w:t xml:space="preserve">, follow-up duration, and </w:t>
      </w:r>
      <w:r w:rsidR="13558B0A" w:rsidRPr="00276BCA">
        <w:rPr>
          <w:color w:val="auto"/>
        </w:rPr>
        <w:t xml:space="preserve">subsequent </w:t>
      </w:r>
      <w:r w:rsidR="39DF6611" w:rsidRPr="00276BCA">
        <w:rPr>
          <w:color w:val="auto"/>
        </w:rPr>
        <w:t>anti-cancer therapies.</w:t>
      </w:r>
      <w:r w:rsidR="7C856EA1" w:rsidRPr="00276BCA">
        <w:t xml:space="preserve"> </w:t>
      </w:r>
    </w:p>
    <w:p w14:paraId="0FF48009" w14:textId="711274BA" w:rsidR="00523EAF" w:rsidRPr="00276BCA" w:rsidRDefault="60CCF411" w:rsidP="77D89277">
      <w:pPr>
        <w:pStyle w:val="PBACESParagraphBulletPoint"/>
        <w:rPr>
          <w:color w:val="auto"/>
        </w:rPr>
      </w:pPr>
      <w:r w:rsidRPr="00276BCA">
        <w:rPr>
          <w:color w:val="auto"/>
        </w:rPr>
        <w:t xml:space="preserve">The evidence base for </w:t>
      </w:r>
      <w:proofErr w:type="spellStart"/>
      <w:r w:rsidRPr="00276BCA">
        <w:rPr>
          <w:color w:val="auto"/>
        </w:rPr>
        <w:t>zolbetuximab</w:t>
      </w:r>
      <w:proofErr w:type="spellEnd"/>
      <w:r w:rsidRPr="00276BCA">
        <w:rPr>
          <w:color w:val="auto"/>
        </w:rPr>
        <w:t xml:space="preserve"> from the SPOTLIGHT and GLOW trials may have limited applicability to the intended Australian PBS population, particularly regarding differences in age at diagnosis </w:t>
      </w:r>
      <w:r w:rsidR="0A315108" w:rsidRPr="00276BCA">
        <w:rPr>
          <w:color w:val="auto"/>
        </w:rPr>
        <w:t xml:space="preserve">(57.5-59 years vs 70-71 years, respectively) and </w:t>
      </w:r>
      <w:r w:rsidR="123B3D5A" w:rsidRPr="00276BCA">
        <w:rPr>
          <w:color w:val="auto"/>
        </w:rPr>
        <w:t xml:space="preserve">ancestry </w:t>
      </w:r>
      <w:r w:rsidR="0A315108" w:rsidRPr="00276BCA">
        <w:rPr>
          <w:color w:val="auto"/>
        </w:rPr>
        <w:t>(37%-63% vs 17%</w:t>
      </w:r>
      <w:r w:rsidR="4082922B" w:rsidRPr="00276BCA">
        <w:rPr>
          <w:color w:val="auto"/>
        </w:rPr>
        <w:t xml:space="preserve"> Asian</w:t>
      </w:r>
      <w:r w:rsidR="0A315108" w:rsidRPr="00276BCA">
        <w:rPr>
          <w:color w:val="auto"/>
        </w:rPr>
        <w:t>, respectively)</w:t>
      </w:r>
      <w:r w:rsidR="46893E9E" w:rsidRPr="00276BCA">
        <w:rPr>
          <w:color w:val="auto"/>
        </w:rPr>
        <w:t>.</w:t>
      </w:r>
      <w:r w:rsidR="00D750F7" w:rsidRPr="00276BCA">
        <w:rPr>
          <w:color w:val="auto"/>
        </w:rPr>
        <w:t xml:space="preserve"> </w:t>
      </w:r>
    </w:p>
    <w:p w14:paraId="08212A99" w14:textId="4B8305C1" w:rsidR="004263A0" w:rsidRPr="00276BCA" w:rsidRDefault="003223AE" w:rsidP="004768E5">
      <w:pPr>
        <w:pStyle w:val="PBACESParagraphBulletPoint"/>
        <w:numPr>
          <w:ilvl w:val="0"/>
          <w:numId w:val="0"/>
        </w:numPr>
        <w:ind w:left="1134"/>
        <w:rPr>
          <w:color w:val="auto"/>
        </w:rPr>
      </w:pPr>
      <w:r w:rsidRPr="00276BCA">
        <w:rPr>
          <w:color w:val="auto"/>
        </w:rPr>
        <w:t>Overall, t</w:t>
      </w:r>
      <w:r w:rsidR="004263A0" w:rsidRPr="00276BCA">
        <w:rPr>
          <w:color w:val="auto"/>
        </w:rPr>
        <w:t xml:space="preserve">he ESCs considered </w:t>
      </w:r>
      <w:r w:rsidR="00412E29" w:rsidRPr="00276BCA">
        <w:rPr>
          <w:color w:val="auto"/>
        </w:rPr>
        <w:t xml:space="preserve">that the </w:t>
      </w:r>
      <w:r w:rsidR="008D4811" w:rsidRPr="00276BCA">
        <w:rPr>
          <w:color w:val="auto"/>
        </w:rPr>
        <w:t xml:space="preserve">clinical </w:t>
      </w:r>
      <w:r w:rsidR="00412E29" w:rsidRPr="00276BCA">
        <w:rPr>
          <w:color w:val="auto"/>
        </w:rPr>
        <w:t xml:space="preserve">claim of </w:t>
      </w:r>
      <w:r w:rsidR="00013987" w:rsidRPr="00276BCA">
        <w:rPr>
          <w:color w:val="auto"/>
        </w:rPr>
        <w:t>noninferior</w:t>
      </w:r>
      <w:r w:rsidR="00412E29" w:rsidRPr="00276BCA">
        <w:rPr>
          <w:color w:val="auto"/>
        </w:rPr>
        <w:t xml:space="preserve"> </w:t>
      </w:r>
      <w:r w:rsidR="00CB2E5A" w:rsidRPr="00276BCA">
        <w:rPr>
          <w:color w:val="auto"/>
        </w:rPr>
        <w:t xml:space="preserve">efficacy </w:t>
      </w:r>
      <w:r w:rsidR="00121447" w:rsidRPr="00276BCA">
        <w:rPr>
          <w:color w:val="auto"/>
        </w:rPr>
        <w:t xml:space="preserve">based on </w:t>
      </w:r>
      <w:r w:rsidR="00E527A1" w:rsidRPr="00276BCA">
        <w:rPr>
          <w:color w:val="auto"/>
        </w:rPr>
        <w:t>improvements</w:t>
      </w:r>
      <w:r w:rsidR="00230829" w:rsidRPr="00276BCA">
        <w:rPr>
          <w:color w:val="auto"/>
        </w:rPr>
        <w:t xml:space="preserve"> in PFS and OS outcomes was</w:t>
      </w:r>
      <w:r w:rsidRPr="00276BCA">
        <w:rPr>
          <w:color w:val="auto"/>
        </w:rPr>
        <w:t xml:space="preserve"> </w:t>
      </w:r>
      <w:r w:rsidR="00792EE1" w:rsidRPr="00276BCA">
        <w:rPr>
          <w:color w:val="auto"/>
        </w:rPr>
        <w:t>uncertain but</w:t>
      </w:r>
      <w:r w:rsidRPr="00276BCA">
        <w:rPr>
          <w:color w:val="auto"/>
        </w:rPr>
        <w:t xml:space="preserve"> probably</w:t>
      </w:r>
      <w:r w:rsidR="00230829" w:rsidRPr="00276BCA">
        <w:rPr>
          <w:color w:val="auto"/>
        </w:rPr>
        <w:t xml:space="preserve"> </w:t>
      </w:r>
      <w:r w:rsidR="00E527A1" w:rsidRPr="00276BCA">
        <w:rPr>
          <w:color w:val="auto"/>
        </w:rPr>
        <w:t>reasonable</w:t>
      </w:r>
      <w:r w:rsidR="009B541D" w:rsidRPr="00276BCA">
        <w:rPr>
          <w:color w:val="auto"/>
        </w:rPr>
        <w:t xml:space="preserve">. </w:t>
      </w:r>
    </w:p>
    <w:p w14:paraId="66F7BB23" w14:textId="5168D9AF" w:rsidR="00F76CF9" w:rsidRPr="00276BCA" w:rsidRDefault="23D0CE00" w:rsidP="77D89277">
      <w:pPr>
        <w:pStyle w:val="ListParagraph"/>
        <w:numPr>
          <w:ilvl w:val="4"/>
          <w:numId w:val="8"/>
        </w:numPr>
        <w:rPr>
          <w:color w:val="auto"/>
        </w:rPr>
      </w:pPr>
      <w:r w:rsidRPr="00276BCA">
        <w:rPr>
          <w:color w:val="auto"/>
        </w:rPr>
        <w:t xml:space="preserve">The submission described </w:t>
      </w:r>
      <w:proofErr w:type="spellStart"/>
      <w:r w:rsidR="6A2A6286" w:rsidRPr="00276BCA">
        <w:rPr>
          <w:color w:val="auto"/>
        </w:rPr>
        <w:t>zolbetuximab</w:t>
      </w:r>
      <w:proofErr w:type="spellEnd"/>
      <w:r w:rsidRPr="00276BCA">
        <w:rPr>
          <w:color w:val="auto"/>
        </w:rPr>
        <w:t xml:space="preserve"> as noninferior</w:t>
      </w:r>
      <w:r w:rsidR="6A2A6286" w:rsidRPr="00276BCA">
        <w:rPr>
          <w:color w:val="auto"/>
        </w:rPr>
        <w:t xml:space="preserve"> in </w:t>
      </w:r>
      <w:r w:rsidRPr="00276BCA">
        <w:rPr>
          <w:color w:val="auto"/>
        </w:rPr>
        <w:t xml:space="preserve">terms of safety compared to </w:t>
      </w:r>
      <w:r w:rsidR="0C873454" w:rsidRPr="00276BCA">
        <w:rPr>
          <w:color w:val="auto"/>
        </w:rPr>
        <w:t>nivolumab</w:t>
      </w:r>
      <w:r w:rsidR="0F2DC379" w:rsidRPr="00276BCA">
        <w:rPr>
          <w:color w:val="auto"/>
        </w:rPr>
        <w:t>, with a different but manageable safety profile</w:t>
      </w:r>
      <w:r w:rsidRPr="00276BCA">
        <w:rPr>
          <w:color w:val="auto"/>
        </w:rPr>
        <w:t xml:space="preserve">. </w:t>
      </w:r>
      <w:r w:rsidR="79447259" w:rsidRPr="00276BCA">
        <w:rPr>
          <w:color w:val="auto"/>
        </w:rPr>
        <w:t xml:space="preserve">The PSCR </w:t>
      </w:r>
      <w:r w:rsidR="551416AA" w:rsidRPr="00276BCA">
        <w:rPr>
          <w:color w:val="auto"/>
        </w:rPr>
        <w:t>claimed</w:t>
      </w:r>
      <w:r w:rsidR="79447259" w:rsidRPr="00276BCA">
        <w:rPr>
          <w:color w:val="auto"/>
        </w:rPr>
        <w:t xml:space="preserve"> that the overall safety profile of </w:t>
      </w:r>
      <w:proofErr w:type="spellStart"/>
      <w:r w:rsidR="79447259" w:rsidRPr="00276BCA">
        <w:rPr>
          <w:color w:val="auto"/>
        </w:rPr>
        <w:t>zolbetuximab</w:t>
      </w:r>
      <w:proofErr w:type="spellEnd"/>
      <w:r w:rsidR="79447259" w:rsidRPr="00276BCA">
        <w:rPr>
          <w:color w:val="auto"/>
        </w:rPr>
        <w:t xml:space="preserve">, comparative assessment of key safety parameters, established management strategies for treatment-related adverse events, and positive benefit-risk assessment collectively support the claim of non-inferior safety compared to nivolumab. However, the </w:t>
      </w:r>
      <w:r w:rsidR="607A1A70" w:rsidRPr="00276BCA">
        <w:rPr>
          <w:color w:val="auto"/>
        </w:rPr>
        <w:t xml:space="preserve">ESCs considered that the </w:t>
      </w:r>
      <w:r w:rsidR="79447259" w:rsidRPr="00276BCA">
        <w:rPr>
          <w:color w:val="auto"/>
        </w:rPr>
        <w:t xml:space="preserve">claim remains uncertain due to the indirect nature of comparison and distinct safety profiles between </w:t>
      </w:r>
      <w:proofErr w:type="spellStart"/>
      <w:r w:rsidR="79447259" w:rsidRPr="00276BCA">
        <w:rPr>
          <w:color w:val="auto"/>
        </w:rPr>
        <w:t>zolbetuximab</w:t>
      </w:r>
      <w:proofErr w:type="spellEnd"/>
      <w:r w:rsidR="79447259" w:rsidRPr="00276BCA">
        <w:rPr>
          <w:color w:val="auto"/>
        </w:rPr>
        <w:t xml:space="preserve"> and nivolumab.</w:t>
      </w:r>
      <w:r w:rsidR="607A1A70" w:rsidRPr="00276BCA">
        <w:rPr>
          <w:color w:val="auto"/>
        </w:rPr>
        <w:t xml:space="preserve"> </w:t>
      </w:r>
      <w:r w:rsidR="77FD1519" w:rsidRPr="00276BCA">
        <w:rPr>
          <w:color w:val="auto"/>
        </w:rPr>
        <w:t>T</w:t>
      </w:r>
      <w:r w:rsidR="6A2A6286" w:rsidRPr="00276BCA">
        <w:rPr>
          <w:color w:val="auto"/>
        </w:rPr>
        <w:t xml:space="preserve">he most common Grade 3-4 TEAEs with </w:t>
      </w:r>
      <w:proofErr w:type="spellStart"/>
      <w:r w:rsidR="6A2A6286" w:rsidRPr="00276BCA">
        <w:rPr>
          <w:color w:val="auto"/>
        </w:rPr>
        <w:t>zolbetuximab</w:t>
      </w:r>
      <w:proofErr w:type="spellEnd"/>
      <w:r w:rsidR="6A2A6286" w:rsidRPr="00276BCA">
        <w:rPr>
          <w:color w:val="auto"/>
        </w:rPr>
        <w:t xml:space="preserve"> were nausea, vomiting, neutropenia and decreased appetite, whereas neutropenia, anaemia, diarrhoea, fatigue, liver enzyme elevations, and lipase increases was the most common Grade 3-4 TEAEs reported for nivolumab. </w:t>
      </w:r>
      <w:r w:rsidR="00D3A8DA" w:rsidRPr="00276BCA">
        <w:rPr>
          <w:color w:val="auto"/>
        </w:rPr>
        <w:t>The</w:t>
      </w:r>
      <w:r w:rsidR="00D3A8DA" w:rsidRPr="00276BCA" w:rsidDel="00011F3C">
        <w:rPr>
          <w:color w:val="auto"/>
        </w:rPr>
        <w:t xml:space="preserve"> </w:t>
      </w:r>
      <w:r w:rsidR="3EE610BC" w:rsidRPr="00276BCA">
        <w:rPr>
          <w:color w:val="auto"/>
        </w:rPr>
        <w:t xml:space="preserve">ESCs </w:t>
      </w:r>
      <w:r w:rsidR="00154534" w:rsidRPr="00276BCA">
        <w:rPr>
          <w:color w:val="auto"/>
        </w:rPr>
        <w:t xml:space="preserve">considered </w:t>
      </w:r>
      <w:r w:rsidR="3A55F302" w:rsidRPr="00276BCA">
        <w:rPr>
          <w:color w:val="auto"/>
        </w:rPr>
        <w:t xml:space="preserve">that the </w:t>
      </w:r>
      <w:r w:rsidR="3EABB2F5" w:rsidRPr="00276BCA">
        <w:rPr>
          <w:color w:val="auto"/>
        </w:rPr>
        <w:t xml:space="preserve">claim of noninferior safety </w:t>
      </w:r>
      <w:r w:rsidR="7C9E3054" w:rsidRPr="00276BCA">
        <w:rPr>
          <w:color w:val="auto"/>
        </w:rPr>
        <w:t xml:space="preserve">of </w:t>
      </w:r>
      <w:proofErr w:type="spellStart"/>
      <w:r w:rsidR="7C9E3054" w:rsidRPr="00276BCA">
        <w:rPr>
          <w:color w:val="auto"/>
        </w:rPr>
        <w:t>zolbetuximab</w:t>
      </w:r>
      <w:proofErr w:type="spellEnd"/>
      <w:r w:rsidR="7C9E3054" w:rsidRPr="00276BCA">
        <w:rPr>
          <w:color w:val="auto"/>
        </w:rPr>
        <w:t xml:space="preserve"> </w:t>
      </w:r>
      <w:r w:rsidR="64453526" w:rsidRPr="00276BCA">
        <w:rPr>
          <w:color w:val="auto"/>
        </w:rPr>
        <w:t xml:space="preserve">was not </w:t>
      </w:r>
      <w:r w:rsidR="15FBB5BB" w:rsidRPr="00276BCA">
        <w:rPr>
          <w:color w:val="auto"/>
        </w:rPr>
        <w:t xml:space="preserve">well </w:t>
      </w:r>
      <w:r w:rsidR="64453526" w:rsidRPr="00276BCA">
        <w:rPr>
          <w:color w:val="auto"/>
        </w:rPr>
        <w:t xml:space="preserve">supported by evidence, and </w:t>
      </w:r>
      <w:r w:rsidR="59DA6620" w:rsidRPr="00276BCA">
        <w:rPr>
          <w:color w:val="auto"/>
        </w:rPr>
        <w:t xml:space="preserve">based on the evidence provided, </w:t>
      </w:r>
      <w:proofErr w:type="spellStart"/>
      <w:r w:rsidR="542DDAFE" w:rsidRPr="00276BCA">
        <w:rPr>
          <w:color w:val="auto"/>
        </w:rPr>
        <w:t>zolbetuximab</w:t>
      </w:r>
      <w:proofErr w:type="spellEnd"/>
      <w:r w:rsidR="542DDAFE" w:rsidRPr="00276BCA">
        <w:rPr>
          <w:color w:val="auto"/>
        </w:rPr>
        <w:t xml:space="preserve"> </w:t>
      </w:r>
      <w:r w:rsidR="00996208" w:rsidRPr="00276BCA">
        <w:rPr>
          <w:color w:val="auto"/>
        </w:rPr>
        <w:t>is likely inferior to nivolumab in terms of safety</w:t>
      </w:r>
      <w:r w:rsidR="247FBA10" w:rsidRPr="00276BCA">
        <w:rPr>
          <w:color w:val="auto"/>
        </w:rPr>
        <w:t xml:space="preserve">. </w:t>
      </w:r>
    </w:p>
    <w:p w14:paraId="73FC37E4" w14:textId="14BDA096" w:rsidR="009538F9" w:rsidRPr="00276BCA" w:rsidRDefault="001852BC" w:rsidP="009538F9">
      <w:pPr>
        <w:pStyle w:val="ListParagraph"/>
        <w:numPr>
          <w:ilvl w:val="4"/>
          <w:numId w:val="8"/>
        </w:numPr>
        <w:rPr>
          <w:color w:val="auto"/>
        </w:rPr>
      </w:pPr>
      <w:r w:rsidRPr="00276BCA">
        <w:rPr>
          <w:color w:val="auto"/>
        </w:rPr>
        <w:t xml:space="preserve">The </w:t>
      </w:r>
      <w:r w:rsidR="005D1BEF" w:rsidRPr="00276BCA">
        <w:rPr>
          <w:color w:val="auto"/>
        </w:rPr>
        <w:t xml:space="preserve">PBAC </w:t>
      </w:r>
      <w:r w:rsidR="000E5693" w:rsidRPr="00276BCA">
        <w:rPr>
          <w:color w:val="auto"/>
        </w:rPr>
        <w:t xml:space="preserve">considered that </w:t>
      </w:r>
      <w:r w:rsidR="005D1BEF" w:rsidRPr="00276BCA">
        <w:rPr>
          <w:color w:val="auto"/>
        </w:rPr>
        <w:t>the claim</w:t>
      </w:r>
      <w:r w:rsidR="00C562A7" w:rsidRPr="00276BCA">
        <w:rPr>
          <w:color w:val="auto"/>
        </w:rPr>
        <w:t xml:space="preserve"> of noninferior effectiveness was not strongly supported</w:t>
      </w:r>
      <w:r w:rsidR="00314033" w:rsidRPr="00276BCA">
        <w:rPr>
          <w:color w:val="auto"/>
        </w:rPr>
        <w:t>,</w:t>
      </w:r>
      <w:r w:rsidR="00C562A7" w:rsidRPr="00276BCA">
        <w:rPr>
          <w:color w:val="auto"/>
        </w:rPr>
        <w:t xml:space="preserve"> due to </w:t>
      </w:r>
      <w:r w:rsidR="000E5693" w:rsidRPr="00276BCA">
        <w:rPr>
          <w:color w:val="auto"/>
        </w:rPr>
        <w:t xml:space="preserve">uncertainties </w:t>
      </w:r>
      <w:r w:rsidRPr="00276BCA">
        <w:rPr>
          <w:color w:val="auto"/>
        </w:rPr>
        <w:t>associated with</w:t>
      </w:r>
      <w:r w:rsidR="000E5693" w:rsidRPr="00276BCA">
        <w:rPr>
          <w:color w:val="auto"/>
        </w:rPr>
        <w:t xml:space="preserve"> transitivity issues, </w:t>
      </w:r>
      <w:r w:rsidR="000616CE" w:rsidRPr="00276BCA">
        <w:rPr>
          <w:color w:val="auto"/>
        </w:rPr>
        <w:t>unknown/unselected CLDN18.2 status in the comparator</w:t>
      </w:r>
      <w:r w:rsidR="004B7BBF" w:rsidRPr="00276BCA">
        <w:rPr>
          <w:color w:val="auto"/>
        </w:rPr>
        <w:t xml:space="preserve"> trials</w:t>
      </w:r>
      <w:r w:rsidR="000616CE" w:rsidRPr="00276BCA">
        <w:rPr>
          <w:color w:val="auto"/>
        </w:rPr>
        <w:t xml:space="preserve">, </w:t>
      </w:r>
      <w:r w:rsidR="003535C2" w:rsidRPr="00276BCA">
        <w:rPr>
          <w:color w:val="auto"/>
        </w:rPr>
        <w:t>and differences between trial and Australian populations</w:t>
      </w:r>
      <w:r w:rsidR="00314033" w:rsidRPr="00276BCA">
        <w:rPr>
          <w:color w:val="auto"/>
        </w:rPr>
        <w:t xml:space="preserve">, but that </w:t>
      </w:r>
      <w:proofErr w:type="gramStart"/>
      <w:r w:rsidR="00314033" w:rsidRPr="00276BCA">
        <w:rPr>
          <w:color w:val="auto"/>
        </w:rPr>
        <w:t>overall</w:t>
      </w:r>
      <w:proofErr w:type="gramEnd"/>
      <w:r w:rsidR="00314033" w:rsidRPr="00276BCA">
        <w:rPr>
          <w:color w:val="auto"/>
        </w:rPr>
        <w:t xml:space="preserve"> the claim was reasonable</w:t>
      </w:r>
      <w:r w:rsidR="009538F9" w:rsidRPr="00276BCA">
        <w:rPr>
          <w:color w:val="auto"/>
        </w:rPr>
        <w:t>.</w:t>
      </w:r>
    </w:p>
    <w:p w14:paraId="4E7CEA41" w14:textId="77566E80" w:rsidR="009538F9" w:rsidRPr="00276BCA" w:rsidRDefault="009538F9" w:rsidP="009538F9">
      <w:pPr>
        <w:pStyle w:val="ListParagraph"/>
        <w:numPr>
          <w:ilvl w:val="4"/>
          <w:numId w:val="8"/>
        </w:numPr>
        <w:rPr>
          <w:color w:val="auto"/>
        </w:rPr>
      </w:pPr>
      <w:bookmarkStart w:id="61" w:name="_Ref193812339"/>
      <w:r w:rsidRPr="00276BCA">
        <w:rPr>
          <w:color w:val="auto"/>
        </w:rPr>
        <w:t>The PBAC considered that the claim of non-inferior comparative safety was not adequately supported by the data.</w:t>
      </w:r>
      <w:r w:rsidR="00BA0E50" w:rsidRPr="00276BCA">
        <w:rPr>
          <w:color w:val="auto"/>
        </w:rPr>
        <w:t xml:space="preserve"> The PBAC considered that the </w:t>
      </w:r>
      <w:r w:rsidR="00F72CC5" w:rsidRPr="00276BCA">
        <w:rPr>
          <w:color w:val="auto"/>
        </w:rPr>
        <w:t xml:space="preserve">safety of </w:t>
      </w:r>
      <w:proofErr w:type="spellStart"/>
      <w:r w:rsidR="00F72CC5" w:rsidRPr="00276BCA">
        <w:rPr>
          <w:color w:val="auto"/>
        </w:rPr>
        <w:lastRenderedPageBreak/>
        <w:t>zolbetuximab</w:t>
      </w:r>
      <w:proofErr w:type="spellEnd"/>
      <w:r w:rsidR="00F72CC5" w:rsidRPr="00276BCA">
        <w:rPr>
          <w:color w:val="auto"/>
        </w:rPr>
        <w:t xml:space="preserve"> + chemotherapy is inferior to </w:t>
      </w:r>
      <w:r w:rsidR="001830D9" w:rsidRPr="00276BCA">
        <w:rPr>
          <w:color w:val="auto"/>
        </w:rPr>
        <w:t>nivolumab + chemotherapy due to the significant supper GI toxicities, likely to affect QoL.</w:t>
      </w:r>
      <w:bookmarkEnd w:id="61"/>
      <w:r w:rsidR="001830D9" w:rsidRPr="00276BCA">
        <w:rPr>
          <w:color w:val="auto"/>
        </w:rPr>
        <w:t xml:space="preserve"> </w:t>
      </w:r>
    </w:p>
    <w:p w14:paraId="1838792A" w14:textId="77777777" w:rsidR="00551DCF" w:rsidRPr="00276BCA" w:rsidRDefault="00551DCF" w:rsidP="00074A38">
      <w:pPr>
        <w:pStyle w:val="OutlineHeading2"/>
        <w:rPr>
          <w:rFonts w:ascii="Calibri" w:hAnsi="Calibri" w:cs="Calibri"/>
          <w:iCs/>
        </w:rPr>
      </w:pPr>
      <w:r w:rsidRPr="00276BCA">
        <w:rPr>
          <w:rFonts w:ascii="Calibri" w:hAnsi="Calibri" w:cs="Calibri"/>
          <w:iCs/>
        </w:rPr>
        <w:t xml:space="preserve">Claim of </w:t>
      </w:r>
      <w:proofErr w:type="spellStart"/>
      <w:r w:rsidRPr="00276BCA">
        <w:rPr>
          <w:rFonts w:ascii="Calibri" w:hAnsi="Calibri" w:cs="Calibri"/>
          <w:iCs/>
        </w:rPr>
        <w:t>codependence</w:t>
      </w:r>
      <w:proofErr w:type="spellEnd"/>
    </w:p>
    <w:p w14:paraId="79008BE7" w14:textId="777A065A" w:rsidR="004572B5" w:rsidRPr="00276BCA" w:rsidRDefault="00524B3E" w:rsidP="77D89277">
      <w:pPr>
        <w:pStyle w:val="ListParagraph"/>
        <w:numPr>
          <w:ilvl w:val="4"/>
          <w:numId w:val="8"/>
        </w:numPr>
        <w:rPr>
          <w:color w:val="auto"/>
        </w:rPr>
      </w:pPr>
      <w:r w:rsidRPr="00276BCA">
        <w:rPr>
          <w:color w:val="auto"/>
        </w:rPr>
        <w:t>In the trials t</w:t>
      </w:r>
      <w:r w:rsidR="73EB0D21" w:rsidRPr="00276BCA">
        <w:rPr>
          <w:color w:val="auto"/>
        </w:rPr>
        <w:t>he CLDN18.2 threshold for a positive result was ≥75% tumour cells showing moderate-to-strong membranous staining, while &lt;75% indicated a negative result.</w:t>
      </w:r>
      <w:r w:rsidR="000B6C1F" w:rsidRPr="00276BCA">
        <w:rPr>
          <w:color w:val="auto"/>
        </w:rPr>
        <w:t xml:space="preserve"> This</w:t>
      </w:r>
      <w:r w:rsidR="000B6C1F" w:rsidRPr="00276BCA" w:rsidDel="00F73B83">
        <w:rPr>
          <w:color w:val="auto"/>
        </w:rPr>
        <w:t xml:space="preserve"> </w:t>
      </w:r>
      <w:r w:rsidR="000B6C1F" w:rsidRPr="00276BCA">
        <w:rPr>
          <w:color w:val="auto"/>
        </w:rPr>
        <w:t xml:space="preserve">was supported by the </w:t>
      </w:r>
      <w:r w:rsidR="73EB0D21" w:rsidRPr="00276BCA">
        <w:rPr>
          <w:color w:val="auto"/>
        </w:rPr>
        <w:t xml:space="preserve">FAST </w:t>
      </w:r>
      <w:r w:rsidR="6E086769" w:rsidRPr="00276BCA">
        <w:rPr>
          <w:color w:val="auto"/>
        </w:rPr>
        <w:t>p</w:t>
      </w:r>
      <w:r w:rsidR="73EB0D21" w:rsidRPr="00276BCA">
        <w:rPr>
          <w:color w:val="auto"/>
        </w:rPr>
        <w:t>hase II study, which included adults with locally advanced, inoperable, recurrent, or metastatic G/GOJ cancers and CLDN18.2+ expression in ≥40% of tumour cells.</w:t>
      </w:r>
      <w:r w:rsidR="1C3A11C0" w:rsidRPr="00276BCA">
        <w:rPr>
          <w:color w:val="auto"/>
        </w:rPr>
        <w:t xml:space="preserve"> </w:t>
      </w:r>
      <w:r w:rsidR="73EB0D21" w:rsidRPr="00276BCA">
        <w:rPr>
          <w:color w:val="auto"/>
        </w:rPr>
        <w:t xml:space="preserve">In patients with CLDN18.2 expression in ≥70% of tumour cells, significant improvement in PFS and OS was observed with </w:t>
      </w:r>
      <w:proofErr w:type="spellStart"/>
      <w:r w:rsidR="73EB0D21" w:rsidRPr="00276BCA">
        <w:rPr>
          <w:color w:val="auto"/>
        </w:rPr>
        <w:t>zolbetuximab</w:t>
      </w:r>
      <w:proofErr w:type="spellEnd"/>
      <w:r w:rsidR="73EB0D21" w:rsidRPr="00276BCA">
        <w:rPr>
          <w:color w:val="auto"/>
        </w:rPr>
        <w:t xml:space="preserve"> + chemotherapy compared to chemotherapy alone. However, patients with 40%-69% CLDN18.2 expression did not demonstrate significant differences between the two arms.</w:t>
      </w:r>
      <w:r w:rsidR="3F1144A2" w:rsidRPr="00276BCA">
        <w:rPr>
          <w:color w:val="auto"/>
        </w:rPr>
        <w:t xml:space="preserve"> The improved efficacy among the subgroups of patients with high CLDN18.2 expressing tumours supports a relationship between CLDN18.2 expression and </w:t>
      </w:r>
      <w:proofErr w:type="spellStart"/>
      <w:r w:rsidR="3F1144A2" w:rsidRPr="00276BCA">
        <w:rPr>
          <w:color w:val="auto"/>
        </w:rPr>
        <w:t>zolbetuximab</w:t>
      </w:r>
      <w:proofErr w:type="spellEnd"/>
      <w:r w:rsidR="3F1144A2" w:rsidRPr="00276BCA">
        <w:rPr>
          <w:color w:val="auto"/>
        </w:rPr>
        <w:t xml:space="preserve">. </w:t>
      </w:r>
      <w:r w:rsidR="6B495C7D" w:rsidRPr="00276BCA">
        <w:rPr>
          <w:color w:val="auto"/>
        </w:rPr>
        <w:t xml:space="preserve">The evaluation </w:t>
      </w:r>
      <w:r w:rsidR="4D561D57" w:rsidRPr="00276BCA">
        <w:rPr>
          <w:color w:val="auto"/>
        </w:rPr>
        <w:t>and the ESCs</w:t>
      </w:r>
      <w:r w:rsidR="6B495C7D" w:rsidRPr="00276BCA">
        <w:rPr>
          <w:color w:val="auto"/>
        </w:rPr>
        <w:t xml:space="preserve"> considered that w</w:t>
      </w:r>
      <w:r w:rsidR="1F121350" w:rsidRPr="00276BCA">
        <w:rPr>
          <w:color w:val="auto"/>
        </w:rPr>
        <w:t>hile the</w:t>
      </w:r>
      <w:r w:rsidR="73EB0D21" w:rsidRPr="00276BCA">
        <w:rPr>
          <w:color w:val="auto"/>
        </w:rPr>
        <w:t xml:space="preserve"> MBS item descriptor does not specify the term ‘positive’ or </w:t>
      </w:r>
      <w:r w:rsidR="45039CC5" w:rsidRPr="00276BCA">
        <w:rPr>
          <w:color w:val="auto"/>
        </w:rPr>
        <w:t>a</w:t>
      </w:r>
      <w:r w:rsidR="73EB0D21" w:rsidRPr="00276BCA">
        <w:rPr>
          <w:color w:val="auto"/>
        </w:rPr>
        <w:t xml:space="preserve"> threshold for CLDN18 expression; the threshold of ≥75%</w:t>
      </w:r>
      <w:r w:rsidR="45039CC5" w:rsidRPr="00276BCA">
        <w:rPr>
          <w:color w:val="auto"/>
        </w:rPr>
        <w:t xml:space="preserve"> should be</w:t>
      </w:r>
      <w:r w:rsidR="73EB0D21" w:rsidRPr="00276BCA">
        <w:rPr>
          <w:color w:val="auto"/>
        </w:rPr>
        <w:t xml:space="preserve"> a requisite to determine treatment eligibility with </w:t>
      </w:r>
      <w:proofErr w:type="spellStart"/>
      <w:r w:rsidR="73EB0D21" w:rsidRPr="00276BCA">
        <w:rPr>
          <w:color w:val="auto"/>
        </w:rPr>
        <w:t>zolbetuximab</w:t>
      </w:r>
      <w:proofErr w:type="spellEnd"/>
      <w:r w:rsidR="73EB0D21" w:rsidRPr="00276BCA">
        <w:rPr>
          <w:color w:val="auto"/>
        </w:rPr>
        <w:t xml:space="preserve">. </w:t>
      </w:r>
    </w:p>
    <w:p w14:paraId="79649FB9" w14:textId="7F79FE0F" w:rsidR="00BF1E55" w:rsidRPr="00276BCA" w:rsidRDefault="00ED1AB6" w:rsidP="77D89277">
      <w:pPr>
        <w:pStyle w:val="ListParagraph"/>
        <w:numPr>
          <w:ilvl w:val="4"/>
          <w:numId w:val="8"/>
        </w:numPr>
        <w:rPr>
          <w:color w:val="auto"/>
        </w:rPr>
      </w:pPr>
      <w:r w:rsidRPr="00276BCA">
        <w:rPr>
          <w:color w:val="auto"/>
        </w:rPr>
        <w:t>T</w:t>
      </w:r>
      <w:r w:rsidR="2190682D" w:rsidRPr="00276BCA">
        <w:rPr>
          <w:color w:val="auto"/>
        </w:rPr>
        <w:t xml:space="preserve">he submission did not present evidence </w:t>
      </w:r>
      <w:r w:rsidR="00BC240D" w:rsidRPr="00276BCA">
        <w:rPr>
          <w:color w:val="auto"/>
        </w:rPr>
        <w:t xml:space="preserve">for </w:t>
      </w:r>
      <w:r w:rsidR="2190682D" w:rsidRPr="00276BCA">
        <w:rPr>
          <w:color w:val="auto"/>
        </w:rPr>
        <w:t xml:space="preserve">the treatment effect modification of </w:t>
      </w:r>
      <w:proofErr w:type="spellStart"/>
      <w:r w:rsidR="2190682D" w:rsidRPr="00276BCA">
        <w:rPr>
          <w:color w:val="auto"/>
        </w:rPr>
        <w:t>zolbetuximab</w:t>
      </w:r>
      <w:proofErr w:type="spellEnd"/>
      <w:r w:rsidR="2190682D" w:rsidRPr="00276BCA">
        <w:rPr>
          <w:color w:val="auto"/>
        </w:rPr>
        <w:t xml:space="preserve"> + chemotherapy for patients who tested positive for CLDN18.2 versus patients who were CLDN18.2- using the threshold of ≥75%. </w:t>
      </w:r>
      <w:r w:rsidR="00381D4D" w:rsidRPr="00276BCA">
        <w:rPr>
          <w:color w:val="auto"/>
        </w:rPr>
        <w:t>It was not possible</w:t>
      </w:r>
      <w:r w:rsidR="00923396" w:rsidRPr="00276BCA">
        <w:rPr>
          <w:color w:val="auto"/>
        </w:rPr>
        <w:t xml:space="preserve"> to determine</w:t>
      </w:r>
      <w:r w:rsidR="5BDFB0C1" w:rsidRPr="00276BCA">
        <w:rPr>
          <w:color w:val="auto"/>
        </w:rPr>
        <w:t xml:space="preserve"> the </w:t>
      </w:r>
      <w:r w:rsidR="2190682D" w:rsidRPr="00276BCA">
        <w:rPr>
          <w:color w:val="auto"/>
        </w:rPr>
        <w:t xml:space="preserve">variation in treatment effect attributable to CLDN18.2 positivity, isolated from its prognostic effect from the evidence presented, and acceptance of the predictive value of the test primarily relies on biological plausibility. </w:t>
      </w:r>
    </w:p>
    <w:p w14:paraId="2B7D94E6" w14:textId="4F44EC0E" w:rsidR="00CB6F3A" w:rsidRPr="00276BCA" w:rsidRDefault="00CB6F3A" w:rsidP="00CB6F3A">
      <w:pPr>
        <w:pStyle w:val="ListParagraph"/>
        <w:numPr>
          <w:ilvl w:val="4"/>
          <w:numId w:val="8"/>
        </w:numPr>
        <w:rPr>
          <w:color w:val="auto"/>
        </w:rPr>
      </w:pPr>
      <w:r w:rsidRPr="00276BCA">
        <w:rPr>
          <w:color w:val="auto"/>
        </w:rPr>
        <w:t>The</w:t>
      </w:r>
      <w:r w:rsidR="00667FE2" w:rsidRPr="00276BCA">
        <w:rPr>
          <w:color w:val="auto"/>
        </w:rPr>
        <w:t xml:space="preserve"> PBAC </w:t>
      </w:r>
      <w:r w:rsidR="007E4E81" w:rsidRPr="00276BCA">
        <w:rPr>
          <w:color w:val="auto"/>
        </w:rPr>
        <w:t>considered that</w:t>
      </w:r>
      <w:r w:rsidRPr="00276BCA">
        <w:rPr>
          <w:color w:val="auto"/>
        </w:rPr>
        <w:t xml:space="preserve"> that the biological rationale for testing for CLDN18.2 expression as a biomarker for targeted treatment with </w:t>
      </w:r>
      <w:proofErr w:type="spellStart"/>
      <w:r w:rsidRPr="00276BCA">
        <w:rPr>
          <w:color w:val="auto"/>
        </w:rPr>
        <w:t>zolbetuximab</w:t>
      </w:r>
      <w:proofErr w:type="spellEnd"/>
      <w:r w:rsidRPr="00276BCA">
        <w:rPr>
          <w:color w:val="auto"/>
        </w:rPr>
        <w:t xml:space="preserve"> appeared to be reasonable</w:t>
      </w:r>
      <w:r w:rsidR="00A40306" w:rsidRPr="00276BCA">
        <w:rPr>
          <w:color w:val="auto"/>
        </w:rPr>
        <w:t>,</w:t>
      </w:r>
      <w:r w:rsidRPr="00276BCA">
        <w:rPr>
          <w:color w:val="auto"/>
        </w:rPr>
        <w:t xml:space="preserve"> and aligned with international guidelines</w:t>
      </w:r>
      <w:r w:rsidR="001A6810" w:rsidRPr="00276BCA">
        <w:rPr>
          <w:color w:val="auto"/>
        </w:rPr>
        <w:t xml:space="preserve"> (i</w:t>
      </w:r>
      <w:r w:rsidR="004B177B" w:rsidRPr="00276BCA">
        <w:rPr>
          <w:color w:val="auto"/>
        </w:rPr>
        <w:t>.</w:t>
      </w:r>
      <w:r w:rsidR="001A6810" w:rsidRPr="00276BCA">
        <w:rPr>
          <w:color w:val="auto"/>
        </w:rPr>
        <w:t>e</w:t>
      </w:r>
      <w:r w:rsidR="004B177B" w:rsidRPr="00276BCA">
        <w:rPr>
          <w:color w:val="auto"/>
        </w:rPr>
        <w:t>.</w:t>
      </w:r>
      <w:r w:rsidR="001A6810" w:rsidRPr="00276BCA">
        <w:rPr>
          <w:color w:val="auto"/>
        </w:rPr>
        <w:t xml:space="preserve"> </w:t>
      </w:r>
      <w:r w:rsidRPr="00276BCA">
        <w:rPr>
          <w:color w:val="auto"/>
        </w:rPr>
        <w:t>National Comprehensive Cancer Network (NCCN) and European Society for Medical Oncology (ESMO) guidelines</w:t>
      </w:r>
      <w:r w:rsidR="001A6810" w:rsidRPr="00276BCA">
        <w:rPr>
          <w:color w:val="auto"/>
        </w:rPr>
        <w:t>), which</w:t>
      </w:r>
      <w:r w:rsidRPr="00276BCA">
        <w:rPr>
          <w:color w:val="auto"/>
        </w:rPr>
        <w:t xml:space="preserve"> recommend </w:t>
      </w:r>
      <w:proofErr w:type="spellStart"/>
      <w:r w:rsidRPr="00276BCA">
        <w:rPr>
          <w:color w:val="auto"/>
        </w:rPr>
        <w:t>zolbetuximab</w:t>
      </w:r>
      <w:proofErr w:type="spellEnd"/>
      <w:r w:rsidRPr="00276BCA">
        <w:rPr>
          <w:color w:val="auto"/>
        </w:rPr>
        <w:t xml:space="preserve"> as preferred first-line treatment option for patients whose tumours are CLDN18.2+.</w:t>
      </w:r>
    </w:p>
    <w:p w14:paraId="1646C21A" w14:textId="602F2183" w:rsidR="00FE041C" w:rsidRPr="00276BCA" w:rsidRDefault="00FE041C" w:rsidP="77D89277">
      <w:pPr>
        <w:pStyle w:val="ListParagraph"/>
        <w:numPr>
          <w:ilvl w:val="4"/>
          <w:numId w:val="8"/>
        </w:numPr>
        <w:rPr>
          <w:color w:val="auto"/>
        </w:rPr>
      </w:pPr>
      <w:bookmarkStart w:id="62" w:name="_Ref195692004"/>
      <w:r w:rsidRPr="00276BCA">
        <w:rPr>
          <w:color w:val="auto"/>
        </w:rPr>
        <w:t xml:space="preserve">The PBAC considered that </w:t>
      </w:r>
      <w:r w:rsidR="003C44C5" w:rsidRPr="00276BCA">
        <w:rPr>
          <w:color w:val="auto"/>
        </w:rPr>
        <w:t>while there was no evidence regarding the treatment effect modification</w:t>
      </w:r>
      <w:r w:rsidR="00F40399" w:rsidRPr="00276BCA">
        <w:rPr>
          <w:color w:val="auto"/>
        </w:rPr>
        <w:t>,</w:t>
      </w:r>
      <w:r w:rsidR="00ED5957" w:rsidRPr="00276BCA">
        <w:rPr>
          <w:color w:val="auto"/>
        </w:rPr>
        <w:t xml:space="preserve"> it </w:t>
      </w:r>
      <w:r w:rsidR="00425131" w:rsidRPr="00276BCA">
        <w:rPr>
          <w:color w:val="auto"/>
        </w:rPr>
        <w:t>would be</w:t>
      </w:r>
      <w:r w:rsidR="00ED5957" w:rsidRPr="00276BCA">
        <w:rPr>
          <w:color w:val="auto"/>
        </w:rPr>
        <w:t xml:space="preserve"> reasonable to accept the claim for </w:t>
      </w:r>
      <w:proofErr w:type="spellStart"/>
      <w:r w:rsidR="00425131" w:rsidRPr="00276BCA">
        <w:rPr>
          <w:color w:val="auto"/>
        </w:rPr>
        <w:t>codependence</w:t>
      </w:r>
      <w:proofErr w:type="spellEnd"/>
      <w:r w:rsidR="00425131" w:rsidRPr="00276BCA">
        <w:rPr>
          <w:color w:val="auto"/>
        </w:rPr>
        <w:t xml:space="preserve"> due to the biological rationale</w:t>
      </w:r>
      <w:r w:rsidR="006D5379" w:rsidRPr="00276BCA">
        <w:rPr>
          <w:color w:val="auto"/>
        </w:rPr>
        <w:t xml:space="preserve"> and</w:t>
      </w:r>
      <w:r w:rsidR="00594206" w:rsidRPr="00276BCA">
        <w:rPr>
          <w:color w:val="auto"/>
        </w:rPr>
        <w:t xml:space="preserve"> </w:t>
      </w:r>
      <w:r w:rsidR="00215176" w:rsidRPr="00276BCA">
        <w:rPr>
          <w:color w:val="auto"/>
        </w:rPr>
        <w:t>results of the FAST trial</w:t>
      </w:r>
      <w:r w:rsidR="006D5379" w:rsidRPr="00276BCA">
        <w:rPr>
          <w:color w:val="auto"/>
        </w:rPr>
        <w:t>.</w:t>
      </w:r>
      <w:bookmarkEnd w:id="62"/>
      <w:r w:rsidR="00215176" w:rsidRPr="00276BCA">
        <w:rPr>
          <w:color w:val="auto"/>
        </w:rPr>
        <w:t xml:space="preserve"> </w:t>
      </w:r>
    </w:p>
    <w:p w14:paraId="53FCAD00" w14:textId="77777777" w:rsidR="00C317F3" w:rsidRPr="00276BCA" w:rsidRDefault="4F07ED87" w:rsidP="00074A38">
      <w:pPr>
        <w:pStyle w:val="OutlineHeading2"/>
        <w:rPr>
          <w:rFonts w:ascii="Calibri" w:hAnsi="Calibri" w:cs="Calibri"/>
          <w:iCs/>
        </w:rPr>
      </w:pPr>
      <w:r w:rsidRPr="00276BCA">
        <w:rPr>
          <w:rFonts w:ascii="Calibri" w:hAnsi="Calibri" w:cs="Calibri"/>
          <w:iCs/>
        </w:rPr>
        <w:t>Economic analysis</w:t>
      </w:r>
      <w:bookmarkEnd w:id="60"/>
    </w:p>
    <w:p w14:paraId="5CB72B67" w14:textId="2DAD8A01" w:rsidR="00EA0F50" w:rsidRPr="00276BCA" w:rsidRDefault="5B2999AE" w:rsidP="77D89277">
      <w:pPr>
        <w:pStyle w:val="ListParagraph"/>
        <w:numPr>
          <w:ilvl w:val="4"/>
          <w:numId w:val="8"/>
        </w:numPr>
        <w:rPr>
          <w:color w:val="auto"/>
        </w:rPr>
      </w:pPr>
      <w:r w:rsidRPr="00276BCA">
        <w:rPr>
          <w:color w:val="auto"/>
        </w:rPr>
        <w:t xml:space="preserve">The submission presented a CMA </w:t>
      </w:r>
      <w:r w:rsidR="03D0FFEB" w:rsidRPr="00276BCA">
        <w:rPr>
          <w:color w:val="auto"/>
        </w:rPr>
        <w:t xml:space="preserve">comparing </w:t>
      </w:r>
      <w:proofErr w:type="spellStart"/>
      <w:r w:rsidRPr="00276BCA">
        <w:rPr>
          <w:color w:val="auto"/>
        </w:rPr>
        <w:t>zolbetuximab</w:t>
      </w:r>
      <w:proofErr w:type="spellEnd"/>
      <w:r w:rsidRPr="00276BCA">
        <w:rPr>
          <w:color w:val="auto"/>
        </w:rPr>
        <w:t xml:space="preserve"> + chemotherapy </w:t>
      </w:r>
      <w:r w:rsidR="4ED2F3FC" w:rsidRPr="00276BCA">
        <w:rPr>
          <w:color w:val="auto"/>
        </w:rPr>
        <w:t>with CLDN18 testing</w:t>
      </w:r>
      <w:r w:rsidR="497AC460" w:rsidRPr="00276BCA">
        <w:rPr>
          <w:color w:val="auto"/>
        </w:rPr>
        <w:t>,</w:t>
      </w:r>
      <w:r w:rsidR="4ED2F3FC" w:rsidRPr="00276BCA">
        <w:rPr>
          <w:color w:val="auto"/>
        </w:rPr>
        <w:t xml:space="preserve"> </w:t>
      </w:r>
      <w:r w:rsidR="03D0FFEB" w:rsidRPr="00276BCA">
        <w:rPr>
          <w:color w:val="auto"/>
        </w:rPr>
        <w:t xml:space="preserve">to </w:t>
      </w:r>
      <w:r w:rsidRPr="00276BCA">
        <w:rPr>
          <w:color w:val="auto"/>
        </w:rPr>
        <w:t xml:space="preserve">nivolumab + chemotherapy </w:t>
      </w:r>
      <w:r w:rsidR="4ED2F3FC" w:rsidRPr="00276BCA">
        <w:rPr>
          <w:color w:val="auto"/>
        </w:rPr>
        <w:t>with no testing</w:t>
      </w:r>
      <w:r w:rsidR="03D0FFEB" w:rsidRPr="00276BCA">
        <w:rPr>
          <w:color w:val="auto"/>
        </w:rPr>
        <w:t>,</w:t>
      </w:r>
      <w:r w:rsidR="4ED2F3FC" w:rsidRPr="00276BCA">
        <w:rPr>
          <w:color w:val="auto"/>
        </w:rPr>
        <w:t xml:space="preserve"> </w:t>
      </w:r>
      <w:r w:rsidRPr="00276BCA">
        <w:rPr>
          <w:color w:val="auto"/>
        </w:rPr>
        <w:t xml:space="preserve">based on the claim of noninferior efficacy and safety. The CMA </w:t>
      </w:r>
      <w:r w:rsidR="05E4BCF9" w:rsidRPr="00276BCA">
        <w:rPr>
          <w:color w:val="auto"/>
        </w:rPr>
        <w:t xml:space="preserve">was based on the published price of nivolumab + chemotherapy. </w:t>
      </w:r>
    </w:p>
    <w:p w14:paraId="45B3BA91" w14:textId="55A17C06" w:rsidR="00EA0F50" w:rsidRPr="00276BCA" w:rsidRDefault="00C317F3" w:rsidP="008E424C">
      <w:pPr>
        <w:pStyle w:val="ListParagraph"/>
        <w:numPr>
          <w:ilvl w:val="4"/>
          <w:numId w:val="8"/>
        </w:numPr>
        <w:rPr>
          <w:color w:val="auto"/>
        </w:rPr>
      </w:pPr>
      <w:r w:rsidRPr="00276BCA">
        <w:rPr>
          <w:color w:val="auto"/>
        </w:rPr>
        <w:t xml:space="preserve">The </w:t>
      </w:r>
      <w:proofErr w:type="spellStart"/>
      <w:r w:rsidRPr="00276BCA">
        <w:rPr>
          <w:color w:val="auto"/>
        </w:rPr>
        <w:t>equi</w:t>
      </w:r>
      <w:proofErr w:type="spellEnd"/>
      <w:r w:rsidRPr="00276BCA">
        <w:rPr>
          <w:color w:val="auto"/>
        </w:rPr>
        <w:t xml:space="preserve">-effective doses </w:t>
      </w:r>
      <w:r w:rsidR="00AC1E12" w:rsidRPr="00276BCA">
        <w:rPr>
          <w:color w:val="auto"/>
        </w:rPr>
        <w:t>were</w:t>
      </w:r>
      <w:r w:rsidRPr="00276BCA">
        <w:rPr>
          <w:color w:val="auto"/>
        </w:rPr>
        <w:t xml:space="preserve"> estimated</w:t>
      </w:r>
      <w:r w:rsidR="00BE6D19" w:rsidRPr="00276BCA">
        <w:rPr>
          <w:color w:val="auto"/>
        </w:rPr>
        <w:t xml:space="preserve"> in the submission</w:t>
      </w:r>
      <w:r w:rsidRPr="00276BCA">
        <w:rPr>
          <w:color w:val="auto"/>
        </w:rPr>
        <w:t xml:space="preserve"> as</w:t>
      </w:r>
      <w:r w:rsidR="00EA0F50" w:rsidRPr="00276BCA">
        <w:rPr>
          <w:color w:val="auto"/>
        </w:rPr>
        <w:t>:</w:t>
      </w:r>
    </w:p>
    <w:p w14:paraId="50A3DE06" w14:textId="416241C5" w:rsidR="00EA0F50" w:rsidRPr="00276BCA" w:rsidRDefault="00EA0F50" w:rsidP="00EA0F50">
      <w:pPr>
        <w:pStyle w:val="PBACESParagraphBulletPoint"/>
        <w:rPr>
          <w:color w:val="auto"/>
        </w:rPr>
      </w:pPr>
      <w:proofErr w:type="spellStart"/>
      <w:r w:rsidRPr="00276BCA">
        <w:rPr>
          <w:color w:val="auto"/>
        </w:rPr>
        <w:lastRenderedPageBreak/>
        <w:t>zolbetuximab</w:t>
      </w:r>
      <w:proofErr w:type="spellEnd"/>
      <w:r w:rsidRPr="00276BCA">
        <w:rPr>
          <w:color w:val="auto"/>
        </w:rPr>
        <w:t xml:space="preserve"> 11,574.7 mg once every three weeks (Q3W) with CAPOX is equivalent to 5,400.0 mg nivolumab Q3W</w:t>
      </w:r>
      <w:r w:rsidR="0046650D" w:rsidRPr="00276BCA">
        <w:rPr>
          <w:color w:val="auto"/>
        </w:rPr>
        <w:t xml:space="preserve"> with CAPOX</w:t>
      </w:r>
      <w:r w:rsidRPr="00276BCA">
        <w:rPr>
          <w:color w:val="auto"/>
        </w:rPr>
        <w:t xml:space="preserve">; and </w:t>
      </w:r>
    </w:p>
    <w:p w14:paraId="39896D23" w14:textId="1D5E1883" w:rsidR="00EA0F50" w:rsidRPr="00276BCA" w:rsidRDefault="00EA0F50" w:rsidP="00EA0F50">
      <w:pPr>
        <w:pStyle w:val="PBACESParagraphBulletPoint"/>
        <w:rPr>
          <w:color w:val="auto"/>
        </w:rPr>
      </w:pPr>
      <w:proofErr w:type="spellStart"/>
      <w:r w:rsidRPr="00276BCA">
        <w:rPr>
          <w:color w:val="auto"/>
        </w:rPr>
        <w:t>zolbetuximab</w:t>
      </w:r>
      <w:proofErr w:type="spellEnd"/>
      <w:r w:rsidRPr="00276BCA">
        <w:rPr>
          <w:color w:val="auto"/>
        </w:rPr>
        <w:t xml:space="preserve"> 15,659.9 mg with mFOLFOX6 once every two weeks (Q2W) is equivalent to 5,280.0 mg nivolumab Q2W</w:t>
      </w:r>
      <w:r w:rsidR="0046650D" w:rsidRPr="00276BCA">
        <w:rPr>
          <w:color w:val="auto"/>
        </w:rPr>
        <w:t xml:space="preserve"> with mFOLFOX6</w:t>
      </w:r>
      <w:r w:rsidRPr="00276BCA">
        <w:rPr>
          <w:color w:val="auto"/>
        </w:rPr>
        <w:t>.</w:t>
      </w:r>
    </w:p>
    <w:p w14:paraId="419455B1" w14:textId="7FECD3D7" w:rsidR="005C1952" w:rsidRPr="00276BCA" w:rsidRDefault="005C1952" w:rsidP="77D89277">
      <w:pPr>
        <w:pStyle w:val="ListParagraph"/>
        <w:numPr>
          <w:ilvl w:val="4"/>
          <w:numId w:val="8"/>
        </w:numPr>
        <w:rPr>
          <w:color w:val="auto"/>
        </w:rPr>
      </w:pPr>
      <w:r w:rsidRPr="00276BCA">
        <w:rPr>
          <w:color w:val="auto"/>
        </w:rPr>
        <w:t xml:space="preserve">The </w:t>
      </w:r>
      <w:r w:rsidR="00845CAF" w:rsidRPr="00276BCA">
        <w:rPr>
          <w:color w:val="auto"/>
        </w:rPr>
        <w:t xml:space="preserve">PBAC noted that </w:t>
      </w:r>
      <w:proofErr w:type="spellStart"/>
      <w:r w:rsidRPr="00276BCA">
        <w:rPr>
          <w:color w:val="auto"/>
        </w:rPr>
        <w:t>equi</w:t>
      </w:r>
      <w:proofErr w:type="spellEnd"/>
      <w:r w:rsidRPr="00276BCA">
        <w:rPr>
          <w:color w:val="auto"/>
        </w:rPr>
        <w:t xml:space="preserve">-effective doses </w:t>
      </w:r>
      <w:r w:rsidR="005861DF" w:rsidRPr="00276BCA">
        <w:rPr>
          <w:color w:val="auto"/>
        </w:rPr>
        <w:t xml:space="preserve">above </w:t>
      </w:r>
      <w:r w:rsidRPr="00276BCA">
        <w:rPr>
          <w:color w:val="auto"/>
        </w:rPr>
        <w:t xml:space="preserve">do not </w:t>
      </w:r>
      <w:r w:rsidR="00845CAF" w:rsidRPr="00276BCA">
        <w:rPr>
          <w:color w:val="auto"/>
        </w:rPr>
        <w:t xml:space="preserve">explicitly </w:t>
      </w:r>
      <w:r w:rsidRPr="00276BCA">
        <w:rPr>
          <w:color w:val="auto"/>
        </w:rPr>
        <w:t xml:space="preserve">consider the </w:t>
      </w:r>
      <w:r w:rsidR="00B37866" w:rsidRPr="00276BCA">
        <w:rPr>
          <w:color w:val="auto"/>
        </w:rPr>
        <w:t>duration over which the treatments are administered</w:t>
      </w:r>
      <w:r w:rsidR="00C923B5" w:rsidRPr="00276BCA">
        <w:rPr>
          <w:color w:val="auto"/>
        </w:rPr>
        <w:t xml:space="preserve"> or the </w:t>
      </w:r>
      <w:r w:rsidR="004D5169" w:rsidRPr="00276BCA">
        <w:rPr>
          <w:color w:val="auto"/>
        </w:rPr>
        <w:t xml:space="preserve">loading dose for </w:t>
      </w:r>
      <w:proofErr w:type="spellStart"/>
      <w:r w:rsidR="002A27E4" w:rsidRPr="00276BCA">
        <w:rPr>
          <w:color w:val="auto"/>
        </w:rPr>
        <w:t>zol</w:t>
      </w:r>
      <w:r w:rsidR="00FE59A2" w:rsidRPr="00276BCA">
        <w:rPr>
          <w:color w:val="auto"/>
        </w:rPr>
        <w:t>betuximab</w:t>
      </w:r>
      <w:proofErr w:type="spellEnd"/>
      <w:r w:rsidR="00FE59A2" w:rsidRPr="00276BCA">
        <w:rPr>
          <w:color w:val="auto"/>
        </w:rPr>
        <w:t>.</w:t>
      </w:r>
      <w:r w:rsidR="009401BF" w:rsidRPr="00276BCA">
        <w:rPr>
          <w:color w:val="auto"/>
        </w:rPr>
        <w:t xml:space="preserve"> </w:t>
      </w:r>
      <w:r w:rsidR="009D7F79" w:rsidRPr="00276BCA">
        <w:rPr>
          <w:color w:val="auto"/>
        </w:rPr>
        <w:t xml:space="preserve">The PBAC considered that the </w:t>
      </w:r>
      <w:proofErr w:type="spellStart"/>
      <w:r w:rsidR="009D7F79" w:rsidRPr="00276BCA">
        <w:rPr>
          <w:color w:val="auto"/>
        </w:rPr>
        <w:t>equi</w:t>
      </w:r>
      <w:proofErr w:type="spellEnd"/>
      <w:r w:rsidR="009D7F79" w:rsidRPr="00276BCA">
        <w:rPr>
          <w:color w:val="auto"/>
        </w:rPr>
        <w:t>-effective doses should be revised as outlined in Section 7.</w:t>
      </w:r>
    </w:p>
    <w:p w14:paraId="2BA8BBAC" w14:textId="7547D006" w:rsidR="006242ED" w:rsidRPr="00276BCA" w:rsidRDefault="288DE7D3" w:rsidP="77D89277">
      <w:pPr>
        <w:pStyle w:val="ListParagraph"/>
        <w:numPr>
          <w:ilvl w:val="4"/>
          <w:numId w:val="8"/>
        </w:numPr>
        <w:rPr>
          <w:color w:val="auto"/>
        </w:rPr>
      </w:pPr>
      <w:proofErr w:type="spellStart"/>
      <w:r w:rsidRPr="00276BCA">
        <w:rPr>
          <w:color w:val="auto"/>
        </w:rPr>
        <w:t>Zolbetuximab</w:t>
      </w:r>
      <w:proofErr w:type="spellEnd"/>
      <w:r w:rsidRPr="00276BCA">
        <w:rPr>
          <w:color w:val="auto"/>
        </w:rPr>
        <w:t xml:space="preserve"> is administered intravenously</w:t>
      </w:r>
      <w:r w:rsidR="1E8B693A" w:rsidRPr="00276BCA">
        <w:rPr>
          <w:color w:val="auto"/>
        </w:rPr>
        <w:t xml:space="preserve"> </w:t>
      </w:r>
      <w:r w:rsidR="6649B8EE" w:rsidRPr="00276BCA">
        <w:rPr>
          <w:color w:val="auto"/>
        </w:rPr>
        <w:t xml:space="preserve">(IV) </w:t>
      </w:r>
      <w:r w:rsidRPr="00276BCA">
        <w:rPr>
          <w:color w:val="auto"/>
        </w:rPr>
        <w:t xml:space="preserve">with CAPOX or mFOLFOX6. For </w:t>
      </w:r>
      <w:proofErr w:type="spellStart"/>
      <w:r w:rsidRPr="00276BCA">
        <w:rPr>
          <w:color w:val="auto"/>
        </w:rPr>
        <w:t>zolbetuximab</w:t>
      </w:r>
      <w:proofErr w:type="spellEnd"/>
      <w:r w:rsidRPr="00276BCA">
        <w:rPr>
          <w:color w:val="auto"/>
        </w:rPr>
        <w:t xml:space="preserve"> + CAPOX treatment, </w:t>
      </w:r>
      <w:r w:rsidR="1E8B693A" w:rsidRPr="00276BCA">
        <w:rPr>
          <w:color w:val="auto"/>
        </w:rPr>
        <w:t>the regimen includes</w:t>
      </w:r>
      <w:r w:rsidRPr="00276BCA">
        <w:rPr>
          <w:color w:val="auto"/>
        </w:rPr>
        <w:t xml:space="preserve"> a loading dose of 800</w:t>
      </w:r>
      <w:r w:rsidR="0050689F" w:rsidRPr="00276BCA">
        <w:rPr>
          <w:color w:val="auto"/>
        </w:rPr>
        <w:t> </w:t>
      </w:r>
      <w:r w:rsidRPr="00276BCA">
        <w:rPr>
          <w:color w:val="auto"/>
        </w:rPr>
        <w:t>mg/m</w:t>
      </w:r>
      <w:r w:rsidRPr="00276BCA">
        <w:rPr>
          <w:color w:val="auto"/>
          <w:vertAlign w:val="superscript"/>
        </w:rPr>
        <w:t>2</w:t>
      </w:r>
      <w:r w:rsidRPr="00276BCA">
        <w:rPr>
          <w:color w:val="auto"/>
        </w:rPr>
        <w:t xml:space="preserve"> and a maintenance dose of 600 mg/m</w:t>
      </w:r>
      <w:r w:rsidRPr="00276BCA">
        <w:rPr>
          <w:color w:val="auto"/>
          <w:vertAlign w:val="superscript"/>
        </w:rPr>
        <w:t>2</w:t>
      </w:r>
      <w:r w:rsidRPr="00276BCA">
        <w:rPr>
          <w:color w:val="auto"/>
        </w:rPr>
        <w:t xml:space="preserve"> Q3W. For </w:t>
      </w:r>
      <w:proofErr w:type="spellStart"/>
      <w:r w:rsidRPr="00276BCA">
        <w:rPr>
          <w:color w:val="auto"/>
        </w:rPr>
        <w:t>zolbetuximab</w:t>
      </w:r>
      <w:proofErr w:type="spellEnd"/>
      <w:r w:rsidRPr="00276BCA">
        <w:rPr>
          <w:color w:val="auto"/>
        </w:rPr>
        <w:t xml:space="preserve"> + mFOLFOX6 treatment, </w:t>
      </w:r>
      <w:r w:rsidR="1E8B693A" w:rsidRPr="00276BCA">
        <w:rPr>
          <w:color w:val="auto"/>
        </w:rPr>
        <w:t xml:space="preserve">the loading dose is </w:t>
      </w:r>
      <w:r w:rsidRPr="00276BCA">
        <w:rPr>
          <w:color w:val="auto"/>
        </w:rPr>
        <w:t>800 mg/m</w:t>
      </w:r>
      <w:r w:rsidRPr="00276BCA">
        <w:rPr>
          <w:color w:val="auto"/>
          <w:vertAlign w:val="superscript"/>
        </w:rPr>
        <w:t>2</w:t>
      </w:r>
      <w:r w:rsidRPr="00276BCA">
        <w:rPr>
          <w:color w:val="auto"/>
        </w:rPr>
        <w:t xml:space="preserve">, followed by </w:t>
      </w:r>
      <w:r w:rsidR="1E8B693A" w:rsidRPr="00276BCA">
        <w:rPr>
          <w:color w:val="auto"/>
        </w:rPr>
        <w:t xml:space="preserve">a maintenance dose of </w:t>
      </w:r>
      <w:r w:rsidRPr="00276BCA">
        <w:rPr>
          <w:color w:val="auto"/>
        </w:rPr>
        <w:t>400</w:t>
      </w:r>
      <w:r w:rsidR="0050689F" w:rsidRPr="00276BCA">
        <w:rPr>
          <w:color w:val="auto"/>
        </w:rPr>
        <w:t> </w:t>
      </w:r>
      <w:r w:rsidRPr="00276BCA">
        <w:rPr>
          <w:color w:val="auto"/>
        </w:rPr>
        <w:t>mg/m</w:t>
      </w:r>
      <w:r w:rsidRPr="00276BCA">
        <w:rPr>
          <w:color w:val="auto"/>
          <w:vertAlign w:val="superscript"/>
        </w:rPr>
        <w:t>2</w:t>
      </w:r>
      <w:r w:rsidRPr="00276BCA">
        <w:rPr>
          <w:color w:val="auto"/>
        </w:rPr>
        <w:t xml:space="preserve"> Q2W. </w:t>
      </w:r>
      <w:r w:rsidR="0051105F" w:rsidRPr="00276BCA">
        <w:rPr>
          <w:color w:val="auto"/>
        </w:rPr>
        <w:t xml:space="preserve">As noted in paragraph </w:t>
      </w:r>
      <w:r w:rsidR="0051105F" w:rsidRPr="00276BCA">
        <w:rPr>
          <w:color w:val="auto"/>
        </w:rPr>
        <w:fldChar w:fldCharType="begin"/>
      </w:r>
      <w:r w:rsidR="0051105F" w:rsidRPr="00276BCA">
        <w:rPr>
          <w:color w:val="auto"/>
        </w:rPr>
        <w:instrText xml:space="preserve"> REF _Ref195687026 \r \h </w:instrText>
      </w:r>
      <w:r w:rsidR="00867969" w:rsidRPr="00276BCA">
        <w:rPr>
          <w:color w:val="auto"/>
        </w:rPr>
        <w:instrText xml:space="preserve"> \* MERGEFORMAT </w:instrText>
      </w:r>
      <w:r w:rsidR="0051105F" w:rsidRPr="00276BCA">
        <w:rPr>
          <w:color w:val="auto"/>
        </w:rPr>
      </w:r>
      <w:r w:rsidR="0051105F" w:rsidRPr="00276BCA">
        <w:rPr>
          <w:color w:val="auto"/>
        </w:rPr>
        <w:fldChar w:fldCharType="separate"/>
      </w:r>
      <w:r w:rsidR="0011458F">
        <w:rPr>
          <w:color w:val="auto"/>
        </w:rPr>
        <w:t>3.3</w:t>
      </w:r>
      <w:r w:rsidR="0051105F" w:rsidRPr="00276BCA">
        <w:rPr>
          <w:color w:val="auto"/>
        </w:rPr>
        <w:fldChar w:fldCharType="end"/>
      </w:r>
      <w:r w:rsidR="0051105F" w:rsidRPr="00276BCA">
        <w:rPr>
          <w:color w:val="auto"/>
        </w:rPr>
        <w:t>, t</w:t>
      </w:r>
      <w:r w:rsidR="3F17E447" w:rsidRPr="00276BCA">
        <w:rPr>
          <w:color w:val="auto"/>
        </w:rPr>
        <w:t>he</w:t>
      </w:r>
      <w:r w:rsidR="00425077" w:rsidRPr="00276BCA">
        <w:rPr>
          <w:color w:val="auto"/>
        </w:rPr>
        <w:t>se</w:t>
      </w:r>
      <w:r w:rsidR="3F17E447" w:rsidRPr="00276BCA">
        <w:rPr>
          <w:color w:val="auto"/>
        </w:rPr>
        <w:t xml:space="preserve"> dosing regimen</w:t>
      </w:r>
      <w:r w:rsidR="005E63E9" w:rsidRPr="00276BCA">
        <w:rPr>
          <w:color w:val="auto"/>
        </w:rPr>
        <w:t>s</w:t>
      </w:r>
      <w:r w:rsidR="3F17E447" w:rsidRPr="00276BCA">
        <w:rPr>
          <w:color w:val="auto"/>
        </w:rPr>
        <w:t xml:space="preserve"> </w:t>
      </w:r>
      <w:r w:rsidR="005E63E9" w:rsidRPr="00276BCA">
        <w:rPr>
          <w:color w:val="auto"/>
        </w:rPr>
        <w:t xml:space="preserve">are </w:t>
      </w:r>
      <w:r w:rsidR="3F17E447" w:rsidRPr="00276BCA">
        <w:rPr>
          <w:color w:val="auto"/>
        </w:rPr>
        <w:t xml:space="preserve">consistent with the </w:t>
      </w:r>
      <w:r w:rsidR="005E63E9" w:rsidRPr="00276BCA">
        <w:rPr>
          <w:color w:val="auto"/>
        </w:rPr>
        <w:t xml:space="preserve">dosing recommendations in the </w:t>
      </w:r>
      <w:r w:rsidR="3F17E447" w:rsidRPr="00276BCA">
        <w:rPr>
          <w:color w:val="auto"/>
        </w:rPr>
        <w:t xml:space="preserve">draft PI for </w:t>
      </w:r>
      <w:proofErr w:type="spellStart"/>
      <w:r w:rsidR="3F17E447" w:rsidRPr="00276BCA">
        <w:rPr>
          <w:color w:val="auto"/>
        </w:rPr>
        <w:t>zolbetuximab</w:t>
      </w:r>
      <w:proofErr w:type="spellEnd"/>
      <w:r w:rsidR="00852742" w:rsidRPr="00276BCA">
        <w:rPr>
          <w:color w:val="auto"/>
        </w:rPr>
        <w:t>, however</w:t>
      </w:r>
      <w:r w:rsidR="3F17E447" w:rsidRPr="00276BCA">
        <w:rPr>
          <w:color w:val="auto"/>
        </w:rPr>
        <w:t>, the SPOTLIGHT and GLOW trials utilised maintenance doses of 600 mg/m</w:t>
      </w:r>
      <w:r w:rsidR="3F17E447" w:rsidRPr="00276BCA">
        <w:rPr>
          <w:color w:val="auto"/>
          <w:vertAlign w:val="superscript"/>
        </w:rPr>
        <w:t>2</w:t>
      </w:r>
      <w:r w:rsidR="3F17E447" w:rsidRPr="00276BCA">
        <w:rPr>
          <w:color w:val="auto"/>
        </w:rPr>
        <w:t xml:space="preserve"> Q3W with both CAPOX </w:t>
      </w:r>
      <w:r w:rsidR="69D02D11" w:rsidRPr="00276BCA">
        <w:rPr>
          <w:color w:val="auto"/>
        </w:rPr>
        <w:t xml:space="preserve">Q2W </w:t>
      </w:r>
      <w:r w:rsidR="3F17E447" w:rsidRPr="00276BCA">
        <w:rPr>
          <w:color w:val="auto"/>
        </w:rPr>
        <w:t>and mFOLFOX6</w:t>
      </w:r>
      <w:r w:rsidR="69D02D11" w:rsidRPr="00276BCA">
        <w:rPr>
          <w:color w:val="auto"/>
        </w:rPr>
        <w:t xml:space="preserve"> Q3W</w:t>
      </w:r>
      <w:r w:rsidR="3F17E447" w:rsidRPr="00276BCA">
        <w:rPr>
          <w:color w:val="auto"/>
        </w:rPr>
        <w:t xml:space="preserve">. </w:t>
      </w:r>
      <w:r w:rsidR="006242ED" w:rsidRPr="00276BCA">
        <w:rPr>
          <w:color w:val="auto"/>
        </w:rPr>
        <w:t xml:space="preserve">A scenario analysis was conducted by the submission, adjusting the base case to reflect the 600 mg/m² Q3W dosing schedule. The result showed a negligible impact on the </w:t>
      </w:r>
      <w:r w:rsidR="000F7BA2" w:rsidRPr="00276BCA">
        <w:rPr>
          <w:color w:val="auto"/>
        </w:rPr>
        <w:t>CMA</w:t>
      </w:r>
      <w:r w:rsidR="006242ED" w:rsidRPr="00276BCA">
        <w:rPr>
          <w:color w:val="auto"/>
        </w:rPr>
        <w:t>.</w:t>
      </w:r>
    </w:p>
    <w:p w14:paraId="18631F28" w14:textId="786DEAFC" w:rsidR="00CC1548" w:rsidRPr="00276BCA" w:rsidRDefault="288DE7D3" w:rsidP="77D89277">
      <w:pPr>
        <w:pStyle w:val="ListParagraph"/>
        <w:numPr>
          <w:ilvl w:val="4"/>
          <w:numId w:val="8"/>
        </w:numPr>
        <w:rPr>
          <w:color w:val="auto"/>
        </w:rPr>
      </w:pPr>
      <w:r w:rsidRPr="00276BCA">
        <w:rPr>
          <w:color w:val="auto"/>
        </w:rPr>
        <w:t xml:space="preserve">Nivolumab is administered as 360 mg Q3W with </w:t>
      </w:r>
      <w:r w:rsidR="78279514" w:rsidRPr="00276BCA">
        <w:rPr>
          <w:color w:val="auto"/>
        </w:rPr>
        <w:t>the</w:t>
      </w:r>
      <w:r w:rsidRPr="00276BCA">
        <w:rPr>
          <w:color w:val="auto"/>
        </w:rPr>
        <w:t xml:space="preserve"> CAPOX regimen and 240 mg Q2W with </w:t>
      </w:r>
      <w:r w:rsidR="78279514" w:rsidRPr="00276BCA">
        <w:rPr>
          <w:color w:val="auto"/>
        </w:rPr>
        <w:t xml:space="preserve">the </w:t>
      </w:r>
      <w:r w:rsidRPr="00276BCA">
        <w:rPr>
          <w:color w:val="auto"/>
        </w:rPr>
        <w:t xml:space="preserve">mFOLFOX6 regimen for a maximum of two years. </w:t>
      </w:r>
      <w:r w:rsidR="00AE4B2E" w:rsidRPr="00276BCA">
        <w:rPr>
          <w:color w:val="auto"/>
        </w:rPr>
        <w:t>T</w:t>
      </w:r>
      <w:r w:rsidRPr="00276BCA">
        <w:rPr>
          <w:color w:val="auto"/>
        </w:rPr>
        <w:t xml:space="preserve">his was consistent with the approved PI for nivolumab, the dosing regimen used in </w:t>
      </w:r>
      <w:proofErr w:type="spellStart"/>
      <w:r w:rsidRPr="00276BCA">
        <w:rPr>
          <w:color w:val="auto"/>
        </w:rPr>
        <w:t>CheckMate</w:t>
      </w:r>
      <w:proofErr w:type="spellEnd"/>
      <w:r w:rsidRPr="00276BCA">
        <w:rPr>
          <w:color w:val="auto"/>
        </w:rPr>
        <w:t xml:space="preserve"> 649 trial</w:t>
      </w:r>
      <w:r w:rsidR="408D9179" w:rsidRPr="00276BCA">
        <w:rPr>
          <w:color w:val="auto"/>
        </w:rPr>
        <w:t>, and the PBAC</w:t>
      </w:r>
      <w:r w:rsidR="0FE8BBD7" w:rsidRPr="00276BCA">
        <w:rPr>
          <w:color w:val="auto"/>
        </w:rPr>
        <w:t>’s</w:t>
      </w:r>
      <w:r w:rsidR="408D9179" w:rsidRPr="00276BCA">
        <w:rPr>
          <w:color w:val="auto"/>
        </w:rPr>
        <w:t xml:space="preserve"> consideration of nivolumab for the same indication</w:t>
      </w:r>
      <w:r w:rsidRPr="00276BCA">
        <w:rPr>
          <w:color w:val="auto"/>
        </w:rPr>
        <w:t xml:space="preserve">. </w:t>
      </w:r>
    </w:p>
    <w:p w14:paraId="7F445A03" w14:textId="1C2F28D9" w:rsidR="00A63A3D" w:rsidRPr="00276BCA" w:rsidRDefault="75209CB8" w:rsidP="008E424C">
      <w:pPr>
        <w:pStyle w:val="ListParagraph"/>
        <w:numPr>
          <w:ilvl w:val="4"/>
          <w:numId w:val="8"/>
        </w:numPr>
        <w:rPr>
          <w:color w:val="auto"/>
        </w:rPr>
      </w:pPr>
      <w:r w:rsidRPr="00276BCA">
        <w:rPr>
          <w:color w:val="auto"/>
        </w:rPr>
        <w:t xml:space="preserve">In the base case, the submission assumed an equal split between patients receiving the CAPOX and mFOLFOX6 regimens. </w:t>
      </w:r>
      <w:r w:rsidR="00BF50D8" w:rsidRPr="00276BCA">
        <w:rPr>
          <w:color w:val="auto"/>
        </w:rPr>
        <w:t xml:space="preserve">The </w:t>
      </w:r>
      <w:r w:rsidR="000956BE" w:rsidRPr="00276BCA">
        <w:rPr>
          <w:color w:val="auto"/>
        </w:rPr>
        <w:t xml:space="preserve">submission did not provide any evidence to support this assumption. Furthermore, </w:t>
      </w:r>
      <w:r w:rsidRPr="00276BCA">
        <w:rPr>
          <w:color w:val="auto"/>
        </w:rPr>
        <w:t xml:space="preserve">the </w:t>
      </w:r>
      <w:r w:rsidR="00B34FDE" w:rsidRPr="00276BCA">
        <w:rPr>
          <w:color w:val="auto"/>
        </w:rPr>
        <w:t>derived price</w:t>
      </w:r>
      <w:r w:rsidRPr="00276BCA">
        <w:rPr>
          <w:color w:val="auto"/>
        </w:rPr>
        <w:t xml:space="preserve"> of </w:t>
      </w:r>
      <w:proofErr w:type="spellStart"/>
      <w:r w:rsidRPr="00276BCA">
        <w:rPr>
          <w:color w:val="auto"/>
        </w:rPr>
        <w:t>zolbetuximab</w:t>
      </w:r>
      <w:proofErr w:type="spellEnd"/>
      <w:r w:rsidRPr="00276BCA">
        <w:rPr>
          <w:color w:val="auto"/>
        </w:rPr>
        <w:t xml:space="preserve"> was sensitive to variations in the regimen split</w:t>
      </w:r>
      <w:r w:rsidR="00677928" w:rsidRPr="00276BCA">
        <w:rPr>
          <w:color w:val="auto"/>
        </w:rPr>
        <w:t xml:space="preserve"> (refer to </w:t>
      </w:r>
      <w:r w:rsidR="00677928" w:rsidRPr="00276BCA">
        <w:rPr>
          <w:color w:val="auto"/>
        </w:rPr>
        <w:fldChar w:fldCharType="begin"/>
      </w:r>
      <w:r w:rsidR="00677928" w:rsidRPr="00276BCA">
        <w:rPr>
          <w:color w:val="auto"/>
        </w:rPr>
        <w:instrText xml:space="preserve"> REF _Ref183798923 \h  \* MERGEFORMAT </w:instrText>
      </w:r>
      <w:r w:rsidR="00677928" w:rsidRPr="00276BCA">
        <w:rPr>
          <w:color w:val="auto"/>
        </w:rPr>
      </w:r>
      <w:r w:rsidR="00677928" w:rsidRPr="00276BCA">
        <w:rPr>
          <w:color w:val="auto"/>
        </w:rPr>
        <w:fldChar w:fldCharType="separate"/>
      </w:r>
      <w:r w:rsidR="0011458F" w:rsidRPr="0011458F">
        <w:rPr>
          <w:color w:val="auto"/>
        </w:rPr>
        <w:t>Table 13</w:t>
      </w:r>
      <w:r w:rsidR="00677928" w:rsidRPr="00276BCA">
        <w:rPr>
          <w:color w:val="auto"/>
        </w:rPr>
        <w:fldChar w:fldCharType="end"/>
      </w:r>
      <w:r w:rsidR="00677928" w:rsidRPr="00276BCA">
        <w:rPr>
          <w:color w:val="auto"/>
        </w:rPr>
        <w:t>)</w:t>
      </w:r>
      <w:r w:rsidRPr="00276BCA">
        <w:rPr>
          <w:color w:val="auto"/>
        </w:rPr>
        <w:t>.</w:t>
      </w:r>
      <w:r w:rsidR="000935C1" w:rsidRPr="00276BCA">
        <w:rPr>
          <w:color w:val="auto"/>
        </w:rPr>
        <w:t xml:space="preserve"> </w:t>
      </w:r>
    </w:p>
    <w:p w14:paraId="3C6AF5E2" w14:textId="3B6C04CC" w:rsidR="00E62933" w:rsidRPr="00276BCA" w:rsidRDefault="14CDAC42" w:rsidP="77D89277">
      <w:pPr>
        <w:pStyle w:val="ListParagraph"/>
        <w:numPr>
          <w:ilvl w:val="4"/>
          <w:numId w:val="8"/>
        </w:numPr>
        <w:rPr>
          <w:color w:val="auto"/>
        </w:rPr>
      </w:pPr>
      <w:r w:rsidRPr="00276BCA">
        <w:t>T</w:t>
      </w:r>
      <w:r w:rsidR="288DE7D3" w:rsidRPr="00276BCA">
        <w:t xml:space="preserve">he mean treatment durations </w:t>
      </w:r>
      <w:r w:rsidRPr="00276BCA">
        <w:t xml:space="preserve">for </w:t>
      </w:r>
      <w:proofErr w:type="spellStart"/>
      <w:r w:rsidRPr="00276BCA">
        <w:t>zolbetuxim</w:t>
      </w:r>
      <w:r w:rsidR="302BEA3F" w:rsidRPr="00276BCA">
        <w:t>ab</w:t>
      </w:r>
      <w:proofErr w:type="spellEnd"/>
      <w:r w:rsidR="302BEA3F" w:rsidRPr="00276BCA">
        <w:t xml:space="preserve"> </w:t>
      </w:r>
      <w:r w:rsidR="5E4F432D" w:rsidRPr="00276BCA">
        <w:t xml:space="preserve">were </w:t>
      </w:r>
      <w:r w:rsidR="6349E634" w:rsidRPr="00276BCA">
        <w:t>based on</w:t>
      </w:r>
      <w:r w:rsidR="288DE7D3" w:rsidRPr="00276BCA">
        <w:t xml:space="preserve"> </w:t>
      </w:r>
      <w:r w:rsidR="5E4F432D" w:rsidRPr="00276BCA">
        <w:t xml:space="preserve">the </w:t>
      </w:r>
      <w:r w:rsidR="288DE7D3" w:rsidRPr="00276BCA">
        <w:t xml:space="preserve">GLOW </w:t>
      </w:r>
      <w:r w:rsidR="2AE4EAA9" w:rsidRPr="00276BCA">
        <w:t>(7.34</w:t>
      </w:r>
      <w:r w:rsidR="0050689F" w:rsidRPr="00276BCA">
        <w:t> </w:t>
      </w:r>
      <w:r w:rsidR="2AE4EAA9" w:rsidRPr="00276BCA">
        <w:t xml:space="preserve">months) </w:t>
      </w:r>
      <w:r w:rsidR="288DE7D3" w:rsidRPr="00276BCA">
        <w:t xml:space="preserve">and SPOTLIGHT </w:t>
      </w:r>
      <w:r w:rsidR="2AE4EAA9" w:rsidRPr="00276BCA">
        <w:t xml:space="preserve">(10.07 months) </w:t>
      </w:r>
      <w:r w:rsidR="288DE7D3" w:rsidRPr="00276BCA">
        <w:t>trials.</w:t>
      </w:r>
      <w:r w:rsidR="57469873" w:rsidRPr="00276BCA">
        <w:t xml:space="preserve"> </w:t>
      </w:r>
      <w:r w:rsidR="302BEA3F" w:rsidRPr="00276BCA">
        <w:t xml:space="preserve">Similarly, the mean durations for the chemotherapy components were derived from the </w:t>
      </w:r>
      <w:proofErr w:type="spellStart"/>
      <w:r w:rsidR="302BEA3F" w:rsidRPr="00276BCA">
        <w:t>zolbetuximab</w:t>
      </w:r>
      <w:proofErr w:type="spellEnd"/>
      <w:r w:rsidR="302BEA3F" w:rsidRPr="00276BCA">
        <w:t xml:space="preserve"> trials</w:t>
      </w:r>
      <w:r w:rsidR="57469873" w:rsidRPr="00276BCA">
        <w:t>.</w:t>
      </w:r>
      <w:r w:rsidR="6349E634" w:rsidRPr="00276BCA">
        <w:t xml:space="preserve"> </w:t>
      </w:r>
      <w:r w:rsidR="288DE7D3" w:rsidRPr="00276BCA">
        <w:t>For nivolumab,</w:t>
      </w:r>
      <w:r w:rsidR="6349E634" w:rsidRPr="00276BCA">
        <w:t xml:space="preserve"> </w:t>
      </w:r>
      <w:proofErr w:type="spellStart"/>
      <w:r w:rsidR="6349E634" w:rsidRPr="00276BCA">
        <w:t>Janjigian</w:t>
      </w:r>
      <w:proofErr w:type="spellEnd"/>
      <w:r w:rsidR="6349E634" w:rsidRPr="00276BCA">
        <w:t xml:space="preserve"> et al. (</w:t>
      </w:r>
      <w:r w:rsidR="6349E634" w:rsidRPr="00276BCA">
        <w:rPr>
          <w:color w:val="auto"/>
        </w:rPr>
        <w:t>2024</w:t>
      </w:r>
      <w:r w:rsidR="6349E634" w:rsidRPr="00276BCA">
        <w:t>)</w:t>
      </w:r>
      <w:r w:rsidR="4015803E" w:rsidRPr="00276BCA">
        <w:t xml:space="preserve"> r</w:t>
      </w:r>
      <w:r w:rsidR="6349E634" w:rsidRPr="00276BCA">
        <w:t xml:space="preserve">eported </w:t>
      </w:r>
      <w:r w:rsidR="288DE7D3" w:rsidRPr="00276BCA">
        <w:t>only median treatment duration</w:t>
      </w:r>
      <w:r w:rsidR="6349E634" w:rsidRPr="00276BCA">
        <w:t>s;</w:t>
      </w:r>
      <w:r w:rsidR="288DE7D3" w:rsidRPr="00276BCA">
        <w:t xml:space="preserve"> </w:t>
      </w:r>
      <w:r w:rsidR="4015803E" w:rsidRPr="00276BCA">
        <w:t>6.80</w:t>
      </w:r>
      <w:r w:rsidR="0050689F" w:rsidRPr="00276BCA">
        <w:t> </w:t>
      </w:r>
      <w:r w:rsidR="4015803E" w:rsidRPr="00276BCA">
        <w:t xml:space="preserve">months for </w:t>
      </w:r>
      <w:r w:rsidR="302BEA3F" w:rsidRPr="00276BCA">
        <w:t xml:space="preserve">nivolumab + chemotherapy and </w:t>
      </w:r>
      <w:r w:rsidR="4015803E" w:rsidRPr="00276BCA">
        <w:t xml:space="preserve">4.90 months </w:t>
      </w:r>
      <w:r w:rsidR="302BEA3F" w:rsidRPr="00276BCA">
        <w:t>chemotherapy alone</w:t>
      </w:r>
      <w:r w:rsidR="4015803E" w:rsidRPr="00276BCA">
        <w:t>.</w:t>
      </w:r>
      <w:r w:rsidR="1CB0E0E1" w:rsidRPr="00276BCA">
        <w:t xml:space="preserve"> </w:t>
      </w:r>
      <w:r w:rsidR="302BEA3F" w:rsidRPr="00276BCA">
        <w:t>The submission estimated the mean duration</w:t>
      </w:r>
      <w:r w:rsidR="1CB0E0E1" w:rsidRPr="00276BCA">
        <w:t xml:space="preserve"> for nivolumab</w:t>
      </w:r>
      <w:r w:rsidR="302BEA3F" w:rsidRPr="00276BCA">
        <w:t xml:space="preserve"> (9.81 months) </w:t>
      </w:r>
      <w:r w:rsidR="37A39642" w:rsidRPr="00276BCA">
        <w:t xml:space="preserve">and chemotherapy (7.07 months) </w:t>
      </w:r>
      <w:r w:rsidR="302BEA3F" w:rsidRPr="00276BCA">
        <w:t>using an exponential distribution</w:t>
      </w:r>
      <w:r w:rsidR="7D226716" w:rsidRPr="00276BCA">
        <w:t>, except for oxaliplatin</w:t>
      </w:r>
      <w:r w:rsidR="302BEA3F" w:rsidRPr="00276BCA">
        <w:t>.</w:t>
      </w:r>
      <w:r w:rsidR="68DAF261" w:rsidRPr="00276BCA">
        <w:t xml:space="preserve"> </w:t>
      </w:r>
      <w:r w:rsidR="00A00B69" w:rsidRPr="00276BCA">
        <w:t xml:space="preserve">The </w:t>
      </w:r>
      <w:r w:rsidR="003E4D07" w:rsidRPr="00276BCA">
        <w:t xml:space="preserve">use of </w:t>
      </w:r>
      <w:r w:rsidR="0027763A" w:rsidRPr="00276BCA">
        <w:t>o</w:t>
      </w:r>
      <w:r w:rsidR="288DE7D3" w:rsidRPr="00276BCA">
        <w:t>xaliplatin</w:t>
      </w:r>
      <w:r w:rsidR="7D226716" w:rsidRPr="00276BCA">
        <w:t xml:space="preserve"> </w:t>
      </w:r>
      <w:r w:rsidR="1C4F498F" w:rsidRPr="00276BCA">
        <w:t>was</w:t>
      </w:r>
      <w:r w:rsidR="00097A0C" w:rsidRPr="00276BCA">
        <w:t xml:space="preserve"> assumed to be</w:t>
      </w:r>
      <w:r w:rsidR="1C4F498F" w:rsidRPr="00276BCA">
        <w:t xml:space="preserve"> capped at 8 cycles (5.52 months) for CAPOX and 12 cycles (5.52 months) for mFOLFOX6,</w:t>
      </w:r>
      <w:r w:rsidR="007B1C13" w:rsidRPr="00276BCA">
        <w:t xml:space="preserve"> consistent with the regimens used in </w:t>
      </w:r>
      <w:r w:rsidR="288DE7D3" w:rsidRPr="00276BCA">
        <w:t>the GLOW and SPOTLIGHT trials.</w:t>
      </w:r>
      <w:r w:rsidR="00CE1F96" w:rsidRPr="00276BCA">
        <w:rPr>
          <w:color w:val="auto"/>
        </w:rPr>
        <w:t xml:space="preserve"> T</w:t>
      </w:r>
      <w:r w:rsidR="5BDFB0C1" w:rsidRPr="00276BCA">
        <w:rPr>
          <w:color w:val="auto"/>
        </w:rPr>
        <w:t xml:space="preserve">he evaluation </w:t>
      </w:r>
      <w:r w:rsidR="56E93815" w:rsidRPr="00276BCA">
        <w:rPr>
          <w:color w:val="auto"/>
        </w:rPr>
        <w:t>and the ESCs</w:t>
      </w:r>
      <w:r w:rsidR="5BDFB0C1" w:rsidRPr="00276BCA">
        <w:rPr>
          <w:color w:val="auto"/>
        </w:rPr>
        <w:t xml:space="preserve"> considered that </w:t>
      </w:r>
      <w:r w:rsidR="04C67DDD" w:rsidRPr="00276BCA">
        <w:t xml:space="preserve">mean durations derived from exponential distributions may </w:t>
      </w:r>
      <w:r w:rsidR="21CFD998" w:rsidRPr="00276BCA">
        <w:t>not be accurate</w:t>
      </w:r>
      <w:r w:rsidR="04C67DDD" w:rsidRPr="00276BCA">
        <w:t>.</w:t>
      </w:r>
      <w:r w:rsidR="288DE7D3" w:rsidRPr="00276BCA">
        <w:t xml:space="preserve"> </w:t>
      </w:r>
      <w:r w:rsidR="15BD8A5C" w:rsidRPr="00276BCA">
        <w:rPr>
          <w:color w:val="auto"/>
        </w:rPr>
        <w:t xml:space="preserve">Assuming treatment duration for nivolumab and </w:t>
      </w:r>
      <w:proofErr w:type="spellStart"/>
      <w:r w:rsidR="15BD8A5C" w:rsidRPr="00276BCA">
        <w:rPr>
          <w:color w:val="auto"/>
        </w:rPr>
        <w:t>zolbetuximab</w:t>
      </w:r>
      <w:proofErr w:type="spellEnd"/>
      <w:r w:rsidR="15BD8A5C" w:rsidRPr="00276BCA">
        <w:rPr>
          <w:color w:val="auto"/>
        </w:rPr>
        <w:t xml:space="preserve"> resulted in a 14% decrease in the derived price of </w:t>
      </w:r>
      <w:proofErr w:type="spellStart"/>
      <w:r w:rsidR="15BD8A5C" w:rsidRPr="00276BCA">
        <w:rPr>
          <w:color w:val="auto"/>
        </w:rPr>
        <w:t>zolbetuximab</w:t>
      </w:r>
      <w:proofErr w:type="spellEnd"/>
      <w:r w:rsidR="005F7292" w:rsidRPr="00276BCA">
        <w:rPr>
          <w:color w:val="auto"/>
        </w:rPr>
        <w:t xml:space="preserve">. </w:t>
      </w:r>
      <w:r w:rsidR="2CD71210" w:rsidRPr="00276BCA">
        <w:t xml:space="preserve">Notably, the mean number of doses calculated based </w:t>
      </w:r>
      <w:r w:rsidR="2CD71210" w:rsidRPr="00276BCA">
        <w:lastRenderedPageBreak/>
        <w:t xml:space="preserve">on the mean treatment duration was </w:t>
      </w:r>
      <w:r w:rsidR="00B629CC" w:rsidRPr="00276BCA">
        <w:t>ina</w:t>
      </w:r>
      <w:r w:rsidR="009803C9" w:rsidRPr="00276BCA">
        <w:t xml:space="preserve">ppropriately </w:t>
      </w:r>
      <w:r w:rsidR="2CD71210" w:rsidRPr="00276BCA">
        <w:t xml:space="preserve">rounded </w:t>
      </w:r>
      <w:r w:rsidR="2D63C73C" w:rsidRPr="00276BCA">
        <w:t xml:space="preserve">down </w:t>
      </w:r>
      <w:r w:rsidR="3C394994" w:rsidRPr="00276BCA">
        <w:t xml:space="preserve">to the nearest whole number </w:t>
      </w:r>
      <w:r w:rsidR="2CD71210" w:rsidRPr="00276BCA">
        <w:t>for both the treatment arms in the CMA.</w:t>
      </w:r>
      <w:r w:rsidR="00AF6FB0" w:rsidRPr="00276BCA">
        <w:t xml:space="preserve"> </w:t>
      </w:r>
    </w:p>
    <w:p w14:paraId="00EB0E78" w14:textId="00B759F6" w:rsidR="00C40FA3" w:rsidRPr="00276BCA" w:rsidRDefault="784654BF" w:rsidP="77D89277">
      <w:pPr>
        <w:pStyle w:val="ListParagraph"/>
        <w:numPr>
          <w:ilvl w:val="4"/>
          <w:numId w:val="8"/>
        </w:numPr>
        <w:rPr>
          <w:color w:val="auto"/>
        </w:rPr>
      </w:pPr>
      <w:r w:rsidRPr="00276BCA">
        <w:rPr>
          <w:color w:val="auto"/>
        </w:rPr>
        <w:t xml:space="preserve">Relative dose intensities (RDIs) were factored into the CMA; however, they were not used in the calculation of </w:t>
      </w:r>
      <w:proofErr w:type="spellStart"/>
      <w:r w:rsidRPr="00276BCA">
        <w:rPr>
          <w:color w:val="auto"/>
        </w:rPr>
        <w:t>equi</w:t>
      </w:r>
      <w:proofErr w:type="spellEnd"/>
      <w:r w:rsidRPr="00276BCA">
        <w:rPr>
          <w:color w:val="auto"/>
        </w:rPr>
        <w:t>-effective doses. F</w:t>
      </w:r>
      <w:r w:rsidR="74CB9957" w:rsidRPr="00276BCA">
        <w:rPr>
          <w:color w:val="auto"/>
        </w:rPr>
        <w:t xml:space="preserve">or </w:t>
      </w:r>
      <w:proofErr w:type="spellStart"/>
      <w:r w:rsidR="74CB9957" w:rsidRPr="00276BCA">
        <w:rPr>
          <w:color w:val="auto"/>
        </w:rPr>
        <w:t>zolbetuximab</w:t>
      </w:r>
      <w:proofErr w:type="spellEnd"/>
      <w:r w:rsidR="74CB9957" w:rsidRPr="00276BCA">
        <w:rPr>
          <w:color w:val="auto"/>
        </w:rPr>
        <w:t xml:space="preserve"> + chemotherapy</w:t>
      </w:r>
      <w:r w:rsidR="024147FD" w:rsidRPr="00276BCA">
        <w:rPr>
          <w:color w:val="auto"/>
        </w:rPr>
        <w:t xml:space="preserve">, </w:t>
      </w:r>
      <w:r w:rsidR="1C8C0C6A" w:rsidRPr="00276BCA">
        <w:rPr>
          <w:color w:val="auto"/>
        </w:rPr>
        <w:t xml:space="preserve">the </w:t>
      </w:r>
      <w:r w:rsidRPr="00276BCA">
        <w:rPr>
          <w:color w:val="auto"/>
        </w:rPr>
        <w:t>RDI was based on</w:t>
      </w:r>
      <w:r w:rsidR="74CB9957" w:rsidRPr="00276BCA">
        <w:rPr>
          <w:color w:val="auto"/>
        </w:rPr>
        <w:t xml:space="preserve"> the GLOW (96.08%) and SPOTLIGHT (92.45%) trials</w:t>
      </w:r>
      <w:r w:rsidRPr="00276BCA">
        <w:rPr>
          <w:color w:val="auto"/>
        </w:rPr>
        <w:t>.</w:t>
      </w:r>
      <w:r w:rsidR="024147FD" w:rsidRPr="00276BCA">
        <w:rPr>
          <w:color w:val="auto"/>
        </w:rPr>
        <w:t xml:space="preserve"> As</w:t>
      </w:r>
      <w:r w:rsidR="74CB9957" w:rsidRPr="00276BCA">
        <w:rPr>
          <w:color w:val="auto"/>
        </w:rPr>
        <w:t xml:space="preserve"> the </w:t>
      </w:r>
      <w:proofErr w:type="spellStart"/>
      <w:r w:rsidR="74CB9957" w:rsidRPr="00276BCA">
        <w:rPr>
          <w:color w:val="auto"/>
        </w:rPr>
        <w:t>CheckMate</w:t>
      </w:r>
      <w:proofErr w:type="spellEnd"/>
      <w:r w:rsidR="74CB9957" w:rsidRPr="00276BCA">
        <w:rPr>
          <w:color w:val="auto"/>
        </w:rPr>
        <w:t xml:space="preserve"> 649 trial did not report RDIs for nivolumab + chemotherapy, the submission assumed the</w:t>
      </w:r>
      <w:r w:rsidRPr="00276BCA">
        <w:rPr>
          <w:color w:val="auto"/>
        </w:rPr>
        <w:t xml:space="preserve"> same</w:t>
      </w:r>
      <w:r w:rsidR="74CB9957" w:rsidRPr="00276BCA">
        <w:rPr>
          <w:color w:val="auto"/>
        </w:rPr>
        <w:t xml:space="preserve"> RDI as for </w:t>
      </w:r>
      <w:proofErr w:type="spellStart"/>
      <w:r w:rsidR="74CB9957" w:rsidRPr="00276BCA">
        <w:rPr>
          <w:color w:val="auto"/>
        </w:rPr>
        <w:t>zolbetuximab</w:t>
      </w:r>
      <w:proofErr w:type="spellEnd"/>
      <w:r w:rsidR="74CB9957" w:rsidRPr="00276BCA">
        <w:rPr>
          <w:color w:val="auto"/>
        </w:rPr>
        <w:t xml:space="preserve">. </w:t>
      </w:r>
      <w:bookmarkStart w:id="63" w:name="_Ref188263419"/>
    </w:p>
    <w:p w14:paraId="45C5A4BE" w14:textId="7A210153" w:rsidR="00A63A3D" w:rsidRPr="00276BCA" w:rsidRDefault="00CA7FDA" w:rsidP="77D89277">
      <w:pPr>
        <w:pStyle w:val="ListParagraph"/>
        <w:numPr>
          <w:ilvl w:val="4"/>
          <w:numId w:val="8"/>
        </w:numPr>
        <w:rPr>
          <w:color w:val="auto"/>
        </w:rPr>
      </w:pPr>
      <w:r w:rsidRPr="00276BCA">
        <w:rPr>
          <w:color w:val="auto"/>
        </w:rPr>
        <w:t>A</w:t>
      </w:r>
      <w:r w:rsidR="288DE7D3" w:rsidRPr="00276BCA">
        <w:rPr>
          <w:color w:val="auto"/>
        </w:rPr>
        <w:t xml:space="preserve"> body surface area (BSA) </w:t>
      </w:r>
      <w:r w:rsidR="59BA0DF5" w:rsidRPr="00276BCA">
        <w:rPr>
          <w:color w:val="auto"/>
        </w:rPr>
        <w:t>of 1.70 m</w:t>
      </w:r>
      <w:r w:rsidR="59BA0DF5" w:rsidRPr="00276BCA">
        <w:rPr>
          <w:color w:val="auto"/>
          <w:vertAlign w:val="superscript"/>
        </w:rPr>
        <w:t>2</w:t>
      </w:r>
      <w:r w:rsidR="59BA0DF5" w:rsidRPr="00276BCA">
        <w:rPr>
          <w:color w:val="auto"/>
        </w:rPr>
        <w:t xml:space="preserve">, based on </w:t>
      </w:r>
      <w:r w:rsidR="632AA14B" w:rsidRPr="00276BCA">
        <w:rPr>
          <w:color w:val="auto"/>
        </w:rPr>
        <w:t xml:space="preserve">the </w:t>
      </w:r>
      <w:r w:rsidR="59BA0DF5" w:rsidRPr="00276BCA">
        <w:rPr>
          <w:color w:val="auto"/>
        </w:rPr>
        <w:t>weighted average fr</w:t>
      </w:r>
      <w:r w:rsidR="75995665" w:rsidRPr="00276BCA">
        <w:rPr>
          <w:color w:val="auto"/>
        </w:rPr>
        <w:t>o</w:t>
      </w:r>
      <w:r w:rsidR="59BA0DF5" w:rsidRPr="00276BCA">
        <w:rPr>
          <w:color w:val="auto"/>
        </w:rPr>
        <w:t xml:space="preserve">m the SPOTLIGHT and GLOW trials, </w:t>
      </w:r>
      <w:r w:rsidR="288DE7D3" w:rsidRPr="00276BCA">
        <w:rPr>
          <w:color w:val="auto"/>
        </w:rPr>
        <w:t xml:space="preserve">was used to estimate </w:t>
      </w:r>
      <w:r w:rsidR="00357714" w:rsidRPr="00276BCA">
        <w:rPr>
          <w:color w:val="auto"/>
        </w:rPr>
        <w:t xml:space="preserve">the </w:t>
      </w:r>
      <w:r w:rsidR="288DE7D3" w:rsidRPr="00276BCA">
        <w:rPr>
          <w:color w:val="auto"/>
        </w:rPr>
        <w:t xml:space="preserve">doses for </w:t>
      </w:r>
      <w:r w:rsidR="632AA14B" w:rsidRPr="00276BCA">
        <w:rPr>
          <w:color w:val="auto"/>
        </w:rPr>
        <w:t xml:space="preserve">the </w:t>
      </w:r>
      <w:proofErr w:type="spellStart"/>
      <w:r w:rsidR="288DE7D3" w:rsidRPr="00276BCA">
        <w:rPr>
          <w:color w:val="auto"/>
        </w:rPr>
        <w:t>zolbetuximab</w:t>
      </w:r>
      <w:proofErr w:type="spellEnd"/>
      <w:r w:rsidR="288DE7D3" w:rsidRPr="00276BCA">
        <w:rPr>
          <w:color w:val="auto"/>
        </w:rPr>
        <w:t xml:space="preserve"> and chemotherapy regimens. </w:t>
      </w:r>
      <w:r w:rsidR="7CB6013C" w:rsidRPr="00276BCA">
        <w:rPr>
          <w:color w:val="auto"/>
        </w:rPr>
        <w:t xml:space="preserve">However, the inclusion of 30–60% Asian participants in these trials </w:t>
      </w:r>
      <w:r w:rsidR="00576C0F" w:rsidRPr="00276BCA">
        <w:rPr>
          <w:color w:val="auto"/>
        </w:rPr>
        <w:t>limits</w:t>
      </w:r>
      <w:r w:rsidR="7CB6013C" w:rsidRPr="00276BCA">
        <w:rPr>
          <w:color w:val="auto"/>
        </w:rPr>
        <w:t xml:space="preserve"> the applicability of this BSA estimate to the Australian population.</w:t>
      </w:r>
      <w:r w:rsidR="0C7D1C1F" w:rsidRPr="00276BCA">
        <w:rPr>
          <w:color w:val="auto"/>
        </w:rPr>
        <w:t xml:space="preserve"> </w:t>
      </w:r>
      <w:r w:rsidR="0EAB7CD9" w:rsidRPr="00276BCA">
        <w:rPr>
          <w:color w:val="auto"/>
        </w:rPr>
        <w:t>The evaluation noted that</w:t>
      </w:r>
      <w:r w:rsidR="288DE7D3" w:rsidRPr="00276BCA">
        <w:rPr>
          <w:color w:val="auto"/>
        </w:rPr>
        <w:t xml:space="preserve"> Dooley et al. (2004) reported an average BSA of 1.89 m² for Australian male cancer patients and 1.70 m² for female cancer patients.</w:t>
      </w:r>
      <w:r w:rsidR="00D10B4F" w:rsidRPr="00276BCA">
        <w:rPr>
          <w:rStyle w:val="FootnoteReference"/>
          <w:color w:val="auto"/>
        </w:rPr>
        <w:footnoteReference w:id="14"/>
      </w:r>
      <w:r w:rsidR="288DE7D3" w:rsidRPr="00276BCA">
        <w:rPr>
          <w:color w:val="auto"/>
        </w:rPr>
        <w:t xml:space="preserve"> </w:t>
      </w:r>
      <w:r w:rsidR="0C7D1C1F" w:rsidRPr="00276BCA">
        <w:rPr>
          <w:color w:val="auto"/>
        </w:rPr>
        <w:t>A</w:t>
      </w:r>
      <w:r w:rsidR="288DE7D3" w:rsidRPr="00276BCA">
        <w:rPr>
          <w:color w:val="auto"/>
        </w:rPr>
        <w:t xml:space="preserve"> scenario analysis using a</w:t>
      </w:r>
      <w:r w:rsidR="6938DD59" w:rsidRPr="00276BCA">
        <w:rPr>
          <w:color w:val="auto"/>
        </w:rPr>
        <w:t xml:space="preserve"> </w:t>
      </w:r>
      <w:r w:rsidR="288DE7D3" w:rsidRPr="00276BCA">
        <w:rPr>
          <w:color w:val="auto"/>
        </w:rPr>
        <w:t>BSA</w:t>
      </w:r>
      <w:r w:rsidR="2D9B004D" w:rsidRPr="00276BCA">
        <w:rPr>
          <w:color w:val="auto"/>
        </w:rPr>
        <w:t xml:space="preserve"> of 1.80 m</w:t>
      </w:r>
      <w:r w:rsidR="2D9B004D" w:rsidRPr="00276BCA">
        <w:rPr>
          <w:color w:val="auto"/>
          <w:vertAlign w:val="superscript"/>
        </w:rPr>
        <w:t>2</w:t>
      </w:r>
      <w:r w:rsidR="288DE7D3" w:rsidRPr="00276BCA">
        <w:rPr>
          <w:color w:val="auto"/>
        </w:rPr>
        <w:t xml:space="preserve"> in the CMA</w:t>
      </w:r>
      <w:r w:rsidR="0C7D1C1F" w:rsidRPr="00276BCA">
        <w:rPr>
          <w:color w:val="auto"/>
        </w:rPr>
        <w:t xml:space="preserve"> reduced the cost of </w:t>
      </w:r>
      <w:proofErr w:type="spellStart"/>
      <w:r w:rsidR="0C7D1C1F" w:rsidRPr="00276BCA">
        <w:rPr>
          <w:color w:val="auto"/>
        </w:rPr>
        <w:t>zolbetuximab</w:t>
      </w:r>
      <w:proofErr w:type="spellEnd"/>
      <w:r w:rsidR="0C7D1C1F" w:rsidRPr="00276BCA">
        <w:rPr>
          <w:color w:val="auto"/>
        </w:rPr>
        <w:t xml:space="preserve"> by </w:t>
      </w:r>
      <w:r w:rsidR="288DE7D3" w:rsidRPr="00276BCA">
        <w:rPr>
          <w:color w:val="auto"/>
        </w:rPr>
        <w:t>5%, from $773.93 to $731.82.</w:t>
      </w:r>
      <w:bookmarkEnd w:id="63"/>
      <w:r w:rsidR="00707399" w:rsidRPr="00276BCA">
        <w:rPr>
          <w:color w:val="auto"/>
        </w:rPr>
        <w:t xml:space="preserve"> </w:t>
      </w:r>
    </w:p>
    <w:p w14:paraId="4337045B" w14:textId="29399ECA" w:rsidR="001C4251" w:rsidRPr="00276BCA" w:rsidRDefault="4765DEBC" w:rsidP="77D89277">
      <w:pPr>
        <w:pStyle w:val="ListParagraph"/>
        <w:numPr>
          <w:ilvl w:val="4"/>
          <w:numId w:val="8"/>
        </w:numPr>
        <w:rPr>
          <w:color w:val="auto"/>
        </w:rPr>
      </w:pPr>
      <w:r w:rsidRPr="00276BCA">
        <w:rPr>
          <w:color w:val="auto"/>
        </w:rPr>
        <w:t xml:space="preserve">The submission calculated </w:t>
      </w:r>
      <w:r w:rsidR="00B42986" w:rsidRPr="00276BCA">
        <w:rPr>
          <w:color w:val="auto"/>
        </w:rPr>
        <w:t xml:space="preserve">the </w:t>
      </w:r>
      <w:r w:rsidRPr="00276BCA">
        <w:rPr>
          <w:color w:val="auto"/>
        </w:rPr>
        <w:t xml:space="preserve">drug </w:t>
      </w:r>
      <w:r w:rsidR="151E2A5F" w:rsidRPr="00276BCA">
        <w:rPr>
          <w:color w:val="auto"/>
        </w:rPr>
        <w:t xml:space="preserve">costs </w:t>
      </w:r>
      <w:r w:rsidRPr="00276BCA">
        <w:rPr>
          <w:color w:val="auto"/>
        </w:rPr>
        <w:t xml:space="preserve">by </w:t>
      </w:r>
      <w:r w:rsidR="151E2A5F" w:rsidRPr="00276BCA">
        <w:rPr>
          <w:color w:val="auto"/>
        </w:rPr>
        <w:t>estimating</w:t>
      </w:r>
      <w:r w:rsidRPr="00276BCA">
        <w:rPr>
          <w:color w:val="auto"/>
        </w:rPr>
        <w:t xml:space="preserve"> the number of vials required per patient. In the base case, the submission </w:t>
      </w:r>
      <w:r w:rsidR="151E2A5F" w:rsidRPr="00276BCA">
        <w:rPr>
          <w:color w:val="auto"/>
        </w:rPr>
        <w:t xml:space="preserve">estimated </w:t>
      </w:r>
      <w:r w:rsidRPr="00276BCA">
        <w:rPr>
          <w:color w:val="auto"/>
        </w:rPr>
        <w:t>no wastage</w:t>
      </w:r>
      <w:r w:rsidR="151E2A5F" w:rsidRPr="00276BCA">
        <w:rPr>
          <w:color w:val="auto"/>
        </w:rPr>
        <w:t>, reflecting v</w:t>
      </w:r>
      <w:r w:rsidRPr="00276BCA">
        <w:rPr>
          <w:color w:val="auto"/>
        </w:rPr>
        <w:t xml:space="preserve">ial sharing in Australian clinical practice. </w:t>
      </w:r>
      <w:r w:rsidR="151E2A5F" w:rsidRPr="00276BCA">
        <w:rPr>
          <w:color w:val="auto"/>
        </w:rPr>
        <w:t xml:space="preserve">However, </w:t>
      </w:r>
      <w:r w:rsidR="5B346648" w:rsidRPr="00276BCA">
        <w:rPr>
          <w:color w:val="auto"/>
        </w:rPr>
        <w:t xml:space="preserve">the draft TGA </w:t>
      </w:r>
      <w:r w:rsidRPr="00276BCA">
        <w:rPr>
          <w:color w:val="auto"/>
        </w:rPr>
        <w:t>Prescribing Information</w:t>
      </w:r>
      <w:r w:rsidR="46AB54AD" w:rsidRPr="00276BCA">
        <w:rPr>
          <w:color w:val="auto"/>
        </w:rPr>
        <w:t xml:space="preserve"> </w:t>
      </w:r>
      <w:r w:rsidR="00520252" w:rsidRPr="00276BCA">
        <w:rPr>
          <w:color w:val="auto"/>
        </w:rPr>
        <w:t xml:space="preserve">(PI) </w:t>
      </w:r>
      <w:r w:rsidR="46AB54AD" w:rsidRPr="00276BCA">
        <w:rPr>
          <w:color w:val="auto"/>
        </w:rPr>
        <w:t>advises discarding</w:t>
      </w:r>
      <w:r w:rsidR="00B63D57" w:rsidRPr="00276BCA">
        <w:rPr>
          <w:color w:val="auto"/>
        </w:rPr>
        <w:t xml:space="preserve"> the</w:t>
      </w:r>
      <w:r w:rsidRPr="00276BCA">
        <w:rPr>
          <w:color w:val="auto"/>
        </w:rPr>
        <w:t xml:space="preserve"> unused portion </w:t>
      </w:r>
      <w:r w:rsidR="46AB54AD" w:rsidRPr="00276BCA">
        <w:rPr>
          <w:color w:val="auto"/>
        </w:rPr>
        <w:t xml:space="preserve">of </w:t>
      </w:r>
      <w:r w:rsidRPr="00276BCA">
        <w:rPr>
          <w:color w:val="auto"/>
        </w:rPr>
        <w:t>single-dose vials</w:t>
      </w:r>
      <w:r w:rsidR="5DB49548" w:rsidRPr="00276BCA">
        <w:rPr>
          <w:color w:val="auto"/>
        </w:rPr>
        <w:t>, and the</w:t>
      </w:r>
      <w:r w:rsidR="6D3A63F0" w:rsidRPr="00276BCA">
        <w:rPr>
          <w:color w:val="auto"/>
        </w:rPr>
        <w:t xml:space="preserve"> submission’s</w:t>
      </w:r>
      <w:r w:rsidR="5DB49548" w:rsidRPr="00276BCA">
        <w:rPr>
          <w:color w:val="auto"/>
        </w:rPr>
        <w:t xml:space="preserve"> proposed PBS maximum amounts </w:t>
      </w:r>
      <w:r w:rsidR="07CB8A2C" w:rsidRPr="00276BCA">
        <w:rPr>
          <w:color w:val="auto"/>
        </w:rPr>
        <w:t>were</w:t>
      </w:r>
      <w:r w:rsidR="619B1FB8" w:rsidRPr="00276BCA">
        <w:rPr>
          <w:color w:val="auto"/>
        </w:rPr>
        <w:t xml:space="preserve"> based on rounded-up, whole vials</w:t>
      </w:r>
      <w:r w:rsidRPr="00276BCA">
        <w:rPr>
          <w:color w:val="auto"/>
        </w:rPr>
        <w:t xml:space="preserve">. </w:t>
      </w:r>
      <w:r w:rsidR="22243A86" w:rsidRPr="00276BCA">
        <w:rPr>
          <w:color w:val="auto"/>
        </w:rPr>
        <w:t xml:space="preserve"> </w:t>
      </w:r>
    </w:p>
    <w:p w14:paraId="218693D3" w14:textId="216A5616" w:rsidR="003D5F58" w:rsidRPr="00276BCA" w:rsidRDefault="3C8E9685" w:rsidP="77D89277">
      <w:pPr>
        <w:pStyle w:val="ListParagraph"/>
        <w:numPr>
          <w:ilvl w:val="4"/>
          <w:numId w:val="8"/>
        </w:numPr>
        <w:rPr>
          <w:color w:val="auto"/>
        </w:rPr>
      </w:pPr>
      <w:r w:rsidRPr="00276BCA">
        <w:rPr>
          <w:color w:val="auto"/>
        </w:rPr>
        <w:t xml:space="preserve">The CMA included the administration costs associated with the infusion of </w:t>
      </w:r>
      <w:proofErr w:type="spellStart"/>
      <w:r w:rsidRPr="00276BCA">
        <w:rPr>
          <w:color w:val="auto"/>
        </w:rPr>
        <w:t>zolbetuximab</w:t>
      </w:r>
      <w:proofErr w:type="spellEnd"/>
      <w:r w:rsidRPr="00276BCA">
        <w:rPr>
          <w:color w:val="auto"/>
        </w:rPr>
        <w:t xml:space="preserve"> + CAPOX/</w:t>
      </w:r>
      <w:proofErr w:type="spellStart"/>
      <w:r w:rsidRPr="00276BCA">
        <w:rPr>
          <w:color w:val="auto"/>
        </w:rPr>
        <w:t>mFOLFOX</w:t>
      </w:r>
      <w:proofErr w:type="spellEnd"/>
      <w:r w:rsidRPr="00276BCA">
        <w:rPr>
          <w:color w:val="auto"/>
        </w:rPr>
        <w:t xml:space="preserve"> and nivolumab + CAPOX/</w:t>
      </w:r>
      <w:proofErr w:type="spellStart"/>
      <w:r w:rsidRPr="00276BCA">
        <w:rPr>
          <w:color w:val="auto"/>
        </w:rPr>
        <w:t>mFOLFOX</w:t>
      </w:r>
      <w:proofErr w:type="spellEnd"/>
      <w:r w:rsidRPr="00276BCA">
        <w:rPr>
          <w:color w:val="auto"/>
        </w:rPr>
        <w:t xml:space="preserve">. The administration cost per infusion was estimated as $123.05, based on MBS item code 13950. For </w:t>
      </w:r>
      <w:proofErr w:type="spellStart"/>
      <w:r w:rsidRPr="00276BCA">
        <w:rPr>
          <w:color w:val="auto"/>
        </w:rPr>
        <w:t>zolbetuximab</w:t>
      </w:r>
      <w:proofErr w:type="spellEnd"/>
      <w:r w:rsidRPr="00276BCA">
        <w:rPr>
          <w:color w:val="auto"/>
        </w:rPr>
        <w:t xml:space="preserve"> + CAPOX and nivolumab + CAPOX, the administration cost was applied every three weeks. Similarly, for </w:t>
      </w:r>
      <w:proofErr w:type="spellStart"/>
      <w:r w:rsidRPr="00276BCA">
        <w:rPr>
          <w:color w:val="auto"/>
        </w:rPr>
        <w:t>zolbetuximab</w:t>
      </w:r>
      <w:proofErr w:type="spellEnd"/>
      <w:r w:rsidRPr="00276BCA">
        <w:rPr>
          <w:color w:val="auto"/>
        </w:rPr>
        <w:t xml:space="preserve"> + </w:t>
      </w:r>
      <w:proofErr w:type="spellStart"/>
      <w:r w:rsidRPr="00276BCA">
        <w:rPr>
          <w:color w:val="auto"/>
        </w:rPr>
        <w:t>mFOLFOX</w:t>
      </w:r>
      <w:proofErr w:type="spellEnd"/>
      <w:r w:rsidRPr="00276BCA">
        <w:rPr>
          <w:color w:val="auto"/>
        </w:rPr>
        <w:t xml:space="preserve"> and nivolumab + </w:t>
      </w:r>
      <w:proofErr w:type="spellStart"/>
      <w:r w:rsidRPr="00276BCA">
        <w:rPr>
          <w:color w:val="auto"/>
        </w:rPr>
        <w:t>mFOLFOX</w:t>
      </w:r>
      <w:proofErr w:type="spellEnd"/>
      <w:r w:rsidRPr="00276BCA">
        <w:rPr>
          <w:color w:val="auto"/>
        </w:rPr>
        <w:t>, the administration cost was applied every two weeks. The total administration cost for each treatment regimen was calculated based on their respective mean durations.</w:t>
      </w:r>
      <w:r w:rsidR="6023DC6D" w:rsidRPr="00276BCA">
        <w:rPr>
          <w:color w:val="auto"/>
        </w:rPr>
        <w:t xml:space="preserve"> </w:t>
      </w:r>
    </w:p>
    <w:p w14:paraId="3DF62BB6" w14:textId="360D6068" w:rsidR="00262AA5" w:rsidRPr="00276BCA" w:rsidRDefault="00D306CD" w:rsidP="77D89277">
      <w:pPr>
        <w:pStyle w:val="ListParagraph"/>
        <w:numPr>
          <w:ilvl w:val="4"/>
          <w:numId w:val="8"/>
        </w:numPr>
        <w:rPr>
          <w:color w:val="auto"/>
        </w:rPr>
      </w:pPr>
      <w:r w:rsidRPr="00276BCA">
        <w:rPr>
          <w:color w:val="auto"/>
        </w:rPr>
        <w:t>For</w:t>
      </w:r>
      <w:r w:rsidR="3F5FAA47" w:rsidRPr="00276BCA">
        <w:rPr>
          <w:color w:val="auto"/>
        </w:rPr>
        <w:t xml:space="preserve"> </w:t>
      </w:r>
      <w:r w:rsidR="4765DEBC" w:rsidRPr="00276BCA">
        <w:rPr>
          <w:color w:val="auto"/>
        </w:rPr>
        <w:t xml:space="preserve">patients receiving </w:t>
      </w:r>
      <w:proofErr w:type="spellStart"/>
      <w:r w:rsidR="4765DEBC" w:rsidRPr="00276BCA">
        <w:rPr>
          <w:color w:val="auto"/>
        </w:rPr>
        <w:t>zolbetuximab</w:t>
      </w:r>
      <w:proofErr w:type="spellEnd"/>
      <w:r w:rsidR="4765DEBC" w:rsidRPr="00276BCA">
        <w:rPr>
          <w:color w:val="auto"/>
        </w:rPr>
        <w:t xml:space="preserve"> + chemotherapy the costs of CLDN18 testing</w:t>
      </w:r>
      <w:r w:rsidR="00E255AD" w:rsidRPr="00276BCA">
        <w:rPr>
          <w:color w:val="auto"/>
        </w:rPr>
        <w:t xml:space="preserve"> were included</w:t>
      </w:r>
      <w:r w:rsidR="4765DEBC" w:rsidRPr="00276BCA">
        <w:rPr>
          <w:color w:val="auto"/>
        </w:rPr>
        <w:t xml:space="preserve">. </w:t>
      </w:r>
      <w:r w:rsidR="229DE11C" w:rsidRPr="00276BCA">
        <w:rPr>
          <w:color w:val="auto"/>
        </w:rPr>
        <w:t>T</w:t>
      </w:r>
      <w:r w:rsidR="4765DEBC" w:rsidRPr="00276BCA">
        <w:rPr>
          <w:color w:val="auto"/>
        </w:rPr>
        <w:t xml:space="preserve">he cost </w:t>
      </w:r>
      <w:r w:rsidR="229DE11C" w:rsidRPr="00276BCA">
        <w:rPr>
          <w:color w:val="auto"/>
        </w:rPr>
        <w:t>of</w:t>
      </w:r>
      <w:r w:rsidR="4765DEBC" w:rsidRPr="00276BCA">
        <w:rPr>
          <w:color w:val="auto"/>
        </w:rPr>
        <w:t xml:space="preserve"> CLDN18 testing </w:t>
      </w:r>
      <w:r w:rsidR="229DE11C" w:rsidRPr="00276BCA">
        <w:rPr>
          <w:color w:val="auto"/>
        </w:rPr>
        <w:t xml:space="preserve">was estimated using a unit cost of $112 per test </w:t>
      </w:r>
      <w:r w:rsidR="32B343CE" w:rsidRPr="00276BCA">
        <w:rPr>
          <w:color w:val="auto"/>
        </w:rPr>
        <w:t>and the</w:t>
      </w:r>
      <w:r w:rsidR="4765DEBC" w:rsidRPr="00276BCA">
        <w:rPr>
          <w:color w:val="auto"/>
        </w:rPr>
        <w:t xml:space="preserve"> weighted proportion (38.38%) </w:t>
      </w:r>
      <w:r w:rsidR="32B343CE" w:rsidRPr="00276BCA">
        <w:rPr>
          <w:color w:val="auto"/>
        </w:rPr>
        <w:t xml:space="preserve">of patients </w:t>
      </w:r>
      <w:r w:rsidR="4765DEBC" w:rsidRPr="00276BCA">
        <w:rPr>
          <w:color w:val="auto"/>
        </w:rPr>
        <w:t xml:space="preserve">in SPOTLIGHT and GLOW trials </w:t>
      </w:r>
      <w:r w:rsidR="32B343CE" w:rsidRPr="00276BCA">
        <w:rPr>
          <w:color w:val="auto"/>
        </w:rPr>
        <w:t>with</w:t>
      </w:r>
      <w:r w:rsidR="4765DEBC" w:rsidRPr="00276BCA">
        <w:rPr>
          <w:color w:val="auto"/>
        </w:rPr>
        <w:t xml:space="preserve"> CLDN18.2</w:t>
      </w:r>
      <w:r w:rsidR="32B343CE" w:rsidRPr="00276BCA">
        <w:rPr>
          <w:color w:val="auto"/>
        </w:rPr>
        <w:t>+</w:t>
      </w:r>
      <w:r w:rsidR="4765DEBC" w:rsidRPr="00276BCA">
        <w:rPr>
          <w:color w:val="auto"/>
        </w:rPr>
        <w:t xml:space="preserve"> expression (≥ 75% of tumour cells demonstrating moderate-to-strong membranous CLDN18 staining). Consequently, the estimated cost to detect one CLDN18.2+ </w:t>
      </w:r>
      <w:r w:rsidR="4B03A88E" w:rsidRPr="00276BCA">
        <w:rPr>
          <w:color w:val="auto"/>
        </w:rPr>
        <w:t xml:space="preserve">patients </w:t>
      </w:r>
      <w:r w:rsidR="4765DEBC" w:rsidRPr="00276BCA">
        <w:rPr>
          <w:color w:val="auto"/>
        </w:rPr>
        <w:t>was $291.78</w:t>
      </w:r>
      <w:r w:rsidR="4B03A88E" w:rsidRPr="00276BCA">
        <w:rPr>
          <w:color w:val="auto"/>
        </w:rPr>
        <w:t xml:space="preserve"> ($112/38.38%).</w:t>
      </w:r>
      <w:r w:rsidR="625DB368" w:rsidRPr="00276BCA">
        <w:rPr>
          <w:color w:val="auto"/>
        </w:rPr>
        <w:t xml:space="preserve"> </w:t>
      </w:r>
      <w:r w:rsidR="166679E4" w:rsidRPr="00276BCA">
        <w:rPr>
          <w:color w:val="auto"/>
        </w:rPr>
        <w:t>The evaluation</w:t>
      </w:r>
      <w:r w:rsidR="1D7435A5" w:rsidRPr="00276BCA">
        <w:rPr>
          <w:color w:val="auto"/>
        </w:rPr>
        <w:t xml:space="preserve"> and the ESCs</w:t>
      </w:r>
      <w:r w:rsidR="166679E4" w:rsidRPr="00276BCA">
        <w:rPr>
          <w:color w:val="auto"/>
        </w:rPr>
        <w:t xml:space="preserve"> considered that t</w:t>
      </w:r>
      <w:r w:rsidR="625DB368" w:rsidRPr="00276BCA">
        <w:rPr>
          <w:color w:val="auto"/>
        </w:rPr>
        <w:t xml:space="preserve">he </w:t>
      </w:r>
      <w:r w:rsidR="4765DEBC" w:rsidRPr="00276BCA">
        <w:rPr>
          <w:color w:val="auto"/>
        </w:rPr>
        <w:t>actual proportion of CLDN 18.2+ expression in the Australian population remain</w:t>
      </w:r>
      <w:r w:rsidR="00844AE2" w:rsidRPr="00276BCA">
        <w:rPr>
          <w:color w:val="auto"/>
        </w:rPr>
        <w:t>ed</w:t>
      </w:r>
      <w:r w:rsidR="4765DEBC" w:rsidRPr="00276BCA">
        <w:rPr>
          <w:color w:val="auto"/>
        </w:rPr>
        <w:t xml:space="preserve"> uncertain. </w:t>
      </w:r>
      <w:r w:rsidR="1490883B" w:rsidRPr="00276BCA">
        <w:rPr>
          <w:color w:val="auto"/>
        </w:rPr>
        <w:t xml:space="preserve">However, changing the proportion of patients testing </w:t>
      </w:r>
      <w:r w:rsidR="1490883B" w:rsidRPr="00276BCA">
        <w:rPr>
          <w:color w:val="auto"/>
        </w:rPr>
        <w:lastRenderedPageBreak/>
        <w:t xml:space="preserve">positive for </w:t>
      </w:r>
      <w:r w:rsidR="004A1190" w:rsidRPr="00276BCA">
        <w:rPr>
          <w:color w:val="auto"/>
        </w:rPr>
        <w:t xml:space="preserve">CLDN18 </w:t>
      </w:r>
      <w:r w:rsidR="1490883B" w:rsidRPr="00276BCA">
        <w:rPr>
          <w:color w:val="auto"/>
        </w:rPr>
        <w:t xml:space="preserve">expression had a negligible impact on the cost of </w:t>
      </w:r>
      <w:proofErr w:type="spellStart"/>
      <w:r w:rsidR="1490883B" w:rsidRPr="00276BCA">
        <w:rPr>
          <w:color w:val="auto"/>
        </w:rPr>
        <w:t>zolbetuximab</w:t>
      </w:r>
      <w:proofErr w:type="spellEnd"/>
      <w:r w:rsidR="013CA772" w:rsidRPr="00276BCA">
        <w:rPr>
          <w:color w:val="auto"/>
        </w:rPr>
        <w:t xml:space="preserve"> (refer to </w:t>
      </w:r>
      <w:r w:rsidR="00D711E3" w:rsidRPr="00276BCA">
        <w:rPr>
          <w:color w:val="auto"/>
        </w:rPr>
        <w:fldChar w:fldCharType="begin"/>
      </w:r>
      <w:r w:rsidR="00D711E3" w:rsidRPr="00276BCA">
        <w:rPr>
          <w:color w:val="auto"/>
        </w:rPr>
        <w:instrText xml:space="preserve"> REF _Ref183798923 \h  \* MERGEFORMAT </w:instrText>
      </w:r>
      <w:r w:rsidR="00D711E3" w:rsidRPr="00276BCA">
        <w:rPr>
          <w:color w:val="auto"/>
        </w:rPr>
      </w:r>
      <w:r w:rsidR="00D711E3" w:rsidRPr="00276BCA">
        <w:rPr>
          <w:color w:val="auto"/>
        </w:rPr>
        <w:fldChar w:fldCharType="separate"/>
      </w:r>
      <w:r w:rsidR="0011458F" w:rsidRPr="0011458F">
        <w:rPr>
          <w:color w:val="auto"/>
        </w:rPr>
        <w:t>Table 13</w:t>
      </w:r>
      <w:r w:rsidR="00D711E3" w:rsidRPr="00276BCA">
        <w:rPr>
          <w:color w:val="auto"/>
        </w:rPr>
        <w:fldChar w:fldCharType="end"/>
      </w:r>
      <w:r w:rsidR="013CA772" w:rsidRPr="00276BCA">
        <w:rPr>
          <w:color w:val="auto"/>
        </w:rPr>
        <w:t>).</w:t>
      </w:r>
    </w:p>
    <w:p w14:paraId="47286BAD" w14:textId="3A00C6D9" w:rsidR="00146F4E" w:rsidRPr="00276BCA" w:rsidRDefault="49BB0F91" w:rsidP="00F211CF">
      <w:pPr>
        <w:pStyle w:val="ListParagraph"/>
        <w:numPr>
          <w:ilvl w:val="4"/>
          <w:numId w:val="8"/>
        </w:numPr>
        <w:rPr>
          <w:color w:val="auto"/>
        </w:rPr>
      </w:pPr>
      <w:bookmarkStart w:id="64" w:name="_Ref188282035"/>
      <w:r w:rsidRPr="00276BCA">
        <w:rPr>
          <w:color w:val="auto"/>
        </w:rPr>
        <w:t>The cost</w:t>
      </w:r>
      <w:r w:rsidR="007B4446" w:rsidRPr="00276BCA">
        <w:rPr>
          <w:color w:val="auto"/>
        </w:rPr>
        <w:t>s</w:t>
      </w:r>
      <w:r w:rsidRPr="00276BCA">
        <w:rPr>
          <w:color w:val="auto"/>
        </w:rPr>
        <w:t xml:space="preserve"> of managing AEs or monitoring for </w:t>
      </w:r>
      <w:proofErr w:type="spellStart"/>
      <w:r w:rsidRPr="00276BCA">
        <w:rPr>
          <w:color w:val="auto"/>
        </w:rPr>
        <w:t>zolbetuximab</w:t>
      </w:r>
      <w:proofErr w:type="spellEnd"/>
      <w:r w:rsidRPr="00276BCA">
        <w:rPr>
          <w:color w:val="auto"/>
        </w:rPr>
        <w:t xml:space="preserve"> and nivolumab</w:t>
      </w:r>
      <w:r w:rsidR="007B4446" w:rsidRPr="00276BCA">
        <w:rPr>
          <w:color w:val="auto"/>
        </w:rPr>
        <w:t xml:space="preserve"> were not included</w:t>
      </w:r>
      <w:r w:rsidRPr="00276BCA">
        <w:rPr>
          <w:color w:val="auto"/>
        </w:rPr>
        <w:t xml:space="preserve"> in the CMA. According to EMA and FDA guidelines, </w:t>
      </w:r>
      <w:proofErr w:type="spellStart"/>
      <w:r w:rsidR="28C4D0D6" w:rsidRPr="00276BCA">
        <w:rPr>
          <w:color w:val="auto"/>
        </w:rPr>
        <w:t>zolbetuximab</w:t>
      </w:r>
      <w:proofErr w:type="spellEnd"/>
      <w:r w:rsidRPr="00276BCA">
        <w:rPr>
          <w:color w:val="auto"/>
        </w:rPr>
        <w:t xml:space="preserve"> is associated with serious reactions, including hypersensitivity (e.g. anaphylaxis) and severe nausea/vomiting. Pre-treatment with antiemetics, </w:t>
      </w:r>
      <w:r w:rsidR="43BEA779" w:rsidRPr="00276BCA">
        <w:rPr>
          <w:color w:val="auto"/>
        </w:rPr>
        <w:t>such as, Neurokinin-1 [NK-1] receptor blockers and/or 5-hydroxytryptamine receptors [5-HT3] receptor blockers</w:t>
      </w:r>
      <w:r w:rsidR="005A69B9" w:rsidRPr="00276BCA">
        <w:rPr>
          <w:color w:val="auto"/>
        </w:rPr>
        <w:t xml:space="preserve"> (e</w:t>
      </w:r>
      <w:r w:rsidR="000D027D" w:rsidRPr="00276BCA">
        <w:rPr>
          <w:color w:val="auto"/>
        </w:rPr>
        <w:t>.</w:t>
      </w:r>
      <w:r w:rsidR="005A69B9" w:rsidRPr="00276BCA">
        <w:rPr>
          <w:color w:val="auto"/>
        </w:rPr>
        <w:t>g</w:t>
      </w:r>
      <w:r w:rsidR="000D027D" w:rsidRPr="00276BCA">
        <w:rPr>
          <w:color w:val="auto"/>
        </w:rPr>
        <w:t>.</w:t>
      </w:r>
      <w:r w:rsidR="005A69B9" w:rsidRPr="00276BCA">
        <w:rPr>
          <w:color w:val="auto"/>
        </w:rPr>
        <w:t xml:space="preserve"> ondansetron)</w:t>
      </w:r>
      <w:r w:rsidRPr="00276BCA">
        <w:rPr>
          <w:color w:val="auto"/>
        </w:rPr>
        <w:t>, is recommended before each</w:t>
      </w:r>
      <w:r w:rsidR="28C4D0D6" w:rsidRPr="00276BCA">
        <w:rPr>
          <w:color w:val="auto"/>
        </w:rPr>
        <w:t xml:space="preserve"> </w:t>
      </w:r>
      <w:r w:rsidRPr="00276BCA">
        <w:rPr>
          <w:color w:val="auto"/>
        </w:rPr>
        <w:t>infusion to prevent these effects.</w:t>
      </w:r>
      <w:r w:rsidR="43EFC979" w:rsidRPr="00276BCA">
        <w:rPr>
          <w:color w:val="auto"/>
        </w:rPr>
        <w:t xml:space="preserve"> Furthermore, a higher use of antiemetic medications was reported in the </w:t>
      </w:r>
      <w:proofErr w:type="spellStart"/>
      <w:r w:rsidR="43EFC979" w:rsidRPr="00276BCA">
        <w:rPr>
          <w:color w:val="auto"/>
        </w:rPr>
        <w:t>zolbetuximab</w:t>
      </w:r>
      <w:proofErr w:type="spellEnd"/>
      <w:r w:rsidR="43EFC979" w:rsidRPr="00276BCA">
        <w:rPr>
          <w:color w:val="auto"/>
        </w:rPr>
        <w:t xml:space="preserve"> arm compared to chemotherapy arm in both SPOTLIGHT (70% vs 63%) and GLOW (82% vs 74%) trials.</w:t>
      </w:r>
      <w:bookmarkEnd w:id="64"/>
      <w:r w:rsidR="43EFC979" w:rsidRPr="00276BCA">
        <w:rPr>
          <w:color w:val="auto"/>
        </w:rPr>
        <w:t xml:space="preserve"> </w:t>
      </w:r>
      <w:r w:rsidR="3E907638" w:rsidRPr="00276BCA">
        <w:t>T</w:t>
      </w:r>
      <w:r w:rsidR="3E907638" w:rsidRPr="00276BCA">
        <w:rPr>
          <w:color w:val="auto"/>
        </w:rPr>
        <w:t xml:space="preserve">he PSCR presented a sensitivity analysis to include the cost of managing </w:t>
      </w:r>
      <w:proofErr w:type="spellStart"/>
      <w:r w:rsidR="3E907638" w:rsidRPr="00276BCA">
        <w:rPr>
          <w:color w:val="auto"/>
        </w:rPr>
        <w:t>zolbetuximab</w:t>
      </w:r>
      <w:proofErr w:type="spellEnd"/>
      <w:r w:rsidR="3E907638" w:rsidRPr="00276BCA">
        <w:rPr>
          <w:color w:val="auto"/>
        </w:rPr>
        <w:t xml:space="preserve">-related adverse events (nausea and vomiting) </w:t>
      </w:r>
      <w:r w:rsidR="007D2F60" w:rsidRPr="00276BCA">
        <w:rPr>
          <w:color w:val="auto"/>
        </w:rPr>
        <w:t xml:space="preserve">with ondansetron </w:t>
      </w:r>
      <w:r w:rsidR="3E907638" w:rsidRPr="00276BCA">
        <w:rPr>
          <w:color w:val="auto"/>
        </w:rPr>
        <w:t>within the CMA</w:t>
      </w:r>
      <w:r w:rsidR="005A69B9" w:rsidRPr="00276BCA">
        <w:rPr>
          <w:color w:val="auto"/>
        </w:rPr>
        <w:t xml:space="preserve">, which </w:t>
      </w:r>
      <w:r w:rsidR="180E21E6" w:rsidRPr="00276BCA">
        <w:rPr>
          <w:color w:val="auto"/>
        </w:rPr>
        <w:t>had</w:t>
      </w:r>
      <w:r w:rsidR="3E907638" w:rsidRPr="00276BCA">
        <w:rPr>
          <w:color w:val="auto"/>
        </w:rPr>
        <w:t xml:space="preserve"> negligible impact on the derived price of </w:t>
      </w:r>
      <w:proofErr w:type="spellStart"/>
      <w:r w:rsidR="3E907638" w:rsidRPr="00276BCA">
        <w:rPr>
          <w:color w:val="auto"/>
        </w:rPr>
        <w:t>zolbetuximab</w:t>
      </w:r>
      <w:proofErr w:type="spellEnd"/>
      <w:r w:rsidR="00E35EEC" w:rsidRPr="00276BCA">
        <w:rPr>
          <w:color w:val="auto"/>
        </w:rPr>
        <w:t xml:space="preserve"> (</w:t>
      </w:r>
      <w:r w:rsidR="3E907638" w:rsidRPr="00276BCA">
        <w:rPr>
          <w:color w:val="auto"/>
        </w:rPr>
        <w:t>reduction from $773.93 to $773.67</w:t>
      </w:r>
      <w:r w:rsidR="00E35EEC" w:rsidRPr="00276BCA">
        <w:rPr>
          <w:color w:val="auto"/>
        </w:rPr>
        <w:t>)</w:t>
      </w:r>
      <w:r w:rsidR="3E907638" w:rsidRPr="00276BCA">
        <w:rPr>
          <w:color w:val="auto"/>
        </w:rPr>
        <w:t>. However,</w:t>
      </w:r>
      <w:r w:rsidR="3646F51D" w:rsidRPr="00276BCA">
        <w:rPr>
          <w:color w:val="auto"/>
        </w:rPr>
        <w:t xml:space="preserve"> </w:t>
      </w:r>
      <w:r w:rsidR="6C46E23F" w:rsidRPr="00276BCA">
        <w:rPr>
          <w:color w:val="auto"/>
        </w:rPr>
        <w:t>the</w:t>
      </w:r>
      <w:r w:rsidR="00171673" w:rsidRPr="00276BCA">
        <w:rPr>
          <w:color w:val="auto"/>
        </w:rPr>
        <w:t xml:space="preserve"> </w:t>
      </w:r>
      <w:r w:rsidR="3646F51D" w:rsidRPr="00276BCA">
        <w:rPr>
          <w:color w:val="auto"/>
        </w:rPr>
        <w:t>ESC</w:t>
      </w:r>
      <w:r w:rsidR="6C46E23F" w:rsidRPr="00276BCA">
        <w:rPr>
          <w:color w:val="auto"/>
        </w:rPr>
        <w:t>s</w:t>
      </w:r>
      <w:r w:rsidR="3646F51D" w:rsidRPr="00276BCA">
        <w:rPr>
          <w:color w:val="auto"/>
        </w:rPr>
        <w:t xml:space="preserve"> </w:t>
      </w:r>
      <w:r w:rsidR="00F73007" w:rsidRPr="00276BCA">
        <w:rPr>
          <w:color w:val="auto"/>
        </w:rPr>
        <w:t xml:space="preserve">considered </w:t>
      </w:r>
      <w:r w:rsidR="3014B15B" w:rsidRPr="00276BCA">
        <w:rPr>
          <w:color w:val="auto"/>
        </w:rPr>
        <w:t xml:space="preserve">that the addition of costing </w:t>
      </w:r>
      <w:r w:rsidR="00C7046F" w:rsidRPr="00276BCA">
        <w:rPr>
          <w:color w:val="auto"/>
        </w:rPr>
        <w:t xml:space="preserve">for </w:t>
      </w:r>
      <w:r w:rsidR="3014B15B" w:rsidRPr="00276BCA">
        <w:rPr>
          <w:color w:val="auto"/>
        </w:rPr>
        <w:t xml:space="preserve">ondansetron </w:t>
      </w:r>
      <w:r w:rsidR="7F942FCE" w:rsidRPr="00276BCA">
        <w:rPr>
          <w:color w:val="auto"/>
        </w:rPr>
        <w:t>in</w:t>
      </w:r>
      <w:r w:rsidR="3014B15B" w:rsidRPr="00276BCA">
        <w:rPr>
          <w:color w:val="auto"/>
        </w:rPr>
        <w:t xml:space="preserve">adequately </w:t>
      </w:r>
      <w:r w:rsidR="3D4C38A7" w:rsidRPr="00276BCA">
        <w:rPr>
          <w:color w:val="auto"/>
        </w:rPr>
        <w:t>covered the costs of managing these AEs</w:t>
      </w:r>
      <w:r w:rsidR="2948CDC5" w:rsidRPr="00276BCA">
        <w:rPr>
          <w:color w:val="auto"/>
        </w:rPr>
        <w:t xml:space="preserve">, noting the severity of grade 3-4 </w:t>
      </w:r>
      <w:r w:rsidR="7A92EB4D" w:rsidRPr="00276BCA">
        <w:rPr>
          <w:color w:val="auto"/>
        </w:rPr>
        <w:t>AEs and likely underestimation of the costs of their management</w:t>
      </w:r>
      <w:r w:rsidR="003B3D6D" w:rsidRPr="00276BCA">
        <w:rPr>
          <w:color w:val="auto"/>
        </w:rPr>
        <w:t>.</w:t>
      </w:r>
      <w:r w:rsidR="7A92EB4D" w:rsidRPr="00276BCA">
        <w:rPr>
          <w:color w:val="auto"/>
        </w:rPr>
        <w:t xml:space="preserve"> </w:t>
      </w:r>
      <w:r w:rsidR="3D4C38A7" w:rsidRPr="00276BCA">
        <w:rPr>
          <w:color w:val="auto"/>
        </w:rPr>
        <w:t xml:space="preserve"> </w:t>
      </w:r>
    </w:p>
    <w:p w14:paraId="5EDBC3ED" w14:textId="7469211D" w:rsidR="00641AC2" w:rsidRPr="00276BCA" w:rsidRDefault="166679E4" w:rsidP="77D89277">
      <w:pPr>
        <w:pStyle w:val="ListParagraph"/>
        <w:numPr>
          <w:ilvl w:val="4"/>
          <w:numId w:val="8"/>
        </w:numPr>
        <w:rPr>
          <w:color w:val="auto"/>
        </w:rPr>
      </w:pPr>
      <w:r w:rsidRPr="00276BCA">
        <w:rPr>
          <w:color w:val="auto"/>
        </w:rPr>
        <w:t>The evaluation noted that t</w:t>
      </w:r>
      <w:r w:rsidR="57FA8BA9" w:rsidRPr="00276BCA">
        <w:rPr>
          <w:color w:val="auto"/>
        </w:rPr>
        <w:t xml:space="preserve">he </w:t>
      </w:r>
      <w:r w:rsidR="002E2FA1" w:rsidRPr="00276BCA">
        <w:rPr>
          <w:color w:val="auto"/>
        </w:rPr>
        <w:t>CMA</w:t>
      </w:r>
      <w:r w:rsidR="57FA8BA9" w:rsidRPr="00276BCA">
        <w:rPr>
          <w:color w:val="auto"/>
        </w:rPr>
        <w:t xml:space="preserve"> was based on the dispensed price for maximum amount (DPMA) rather than the ex-manufacturer price (EMP); </w:t>
      </w:r>
      <w:r w:rsidR="00E6063B" w:rsidRPr="00276BCA">
        <w:rPr>
          <w:color w:val="auto"/>
        </w:rPr>
        <w:t>although this had a negligible impact</w:t>
      </w:r>
      <w:r w:rsidR="005F71FF" w:rsidRPr="00276BCA">
        <w:rPr>
          <w:color w:val="auto"/>
        </w:rPr>
        <w:t xml:space="preserve"> (see </w:t>
      </w:r>
      <w:r w:rsidR="00F02D14" w:rsidRPr="00276BCA">
        <w:rPr>
          <w:color w:val="auto"/>
        </w:rPr>
        <w:fldChar w:fldCharType="begin"/>
      </w:r>
      <w:r w:rsidR="00F02D14" w:rsidRPr="00276BCA">
        <w:rPr>
          <w:color w:val="auto"/>
        </w:rPr>
        <w:instrText xml:space="preserve"> REF _Ref191466171 \h  \* MERGEFORMAT </w:instrText>
      </w:r>
      <w:r w:rsidR="00F02D14" w:rsidRPr="00276BCA">
        <w:rPr>
          <w:color w:val="auto"/>
        </w:rPr>
      </w:r>
      <w:r w:rsidR="00F02D14" w:rsidRPr="00276BCA">
        <w:rPr>
          <w:color w:val="auto"/>
        </w:rPr>
        <w:fldChar w:fldCharType="separate"/>
      </w:r>
      <w:r w:rsidR="0011458F" w:rsidRPr="00276BCA">
        <w:t xml:space="preserve">Table </w:t>
      </w:r>
      <w:r w:rsidR="0011458F">
        <w:t>12</w:t>
      </w:r>
      <w:r w:rsidR="00F02D14" w:rsidRPr="00276BCA">
        <w:rPr>
          <w:color w:val="auto"/>
        </w:rPr>
        <w:fldChar w:fldCharType="end"/>
      </w:r>
      <w:r w:rsidR="005B5687" w:rsidRPr="00276BCA">
        <w:rPr>
          <w:color w:val="auto"/>
        </w:rPr>
        <w:t>)</w:t>
      </w:r>
      <w:r w:rsidR="57FA8BA9" w:rsidRPr="00276BCA">
        <w:rPr>
          <w:color w:val="auto"/>
        </w:rPr>
        <w:t>.</w:t>
      </w:r>
    </w:p>
    <w:p w14:paraId="58049E12" w14:textId="19514469" w:rsidR="00211604" w:rsidRPr="00276BCA" w:rsidRDefault="006E388E">
      <w:pPr>
        <w:pStyle w:val="ListParagraph"/>
        <w:numPr>
          <w:ilvl w:val="4"/>
          <w:numId w:val="8"/>
        </w:numPr>
      </w:pPr>
      <w:r w:rsidRPr="00276BCA">
        <w:rPr>
          <w:color w:val="auto"/>
        </w:rPr>
        <w:t xml:space="preserve">The results of the CMA based on the published </w:t>
      </w:r>
      <w:r w:rsidR="00F81C07" w:rsidRPr="00276BCA">
        <w:rPr>
          <w:color w:val="auto"/>
        </w:rPr>
        <w:t xml:space="preserve">price </w:t>
      </w:r>
      <w:r w:rsidRPr="00276BCA">
        <w:rPr>
          <w:color w:val="auto"/>
        </w:rPr>
        <w:t xml:space="preserve">of </w:t>
      </w:r>
      <w:r w:rsidRPr="00276BCA">
        <w:rPr>
          <w:rFonts w:eastAsia="Calibri"/>
          <w:color w:val="auto"/>
        </w:rPr>
        <w:t>nivolumab + chemotherapy</w:t>
      </w:r>
      <w:r w:rsidRPr="00276BCA">
        <w:rPr>
          <w:color w:val="auto"/>
        </w:rPr>
        <w:t xml:space="preserve"> is presented in </w:t>
      </w:r>
      <w:r w:rsidR="00211604" w:rsidRPr="00276BCA">
        <w:rPr>
          <w:color w:val="auto"/>
        </w:rPr>
        <w:fldChar w:fldCharType="begin"/>
      </w:r>
      <w:r w:rsidR="00211604" w:rsidRPr="00276BCA">
        <w:rPr>
          <w:color w:val="auto"/>
        </w:rPr>
        <w:instrText xml:space="preserve"> REF _Ref187777711 \h </w:instrText>
      </w:r>
      <w:r w:rsidR="003742AD" w:rsidRPr="00276BCA">
        <w:rPr>
          <w:color w:val="auto"/>
        </w:rPr>
        <w:instrText xml:space="preserve"> \* MERGEFORMAT </w:instrText>
      </w:r>
      <w:r w:rsidR="00211604" w:rsidRPr="00276BCA">
        <w:rPr>
          <w:color w:val="auto"/>
        </w:rPr>
      </w:r>
      <w:r w:rsidR="00211604" w:rsidRPr="00276BCA">
        <w:rPr>
          <w:color w:val="auto"/>
        </w:rPr>
        <w:fldChar w:fldCharType="separate"/>
      </w:r>
      <w:r w:rsidR="0011458F" w:rsidRPr="00276BCA">
        <w:t xml:space="preserve">Table </w:t>
      </w:r>
      <w:r w:rsidR="0011458F">
        <w:t>11</w:t>
      </w:r>
      <w:r w:rsidR="00211604" w:rsidRPr="00276BCA">
        <w:rPr>
          <w:color w:val="auto"/>
        </w:rPr>
        <w:fldChar w:fldCharType="end"/>
      </w:r>
      <w:r w:rsidR="00211604" w:rsidRPr="00276BCA">
        <w:rPr>
          <w:color w:val="auto"/>
        </w:rPr>
        <w:t xml:space="preserve"> and </w:t>
      </w:r>
      <w:r w:rsidR="006A5D4D" w:rsidRPr="00276BCA">
        <w:rPr>
          <w:color w:val="auto"/>
        </w:rPr>
        <w:fldChar w:fldCharType="begin"/>
      </w:r>
      <w:r w:rsidR="006A5D4D" w:rsidRPr="00276BCA">
        <w:rPr>
          <w:color w:val="auto"/>
        </w:rPr>
        <w:instrText xml:space="preserve"> REF _Ref191466171 \h </w:instrText>
      </w:r>
      <w:r w:rsidR="00907075" w:rsidRPr="00276BCA">
        <w:rPr>
          <w:color w:val="auto"/>
        </w:rPr>
        <w:instrText xml:space="preserve"> \* MERGEFORMAT </w:instrText>
      </w:r>
      <w:r w:rsidR="006A5D4D" w:rsidRPr="00276BCA">
        <w:rPr>
          <w:color w:val="auto"/>
        </w:rPr>
      </w:r>
      <w:r w:rsidR="006A5D4D" w:rsidRPr="00276BCA">
        <w:rPr>
          <w:color w:val="auto"/>
        </w:rPr>
        <w:fldChar w:fldCharType="separate"/>
      </w:r>
      <w:r w:rsidR="0011458F" w:rsidRPr="00276BCA">
        <w:t xml:space="preserve">Table </w:t>
      </w:r>
      <w:r w:rsidR="0011458F">
        <w:t>12</w:t>
      </w:r>
      <w:r w:rsidR="006A5D4D" w:rsidRPr="00276BCA">
        <w:rPr>
          <w:color w:val="auto"/>
        </w:rPr>
        <w:fldChar w:fldCharType="end"/>
      </w:r>
      <w:r w:rsidR="00CF420F" w:rsidRPr="00276BCA">
        <w:rPr>
          <w:color w:val="auto"/>
        </w:rPr>
        <w:t>.</w:t>
      </w:r>
      <w:r w:rsidR="00E72111" w:rsidRPr="00276BCA">
        <w:t xml:space="preserve"> </w:t>
      </w:r>
    </w:p>
    <w:p w14:paraId="59D5CDCA" w14:textId="34F862FF" w:rsidR="00211604" w:rsidRPr="00276BCA" w:rsidRDefault="00211604" w:rsidP="00204461">
      <w:pPr>
        <w:pStyle w:val="Caption"/>
      </w:pPr>
      <w:bookmarkStart w:id="65" w:name="_Ref187777711"/>
      <w:r w:rsidRPr="00276BCA">
        <w:lastRenderedPageBreak/>
        <w:t>Table</w:t>
      </w:r>
      <w:r w:rsidR="00F02D14" w:rsidRPr="00276BCA">
        <w:t xml:space="preserve"> </w:t>
      </w:r>
      <w:r w:rsidR="005E7C50">
        <w:fldChar w:fldCharType="begin"/>
      </w:r>
      <w:r w:rsidR="005E7C50">
        <w:instrText xml:space="preserve"> SEQ Table_PBAC. \* ARABIC </w:instrText>
      </w:r>
      <w:r w:rsidR="005E7C50">
        <w:fldChar w:fldCharType="separate"/>
      </w:r>
      <w:r w:rsidR="0011458F">
        <w:rPr>
          <w:noProof/>
        </w:rPr>
        <w:t>11</w:t>
      </w:r>
      <w:r w:rsidR="005E7C50">
        <w:rPr>
          <w:noProof/>
        </w:rPr>
        <w:fldChar w:fldCharType="end"/>
      </w:r>
      <w:bookmarkEnd w:id="65"/>
      <w:r w:rsidR="00B30838" w:rsidRPr="00276BCA">
        <w:t xml:space="preserve">: </w:t>
      </w:r>
      <w:r w:rsidR="00404733" w:rsidRPr="00276BCA">
        <w:t>C</w:t>
      </w:r>
      <w:r w:rsidRPr="00276BCA">
        <w:t>ost-minimisation approach</w:t>
      </w:r>
      <w:r w:rsidR="00526660" w:rsidRPr="00276BCA">
        <w:t xml:space="preserve"> as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1: Cost-minimisation approach as presented in the submission"/>
      </w:tblPr>
      <w:tblGrid>
        <w:gridCol w:w="1413"/>
        <w:gridCol w:w="847"/>
        <w:gridCol w:w="995"/>
        <w:gridCol w:w="974"/>
        <w:gridCol w:w="835"/>
        <w:gridCol w:w="837"/>
        <w:gridCol w:w="1039"/>
        <w:gridCol w:w="1039"/>
        <w:gridCol w:w="1037"/>
      </w:tblGrid>
      <w:tr w:rsidR="00494DB5" w:rsidRPr="00276BCA" w14:paraId="06A4C2D9" w14:textId="77777777" w:rsidTr="005574CB">
        <w:trPr>
          <w:trHeight w:val="667"/>
          <w:tblHeader/>
        </w:trPr>
        <w:tc>
          <w:tcPr>
            <w:tcW w:w="1253" w:type="pct"/>
            <w:gridSpan w:val="2"/>
            <w:shd w:val="clear" w:color="auto" w:fill="FFFFFF" w:themeFill="background1"/>
            <w:hideMark/>
          </w:tcPr>
          <w:p w14:paraId="7A449E96" w14:textId="77777777" w:rsidR="00211604" w:rsidRPr="00276BCA" w:rsidRDefault="00211604" w:rsidP="002928A1">
            <w:pPr>
              <w:pStyle w:val="TableRowHeader"/>
              <w:keepNext/>
              <w:keepLines/>
              <w:jc w:val="left"/>
            </w:pPr>
            <w:r w:rsidRPr="00276BCA">
              <w:t>Treatment</w:t>
            </w:r>
          </w:p>
        </w:tc>
        <w:tc>
          <w:tcPr>
            <w:tcW w:w="552" w:type="pct"/>
            <w:shd w:val="clear" w:color="auto" w:fill="FFFFFF" w:themeFill="background1"/>
            <w:hideMark/>
          </w:tcPr>
          <w:p w14:paraId="3584E963" w14:textId="77777777" w:rsidR="00211604" w:rsidRPr="00276BCA" w:rsidRDefault="00211604" w:rsidP="002928A1">
            <w:pPr>
              <w:pStyle w:val="TableRowHeader"/>
              <w:keepNext/>
              <w:keepLines/>
            </w:pPr>
            <w:r w:rsidRPr="00276BCA">
              <w:t>Mean treatment duration (months)</w:t>
            </w:r>
          </w:p>
        </w:tc>
        <w:tc>
          <w:tcPr>
            <w:tcW w:w="540" w:type="pct"/>
            <w:shd w:val="clear" w:color="auto" w:fill="FFFFFF" w:themeFill="background1"/>
          </w:tcPr>
          <w:p w14:paraId="6C0695A1" w14:textId="162AC802" w:rsidR="007408D1" w:rsidRPr="00276BCA" w:rsidRDefault="00FB22F3" w:rsidP="002928A1">
            <w:pPr>
              <w:pStyle w:val="TableRowHeader"/>
              <w:keepNext/>
              <w:keepLines/>
            </w:pPr>
            <w:r w:rsidRPr="00276BCA">
              <w:t>Relative Dose Intensity</w:t>
            </w:r>
          </w:p>
        </w:tc>
        <w:tc>
          <w:tcPr>
            <w:tcW w:w="463" w:type="pct"/>
            <w:shd w:val="clear" w:color="auto" w:fill="FFFFFF" w:themeFill="background1"/>
            <w:hideMark/>
          </w:tcPr>
          <w:p w14:paraId="46FA4F69" w14:textId="63FFEBD1" w:rsidR="00211604" w:rsidRPr="00276BCA" w:rsidRDefault="00211604" w:rsidP="002928A1">
            <w:pPr>
              <w:pStyle w:val="TableRowHeader"/>
              <w:keepNext/>
              <w:keepLines/>
            </w:pPr>
            <w:r w:rsidRPr="00276BCA">
              <w:t>Total number of doses</w:t>
            </w:r>
          </w:p>
        </w:tc>
        <w:tc>
          <w:tcPr>
            <w:tcW w:w="464" w:type="pct"/>
            <w:shd w:val="clear" w:color="auto" w:fill="FFFFFF" w:themeFill="background1"/>
            <w:hideMark/>
          </w:tcPr>
          <w:p w14:paraId="0BC53DD3" w14:textId="18F0074C" w:rsidR="00211604" w:rsidRPr="00276BCA" w:rsidRDefault="00211604" w:rsidP="002928A1">
            <w:pPr>
              <w:pStyle w:val="TableRowHeader"/>
              <w:keepNext/>
              <w:keepLines/>
              <w:ind w:left="-12"/>
            </w:pPr>
            <w:r w:rsidRPr="00276BCA">
              <w:t xml:space="preserve">Total Admin Cost </w:t>
            </w:r>
            <w:r w:rsidR="007E4C9F" w:rsidRPr="00276BCA">
              <w:t xml:space="preserve">by </w:t>
            </w:r>
            <w:r w:rsidRPr="00276BCA">
              <w:t>reg</w:t>
            </w:r>
            <w:r w:rsidR="00F04A18" w:rsidRPr="00276BCA">
              <w:t>.</w:t>
            </w:r>
            <w:r w:rsidR="00CA7BF9" w:rsidRPr="00276BCA">
              <w:t xml:space="preserve"> </w:t>
            </w:r>
            <w:r w:rsidRPr="00276BCA">
              <w:t>($)</w:t>
            </w:r>
          </w:p>
        </w:tc>
        <w:tc>
          <w:tcPr>
            <w:tcW w:w="576" w:type="pct"/>
            <w:shd w:val="clear" w:color="auto" w:fill="FFFFFF" w:themeFill="background1"/>
            <w:hideMark/>
          </w:tcPr>
          <w:p w14:paraId="28E1707D" w14:textId="13D4E0AA" w:rsidR="00211604" w:rsidRPr="00276BCA" w:rsidRDefault="00211604" w:rsidP="002928A1">
            <w:pPr>
              <w:pStyle w:val="TableRowHeader"/>
              <w:keepNext/>
              <w:keepLines/>
            </w:pPr>
            <w:r w:rsidRPr="00276BCA">
              <w:t xml:space="preserve">Cost per Dose </w:t>
            </w:r>
            <w:r w:rsidR="007C09BD" w:rsidRPr="00276BCA">
              <w:t xml:space="preserve">based on </w:t>
            </w:r>
            <w:r w:rsidR="002C0E44" w:rsidRPr="00276BCA">
              <w:t>Disp</w:t>
            </w:r>
            <w:r w:rsidR="007D3786" w:rsidRPr="00276BCA">
              <w:t>.</w:t>
            </w:r>
            <w:r w:rsidR="002C0E44" w:rsidRPr="00276BCA">
              <w:t xml:space="preserve"> price</w:t>
            </w:r>
            <w:r w:rsidR="007C09BD" w:rsidRPr="00276BCA">
              <w:t xml:space="preserve"> </w:t>
            </w:r>
            <w:r w:rsidRPr="00276BCA">
              <w:t>($)</w:t>
            </w:r>
          </w:p>
        </w:tc>
        <w:tc>
          <w:tcPr>
            <w:tcW w:w="576" w:type="pct"/>
            <w:shd w:val="clear" w:color="auto" w:fill="FFFFFF" w:themeFill="background1"/>
            <w:hideMark/>
          </w:tcPr>
          <w:p w14:paraId="6BA54506" w14:textId="14E2BA9E" w:rsidR="00211604" w:rsidRPr="00276BCA" w:rsidRDefault="4E1D74AC" w:rsidP="002928A1">
            <w:pPr>
              <w:pStyle w:val="TableRowHeader"/>
              <w:keepNext/>
              <w:keepLines/>
            </w:pPr>
            <w:r w:rsidRPr="00276BCA">
              <w:t xml:space="preserve">Total Cost </w:t>
            </w:r>
            <w:r w:rsidR="1937A0AC" w:rsidRPr="00276BCA">
              <w:t xml:space="preserve">by </w:t>
            </w:r>
            <w:r w:rsidRPr="00276BCA">
              <w:t>reg</w:t>
            </w:r>
            <w:r w:rsidR="3DCEB218" w:rsidRPr="00276BCA">
              <w:t>.</w:t>
            </w:r>
            <w:r w:rsidRPr="00276BCA">
              <w:t xml:space="preserve"> </w:t>
            </w:r>
            <w:r w:rsidR="338410D5" w:rsidRPr="00276BCA">
              <w:t xml:space="preserve">based on </w:t>
            </w:r>
            <w:r w:rsidR="6E0A6183" w:rsidRPr="00276BCA">
              <w:t>Disp</w:t>
            </w:r>
            <w:r w:rsidR="3DCEB218" w:rsidRPr="00276BCA">
              <w:t>.</w:t>
            </w:r>
            <w:r w:rsidR="6E0A6183" w:rsidRPr="00276BCA">
              <w:t xml:space="preserve"> price</w:t>
            </w:r>
            <w:r w:rsidR="338410D5" w:rsidRPr="00276BCA">
              <w:t xml:space="preserve"> </w:t>
            </w:r>
            <w:r w:rsidRPr="00276BCA">
              <w:t>($)</w:t>
            </w:r>
          </w:p>
        </w:tc>
        <w:tc>
          <w:tcPr>
            <w:tcW w:w="575" w:type="pct"/>
            <w:shd w:val="clear" w:color="auto" w:fill="FFFFFF" w:themeFill="background1"/>
            <w:hideMark/>
          </w:tcPr>
          <w:p w14:paraId="3E55DA4F" w14:textId="45A4BCB9" w:rsidR="00211604" w:rsidRPr="00276BCA" w:rsidRDefault="4E1D74AC" w:rsidP="002928A1">
            <w:pPr>
              <w:pStyle w:val="TableRowHeader"/>
              <w:keepNext/>
              <w:keepLines/>
            </w:pPr>
            <w:r w:rsidRPr="00276BCA">
              <w:t xml:space="preserve">Total Cost </w:t>
            </w:r>
            <w:r w:rsidR="1937A0AC" w:rsidRPr="00276BCA">
              <w:t xml:space="preserve">by </w:t>
            </w:r>
            <w:r w:rsidRPr="00276BCA">
              <w:t xml:space="preserve">treatment </w:t>
            </w:r>
            <w:r w:rsidR="5760FA2F" w:rsidRPr="00276BCA">
              <w:t xml:space="preserve">based on </w:t>
            </w:r>
            <w:r w:rsidR="6E0A6183" w:rsidRPr="00276BCA">
              <w:t>Disp</w:t>
            </w:r>
            <w:r w:rsidR="3DCEB218" w:rsidRPr="00276BCA">
              <w:t xml:space="preserve">. </w:t>
            </w:r>
            <w:r w:rsidR="0087139E" w:rsidRPr="00276BCA">
              <w:t>price (</w:t>
            </w:r>
            <w:r w:rsidRPr="00276BCA">
              <w:t>$)</w:t>
            </w:r>
          </w:p>
        </w:tc>
      </w:tr>
      <w:tr w:rsidR="00E41328" w:rsidRPr="00276BCA" w14:paraId="23827BE2" w14:textId="77777777" w:rsidTr="77D89277">
        <w:trPr>
          <w:trHeight w:val="221"/>
        </w:trPr>
        <w:tc>
          <w:tcPr>
            <w:tcW w:w="5000" w:type="pct"/>
            <w:gridSpan w:val="9"/>
          </w:tcPr>
          <w:p w14:paraId="185F851E" w14:textId="7F936EE9" w:rsidR="00211604" w:rsidRPr="00276BCA" w:rsidRDefault="00211604" w:rsidP="002928A1">
            <w:pPr>
              <w:pStyle w:val="TableNumber"/>
              <w:keepNext/>
              <w:keepLines/>
              <w:ind w:left="-12"/>
              <w:jc w:val="left"/>
              <w:rPr>
                <w:b/>
              </w:rPr>
            </w:pPr>
            <w:proofErr w:type="spellStart"/>
            <w:r w:rsidRPr="00276BCA">
              <w:rPr>
                <w:b/>
              </w:rPr>
              <w:t>Zolbetuximab</w:t>
            </w:r>
            <w:proofErr w:type="spellEnd"/>
            <w:r w:rsidRPr="00276BCA">
              <w:rPr>
                <w:b/>
              </w:rPr>
              <w:t xml:space="preserve"> + CAPOX</w:t>
            </w:r>
          </w:p>
        </w:tc>
      </w:tr>
      <w:tr w:rsidR="003C2427" w:rsidRPr="00276BCA" w14:paraId="32E4E6B7" w14:textId="77777777" w:rsidTr="005574CB">
        <w:trPr>
          <w:trHeight w:val="221"/>
        </w:trPr>
        <w:tc>
          <w:tcPr>
            <w:tcW w:w="1253" w:type="pct"/>
            <w:gridSpan w:val="2"/>
            <w:hideMark/>
          </w:tcPr>
          <w:p w14:paraId="565ABC69" w14:textId="34009AF5" w:rsidR="00801C77" w:rsidRPr="00276BCA" w:rsidRDefault="00211604" w:rsidP="002928A1">
            <w:pPr>
              <w:pStyle w:val="TableNumber"/>
              <w:keepNext/>
              <w:keepLines/>
              <w:jc w:val="left"/>
            </w:pPr>
            <w:proofErr w:type="spellStart"/>
            <w:r w:rsidRPr="00276BCA">
              <w:t>Zolbetuximab</w:t>
            </w:r>
            <w:proofErr w:type="spellEnd"/>
            <w:r w:rsidR="00A772A9" w:rsidRPr="00276BCA">
              <w:t xml:space="preserve"> 800mg/m</w:t>
            </w:r>
            <w:r w:rsidR="00A772A9" w:rsidRPr="00276BCA">
              <w:rPr>
                <w:vertAlign w:val="superscript"/>
              </w:rPr>
              <w:t>2</w:t>
            </w:r>
            <w:r w:rsidRPr="00276BCA">
              <w:t xml:space="preserve"> </w:t>
            </w:r>
          </w:p>
          <w:p w14:paraId="5FD7587A" w14:textId="5A10ECD6" w:rsidR="00211604" w:rsidRPr="00276BCA" w:rsidRDefault="00211604" w:rsidP="002928A1">
            <w:pPr>
              <w:pStyle w:val="TableNumber"/>
              <w:keepNext/>
              <w:keepLines/>
              <w:jc w:val="left"/>
            </w:pPr>
            <w:r w:rsidRPr="00276BCA">
              <w:t>(Loading dose)</w:t>
            </w:r>
          </w:p>
        </w:tc>
        <w:tc>
          <w:tcPr>
            <w:tcW w:w="552" w:type="pct"/>
            <w:shd w:val="clear" w:color="auto" w:fill="FFFFFF" w:themeFill="background1"/>
            <w:noWrap/>
            <w:vAlign w:val="center"/>
            <w:hideMark/>
          </w:tcPr>
          <w:p w14:paraId="636A362E" w14:textId="77777777" w:rsidR="00211604" w:rsidRPr="00276BCA" w:rsidRDefault="00211604" w:rsidP="00A85F19">
            <w:pPr>
              <w:pStyle w:val="TableNumber"/>
              <w:keepNext/>
              <w:keepLines/>
              <w:tabs>
                <w:tab w:val="clear" w:pos="396"/>
                <w:tab w:val="decimal" w:pos="311"/>
              </w:tabs>
            </w:pPr>
            <w:r w:rsidRPr="00276BCA">
              <w:t>7.34</w:t>
            </w:r>
          </w:p>
        </w:tc>
        <w:tc>
          <w:tcPr>
            <w:tcW w:w="540" w:type="pct"/>
            <w:vMerge w:val="restart"/>
            <w:shd w:val="clear" w:color="auto" w:fill="FFFFFF" w:themeFill="background1"/>
            <w:vAlign w:val="center"/>
          </w:tcPr>
          <w:p w14:paraId="2860A2BC" w14:textId="3B367F5F" w:rsidR="007408D1" w:rsidRPr="00276BCA" w:rsidRDefault="001F7C7F" w:rsidP="00A85F19">
            <w:pPr>
              <w:pStyle w:val="TableNumber"/>
              <w:keepNext/>
              <w:keepLines/>
              <w:tabs>
                <w:tab w:val="clear" w:pos="396"/>
                <w:tab w:val="decimal" w:pos="52"/>
              </w:tabs>
            </w:pPr>
            <w:r w:rsidRPr="00276BCA">
              <w:t>96.08%</w:t>
            </w:r>
          </w:p>
        </w:tc>
        <w:tc>
          <w:tcPr>
            <w:tcW w:w="463" w:type="pct"/>
            <w:shd w:val="clear" w:color="auto" w:fill="FFFFFF" w:themeFill="background1"/>
            <w:noWrap/>
            <w:vAlign w:val="center"/>
            <w:hideMark/>
          </w:tcPr>
          <w:p w14:paraId="7CAD7832" w14:textId="3BD9AA22" w:rsidR="00211604" w:rsidRPr="00276BCA" w:rsidRDefault="00211604" w:rsidP="00A85F19">
            <w:pPr>
              <w:pStyle w:val="TableNumber"/>
              <w:keepNext/>
              <w:keepLines/>
              <w:tabs>
                <w:tab w:val="clear" w:pos="396"/>
                <w:tab w:val="decimal" w:pos="0"/>
              </w:tabs>
            </w:pPr>
            <w:r w:rsidRPr="00276BCA">
              <w:t>1.00</w:t>
            </w:r>
          </w:p>
        </w:tc>
        <w:tc>
          <w:tcPr>
            <w:tcW w:w="464" w:type="pct"/>
            <w:shd w:val="clear" w:color="auto" w:fill="FFFFFF" w:themeFill="background1"/>
            <w:noWrap/>
            <w:vAlign w:val="center"/>
            <w:hideMark/>
          </w:tcPr>
          <w:p w14:paraId="25E90F2D" w14:textId="77777777" w:rsidR="00211604" w:rsidRPr="00276BCA" w:rsidRDefault="00211604" w:rsidP="00A85F19">
            <w:pPr>
              <w:pStyle w:val="TableNumber"/>
              <w:keepNext/>
              <w:keepLines/>
              <w:ind w:left="-12"/>
            </w:pPr>
            <w:r w:rsidRPr="00276BCA">
              <w:t>$123</w:t>
            </w:r>
          </w:p>
        </w:tc>
        <w:tc>
          <w:tcPr>
            <w:tcW w:w="576" w:type="pct"/>
            <w:shd w:val="clear" w:color="auto" w:fill="FFFFFF" w:themeFill="background1"/>
            <w:noWrap/>
            <w:vAlign w:val="center"/>
            <w:hideMark/>
          </w:tcPr>
          <w:p w14:paraId="78F7F24F" w14:textId="1910697C" w:rsidR="00ED181C" w:rsidRPr="00276BCA" w:rsidRDefault="00211604" w:rsidP="00A85F19">
            <w:pPr>
              <w:pStyle w:val="TableNumber"/>
              <w:keepNext/>
              <w:keepLines/>
            </w:pPr>
            <w:r w:rsidRPr="00276BCA">
              <w:t>$10,333</w:t>
            </w:r>
          </w:p>
        </w:tc>
        <w:tc>
          <w:tcPr>
            <w:tcW w:w="576" w:type="pct"/>
            <w:shd w:val="clear" w:color="auto" w:fill="FFFFFF" w:themeFill="background1"/>
            <w:noWrap/>
            <w:vAlign w:val="center"/>
            <w:hideMark/>
          </w:tcPr>
          <w:p w14:paraId="5B17AD0B" w14:textId="77777777" w:rsidR="00211604" w:rsidRPr="00276BCA" w:rsidRDefault="00211604" w:rsidP="00A85F19">
            <w:pPr>
              <w:pStyle w:val="TableNumber"/>
              <w:keepNext/>
              <w:keepLines/>
            </w:pPr>
            <w:r w:rsidRPr="00276BCA">
              <w:t>$10,333</w:t>
            </w:r>
          </w:p>
        </w:tc>
        <w:tc>
          <w:tcPr>
            <w:tcW w:w="575" w:type="pct"/>
            <w:vMerge w:val="restart"/>
            <w:noWrap/>
            <w:vAlign w:val="center"/>
            <w:hideMark/>
          </w:tcPr>
          <w:p w14:paraId="36567203" w14:textId="77777777" w:rsidR="00211604" w:rsidRPr="00276BCA" w:rsidRDefault="00211604" w:rsidP="00A85F19">
            <w:pPr>
              <w:pStyle w:val="TableNumber"/>
              <w:keepNext/>
              <w:keepLines/>
            </w:pPr>
            <w:r w:rsidRPr="00276BCA">
              <w:t>$90,711</w:t>
            </w:r>
          </w:p>
          <w:p w14:paraId="2D60AFF6" w14:textId="77777777" w:rsidR="00211604" w:rsidRPr="00276BCA" w:rsidRDefault="00211604" w:rsidP="00A85F19">
            <w:pPr>
              <w:pStyle w:val="TableNumber"/>
              <w:keepNext/>
              <w:keepLines/>
            </w:pPr>
          </w:p>
        </w:tc>
      </w:tr>
      <w:tr w:rsidR="003C2427" w:rsidRPr="00276BCA" w14:paraId="772C2B6E" w14:textId="77777777" w:rsidTr="005574CB">
        <w:trPr>
          <w:trHeight w:val="221"/>
        </w:trPr>
        <w:tc>
          <w:tcPr>
            <w:tcW w:w="1253" w:type="pct"/>
            <w:gridSpan w:val="2"/>
            <w:hideMark/>
          </w:tcPr>
          <w:p w14:paraId="6FCF6BE8" w14:textId="6A888FCA" w:rsidR="00211604" w:rsidRPr="00276BCA" w:rsidRDefault="00211604" w:rsidP="002928A1">
            <w:pPr>
              <w:pStyle w:val="TableNumber"/>
              <w:keepNext/>
              <w:keepLines/>
              <w:tabs>
                <w:tab w:val="clear" w:pos="396"/>
                <w:tab w:val="decimal" w:pos="164"/>
              </w:tabs>
              <w:jc w:val="left"/>
            </w:pPr>
            <w:proofErr w:type="spellStart"/>
            <w:r w:rsidRPr="00276BCA">
              <w:t>Zolbetuximab</w:t>
            </w:r>
            <w:proofErr w:type="spellEnd"/>
            <w:r w:rsidRPr="00276BCA">
              <w:t xml:space="preserve"> </w:t>
            </w:r>
            <w:r w:rsidR="00801C77" w:rsidRPr="00276BCA">
              <w:t>600mg/m</w:t>
            </w:r>
            <w:r w:rsidR="00801C77" w:rsidRPr="00276BCA">
              <w:rPr>
                <w:vertAlign w:val="superscript"/>
              </w:rPr>
              <w:t>2</w:t>
            </w:r>
            <w:r w:rsidR="00F411E7" w:rsidRPr="00276BCA">
              <w:rPr>
                <w:vertAlign w:val="superscript"/>
              </w:rPr>
              <w:t xml:space="preserve"> </w:t>
            </w:r>
            <w:r w:rsidR="00F411E7" w:rsidRPr="00276BCA">
              <w:t xml:space="preserve">Q3W </w:t>
            </w:r>
            <w:r w:rsidRPr="00276BCA">
              <w:t>(Maintenance dose)</w:t>
            </w:r>
          </w:p>
        </w:tc>
        <w:tc>
          <w:tcPr>
            <w:tcW w:w="552" w:type="pct"/>
            <w:shd w:val="clear" w:color="auto" w:fill="FFFFFF" w:themeFill="background1"/>
            <w:noWrap/>
            <w:vAlign w:val="center"/>
            <w:hideMark/>
          </w:tcPr>
          <w:p w14:paraId="036B9B65" w14:textId="77777777" w:rsidR="00211604" w:rsidRPr="00276BCA" w:rsidRDefault="00211604" w:rsidP="00A85F19">
            <w:pPr>
              <w:pStyle w:val="TableNumber"/>
              <w:keepNext/>
              <w:keepLines/>
              <w:tabs>
                <w:tab w:val="clear" w:pos="396"/>
                <w:tab w:val="decimal" w:pos="311"/>
              </w:tabs>
            </w:pPr>
            <w:r w:rsidRPr="00276BCA">
              <w:t>7.34</w:t>
            </w:r>
          </w:p>
        </w:tc>
        <w:tc>
          <w:tcPr>
            <w:tcW w:w="540" w:type="pct"/>
            <w:vMerge/>
            <w:vAlign w:val="center"/>
          </w:tcPr>
          <w:p w14:paraId="2E031CCD" w14:textId="7F6A87E1" w:rsidR="007408D1" w:rsidRPr="00276BCA" w:rsidRDefault="007408D1" w:rsidP="00A85F19">
            <w:pPr>
              <w:pStyle w:val="TableNumber"/>
              <w:keepNext/>
              <w:keepLines/>
              <w:tabs>
                <w:tab w:val="clear" w:pos="396"/>
                <w:tab w:val="decimal" w:pos="52"/>
              </w:tabs>
            </w:pPr>
          </w:p>
        </w:tc>
        <w:tc>
          <w:tcPr>
            <w:tcW w:w="463" w:type="pct"/>
            <w:shd w:val="clear" w:color="auto" w:fill="FFFFFF" w:themeFill="background1"/>
            <w:noWrap/>
            <w:vAlign w:val="center"/>
            <w:hideMark/>
          </w:tcPr>
          <w:p w14:paraId="52352BC3" w14:textId="7CC5094F" w:rsidR="00211604" w:rsidRPr="00276BCA" w:rsidRDefault="00211604" w:rsidP="00A85F19">
            <w:pPr>
              <w:pStyle w:val="TableNumber"/>
              <w:keepNext/>
              <w:keepLines/>
              <w:tabs>
                <w:tab w:val="clear" w:pos="396"/>
                <w:tab w:val="decimal" w:pos="0"/>
              </w:tabs>
            </w:pPr>
            <w:r w:rsidRPr="00276BCA">
              <w:t>10.00</w:t>
            </w:r>
          </w:p>
        </w:tc>
        <w:tc>
          <w:tcPr>
            <w:tcW w:w="464" w:type="pct"/>
            <w:vMerge w:val="restart"/>
            <w:shd w:val="clear" w:color="auto" w:fill="FFFFFF" w:themeFill="background1"/>
            <w:noWrap/>
            <w:vAlign w:val="center"/>
            <w:hideMark/>
          </w:tcPr>
          <w:p w14:paraId="5CDCA8E9" w14:textId="77777777" w:rsidR="00211604" w:rsidRPr="00276BCA" w:rsidRDefault="00211604" w:rsidP="00A85F19">
            <w:pPr>
              <w:pStyle w:val="TableNumber"/>
              <w:keepNext/>
              <w:keepLines/>
              <w:ind w:left="-12"/>
            </w:pPr>
            <w:r w:rsidRPr="00276BCA">
              <w:t>$1,231</w:t>
            </w:r>
          </w:p>
        </w:tc>
        <w:tc>
          <w:tcPr>
            <w:tcW w:w="576" w:type="pct"/>
            <w:shd w:val="clear" w:color="auto" w:fill="FFFFFF" w:themeFill="background1"/>
            <w:noWrap/>
            <w:vAlign w:val="center"/>
            <w:hideMark/>
          </w:tcPr>
          <w:p w14:paraId="1848E104" w14:textId="688C1478" w:rsidR="00565047" w:rsidRPr="00276BCA" w:rsidRDefault="00211604" w:rsidP="009D71E1">
            <w:pPr>
              <w:pStyle w:val="TableNumber"/>
              <w:keepNext/>
              <w:keepLines/>
            </w:pPr>
            <w:r w:rsidRPr="00276BCA">
              <w:t>$7,779</w:t>
            </w:r>
          </w:p>
        </w:tc>
        <w:tc>
          <w:tcPr>
            <w:tcW w:w="576" w:type="pct"/>
            <w:shd w:val="clear" w:color="auto" w:fill="FFFFFF" w:themeFill="background1"/>
            <w:noWrap/>
            <w:vAlign w:val="center"/>
            <w:hideMark/>
          </w:tcPr>
          <w:p w14:paraId="3EED1F49" w14:textId="77777777" w:rsidR="00211604" w:rsidRPr="00276BCA" w:rsidRDefault="00211604" w:rsidP="00A85F19">
            <w:pPr>
              <w:pStyle w:val="TableNumber"/>
              <w:keepNext/>
              <w:keepLines/>
            </w:pPr>
            <w:r w:rsidRPr="00276BCA">
              <w:t>$77,790</w:t>
            </w:r>
          </w:p>
        </w:tc>
        <w:tc>
          <w:tcPr>
            <w:tcW w:w="575" w:type="pct"/>
            <w:vMerge/>
            <w:vAlign w:val="center"/>
            <w:hideMark/>
          </w:tcPr>
          <w:p w14:paraId="29D5FC47" w14:textId="77777777" w:rsidR="00211604" w:rsidRPr="00276BCA" w:rsidRDefault="00211604" w:rsidP="00A85F19">
            <w:pPr>
              <w:pStyle w:val="TableNumber"/>
              <w:keepNext/>
              <w:keepLines/>
            </w:pPr>
          </w:p>
        </w:tc>
      </w:tr>
      <w:tr w:rsidR="003C2427" w:rsidRPr="00276BCA" w14:paraId="1CC8AB4B" w14:textId="77777777" w:rsidTr="005574CB">
        <w:trPr>
          <w:trHeight w:val="221"/>
        </w:trPr>
        <w:tc>
          <w:tcPr>
            <w:tcW w:w="1253" w:type="pct"/>
            <w:gridSpan w:val="2"/>
            <w:noWrap/>
            <w:hideMark/>
          </w:tcPr>
          <w:p w14:paraId="6FCBFBCA" w14:textId="77777777" w:rsidR="002E03C6" w:rsidRPr="00276BCA" w:rsidRDefault="00211604" w:rsidP="002928A1">
            <w:pPr>
              <w:pStyle w:val="TableNumber"/>
              <w:keepNext/>
              <w:keepLines/>
              <w:jc w:val="left"/>
            </w:pPr>
            <w:r w:rsidRPr="00276BCA">
              <w:t xml:space="preserve">Capecitabine </w:t>
            </w:r>
            <w:r w:rsidR="002E03C6" w:rsidRPr="00276BCA">
              <w:t>1000 mg/m</w:t>
            </w:r>
            <w:r w:rsidR="002E03C6" w:rsidRPr="00276BCA">
              <w:rPr>
                <w:vertAlign w:val="superscript"/>
              </w:rPr>
              <w:t>2</w:t>
            </w:r>
          </w:p>
          <w:p w14:paraId="43AFA709" w14:textId="11E001F8" w:rsidR="00211604" w:rsidRPr="00276BCA" w:rsidRDefault="00211604" w:rsidP="002928A1">
            <w:pPr>
              <w:pStyle w:val="TableNumber"/>
              <w:keepNext/>
              <w:keepLines/>
              <w:jc w:val="left"/>
            </w:pPr>
            <w:r w:rsidRPr="00276BCA">
              <w:t>(Bid, 14 days)</w:t>
            </w:r>
            <w:r w:rsidR="00964A43" w:rsidRPr="00276BCA">
              <w:t xml:space="preserve"> Q3W</w:t>
            </w:r>
          </w:p>
        </w:tc>
        <w:tc>
          <w:tcPr>
            <w:tcW w:w="552" w:type="pct"/>
            <w:shd w:val="clear" w:color="auto" w:fill="FFFFFF" w:themeFill="background1"/>
            <w:noWrap/>
            <w:vAlign w:val="center"/>
            <w:hideMark/>
          </w:tcPr>
          <w:p w14:paraId="44A7F02B" w14:textId="77777777" w:rsidR="00211604" w:rsidRPr="00276BCA" w:rsidRDefault="00211604" w:rsidP="00A85F19">
            <w:pPr>
              <w:pStyle w:val="TableNumber"/>
              <w:keepNext/>
              <w:keepLines/>
              <w:tabs>
                <w:tab w:val="clear" w:pos="396"/>
                <w:tab w:val="decimal" w:pos="311"/>
              </w:tabs>
            </w:pPr>
            <w:r w:rsidRPr="00276BCA">
              <w:t>6.98</w:t>
            </w:r>
          </w:p>
        </w:tc>
        <w:tc>
          <w:tcPr>
            <w:tcW w:w="540" w:type="pct"/>
            <w:shd w:val="clear" w:color="auto" w:fill="FFFFFF" w:themeFill="background1"/>
            <w:vAlign w:val="center"/>
          </w:tcPr>
          <w:p w14:paraId="5C4E6FEB" w14:textId="4794F4B2" w:rsidR="007408D1" w:rsidRPr="00276BCA" w:rsidRDefault="00905A32" w:rsidP="00A85F19">
            <w:pPr>
              <w:pStyle w:val="TableNumber"/>
              <w:keepNext/>
              <w:keepLines/>
              <w:tabs>
                <w:tab w:val="clear" w:pos="396"/>
                <w:tab w:val="decimal" w:pos="52"/>
              </w:tabs>
            </w:pPr>
            <w:r w:rsidRPr="00276BCA">
              <w:t>95.04%</w:t>
            </w:r>
          </w:p>
        </w:tc>
        <w:tc>
          <w:tcPr>
            <w:tcW w:w="463" w:type="pct"/>
            <w:shd w:val="clear" w:color="auto" w:fill="FFFFFF" w:themeFill="background1"/>
            <w:noWrap/>
            <w:vAlign w:val="center"/>
            <w:hideMark/>
          </w:tcPr>
          <w:p w14:paraId="79B56AAC" w14:textId="13486B70" w:rsidR="00211604" w:rsidRPr="00276BCA" w:rsidRDefault="00211604" w:rsidP="00A85F19">
            <w:pPr>
              <w:pStyle w:val="TableNumber"/>
              <w:keepNext/>
              <w:keepLines/>
              <w:tabs>
                <w:tab w:val="clear" w:pos="396"/>
                <w:tab w:val="decimal" w:pos="0"/>
              </w:tabs>
            </w:pPr>
            <w:r w:rsidRPr="00276BCA">
              <w:t>308.00</w:t>
            </w:r>
          </w:p>
        </w:tc>
        <w:tc>
          <w:tcPr>
            <w:tcW w:w="464" w:type="pct"/>
            <w:vMerge/>
            <w:vAlign w:val="center"/>
            <w:hideMark/>
          </w:tcPr>
          <w:p w14:paraId="3FCA4C82" w14:textId="77777777" w:rsidR="00211604" w:rsidRPr="00276BCA" w:rsidRDefault="00211604" w:rsidP="00A85F19">
            <w:pPr>
              <w:pStyle w:val="TableNumber"/>
              <w:keepNext/>
              <w:keepLines/>
              <w:ind w:left="-12"/>
            </w:pPr>
          </w:p>
        </w:tc>
        <w:tc>
          <w:tcPr>
            <w:tcW w:w="576" w:type="pct"/>
            <w:shd w:val="clear" w:color="auto" w:fill="FFFFFF" w:themeFill="background1"/>
            <w:noWrap/>
            <w:vAlign w:val="center"/>
            <w:hideMark/>
          </w:tcPr>
          <w:p w14:paraId="4EE5F32A" w14:textId="77777777" w:rsidR="00211604" w:rsidRPr="00276BCA" w:rsidRDefault="00211604" w:rsidP="00A85F19">
            <w:pPr>
              <w:pStyle w:val="TableNumber"/>
              <w:keepNext/>
              <w:keepLines/>
            </w:pPr>
            <w:r w:rsidRPr="00276BCA">
              <w:t>$1</w:t>
            </w:r>
          </w:p>
        </w:tc>
        <w:tc>
          <w:tcPr>
            <w:tcW w:w="576" w:type="pct"/>
            <w:shd w:val="clear" w:color="auto" w:fill="FFFFFF" w:themeFill="background1"/>
            <w:noWrap/>
            <w:vAlign w:val="center"/>
            <w:hideMark/>
          </w:tcPr>
          <w:p w14:paraId="66AE6739" w14:textId="77777777" w:rsidR="00211604" w:rsidRPr="00276BCA" w:rsidRDefault="00211604" w:rsidP="00A85F19">
            <w:pPr>
              <w:pStyle w:val="TableNumber"/>
              <w:keepNext/>
              <w:keepLines/>
            </w:pPr>
            <w:r w:rsidRPr="00276BCA">
              <w:t>$358</w:t>
            </w:r>
          </w:p>
        </w:tc>
        <w:tc>
          <w:tcPr>
            <w:tcW w:w="575" w:type="pct"/>
            <w:vMerge/>
            <w:vAlign w:val="center"/>
            <w:hideMark/>
          </w:tcPr>
          <w:p w14:paraId="4BBAF529" w14:textId="77777777" w:rsidR="00211604" w:rsidRPr="00276BCA" w:rsidRDefault="00211604" w:rsidP="00A85F19">
            <w:pPr>
              <w:pStyle w:val="TableNumber"/>
              <w:keepNext/>
              <w:keepLines/>
            </w:pPr>
          </w:p>
        </w:tc>
      </w:tr>
      <w:tr w:rsidR="003C2427" w:rsidRPr="00276BCA" w14:paraId="28D5063E" w14:textId="77777777" w:rsidTr="005574CB">
        <w:trPr>
          <w:trHeight w:val="221"/>
        </w:trPr>
        <w:tc>
          <w:tcPr>
            <w:tcW w:w="1253" w:type="pct"/>
            <w:gridSpan w:val="2"/>
            <w:noWrap/>
            <w:hideMark/>
          </w:tcPr>
          <w:p w14:paraId="0A4382EA" w14:textId="05DDC2B6" w:rsidR="002E03C6" w:rsidRPr="00276BCA" w:rsidRDefault="00211604" w:rsidP="002928A1">
            <w:pPr>
              <w:pStyle w:val="TableNumber"/>
              <w:keepNext/>
              <w:keepLines/>
              <w:jc w:val="left"/>
            </w:pPr>
            <w:r w:rsidRPr="00276BCA">
              <w:t>Oxaliplatin</w:t>
            </w:r>
            <w:r w:rsidR="002E03C6" w:rsidRPr="00276BCA">
              <w:t xml:space="preserve"> 130mg/m</w:t>
            </w:r>
            <w:r w:rsidR="002E03C6" w:rsidRPr="00276BCA">
              <w:rPr>
                <w:vertAlign w:val="superscript"/>
              </w:rPr>
              <w:t>2</w:t>
            </w:r>
            <w:r w:rsidR="002E03C6" w:rsidRPr="00276BCA">
              <w:t xml:space="preserve"> Q3W</w:t>
            </w:r>
          </w:p>
        </w:tc>
        <w:tc>
          <w:tcPr>
            <w:tcW w:w="552" w:type="pct"/>
            <w:shd w:val="clear" w:color="auto" w:fill="FFFFFF" w:themeFill="background1"/>
            <w:noWrap/>
            <w:vAlign w:val="center"/>
            <w:hideMark/>
          </w:tcPr>
          <w:p w14:paraId="5B01EF1F" w14:textId="77777777" w:rsidR="00211604" w:rsidRPr="00276BCA" w:rsidRDefault="00211604" w:rsidP="00A85F19">
            <w:pPr>
              <w:pStyle w:val="TableNumber"/>
              <w:keepNext/>
              <w:keepLines/>
              <w:tabs>
                <w:tab w:val="clear" w:pos="396"/>
                <w:tab w:val="decimal" w:pos="311"/>
              </w:tabs>
            </w:pPr>
            <w:r w:rsidRPr="00276BCA">
              <w:t>3.62</w:t>
            </w:r>
          </w:p>
        </w:tc>
        <w:tc>
          <w:tcPr>
            <w:tcW w:w="540" w:type="pct"/>
            <w:shd w:val="clear" w:color="auto" w:fill="FFFFFF" w:themeFill="background1"/>
            <w:vAlign w:val="center"/>
          </w:tcPr>
          <w:p w14:paraId="1943AB34" w14:textId="1723487A" w:rsidR="007408D1" w:rsidRPr="00276BCA" w:rsidRDefault="001F7C7F" w:rsidP="00A85F19">
            <w:pPr>
              <w:pStyle w:val="TableNumber"/>
              <w:keepNext/>
              <w:keepLines/>
              <w:tabs>
                <w:tab w:val="clear" w:pos="396"/>
                <w:tab w:val="decimal" w:pos="52"/>
              </w:tabs>
            </w:pPr>
            <w:r w:rsidRPr="00276BCA">
              <w:t>82.54%</w:t>
            </w:r>
          </w:p>
        </w:tc>
        <w:tc>
          <w:tcPr>
            <w:tcW w:w="463" w:type="pct"/>
            <w:shd w:val="clear" w:color="auto" w:fill="FFFFFF" w:themeFill="background1"/>
            <w:noWrap/>
            <w:vAlign w:val="center"/>
            <w:hideMark/>
          </w:tcPr>
          <w:p w14:paraId="743F673A" w14:textId="081E9B97" w:rsidR="00211604" w:rsidRPr="00276BCA" w:rsidRDefault="00211604" w:rsidP="00A85F19">
            <w:pPr>
              <w:pStyle w:val="TableNumber"/>
              <w:keepNext/>
              <w:keepLines/>
              <w:tabs>
                <w:tab w:val="clear" w:pos="396"/>
                <w:tab w:val="decimal" w:pos="0"/>
              </w:tabs>
            </w:pPr>
            <w:r w:rsidRPr="00276BCA">
              <w:t>6.00</w:t>
            </w:r>
          </w:p>
        </w:tc>
        <w:tc>
          <w:tcPr>
            <w:tcW w:w="464" w:type="pct"/>
            <w:vMerge/>
            <w:vAlign w:val="center"/>
            <w:hideMark/>
          </w:tcPr>
          <w:p w14:paraId="3F681CA6" w14:textId="77777777" w:rsidR="00211604" w:rsidRPr="00276BCA" w:rsidRDefault="00211604" w:rsidP="00A85F19">
            <w:pPr>
              <w:pStyle w:val="TableNumber"/>
              <w:keepNext/>
              <w:keepLines/>
              <w:ind w:left="-12"/>
            </w:pPr>
          </w:p>
        </w:tc>
        <w:tc>
          <w:tcPr>
            <w:tcW w:w="576" w:type="pct"/>
            <w:shd w:val="clear" w:color="auto" w:fill="FFFFFF" w:themeFill="background1"/>
            <w:noWrap/>
            <w:vAlign w:val="center"/>
            <w:hideMark/>
          </w:tcPr>
          <w:p w14:paraId="181FDA75" w14:textId="77777777" w:rsidR="00211604" w:rsidRPr="00276BCA" w:rsidRDefault="00211604" w:rsidP="00A85F19">
            <w:pPr>
              <w:pStyle w:val="TableNumber"/>
              <w:keepNext/>
              <w:keepLines/>
            </w:pPr>
            <w:r w:rsidRPr="00276BCA">
              <w:t>$146</w:t>
            </w:r>
          </w:p>
        </w:tc>
        <w:tc>
          <w:tcPr>
            <w:tcW w:w="576" w:type="pct"/>
            <w:shd w:val="clear" w:color="auto" w:fill="FFFFFF" w:themeFill="background1"/>
            <w:noWrap/>
            <w:vAlign w:val="center"/>
            <w:hideMark/>
          </w:tcPr>
          <w:p w14:paraId="190C7F4A" w14:textId="77777777" w:rsidR="00211604" w:rsidRPr="00276BCA" w:rsidRDefault="00211604" w:rsidP="00A85F19">
            <w:pPr>
              <w:pStyle w:val="TableNumber"/>
              <w:keepNext/>
              <w:keepLines/>
            </w:pPr>
            <w:r w:rsidRPr="00276BCA">
              <w:t>$876</w:t>
            </w:r>
          </w:p>
        </w:tc>
        <w:tc>
          <w:tcPr>
            <w:tcW w:w="575" w:type="pct"/>
            <w:vMerge/>
            <w:vAlign w:val="center"/>
            <w:hideMark/>
          </w:tcPr>
          <w:p w14:paraId="0F7C09FC" w14:textId="77777777" w:rsidR="00211604" w:rsidRPr="00276BCA" w:rsidRDefault="00211604" w:rsidP="00A85F19">
            <w:pPr>
              <w:pStyle w:val="TableNumber"/>
              <w:keepNext/>
              <w:keepLines/>
            </w:pPr>
          </w:p>
        </w:tc>
      </w:tr>
      <w:tr w:rsidR="00E41328" w:rsidRPr="00276BCA" w14:paraId="53BC6BDA" w14:textId="77777777" w:rsidTr="77D89277">
        <w:trPr>
          <w:trHeight w:val="221"/>
        </w:trPr>
        <w:tc>
          <w:tcPr>
            <w:tcW w:w="5000" w:type="pct"/>
            <w:gridSpan w:val="9"/>
            <w:vAlign w:val="center"/>
          </w:tcPr>
          <w:p w14:paraId="6D14D857" w14:textId="2175B98E" w:rsidR="00211604" w:rsidRPr="00276BCA" w:rsidRDefault="00211604" w:rsidP="00A85F19">
            <w:pPr>
              <w:pStyle w:val="TableNumber"/>
              <w:keepNext/>
              <w:keepLines/>
              <w:tabs>
                <w:tab w:val="decimal" w:pos="52"/>
              </w:tabs>
              <w:ind w:left="-12"/>
              <w:jc w:val="left"/>
              <w:rPr>
                <w:b/>
              </w:rPr>
            </w:pPr>
            <w:proofErr w:type="spellStart"/>
            <w:r w:rsidRPr="00276BCA">
              <w:rPr>
                <w:b/>
              </w:rPr>
              <w:t>Zolbetuximab</w:t>
            </w:r>
            <w:proofErr w:type="spellEnd"/>
            <w:r w:rsidRPr="00276BCA">
              <w:rPr>
                <w:b/>
              </w:rPr>
              <w:t xml:space="preserve"> + mFOLFOX6</w:t>
            </w:r>
          </w:p>
        </w:tc>
      </w:tr>
      <w:tr w:rsidR="003C2427" w:rsidRPr="00276BCA" w14:paraId="0311F69D" w14:textId="77777777" w:rsidTr="005574CB">
        <w:trPr>
          <w:trHeight w:val="221"/>
        </w:trPr>
        <w:tc>
          <w:tcPr>
            <w:tcW w:w="1253" w:type="pct"/>
            <w:gridSpan w:val="2"/>
            <w:noWrap/>
            <w:hideMark/>
          </w:tcPr>
          <w:p w14:paraId="33496910" w14:textId="00F12BF3" w:rsidR="00801C77" w:rsidRPr="00276BCA" w:rsidRDefault="00211604" w:rsidP="002928A1">
            <w:pPr>
              <w:pStyle w:val="TableNumber"/>
              <w:keepNext/>
              <w:keepLines/>
              <w:jc w:val="left"/>
            </w:pPr>
            <w:proofErr w:type="spellStart"/>
            <w:r w:rsidRPr="00276BCA">
              <w:t>Zolbetuximab</w:t>
            </w:r>
            <w:proofErr w:type="spellEnd"/>
            <w:r w:rsidRPr="00276BCA">
              <w:t xml:space="preserve"> </w:t>
            </w:r>
            <w:r w:rsidR="00A772A9" w:rsidRPr="00276BCA">
              <w:t>800mg/m</w:t>
            </w:r>
            <w:r w:rsidR="00A772A9" w:rsidRPr="00276BCA">
              <w:rPr>
                <w:vertAlign w:val="superscript"/>
              </w:rPr>
              <w:t>2</w:t>
            </w:r>
            <w:r w:rsidR="00A772A9" w:rsidRPr="00276BCA">
              <w:t xml:space="preserve"> </w:t>
            </w:r>
          </w:p>
          <w:p w14:paraId="7E8279E9" w14:textId="7CED364F" w:rsidR="00211604" w:rsidRPr="00276BCA" w:rsidRDefault="00211604" w:rsidP="002928A1">
            <w:pPr>
              <w:pStyle w:val="TableNumber"/>
              <w:keepNext/>
              <w:keepLines/>
              <w:jc w:val="left"/>
            </w:pPr>
            <w:r w:rsidRPr="00276BCA">
              <w:t>(Loading</w:t>
            </w:r>
            <w:r w:rsidR="00A772A9" w:rsidRPr="00276BCA">
              <w:t xml:space="preserve"> dose</w:t>
            </w:r>
            <w:r w:rsidRPr="00276BCA">
              <w:t>)</w:t>
            </w:r>
          </w:p>
        </w:tc>
        <w:tc>
          <w:tcPr>
            <w:tcW w:w="552" w:type="pct"/>
            <w:shd w:val="clear" w:color="auto" w:fill="FFFFFF" w:themeFill="background1"/>
            <w:noWrap/>
            <w:vAlign w:val="center"/>
            <w:hideMark/>
          </w:tcPr>
          <w:p w14:paraId="6E8BD92D" w14:textId="77777777" w:rsidR="00211604" w:rsidRPr="00276BCA" w:rsidRDefault="00211604" w:rsidP="00A85F19">
            <w:pPr>
              <w:pStyle w:val="TableNumber"/>
              <w:keepNext/>
              <w:keepLines/>
              <w:tabs>
                <w:tab w:val="clear" w:pos="396"/>
                <w:tab w:val="decimal" w:pos="311"/>
              </w:tabs>
            </w:pPr>
            <w:r w:rsidRPr="00276BCA">
              <w:t>10.07</w:t>
            </w:r>
          </w:p>
        </w:tc>
        <w:tc>
          <w:tcPr>
            <w:tcW w:w="540" w:type="pct"/>
            <w:vMerge w:val="restart"/>
            <w:shd w:val="clear" w:color="auto" w:fill="FFFFFF" w:themeFill="background1"/>
            <w:vAlign w:val="center"/>
          </w:tcPr>
          <w:p w14:paraId="750B75A7" w14:textId="06FC108C" w:rsidR="007408D1" w:rsidRPr="00276BCA" w:rsidRDefault="005A1DF7" w:rsidP="00A85F19">
            <w:pPr>
              <w:pStyle w:val="TableNumber"/>
              <w:keepNext/>
              <w:keepLines/>
              <w:tabs>
                <w:tab w:val="clear" w:pos="396"/>
                <w:tab w:val="decimal" w:pos="52"/>
              </w:tabs>
            </w:pPr>
            <w:r w:rsidRPr="00276BCA">
              <w:t>92.54%</w:t>
            </w:r>
          </w:p>
        </w:tc>
        <w:tc>
          <w:tcPr>
            <w:tcW w:w="463" w:type="pct"/>
            <w:shd w:val="clear" w:color="auto" w:fill="FFFFFF" w:themeFill="background1"/>
            <w:noWrap/>
            <w:vAlign w:val="center"/>
            <w:hideMark/>
          </w:tcPr>
          <w:p w14:paraId="0617852B" w14:textId="5CD1BB4E" w:rsidR="00211604" w:rsidRPr="00276BCA" w:rsidRDefault="00211604" w:rsidP="00A85F19">
            <w:pPr>
              <w:pStyle w:val="TableNumber"/>
              <w:keepNext/>
              <w:keepLines/>
              <w:tabs>
                <w:tab w:val="clear" w:pos="396"/>
                <w:tab w:val="decimal" w:pos="0"/>
              </w:tabs>
            </w:pPr>
            <w:r w:rsidRPr="00276BCA">
              <w:t>1.00</w:t>
            </w:r>
          </w:p>
        </w:tc>
        <w:tc>
          <w:tcPr>
            <w:tcW w:w="464" w:type="pct"/>
            <w:shd w:val="clear" w:color="auto" w:fill="FFFFFF" w:themeFill="background1"/>
            <w:noWrap/>
            <w:vAlign w:val="center"/>
            <w:hideMark/>
          </w:tcPr>
          <w:p w14:paraId="4F5C72CD" w14:textId="77777777" w:rsidR="00211604" w:rsidRPr="00276BCA" w:rsidRDefault="00211604" w:rsidP="00A85F19">
            <w:pPr>
              <w:pStyle w:val="TableNumber"/>
              <w:keepNext/>
              <w:keepLines/>
              <w:ind w:left="-12"/>
            </w:pPr>
            <w:r w:rsidRPr="00276BCA">
              <w:t>$123</w:t>
            </w:r>
          </w:p>
        </w:tc>
        <w:tc>
          <w:tcPr>
            <w:tcW w:w="576" w:type="pct"/>
            <w:shd w:val="clear" w:color="auto" w:fill="FFFFFF" w:themeFill="background1"/>
            <w:noWrap/>
            <w:vAlign w:val="center"/>
            <w:hideMark/>
          </w:tcPr>
          <w:p w14:paraId="28ACF472" w14:textId="77777777" w:rsidR="00211604" w:rsidRPr="00276BCA" w:rsidRDefault="00211604" w:rsidP="00A85F19">
            <w:pPr>
              <w:pStyle w:val="TableNumber"/>
              <w:keepNext/>
              <w:keepLines/>
            </w:pPr>
            <w:r w:rsidRPr="00276BCA">
              <w:t>$9,942</w:t>
            </w:r>
          </w:p>
        </w:tc>
        <w:tc>
          <w:tcPr>
            <w:tcW w:w="576" w:type="pct"/>
            <w:shd w:val="clear" w:color="auto" w:fill="FFFFFF" w:themeFill="background1"/>
            <w:noWrap/>
            <w:vAlign w:val="center"/>
            <w:hideMark/>
          </w:tcPr>
          <w:p w14:paraId="0E2A8851" w14:textId="77777777" w:rsidR="00211604" w:rsidRPr="00276BCA" w:rsidRDefault="00211604" w:rsidP="00A85F19">
            <w:pPr>
              <w:pStyle w:val="TableNumber"/>
              <w:keepNext/>
              <w:keepLines/>
            </w:pPr>
            <w:r w:rsidRPr="00276BCA">
              <w:t>$9,942</w:t>
            </w:r>
          </w:p>
        </w:tc>
        <w:tc>
          <w:tcPr>
            <w:tcW w:w="575" w:type="pct"/>
            <w:vMerge w:val="restart"/>
            <w:noWrap/>
            <w:vAlign w:val="center"/>
            <w:hideMark/>
          </w:tcPr>
          <w:p w14:paraId="10BC492B" w14:textId="77777777" w:rsidR="00211604" w:rsidRPr="00276BCA" w:rsidRDefault="00211604" w:rsidP="00A85F19">
            <w:pPr>
              <w:pStyle w:val="TableNumber"/>
              <w:keepNext/>
              <w:keepLines/>
            </w:pPr>
            <w:r w:rsidRPr="00276BCA">
              <w:t>$126,027</w:t>
            </w:r>
          </w:p>
          <w:p w14:paraId="224FC3E0" w14:textId="77777777" w:rsidR="00211604" w:rsidRPr="00276BCA" w:rsidRDefault="00211604" w:rsidP="00A85F19">
            <w:pPr>
              <w:pStyle w:val="TableNumber"/>
              <w:keepNext/>
              <w:keepLines/>
            </w:pPr>
          </w:p>
          <w:p w14:paraId="691A2643" w14:textId="77777777" w:rsidR="00211604" w:rsidRPr="00276BCA" w:rsidRDefault="00211604" w:rsidP="00A85F19">
            <w:pPr>
              <w:pStyle w:val="TableNumber"/>
              <w:keepNext/>
              <w:keepLines/>
            </w:pPr>
          </w:p>
        </w:tc>
      </w:tr>
      <w:tr w:rsidR="003C2427" w:rsidRPr="00276BCA" w14:paraId="2E8A602B" w14:textId="77777777" w:rsidTr="005574CB">
        <w:trPr>
          <w:trHeight w:val="221"/>
        </w:trPr>
        <w:tc>
          <w:tcPr>
            <w:tcW w:w="1253" w:type="pct"/>
            <w:gridSpan w:val="2"/>
            <w:noWrap/>
            <w:hideMark/>
          </w:tcPr>
          <w:p w14:paraId="2097041A" w14:textId="101A169B" w:rsidR="00801C77" w:rsidRPr="00276BCA" w:rsidRDefault="00211604" w:rsidP="002928A1">
            <w:pPr>
              <w:pStyle w:val="TableNumber"/>
              <w:keepNext/>
              <w:keepLines/>
              <w:jc w:val="left"/>
            </w:pPr>
            <w:proofErr w:type="spellStart"/>
            <w:r w:rsidRPr="00276BCA">
              <w:t>Zolbetuximab</w:t>
            </w:r>
            <w:proofErr w:type="spellEnd"/>
            <w:r w:rsidRPr="00276BCA">
              <w:t xml:space="preserve"> </w:t>
            </w:r>
            <w:r w:rsidR="00801C77" w:rsidRPr="00276BCA">
              <w:t>400mg/m</w:t>
            </w:r>
            <w:r w:rsidR="00801C77" w:rsidRPr="00276BCA">
              <w:rPr>
                <w:vertAlign w:val="superscript"/>
              </w:rPr>
              <w:t>2</w:t>
            </w:r>
            <w:r w:rsidR="00801C77" w:rsidRPr="00276BCA">
              <w:t xml:space="preserve"> </w:t>
            </w:r>
            <w:r w:rsidR="002E03C6" w:rsidRPr="00276BCA">
              <w:t>Q2W</w:t>
            </w:r>
          </w:p>
          <w:p w14:paraId="0BC5DBD8" w14:textId="7A0157EC" w:rsidR="00211604" w:rsidRPr="00276BCA" w:rsidRDefault="00211604" w:rsidP="002928A1">
            <w:pPr>
              <w:pStyle w:val="TableNumber"/>
              <w:keepNext/>
              <w:keepLines/>
              <w:jc w:val="left"/>
            </w:pPr>
            <w:r w:rsidRPr="00276BCA">
              <w:t>(Maintenance)</w:t>
            </w:r>
          </w:p>
        </w:tc>
        <w:tc>
          <w:tcPr>
            <w:tcW w:w="552" w:type="pct"/>
            <w:shd w:val="clear" w:color="auto" w:fill="FFFFFF" w:themeFill="background1"/>
            <w:noWrap/>
            <w:vAlign w:val="center"/>
            <w:hideMark/>
          </w:tcPr>
          <w:p w14:paraId="408FA30B" w14:textId="77777777" w:rsidR="00211604" w:rsidRPr="00276BCA" w:rsidRDefault="00211604" w:rsidP="00A85F19">
            <w:pPr>
              <w:pStyle w:val="TableNumber"/>
              <w:keepNext/>
              <w:keepLines/>
              <w:tabs>
                <w:tab w:val="clear" w:pos="396"/>
                <w:tab w:val="decimal" w:pos="311"/>
              </w:tabs>
            </w:pPr>
            <w:r w:rsidRPr="00276BCA">
              <w:t>10.07</w:t>
            </w:r>
          </w:p>
        </w:tc>
        <w:tc>
          <w:tcPr>
            <w:tcW w:w="540" w:type="pct"/>
            <w:vMerge/>
            <w:vAlign w:val="center"/>
          </w:tcPr>
          <w:p w14:paraId="775236FB" w14:textId="77777777" w:rsidR="007408D1" w:rsidRPr="00276BCA" w:rsidRDefault="007408D1" w:rsidP="00A85F19">
            <w:pPr>
              <w:pStyle w:val="TableNumber"/>
              <w:keepNext/>
              <w:keepLines/>
              <w:tabs>
                <w:tab w:val="clear" w:pos="396"/>
                <w:tab w:val="decimal" w:pos="52"/>
              </w:tabs>
            </w:pPr>
          </w:p>
        </w:tc>
        <w:tc>
          <w:tcPr>
            <w:tcW w:w="463" w:type="pct"/>
            <w:shd w:val="clear" w:color="auto" w:fill="FFFFFF" w:themeFill="background1"/>
            <w:noWrap/>
            <w:vAlign w:val="center"/>
            <w:hideMark/>
          </w:tcPr>
          <w:p w14:paraId="616EB1F7" w14:textId="7728E7D1" w:rsidR="00211604" w:rsidRPr="00276BCA" w:rsidRDefault="00211604" w:rsidP="00A85F19">
            <w:pPr>
              <w:pStyle w:val="TableNumber"/>
              <w:keepNext/>
              <w:keepLines/>
              <w:tabs>
                <w:tab w:val="clear" w:pos="396"/>
                <w:tab w:val="decimal" w:pos="0"/>
              </w:tabs>
            </w:pPr>
            <w:r w:rsidRPr="00276BCA">
              <w:t>21.00</w:t>
            </w:r>
          </w:p>
        </w:tc>
        <w:tc>
          <w:tcPr>
            <w:tcW w:w="464" w:type="pct"/>
            <w:shd w:val="clear" w:color="auto" w:fill="FFFFFF" w:themeFill="background1"/>
            <w:noWrap/>
            <w:vAlign w:val="center"/>
            <w:hideMark/>
          </w:tcPr>
          <w:p w14:paraId="6EAE29D1" w14:textId="77777777" w:rsidR="00211604" w:rsidRPr="00276BCA" w:rsidRDefault="00211604" w:rsidP="00A85F19">
            <w:pPr>
              <w:pStyle w:val="TableNumber"/>
              <w:keepNext/>
              <w:keepLines/>
              <w:tabs>
                <w:tab w:val="clear" w:pos="396"/>
                <w:tab w:val="decimal" w:pos="172"/>
              </w:tabs>
              <w:ind w:left="-12"/>
            </w:pPr>
            <w:r w:rsidRPr="00276BCA">
              <w:t>$0</w:t>
            </w:r>
          </w:p>
        </w:tc>
        <w:tc>
          <w:tcPr>
            <w:tcW w:w="576" w:type="pct"/>
            <w:shd w:val="clear" w:color="auto" w:fill="FFFFFF" w:themeFill="background1"/>
            <w:noWrap/>
            <w:vAlign w:val="center"/>
            <w:hideMark/>
          </w:tcPr>
          <w:p w14:paraId="2A873601" w14:textId="77777777" w:rsidR="00211604" w:rsidRPr="00276BCA" w:rsidRDefault="00211604" w:rsidP="00A85F19">
            <w:pPr>
              <w:pStyle w:val="TableNumber"/>
              <w:keepNext/>
              <w:keepLines/>
            </w:pPr>
            <w:r w:rsidRPr="00276BCA">
              <w:t>$5,027</w:t>
            </w:r>
          </w:p>
        </w:tc>
        <w:tc>
          <w:tcPr>
            <w:tcW w:w="576" w:type="pct"/>
            <w:shd w:val="clear" w:color="auto" w:fill="FFFFFF" w:themeFill="background1"/>
            <w:noWrap/>
            <w:vAlign w:val="center"/>
            <w:hideMark/>
          </w:tcPr>
          <w:p w14:paraId="202FA09A" w14:textId="77777777" w:rsidR="00211604" w:rsidRPr="00276BCA" w:rsidRDefault="00211604" w:rsidP="00A85F19">
            <w:pPr>
              <w:pStyle w:val="TableNumber"/>
              <w:keepNext/>
              <w:keepLines/>
            </w:pPr>
            <w:r w:rsidRPr="00276BCA">
              <w:t>$105,574</w:t>
            </w:r>
          </w:p>
        </w:tc>
        <w:tc>
          <w:tcPr>
            <w:tcW w:w="575" w:type="pct"/>
            <w:vMerge/>
            <w:vAlign w:val="center"/>
            <w:hideMark/>
          </w:tcPr>
          <w:p w14:paraId="5E30FE6C" w14:textId="77777777" w:rsidR="00211604" w:rsidRPr="00276BCA" w:rsidRDefault="00211604" w:rsidP="00A85F19">
            <w:pPr>
              <w:pStyle w:val="TableNumber"/>
              <w:keepNext/>
              <w:keepLines/>
            </w:pPr>
          </w:p>
        </w:tc>
      </w:tr>
      <w:tr w:rsidR="003C2427" w:rsidRPr="00276BCA" w14:paraId="02F45110" w14:textId="77777777" w:rsidTr="005574CB">
        <w:trPr>
          <w:trHeight w:val="221"/>
        </w:trPr>
        <w:tc>
          <w:tcPr>
            <w:tcW w:w="1253" w:type="pct"/>
            <w:gridSpan w:val="2"/>
            <w:noWrap/>
            <w:hideMark/>
          </w:tcPr>
          <w:p w14:paraId="6919F91A" w14:textId="068B64DD" w:rsidR="00211604" w:rsidRPr="00276BCA" w:rsidRDefault="00211604" w:rsidP="002928A1">
            <w:pPr>
              <w:pStyle w:val="TableNumber"/>
              <w:keepNext/>
              <w:keepLines/>
              <w:jc w:val="left"/>
            </w:pPr>
            <w:r w:rsidRPr="00276BCA">
              <w:t>Oxaliplatin</w:t>
            </w:r>
            <w:r w:rsidR="002E03C6" w:rsidRPr="00276BCA">
              <w:t xml:space="preserve"> 85mg/m</w:t>
            </w:r>
            <w:r w:rsidR="002E03C6" w:rsidRPr="00276BCA">
              <w:rPr>
                <w:vertAlign w:val="superscript"/>
              </w:rPr>
              <w:t>2</w:t>
            </w:r>
            <w:r w:rsidR="002E03C6" w:rsidRPr="00276BCA">
              <w:t xml:space="preserve"> Q2W</w:t>
            </w:r>
          </w:p>
        </w:tc>
        <w:tc>
          <w:tcPr>
            <w:tcW w:w="552" w:type="pct"/>
            <w:shd w:val="clear" w:color="auto" w:fill="FFFFFF" w:themeFill="background1"/>
            <w:noWrap/>
            <w:vAlign w:val="center"/>
            <w:hideMark/>
          </w:tcPr>
          <w:p w14:paraId="24764EF6" w14:textId="77777777" w:rsidR="00211604" w:rsidRPr="00276BCA" w:rsidRDefault="00211604" w:rsidP="00A85F19">
            <w:pPr>
              <w:pStyle w:val="TableNumber"/>
              <w:keepNext/>
              <w:keepLines/>
              <w:tabs>
                <w:tab w:val="clear" w:pos="396"/>
                <w:tab w:val="decimal" w:pos="311"/>
              </w:tabs>
            </w:pPr>
            <w:r w:rsidRPr="00276BCA">
              <w:t>4.32</w:t>
            </w:r>
          </w:p>
        </w:tc>
        <w:tc>
          <w:tcPr>
            <w:tcW w:w="540" w:type="pct"/>
            <w:shd w:val="clear" w:color="auto" w:fill="FFFFFF" w:themeFill="background1"/>
            <w:vAlign w:val="center"/>
          </w:tcPr>
          <w:p w14:paraId="3FBE3B7A" w14:textId="08D4E735" w:rsidR="007408D1" w:rsidRPr="00276BCA" w:rsidRDefault="005A1DF7" w:rsidP="00A85F19">
            <w:pPr>
              <w:pStyle w:val="TableNumber"/>
              <w:keepNext/>
              <w:keepLines/>
              <w:tabs>
                <w:tab w:val="clear" w:pos="396"/>
                <w:tab w:val="decimal" w:pos="52"/>
              </w:tabs>
            </w:pPr>
            <w:r w:rsidRPr="00276BCA">
              <w:t>86.55%</w:t>
            </w:r>
          </w:p>
        </w:tc>
        <w:tc>
          <w:tcPr>
            <w:tcW w:w="463" w:type="pct"/>
            <w:shd w:val="clear" w:color="auto" w:fill="FFFFFF" w:themeFill="background1"/>
            <w:noWrap/>
            <w:vAlign w:val="center"/>
            <w:hideMark/>
          </w:tcPr>
          <w:p w14:paraId="69BFF826" w14:textId="3894CE61" w:rsidR="00211604" w:rsidRPr="00276BCA" w:rsidRDefault="00211604" w:rsidP="00A85F19">
            <w:pPr>
              <w:pStyle w:val="TableNumber"/>
              <w:keepNext/>
              <w:keepLines/>
              <w:tabs>
                <w:tab w:val="clear" w:pos="396"/>
                <w:tab w:val="decimal" w:pos="0"/>
              </w:tabs>
            </w:pPr>
            <w:r w:rsidRPr="00276BCA">
              <w:t>10.00</w:t>
            </w:r>
          </w:p>
        </w:tc>
        <w:tc>
          <w:tcPr>
            <w:tcW w:w="464" w:type="pct"/>
            <w:vMerge w:val="restart"/>
            <w:shd w:val="clear" w:color="auto" w:fill="FFFFFF" w:themeFill="background1"/>
            <w:noWrap/>
            <w:vAlign w:val="center"/>
            <w:hideMark/>
          </w:tcPr>
          <w:p w14:paraId="049FC045" w14:textId="77777777" w:rsidR="00211604" w:rsidRPr="00276BCA" w:rsidRDefault="00211604" w:rsidP="00A85F19">
            <w:pPr>
              <w:pStyle w:val="TableNumber"/>
              <w:keepNext/>
              <w:keepLines/>
              <w:ind w:left="-12"/>
            </w:pPr>
            <w:r w:rsidRPr="00276BCA">
              <w:t>$2,830</w:t>
            </w:r>
          </w:p>
        </w:tc>
        <w:tc>
          <w:tcPr>
            <w:tcW w:w="576" w:type="pct"/>
            <w:shd w:val="clear" w:color="auto" w:fill="FFFFFF" w:themeFill="background1"/>
            <w:noWrap/>
            <w:vAlign w:val="center"/>
            <w:hideMark/>
          </w:tcPr>
          <w:p w14:paraId="7F9FD135" w14:textId="77777777" w:rsidR="00211604" w:rsidRPr="00276BCA" w:rsidRDefault="00211604" w:rsidP="00A85F19">
            <w:pPr>
              <w:pStyle w:val="TableNumber"/>
              <w:keepNext/>
              <w:keepLines/>
            </w:pPr>
            <w:r w:rsidRPr="00276BCA">
              <w:t>$123</w:t>
            </w:r>
          </w:p>
        </w:tc>
        <w:tc>
          <w:tcPr>
            <w:tcW w:w="576" w:type="pct"/>
            <w:shd w:val="clear" w:color="auto" w:fill="FFFFFF" w:themeFill="background1"/>
            <w:noWrap/>
            <w:vAlign w:val="center"/>
            <w:hideMark/>
          </w:tcPr>
          <w:p w14:paraId="3129DCA9" w14:textId="77777777" w:rsidR="00211604" w:rsidRPr="00276BCA" w:rsidRDefault="00211604" w:rsidP="00A85F19">
            <w:pPr>
              <w:pStyle w:val="TableNumber"/>
              <w:keepNext/>
              <w:keepLines/>
            </w:pPr>
            <w:r w:rsidRPr="00276BCA">
              <w:t>$1,229</w:t>
            </w:r>
          </w:p>
        </w:tc>
        <w:tc>
          <w:tcPr>
            <w:tcW w:w="575" w:type="pct"/>
            <w:vMerge/>
            <w:vAlign w:val="center"/>
            <w:hideMark/>
          </w:tcPr>
          <w:p w14:paraId="2E03035B" w14:textId="77777777" w:rsidR="00211604" w:rsidRPr="00276BCA" w:rsidRDefault="00211604" w:rsidP="00A85F19">
            <w:pPr>
              <w:pStyle w:val="TableNumber"/>
              <w:keepNext/>
              <w:keepLines/>
            </w:pPr>
          </w:p>
        </w:tc>
      </w:tr>
      <w:tr w:rsidR="00494DB5" w:rsidRPr="00276BCA" w14:paraId="3306BA90" w14:textId="77777777" w:rsidTr="005574CB">
        <w:trPr>
          <w:trHeight w:val="58"/>
        </w:trPr>
        <w:tc>
          <w:tcPr>
            <w:tcW w:w="1253" w:type="pct"/>
            <w:gridSpan w:val="2"/>
            <w:noWrap/>
            <w:hideMark/>
          </w:tcPr>
          <w:p w14:paraId="7757E0E8" w14:textId="212076EB" w:rsidR="00211604" w:rsidRPr="00276BCA" w:rsidRDefault="00211604" w:rsidP="002928A1">
            <w:pPr>
              <w:pStyle w:val="TableNumber"/>
              <w:keepNext/>
              <w:keepLines/>
              <w:jc w:val="left"/>
            </w:pPr>
            <w:r w:rsidRPr="00276BCA">
              <w:t>Leucovorin</w:t>
            </w:r>
            <w:r w:rsidR="002E03C6" w:rsidRPr="00276BCA">
              <w:t xml:space="preserve"> 400mg/m</w:t>
            </w:r>
            <w:r w:rsidR="002E03C6" w:rsidRPr="00276BCA">
              <w:rPr>
                <w:vertAlign w:val="superscript"/>
              </w:rPr>
              <w:t>2</w:t>
            </w:r>
            <w:r w:rsidR="002E03C6" w:rsidRPr="00276BCA">
              <w:t xml:space="preserve"> Q2W</w:t>
            </w:r>
          </w:p>
        </w:tc>
        <w:tc>
          <w:tcPr>
            <w:tcW w:w="552" w:type="pct"/>
            <w:shd w:val="clear" w:color="auto" w:fill="FFFFFF" w:themeFill="background1"/>
            <w:noWrap/>
            <w:vAlign w:val="center"/>
            <w:hideMark/>
          </w:tcPr>
          <w:p w14:paraId="015C1E92" w14:textId="77777777" w:rsidR="00211604" w:rsidRPr="00276BCA" w:rsidRDefault="00211604" w:rsidP="00A85F19">
            <w:pPr>
              <w:pStyle w:val="TableNumber"/>
              <w:keepNext/>
              <w:keepLines/>
              <w:tabs>
                <w:tab w:val="clear" w:pos="396"/>
                <w:tab w:val="decimal" w:pos="311"/>
              </w:tabs>
            </w:pPr>
            <w:r w:rsidRPr="00276BCA">
              <w:t>8.93</w:t>
            </w:r>
          </w:p>
        </w:tc>
        <w:tc>
          <w:tcPr>
            <w:tcW w:w="540" w:type="pct"/>
            <w:shd w:val="clear" w:color="auto" w:fill="FFFFFF" w:themeFill="background1"/>
            <w:vAlign w:val="center"/>
          </w:tcPr>
          <w:p w14:paraId="1435BFB5" w14:textId="1436D18A" w:rsidR="007408D1" w:rsidRPr="00276BCA" w:rsidRDefault="005A1DF7" w:rsidP="00A85F19">
            <w:pPr>
              <w:pStyle w:val="TableNumber"/>
              <w:keepNext/>
              <w:keepLines/>
              <w:tabs>
                <w:tab w:val="clear" w:pos="396"/>
                <w:tab w:val="decimal" w:pos="52"/>
              </w:tabs>
            </w:pPr>
            <w:r w:rsidRPr="00276BCA">
              <w:t>90.55%</w:t>
            </w:r>
          </w:p>
        </w:tc>
        <w:tc>
          <w:tcPr>
            <w:tcW w:w="463" w:type="pct"/>
            <w:shd w:val="clear" w:color="auto" w:fill="FFFFFF" w:themeFill="background1"/>
            <w:noWrap/>
            <w:vAlign w:val="center"/>
            <w:hideMark/>
          </w:tcPr>
          <w:p w14:paraId="460D64EF" w14:textId="1681FF8F" w:rsidR="00211604" w:rsidRPr="00276BCA" w:rsidRDefault="00211604" w:rsidP="00A85F19">
            <w:pPr>
              <w:pStyle w:val="TableNumber"/>
              <w:keepNext/>
              <w:keepLines/>
              <w:tabs>
                <w:tab w:val="clear" w:pos="396"/>
                <w:tab w:val="decimal" w:pos="0"/>
              </w:tabs>
            </w:pPr>
            <w:r w:rsidRPr="00276BCA">
              <w:t>20.00</w:t>
            </w:r>
          </w:p>
        </w:tc>
        <w:tc>
          <w:tcPr>
            <w:tcW w:w="464" w:type="pct"/>
            <w:vMerge/>
            <w:vAlign w:val="center"/>
            <w:hideMark/>
          </w:tcPr>
          <w:p w14:paraId="0AE610E0" w14:textId="77777777" w:rsidR="00211604" w:rsidRPr="00276BCA" w:rsidRDefault="00211604" w:rsidP="00A85F19">
            <w:pPr>
              <w:pStyle w:val="TableNumber"/>
              <w:keepNext/>
              <w:keepLines/>
              <w:ind w:left="-12"/>
            </w:pPr>
          </w:p>
        </w:tc>
        <w:tc>
          <w:tcPr>
            <w:tcW w:w="576" w:type="pct"/>
            <w:shd w:val="clear" w:color="auto" w:fill="FFFFFF" w:themeFill="background1"/>
            <w:noWrap/>
            <w:vAlign w:val="center"/>
            <w:hideMark/>
          </w:tcPr>
          <w:p w14:paraId="37221D78" w14:textId="77777777" w:rsidR="00211604" w:rsidRPr="00276BCA" w:rsidRDefault="00211604" w:rsidP="00A85F19">
            <w:pPr>
              <w:pStyle w:val="TableNumber"/>
              <w:keepNext/>
              <w:keepLines/>
            </w:pPr>
            <w:r w:rsidRPr="00276BCA">
              <w:t>$65</w:t>
            </w:r>
          </w:p>
        </w:tc>
        <w:tc>
          <w:tcPr>
            <w:tcW w:w="576" w:type="pct"/>
            <w:shd w:val="clear" w:color="auto" w:fill="FFFFFF" w:themeFill="background1"/>
            <w:noWrap/>
            <w:vAlign w:val="center"/>
            <w:hideMark/>
          </w:tcPr>
          <w:p w14:paraId="32D151FF" w14:textId="77777777" w:rsidR="00211604" w:rsidRPr="00276BCA" w:rsidRDefault="00211604" w:rsidP="00A85F19">
            <w:pPr>
              <w:pStyle w:val="TableNumber"/>
              <w:keepNext/>
              <w:keepLines/>
            </w:pPr>
            <w:r w:rsidRPr="00276BCA">
              <w:t>$1,310</w:t>
            </w:r>
          </w:p>
        </w:tc>
        <w:tc>
          <w:tcPr>
            <w:tcW w:w="575" w:type="pct"/>
            <w:vMerge/>
            <w:vAlign w:val="center"/>
            <w:hideMark/>
          </w:tcPr>
          <w:p w14:paraId="23436F77" w14:textId="77777777" w:rsidR="00211604" w:rsidRPr="00276BCA" w:rsidRDefault="00211604" w:rsidP="00A85F19">
            <w:pPr>
              <w:pStyle w:val="TableNumber"/>
              <w:keepNext/>
              <w:keepLines/>
            </w:pPr>
          </w:p>
        </w:tc>
      </w:tr>
      <w:tr w:rsidR="003C2427" w:rsidRPr="00276BCA" w14:paraId="7A18105D" w14:textId="77777777" w:rsidTr="005574CB">
        <w:trPr>
          <w:trHeight w:val="221"/>
        </w:trPr>
        <w:tc>
          <w:tcPr>
            <w:tcW w:w="1253" w:type="pct"/>
            <w:gridSpan w:val="2"/>
            <w:noWrap/>
            <w:hideMark/>
          </w:tcPr>
          <w:p w14:paraId="60C48002" w14:textId="77777777" w:rsidR="002E03C6" w:rsidRPr="00276BCA" w:rsidRDefault="00211604" w:rsidP="002928A1">
            <w:pPr>
              <w:pStyle w:val="TableNumber"/>
              <w:keepNext/>
              <w:keepLines/>
              <w:tabs>
                <w:tab w:val="clear" w:pos="396"/>
                <w:tab w:val="decimal" w:pos="164"/>
              </w:tabs>
              <w:jc w:val="left"/>
            </w:pPr>
            <w:r w:rsidRPr="00276BCA">
              <w:t>Fluorouracil (bolus)</w:t>
            </w:r>
            <w:r w:rsidR="002E03C6" w:rsidRPr="00276BCA">
              <w:t xml:space="preserve"> </w:t>
            </w:r>
          </w:p>
          <w:p w14:paraId="4C0BCA1C" w14:textId="180A5DFD" w:rsidR="00211604" w:rsidRPr="00276BCA" w:rsidRDefault="002E03C6" w:rsidP="002928A1">
            <w:pPr>
              <w:pStyle w:val="TableNumber"/>
              <w:keepNext/>
              <w:keepLines/>
              <w:tabs>
                <w:tab w:val="clear" w:pos="396"/>
                <w:tab w:val="decimal" w:pos="164"/>
              </w:tabs>
              <w:jc w:val="left"/>
            </w:pPr>
            <w:r w:rsidRPr="00276BCA">
              <w:t>400mg/m</w:t>
            </w:r>
            <w:r w:rsidRPr="00276BCA">
              <w:rPr>
                <w:vertAlign w:val="superscript"/>
              </w:rPr>
              <w:t>2</w:t>
            </w:r>
            <w:r w:rsidRPr="00276BCA">
              <w:t xml:space="preserve"> Q2W</w:t>
            </w:r>
          </w:p>
        </w:tc>
        <w:tc>
          <w:tcPr>
            <w:tcW w:w="552" w:type="pct"/>
            <w:shd w:val="clear" w:color="auto" w:fill="FFFFFF" w:themeFill="background1"/>
            <w:noWrap/>
            <w:vAlign w:val="center"/>
            <w:hideMark/>
          </w:tcPr>
          <w:p w14:paraId="7B556936" w14:textId="77777777" w:rsidR="00211604" w:rsidRPr="00276BCA" w:rsidRDefault="00211604" w:rsidP="00A85F19">
            <w:pPr>
              <w:pStyle w:val="TableNumber"/>
              <w:keepNext/>
              <w:keepLines/>
              <w:tabs>
                <w:tab w:val="clear" w:pos="396"/>
                <w:tab w:val="decimal" w:pos="311"/>
              </w:tabs>
            </w:pPr>
            <w:r w:rsidRPr="00276BCA">
              <w:t>7.86</w:t>
            </w:r>
          </w:p>
        </w:tc>
        <w:tc>
          <w:tcPr>
            <w:tcW w:w="540" w:type="pct"/>
            <w:shd w:val="clear" w:color="auto" w:fill="FFFFFF" w:themeFill="background1"/>
            <w:vAlign w:val="center"/>
          </w:tcPr>
          <w:p w14:paraId="1CD24642" w14:textId="02DED1A0" w:rsidR="007408D1" w:rsidRPr="00276BCA" w:rsidRDefault="005A1DF7" w:rsidP="00A85F19">
            <w:pPr>
              <w:pStyle w:val="TableNumber"/>
              <w:keepNext/>
              <w:keepLines/>
              <w:tabs>
                <w:tab w:val="clear" w:pos="396"/>
                <w:tab w:val="decimal" w:pos="52"/>
              </w:tabs>
            </w:pPr>
            <w:r w:rsidRPr="00276BCA">
              <w:t>93.65%</w:t>
            </w:r>
          </w:p>
        </w:tc>
        <w:tc>
          <w:tcPr>
            <w:tcW w:w="463" w:type="pct"/>
            <w:shd w:val="clear" w:color="auto" w:fill="FFFFFF" w:themeFill="background1"/>
            <w:noWrap/>
            <w:vAlign w:val="center"/>
            <w:hideMark/>
          </w:tcPr>
          <w:p w14:paraId="16B2430B" w14:textId="6EBE7D1A" w:rsidR="00211604" w:rsidRPr="00276BCA" w:rsidRDefault="00211604" w:rsidP="00A85F19">
            <w:pPr>
              <w:pStyle w:val="TableNumber"/>
              <w:keepNext/>
              <w:keepLines/>
              <w:tabs>
                <w:tab w:val="clear" w:pos="396"/>
                <w:tab w:val="decimal" w:pos="0"/>
              </w:tabs>
            </w:pPr>
            <w:r w:rsidRPr="00276BCA">
              <w:t>18.00</w:t>
            </w:r>
          </w:p>
        </w:tc>
        <w:tc>
          <w:tcPr>
            <w:tcW w:w="464" w:type="pct"/>
            <w:vMerge/>
            <w:vAlign w:val="center"/>
            <w:hideMark/>
          </w:tcPr>
          <w:p w14:paraId="4FC2AB60" w14:textId="77777777" w:rsidR="00211604" w:rsidRPr="00276BCA" w:rsidRDefault="00211604" w:rsidP="00A85F19">
            <w:pPr>
              <w:pStyle w:val="TableNumber"/>
              <w:keepNext/>
              <w:keepLines/>
              <w:ind w:left="-12"/>
            </w:pPr>
          </w:p>
        </w:tc>
        <w:tc>
          <w:tcPr>
            <w:tcW w:w="576" w:type="pct"/>
            <w:shd w:val="clear" w:color="auto" w:fill="FFFFFF" w:themeFill="background1"/>
            <w:noWrap/>
            <w:vAlign w:val="center"/>
            <w:hideMark/>
          </w:tcPr>
          <w:p w14:paraId="7A356C6B" w14:textId="77777777" w:rsidR="00211604" w:rsidRPr="00276BCA" w:rsidRDefault="00211604" w:rsidP="00A85F19">
            <w:pPr>
              <w:pStyle w:val="TableNumber"/>
              <w:keepNext/>
              <w:keepLines/>
            </w:pPr>
            <w:r w:rsidRPr="00276BCA">
              <w:t>$116</w:t>
            </w:r>
          </w:p>
        </w:tc>
        <w:tc>
          <w:tcPr>
            <w:tcW w:w="576" w:type="pct"/>
            <w:shd w:val="clear" w:color="auto" w:fill="FFFFFF" w:themeFill="background1"/>
            <w:noWrap/>
            <w:vAlign w:val="center"/>
            <w:hideMark/>
          </w:tcPr>
          <w:p w14:paraId="6E8D504F" w14:textId="77777777" w:rsidR="00211604" w:rsidRPr="00276BCA" w:rsidRDefault="00211604" w:rsidP="00A85F19">
            <w:pPr>
              <w:pStyle w:val="TableNumber"/>
              <w:keepNext/>
              <w:keepLines/>
            </w:pPr>
            <w:r w:rsidRPr="00276BCA">
              <w:t>$2,094</w:t>
            </w:r>
          </w:p>
        </w:tc>
        <w:tc>
          <w:tcPr>
            <w:tcW w:w="575" w:type="pct"/>
            <w:vMerge/>
            <w:vAlign w:val="center"/>
            <w:hideMark/>
          </w:tcPr>
          <w:p w14:paraId="3E4EE840" w14:textId="77777777" w:rsidR="00211604" w:rsidRPr="00276BCA" w:rsidRDefault="00211604" w:rsidP="00A85F19">
            <w:pPr>
              <w:pStyle w:val="TableNumber"/>
              <w:keepNext/>
              <w:keepLines/>
            </w:pPr>
          </w:p>
        </w:tc>
      </w:tr>
      <w:tr w:rsidR="003C2427" w:rsidRPr="00276BCA" w14:paraId="19378D3C" w14:textId="77777777" w:rsidTr="005574CB">
        <w:trPr>
          <w:trHeight w:val="221"/>
        </w:trPr>
        <w:tc>
          <w:tcPr>
            <w:tcW w:w="1253" w:type="pct"/>
            <w:gridSpan w:val="2"/>
            <w:noWrap/>
            <w:hideMark/>
          </w:tcPr>
          <w:p w14:paraId="2C87E3D6" w14:textId="18D3C50C" w:rsidR="002E03C6" w:rsidRPr="00276BCA" w:rsidRDefault="00211604" w:rsidP="002928A1">
            <w:pPr>
              <w:pStyle w:val="TableNumber"/>
              <w:keepNext/>
              <w:keepLines/>
              <w:tabs>
                <w:tab w:val="clear" w:pos="396"/>
                <w:tab w:val="decimal" w:pos="164"/>
              </w:tabs>
              <w:jc w:val="left"/>
            </w:pPr>
            <w:r w:rsidRPr="00276BCA">
              <w:t>Fluorouracil (</w:t>
            </w:r>
            <w:r w:rsidR="00A6458C" w:rsidRPr="00276BCA">
              <w:t>infusion</w:t>
            </w:r>
            <w:r w:rsidRPr="00276BCA">
              <w:t>)</w:t>
            </w:r>
            <w:r w:rsidR="002E03C6" w:rsidRPr="00276BCA">
              <w:t xml:space="preserve"> </w:t>
            </w:r>
          </w:p>
          <w:p w14:paraId="0C8FB527" w14:textId="116FC22A" w:rsidR="00211604" w:rsidRPr="00276BCA" w:rsidRDefault="00BB3B21" w:rsidP="002928A1">
            <w:pPr>
              <w:pStyle w:val="TableNumber"/>
              <w:keepNext/>
              <w:keepLines/>
              <w:tabs>
                <w:tab w:val="clear" w:pos="396"/>
                <w:tab w:val="decimal" w:pos="164"/>
              </w:tabs>
              <w:jc w:val="left"/>
            </w:pPr>
            <w:r w:rsidRPr="00276BCA">
              <w:t>2</w:t>
            </w:r>
            <w:r w:rsidR="002E03C6" w:rsidRPr="00276BCA">
              <w:t>400mg/m</w:t>
            </w:r>
            <w:r w:rsidR="002E03C6" w:rsidRPr="00276BCA">
              <w:rPr>
                <w:vertAlign w:val="superscript"/>
              </w:rPr>
              <w:t>2</w:t>
            </w:r>
            <w:r w:rsidR="002E03C6" w:rsidRPr="00276BCA">
              <w:t xml:space="preserve"> Q2W</w:t>
            </w:r>
          </w:p>
        </w:tc>
        <w:tc>
          <w:tcPr>
            <w:tcW w:w="552" w:type="pct"/>
            <w:shd w:val="clear" w:color="auto" w:fill="FFFFFF" w:themeFill="background1"/>
            <w:noWrap/>
            <w:vAlign w:val="center"/>
            <w:hideMark/>
          </w:tcPr>
          <w:p w14:paraId="002543A8" w14:textId="77777777" w:rsidR="00211604" w:rsidRPr="00276BCA" w:rsidRDefault="00211604" w:rsidP="00A85F19">
            <w:pPr>
              <w:pStyle w:val="TableNumber"/>
              <w:keepNext/>
              <w:keepLines/>
              <w:tabs>
                <w:tab w:val="clear" w:pos="396"/>
                <w:tab w:val="decimal" w:pos="311"/>
              </w:tabs>
            </w:pPr>
            <w:r w:rsidRPr="00276BCA">
              <w:t>10.21</w:t>
            </w:r>
          </w:p>
        </w:tc>
        <w:tc>
          <w:tcPr>
            <w:tcW w:w="540" w:type="pct"/>
            <w:shd w:val="clear" w:color="auto" w:fill="FFFFFF" w:themeFill="background1"/>
            <w:vAlign w:val="center"/>
          </w:tcPr>
          <w:p w14:paraId="1A596519" w14:textId="1BD85E4B" w:rsidR="007408D1" w:rsidRPr="00276BCA" w:rsidRDefault="00CB398A" w:rsidP="00A85F19">
            <w:pPr>
              <w:pStyle w:val="TableNumber"/>
              <w:keepNext/>
              <w:keepLines/>
              <w:tabs>
                <w:tab w:val="clear" w:pos="396"/>
                <w:tab w:val="decimal" w:pos="52"/>
              </w:tabs>
            </w:pPr>
            <w:r w:rsidRPr="00276BCA">
              <w:t>93.03%</w:t>
            </w:r>
          </w:p>
        </w:tc>
        <w:tc>
          <w:tcPr>
            <w:tcW w:w="463" w:type="pct"/>
            <w:shd w:val="clear" w:color="auto" w:fill="FFFFFF" w:themeFill="background1"/>
            <w:noWrap/>
            <w:vAlign w:val="center"/>
            <w:hideMark/>
          </w:tcPr>
          <w:p w14:paraId="30A13722" w14:textId="4B6FC806" w:rsidR="00211604" w:rsidRPr="00276BCA" w:rsidRDefault="00211604" w:rsidP="00A85F19">
            <w:pPr>
              <w:pStyle w:val="TableNumber"/>
              <w:keepNext/>
              <w:keepLines/>
              <w:tabs>
                <w:tab w:val="clear" w:pos="396"/>
                <w:tab w:val="decimal" w:pos="0"/>
              </w:tabs>
            </w:pPr>
            <w:r w:rsidRPr="00276BCA">
              <w:t>23.00</w:t>
            </w:r>
          </w:p>
        </w:tc>
        <w:tc>
          <w:tcPr>
            <w:tcW w:w="464" w:type="pct"/>
            <w:vMerge/>
            <w:vAlign w:val="center"/>
            <w:hideMark/>
          </w:tcPr>
          <w:p w14:paraId="33CCE88C" w14:textId="77777777" w:rsidR="00211604" w:rsidRPr="00276BCA" w:rsidRDefault="00211604" w:rsidP="00A85F19">
            <w:pPr>
              <w:pStyle w:val="TableNumber"/>
              <w:keepNext/>
              <w:keepLines/>
              <w:ind w:left="-12"/>
            </w:pPr>
          </w:p>
        </w:tc>
        <w:tc>
          <w:tcPr>
            <w:tcW w:w="576" w:type="pct"/>
            <w:shd w:val="clear" w:color="auto" w:fill="FFFFFF" w:themeFill="background1"/>
            <w:noWrap/>
            <w:vAlign w:val="center"/>
            <w:hideMark/>
          </w:tcPr>
          <w:p w14:paraId="570218E0" w14:textId="77777777" w:rsidR="00211604" w:rsidRPr="00276BCA" w:rsidRDefault="00211604" w:rsidP="00A85F19">
            <w:pPr>
              <w:pStyle w:val="TableNumber"/>
              <w:keepNext/>
              <w:keepLines/>
            </w:pPr>
            <w:r w:rsidRPr="00276BCA">
              <w:t>$127</w:t>
            </w:r>
          </w:p>
        </w:tc>
        <w:tc>
          <w:tcPr>
            <w:tcW w:w="576" w:type="pct"/>
            <w:shd w:val="clear" w:color="auto" w:fill="FFFFFF" w:themeFill="background1"/>
            <w:noWrap/>
            <w:vAlign w:val="center"/>
            <w:hideMark/>
          </w:tcPr>
          <w:p w14:paraId="0681374C" w14:textId="77777777" w:rsidR="00211604" w:rsidRPr="00276BCA" w:rsidRDefault="00211604" w:rsidP="00A85F19">
            <w:pPr>
              <w:pStyle w:val="TableNumber"/>
              <w:keepNext/>
              <w:keepLines/>
            </w:pPr>
            <w:r w:rsidRPr="00276BCA">
              <w:t>$2,924</w:t>
            </w:r>
          </w:p>
        </w:tc>
        <w:tc>
          <w:tcPr>
            <w:tcW w:w="575" w:type="pct"/>
            <w:vMerge/>
            <w:vAlign w:val="center"/>
            <w:hideMark/>
          </w:tcPr>
          <w:p w14:paraId="263323FF" w14:textId="77777777" w:rsidR="00211604" w:rsidRPr="00276BCA" w:rsidRDefault="00211604" w:rsidP="00A85F19">
            <w:pPr>
              <w:pStyle w:val="TableNumber"/>
              <w:keepNext/>
              <w:keepLines/>
            </w:pPr>
          </w:p>
        </w:tc>
      </w:tr>
      <w:tr w:rsidR="00E41328" w:rsidRPr="00276BCA" w14:paraId="7FAEA67D" w14:textId="77777777" w:rsidTr="77D89277">
        <w:trPr>
          <w:trHeight w:val="221"/>
        </w:trPr>
        <w:tc>
          <w:tcPr>
            <w:tcW w:w="5000" w:type="pct"/>
            <w:gridSpan w:val="9"/>
            <w:vAlign w:val="center"/>
          </w:tcPr>
          <w:p w14:paraId="686EDA03" w14:textId="2AAEF3F1" w:rsidR="00211604" w:rsidRPr="00276BCA" w:rsidRDefault="00211604" w:rsidP="00A85F19">
            <w:pPr>
              <w:pStyle w:val="TableNumber"/>
              <w:keepNext/>
              <w:keepLines/>
              <w:tabs>
                <w:tab w:val="decimal" w:pos="52"/>
              </w:tabs>
              <w:ind w:left="-12"/>
              <w:jc w:val="left"/>
              <w:rPr>
                <w:b/>
              </w:rPr>
            </w:pPr>
            <w:r w:rsidRPr="00276BCA">
              <w:rPr>
                <w:b/>
              </w:rPr>
              <w:t>Nivolumab + CAPOX</w:t>
            </w:r>
          </w:p>
        </w:tc>
      </w:tr>
      <w:tr w:rsidR="00494DB5" w:rsidRPr="00276BCA" w14:paraId="341CCA9F" w14:textId="77777777" w:rsidTr="77D89277">
        <w:trPr>
          <w:trHeight w:val="221"/>
        </w:trPr>
        <w:tc>
          <w:tcPr>
            <w:tcW w:w="784" w:type="pct"/>
            <w:hideMark/>
          </w:tcPr>
          <w:p w14:paraId="6A5F530C" w14:textId="0616B0D4" w:rsidR="00EB76F7" w:rsidRPr="00276BCA" w:rsidRDefault="00EB76F7" w:rsidP="002928A1">
            <w:pPr>
              <w:pStyle w:val="TableNumber"/>
              <w:keepNext/>
              <w:keepLines/>
              <w:tabs>
                <w:tab w:val="clear" w:pos="396"/>
                <w:tab w:val="decimal" w:pos="164"/>
              </w:tabs>
              <w:jc w:val="left"/>
            </w:pPr>
            <w:r w:rsidRPr="00276BCA">
              <w:t>Nivolumab (40 mg)</w:t>
            </w:r>
          </w:p>
        </w:tc>
        <w:tc>
          <w:tcPr>
            <w:tcW w:w="470" w:type="pct"/>
            <w:vMerge w:val="restart"/>
          </w:tcPr>
          <w:p w14:paraId="6A35FDD9" w14:textId="2D7E3703" w:rsidR="00EB76F7" w:rsidRPr="00276BCA" w:rsidRDefault="00EB76F7" w:rsidP="002928A1">
            <w:pPr>
              <w:pStyle w:val="TableNumber"/>
              <w:keepNext/>
              <w:keepLines/>
              <w:tabs>
                <w:tab w:val="clear" w:pos="396"/>
                <w:tab w:val="decimal" w:pos="164"/>
                <w:tab w:val="decimal" w:pos="311"/>
              </w:tabs>
              <w:jc w:val="left"/>
            </w:pPr>
            <w:r w:rsidRPr="00276BCA">
              <w:t>360 mg Q3W</w:t>
            </w:r>
          </w:p>
        </w:tc>
        <w:tc>
          <w:tcPr>
            <w:tcW w:w="552" w:type="pct"/>
            <w:shd w:val="clear" w:color="auto" w:fill="FFFFFF" w:themeFill="background1"/>
            <w:noWrap/>
            <w:vAlign w:val="center"/>
            <w:hideMark/>
          </w:tcPr>
          <w:p w14:paraId="34585229" w14:textId="77777777" w:rsidR="00EB76F7" w:rsidRPr="00276BCA" w:rsidRDefault="00EB76F7" w:rsidP="00A85F19">
            <w:pPr>
              <w:pStyle w:val="TableNumber"/>
              <w:keepNext/>
              <w:keepLines/>
              <w:tabs>
                <w:tab w:val="clear" w:pos="396"/>
                <w:tab w:val="decimal" w:pos="311"/>
              </w:tabs>
            </w:pPr>
            <w:r w:rsidRPr="00276BCA">
              <w:t>9.81</w:t>
            </w:r>
          </w:p>
        </w:tc>
        <w:tc>
          <w:tcPr>
            <w:tcW w:w="540" w:type="pct"/>
            <w:vMerge w:val="restart"/>
            <w:shd w:val="clear" w:color="auto" w:fill="FFFFFF" w:themeFill="background1"/>
            <w:vAlign w:val="center"/>
          </w:tcPr>
          <w:p w14:paraId="160CC2A3" w14:textId="595BDD7E" w:rsidR="007408D1" w:rsidRPr="00276BCA" w:rsidRDefault="00905A32" w:rsidP="00A85F19">
            <w:pPr>
              <w:pStyle w:val="TableNumber"/>
              <w:keepNext/>
              <w:keepLines/>
              <w:tabs>
                <w:tab w:val="clear" w:pos="396"/>
                <w:tab w:val="decimal" w:pos="52"/>
                <w:tab w:val="decimal" w:pos="194"/>
              </w:tabs>
            </w:pPr>
            <w:r w:rsidRPr="00276BCA">
              <w:t>96.08%</w:t>
            </w:r>
          </w:p>
        </w:tc>
        <w:tc>
          <w:tcPr>
            <w:tcW w:w="463" w:type="pct"/>
            <w:shd w:val="clear" w:color="auto" w:fill="FFFFFF" w:themeFill="background1"/>
            <w:noWrap/>
            <w:vAlign w:val="center"/>
            <w:hideMark/>
          </w:tcPr>
          <w:p w14:paraId="3B54D10D" w14:textId="7AAFB648" w:rsidR="00EB76F7" w:rsidRPr="00276BCA" w:rsidRDefault="00EB76F7" w:rsidP="00A85F19">
            <w:pPr>
              <w:pStyle w:val="TableNumber"/>
              <w:keepNext/>
              <w:keepLines/>
            </w:pPr>
            <w:r w:rsidRPr="00276BCA">
              <w:t>15.00</w:t>
            </w:r>
          </w:p>
        </w:tc>
        <w:tc>
          <w:tcPr>
            <w:tcW w:w="464" w:type="pct"/>
            <w:vMerge w:val="restart"/>
            <w:shd w:val="clear" w:color="auto" w:fill="FFFFFF" w:themeFill="background1"/>
            <w:noWrap/>
            <w:vAlign w:val="center"/>
            <w:hideMark/>
          </w:tcPr>
          <w:p w14:paraId="3FE4B79D" w14:textId="77777777" w:rsidR="00EB76F7" w:rsidRPr="00276BCA" w:rsidRDefault="00EB76F7" w:rsidP="00A85F19">
            <w:pPr>
              <w:pStyle w:val="TableNumber"/>
              <w:keepNext/>
              <w:keepLines/>
              <w:ind w:left="-12"/>
            </w:pPr>
            <w:r w:rsidRPr="00276BCA">
              <w:t>$1,846</w:t>
            </w:r>
          </w:p>
        </w:tc>
        <w:tc>
          <w:tcPr>
            <w:tcW w:w="576" w:type="pct"/>
            <w:vMerge w:val="restart"/>
            <w:shd w:val="clear" w:color="auto" w:fill="FFFFFF" w:themeFill="background1"/>
            <w:noWrap/>
            <w:vAlign w:val="center"/>
            <w:hideMark/>
          </w:tcPr>
          <w:p w14:paraId="4464DE59" w14:textId="77777777" w:rsidR="00EB76F7" w:rsidRPr="00276BCA" w:rsidRDefault="00EB76F7" w:rsidP="00A85F19">
            <w:pPr>
              <w:pStyle w:val="TableNumber"/>
              <w:keepNext/>
              <w:keepLines/>
            </w:pPr>
            <w:r w:rsidRPr="00276BCA">
              <w:t>$7,007</w:t>
            </w:r>
          </w:p>
        </w:tc>
        <w:tc>
          <w:tcPr>
            <w:tcW w:w="576" w:type="pct"/>
            <w:vMerge w:val="restart"/>
            <w:shd w:val="clear" w:color="auto" w:fill="FFFFFF" w:themeFill="background1"/>
            <w:noWrap/>
            <w:vAlign w:val="center"/>
            <w:hideMark/>
          </w:tcPr>
          <w:p w14:paraId="6CB2CDC7" w14:textId="77777777" w:rsidR="00EB76F7" w:rsidRPr="00276BCA" w:rsidRDefault="00EB76F7" w:rsidP="00A85F19">
            <w:pPr>
              <w:pStyle w:val="TableNumber"/>
              <w:keepNext/>
              <w:keepLines/>
            </w:pPr>
            <w:r w:rsidRPr="00276BCA">
              <w:t>$105,111</w:t>
            </w:r>
          </w:p>
        </w:tc>
        <w:tc>
          <w:tcPr>
            <w:tcW w:w="575" w:type="pct"/>
            <w:vMerge w:val="restart"/>
            <w:noWrap/>
            <w:vAlign w:val="center"/>
            <w:hideMark/>
          </w:tcPr>
          <w:p w14:paraId="228D3625" w14:textId="77777777" w:rsidR="00EB76F7" w:rsidRPr="00276BCA" w:rsidRDefault="00EB76F7" w:rsidP="00A85F19">
            <w:pPr>
              <w:pStyle w:val="TableNumber"/>
              <w:keepNext/>
              <w:keepLines/>
            </w:pPr>
            <w:r w:rsidRPr="00276BCA">
              <w:t>$108,483</w:t>
            </w:r>
          </w:p>
          <w:p w14:paraId="1E62DDD2" w14:textId="77777777" w:rsidR="00EB76F7" w:rsidRPr="00276BCA" w:rsidRDefault="00EB76F7" w:rsidP="00A85F19">
            <w:pPr>
              <w:pStyle w:val="TableNumber"/>
              <w:keepNext/>
              <w:keepLines/>
            </w:pPr>
          </w:p>
        </w:tc>
      </w:tr>
      <w:tr w:rsidR="00494DB5" w:rsidRPr="00276BCA" w14:paraId="06A021AF" w14:textId="77777777" w:rsidTr="77D89277">
        <w:trPr>
          <w:trHeight w:val="221"/>
        </w:trPr>
        <w:tc>
          <w:tcPr>
            <w:tcW w:w="784" w:type="pct"/>
            <w:hideMark/>
          </w:tcPr>
          <w:p w14:paraId="7099957D" w14:textId="4EB6F2AA" w:rsidR="00EB76F7" w:rsidRPr="00276BCA" w:rsidRDefault="00EB76F7" w:rsidP="002928A1">
            <w:pPr>
              <w:pStyle w:val="TableNumber"/>
              <w:keepNext/>
              <w:keepLines/>
              <w:tabs>
                <w:tab w:val="clear" w:pos="396"/>
                <w:tab w:val="decimal" w:pos="164"/>
              </w:tabs>
              <w:jc w:val="left"/>
            </w:pPr>
            <w:r w:rsidRPr="00276BCA">
              <w:t>Nivolumab (100 mg)</w:t>
            </w:r>
          </w:p>
        </w:tc>
        <w:tc>
          <w:tcPr>
            <w:tcW w:w="470" w:type="pct"/>
            <w:vMerge/>
          </w:tcPr>
          <w:p w14:paraId="442F7713" w14:textId="21A2761A" w:rsidR="00EB76F7" w:rsidRPr="00276BCA" w:rsidRDefault="00EB76F7" w:rsidP="002928A1">
            <w:pPr>
              <w:pStyle w:val="TableNumber"/>
              <w:keepNext/>
              <w:keepLines/>
              <w:tabs>
                <w:tab w:val="clear" w:pos="396"/>
                <w:tab w:val="decimal" w:pos="164"/>
                <w:tab w:val="decimal" w:pos="311"/>
              </w:tabs>
              <w:jc w:val="left"/>
            </w:pPr>
          </w:p>
        </w:tc>
        <w:tc>
          <w:tcPr>
            <w:tcW w:w="552" w:type="pct"/>
            <w:shd w:val="clear" w:color="auto" w:fill="FFFFFF" w:themeFill="background1"/>
            <w:noWrap/>
            <w:vAlign w:val="center"/>
            <w:hideMark/>
          </w:tcPr>
          <w:p w14:paraId="6BF7E69F" w14:textId="77777777" w:rsidR="00EB76F7" w:rsidRPr="00276BCA" w:rsidRDefault="00EB76F7" w:rsidP="00A85F19">
            <w:pPr>
              <w:pStyle w:val="TableNumber"/>
              <w:keepNext/>
              <w:keepLines/>
              <w:tabs>
                <w:tab w:val="clear" w:pos="396"/>
                <w:tab w:val="decimal" w:pos="311"/>
              </w:tabs>
            </w:pPr>
            <w:r w:rsidRPr="00276BCA">
              <w:t>9.81</w:t>
            </w:r>
          </w:p>
        </w:tc>
        <w:tc>
          <w:tcPr>
            <w:tcW w:w="540" w:type="pct"/>
            <w:vMerge/>
            <w:vAlign w:val="center"/>
          </w:tcPr>
          <w:p w14:paraId="50A99410" w14:textId="09B7E4DF" w:rsidR="007408D1" w:rsidRPr="00276BCA" w:rsidRDefault="007408D1" w:rsidP="00A85F19">
            <w:pPr>
              <w:pStyle w:val="TableNumber"/>
              <w:keepNext/>
              <w:keepLines/>
              <w:tabs>
                <w:tab w:val="clear" w:pos="396"/>
                <w:tab w:val="decimal" w:pos="52"/>
              </w:tabs>
            </w:pPr>
          </w:p>
        </w:tc>
        <w:tc>
          <w:tcPr>
            <w:tcW w:w="463" w:type="pct"/>
            <w:shd w:val="clear" w:color="auto" w:fill="FFFFFF" w:themeFill="background1"/>
            <w:noWrap/>
            <w:vAlign w:val="center"/>
            <w:hideMark/>
          </w:tcPr>
          <w:p w14:paraId="20574FFC" w14:textId="0221403A" w:rsidR="00EB76F7" w:rsidRPr="00276BCA" w:rsidRDefault="00EB76F7" w:rsidP="00A85F19">
            <w:pPr>
              <w:pStyle w:val="TableNumber"/>
              <w:keepNext/>
              <w:keepLines/>
              <w:tabs>
                <w:tab w:val="clear" w:pos="396"/>
                <w:tab w:val="decimal" w:pos="0"/>
              </w:tabs>
            </w:pPr>
            <w:r w:rsidRPr="00276BCA">
              <w:t>15.00</w:t>
            </w:r>
          </w:p>
        </w:tc>
        <w:tc>
          <w:tcPr>
            <w:tcW w:w="464" w:type="pct"/>
            <w:vMerge/>
            <w:vAlign w:val="center"/>
            <w:hideMark/>
          </w:tcPr>
          <w:p w14:paraId="50A43184" w14:textId="77777777" w:rsidR="00EB76F7" w:rsidRPr="00276BCA" w:rsidRDefault="00EB76F7" w:rsidP="00A85F19">
            <w:pPr>
              <w:pStyle w:val="TableNumber"/>
              <w:keepNext/>
              <w:keepLines/>
              <w:ind w:left="-12"/>
            </w:pPr>
          </w:p>
        </w:tc>
        <w:tc>
          <w:tcPr>
            <w:tcW w:w="576" w:type="pct"/>
            <w:vMerge/>
            <w:vAlign w:val="center"/>
            <w:hideMark/>
          </w:tcPr>
          <w:p w14:paraId="460C6CEB" w14:textId="77777777" w:rsidR="00EB76F7" w:rsidRPr="00276BCA" w:rsidRDefault="00EB76F7" w:rsidP="00A85F19">
            <w:pPr>
              <w:pStyle w:val="TableNumber"/>
              <w:keepNext/>
              <w:keepLines/>
            </w:pPr>
          </w:p>
        </w:tc>
        <w:tc>
          <w:tcPr>
            <w:tcW w:w="576" w:type="pct"/>
            <w:vMerge/>
            <w:vAlign w:val="center"/>
            <w:hideMark/>
          </w:tcPr>
          <w:p w14:paraId="65BB56A6" w14:textId="77777777" w:rsidR="00EB76F7" w:rsidRPr="00276BCA" w:rsidRDefault="00EB76F7" w:rsidP="00A85F19">
            <w:pPr>
              <w:pStyle w:val="TableNumber"/>
              <w:keepNext/>
              <w:keepLines/>
            </w:pPr>
          </w:p>
        </w:tc>
        <w:tc>
          <w:tcPr>
            <w:tcW w:w="575" w:type="pct"/>
            <w:vMerge/>
            <w:vAlign w:val="center"/>
            <w:hideMark/>
          </w:tcPr>
          <w:p w14:paraId="5EF811FE" w14:textId="77777777" w:rsidR="00EB76F7" w:rsidRPr="00276BCA" w:rsidRDefault="00EB76F7" w:rsidP="00A85F19">
            <w:pPr>
              <w:pStyle w:val="TableNumber"/>
              <w:keepNext/>
              <w:keepLines/>
            </w:pPr>
          </w:p>
        </w:tc>
      </w:tr>
      <w:tr w:rsidR="003C2427" w:rsidRPr="00276BCA" w14:paraId="73CDFE8D" w14:textId="77777777" w:rsidTr="005574CB">
        <w:trPr>
          <w:trHeight w:val="221"/>
        </w:trPr>
        <w:tc>
          <w:tcPr>
            <w:tcW w:w="1253" w:type="pct"/>
            <w:gridSpan w:val="2"/>
            <w:noWrap/>
            <w:hideMark/>
          </w:tcPr>
          <w:p w14:paraId="0457D916" w14:textId="77777777" w:rsidR="00964A43" w:rsidRPr="00276BCA" w:rsidRDefault="00964A43" w:rsidP="002928A1">
            <w:pPr>
              <w:pStyle w:val="TableNumber"/>
              <w:keepNext/>
              <w:keepLines/>
              <w:tabs>
                <w:tab w:val="clear" w:pos="396"/>
                <w:tab w:val="decimal" w:pos="311"/>
              </w:tabs>
              <w:jc w:val="left"/>
            </w:pPr>
            <w:r w:rsidRPr="00276BCA">
              <w:t>Capecitabine 1000 mg/m</w:t>
            </w:r>
            <w:r w:rsidRPr="00276BCA">
              <w:rPr>
                <w:vertAlign w:val="superscript"/>
              </w:rPr>
              <w:t>2</w:t>
            </w:r>
          </w:p>
          <w:p w14:paraId="72396733" w14:textId="392FC662" w:rsidR="00211604" w:rsidRPr="00276BCA" w:rsidRDefault="00964A43" w:rsidP="002928A1">
            <w:pPr>
              <w:pStyle w:val="TableNumber"/>
              <w:keepNext/>
              <w:keepLines/>
              <w:tabs>
                <w:tab w:val="clear" w:pos="396"/>
                <w:tab w:val="decimal" w:pos="311"/>
              </w:tabs>
              <w:jc w:val="left"/>
            </w:pPr>
            <w:r w:rsidRPr="00276BCA">
              <w:t>(Bid, 14 days) Q3W</w:t>
            </w:r>
          </w:p>
        </w:tc>
        <w:tc>
          <w:tcPr>
            <w:tcW w:w="552" w:type="pct"/>
            <w:shd w:val="clear" w:color="auto" w:fill="FFFFFF" w:themeFill="background1"/>
            <w:noWrap/>
            <w:vAlign w:val="center"/>
            <w:hideMark/>
          </w:tcPr>
          <w:p w14:paraId="1F39126E" w14:textId="77777777" w:rsidR="00211604" w:rsidRPr="00276BCA" w:rsidRDefault="00211604" w:rsidP="00A85F19">
            <w:pPr>
              <w:pStyle w:val="TableNumber"/>
              <w:keepNext/>
              <w:keepLines/>
              <w:tabs>
                <w:tab w:val="clear" w:pos="396"/>
                <w:tab w:val="decimal" w:pos="311"/>
              </w:tabs>
            </w:pPr>
            <w:r w:rsidRPr="00276BCA">
              <w:t>7.07</w:t>
            </w:r>
          </w:p>
        </w:tc>
        <w:tc>
          <w:tcPr>
            <w:tcW w:w="540" w:type="pct"/>
            <w:shd w:val="clear" w:color="auto" w:fill="FFFFFF" w:themeFill="background1"/>
            <w:vAlign w:val="center"/>
          </w:tcPr>
          <w:p w14:paraId="3FBFE040" w14:textId="68D6CD7B" w:rsidR="007408D1" w:rsidRPr="00276BCA" w:rsidRDefault="004E23A0" w:rsidP="00A85F19">
            <w:pPr>
              <w:pStyle w:val="TableNumber"/>
              <w:keepNext/>
              <w:keepLines/>
              <w:tabs>
                <w:tab w:val="clear" w:pos="396"/>
                <w:tab w:val="decimal" w:pos="52"/>
              </w:tabs>
            </w:pPr>
            <w:r w:rsidRPr="00276BCA">
              <w:t>95.04%</w:t>
            </w:r>
          </w:p>
        </w:tc>
        <w:tc>
          <w:tcPr>
            <w:tcW w:w="463" w:type="pct"/>
            <w:shd w:val="clear" w:color="auto" w:fill="FFFFFF" w:themeFill="background1"/>
            <w:noWrap/>
            <w:vAlign w:val="center"/>
            <w:hideMark/>
          </w:tcPr>
          <w:p w14:paraId="6B84C606" w14:textId="4F4C5E06" w:rsidR="00211604" w:rsidRPr="00276BCA" w:rsidRDefault="00211604" w:rsidP="00A85F19">
            <w:pPr>
              <w:pStyle w:val="TableNumber"/>
              <w:keepNext/>
              <w:keepLines/>
              <w:tabs>
                <w:tab w:val="clear" w:pos="396"/>
                <w:tab w:val="decimal" w:pos="0"/>
              </w:tabs>
            </w:pPr>
            <w:r w:rsidRPr="00276BCA">
              <w:t>308.00</w:t>
            </w:r>
          </w:p>
        </w:tc>
        <w:tc>
          <w:tcPr>
            <w:tcW w:w="464" w:type="pct"/>
            <w:vMerge/>
            <w:vAlign w:val="center"/>
            <w:hideMark/>
          </w:tcPr>
          <w:p w14:paraId="5FADB9A2" w14:textId="77777777" w:rsidR="00211604" w:rsidRPr="00276BCA" w:rsidRDefault="00211604" w:rsidP="00A85F19">
            <w:pPr>
              <w:pStyle w:val="TableNumber"/>
              <w:keepNext/>
              <w:keepLines/>
              <w:ind w:left="-12"/>
            </w:pPr>
          </w:p>
        </w:tc>
        <w:tc>
          <w:tcPr>
            <w:tcW w:w="576" w:type="pct"/>
            <w:shd w:val="clear" w:color="auto" w:fill="FFFFFF" w:themeFill="background1"/>
            <w:noWrap/>
            <w:vAlign w:val="center"/>
            <w:hideMark/>
          </w:tcPr>
          <w:p w14:paraId="26B75398" w14:textId="77777777" w:rsidR="00211604" w:rsidRPr="00276BCA" w:rsidRDefault="00211604" w:rsidP="00A85F19">
            <w:pPr>
              <w:pStyle w:val="TableNumber"/>
              <w:keepNext/>
              <w:keepLines/>
            </w:pPr>
            <w:r w:rsidRPr="00276BCA">
              <w:t>$1</w:t>
            </w:r>
          </w:p>
        </w:tc>
        <w:tc>
          <w:tcPr>
            <w:tcW w:w="576" w:type="pct"/>
            <w:shd w:val="clear" w:color="auto" w:fill="FFFFFF" w:themeFill="background1"/>
            <w:noWrap/>
            <w:vAlign w:val="center"/>
            <w:hideMark/>
          </w:tcPr>
          <w:p w14:paraId="620EBC98" w14:textId="77777777" w:rsidR="00211604" w:rsidRPr="00276BCA" w:rsidRDefault="00211604" w:rsidP="00A85F19">
            <w:pPr>
              <w:pStyle w:val="TableNumber"/>
              <w:keepNext/>
              <w:keepLines/>
            </w:pPr>
            <w:r w:rsidRPr="00276BCA">
              <w:t>$358</w:t>
            </w:r>
          </w:p>
        </w:tc>
        <w:tc>
          <w:tcPr>
            <w:tcW w:w="575" w:type="pct"/>
            <w:vMerge/>
            <w:vAlign w:val="center"/>
            <w:hideMark/>
          </w:tcPr>
          <w:p w14:paraId="6A65ECE8" w14:textId="77777777" w:rsidR="00211604" w:rsidRPr="00276BCA" w:rsidRDefault="00211604" w:rsidP="00A85F19">
            <w:pPr>
              <w:pStyle w:val="TableNumber"/>
              <w:keepNext/>
              <w:keepLines/>
            </w:pPr>
          </w:p>
        </w:tc>
      </w:tr>
      <w:tr w:rsidR="003C2427" w:rsidRPr="00276BCA" w14:paraId="44FFADF0" w14:textId="77777777" w:rsidTr="005574CB">
        <w:trPr>
          <w:trHeight w:val="221"/>
        </w:trPr>
        <w:tc>
          <w:tcPr>
            <w:tcW w:w="1253" w:type="pct"/>
            <w:gridSpan w:val="2"/>
            <w:noWrap/>
            <w:hideMark/>
          </w:tcPr>
          <w:p w14:paraId="6C83ECDE" w14:textId="5D80809D" w:rsidR="00211604" w:rsidRPr="00276BCA" w:rsidRDefault="00211604" w:rsidP="002928A1">
            <w:pPr>
              <w:pStyle w:val="TableNumber"/>
              <w:keepNext/>
              <w:keepLines/>
              <w:tabs>
                <w:tab w:val="clear" w:pos="396"/>
                <w:tab w:val="decimal" w:pos="311"/>
              </w:tabs>
              <w:jc w:val="left"/>
            </w:pPr>
            <w:r w:rsidRPr="00276BCA">
              <w:t>Oxaliplatin</w:t>
            </w:r>
            <w:r w:rsidR="00964A43" w:rsidRPr="00276BCA">
              <w:t xml:space="preserve"> 130 mg/m</w:t>
            </w:r>
            <w:r w:rsidR="00964A43" w:rsidRPr="00276BCA">
              <w:rPr>
                <w:vertAlign w:val="superscript"/>
              </w:rPr>
              <w:t>2</w:t>
            </w:r>
          </w:p>
        </w:tc>
        <w:tc>
          <w:tcPr>
            <w:tcW w:w="552" w:type="pct"/>
            <w:shd w:val="clear" w:color="auto" w:fill="FFFFFF" w:themeFill="background1"/>
            <w:noWrap/>
            <w:vAlign w:val="center"/>
            <w:hideMark/>
          </w:tcPr>
          <w:p w14:paraId="1C22F47D" w14:textId="77777777" w:rsidR="00211604" w:rsidRPr="00276BCA" w:rsidRDefault="00211604" w:rsidP="00A85F19">
            <w:pPr>
              <w:pStyle w:val="TableNumber"/>
              <w:keepNext/>
              <w:keepLines/>
              <w:tabs>
                <w:tab w:val="clear" w:pos="396"/>
                <w:tab w:val="decimal" w:pos="311"/>
              </w:tabs>
            </w:pPr>
            <w:r w:rsidRPr="00276BCA">
              <w:t>5.52</w:t>
            </w:r>
          </w:p>
        </w:tc>
        <w:tc>
          <w:tcPr>
            <w:tcW w:w="540" w:type="pct"/>
            <w:shd w:val="clear" w:color="auto" w:fill="FFFFFF" w:themeFill="background1"/>
            <w:vAlign w:val="center"/>
          </w:tcPr>
          <w:p w14:paraId="1E4A545F" w14:textId="1395D2C2" w:rsidR="007408D1" w:rsidRPr="00276BCA" w:rsidRDefault="004E23A0" w:rsidP="00A85F19">
            <w:pPr>
              <w:pStyle w:val="TableNumber"/>
              <w:keepNext/>
              <w:keepLines/>
              <w:tabs>
                <w:tab w:val="clear" w:pos="396"/>
                <w:tab w:val="decimal" w:pos="52"/>
              </w:tabs>
            </w:pPr>
            <w:r w:rsidRPr="00276BCA">
              <w:t>82.54%</w:t>
            </w:r>
          </w:p>
        </w:tc>
        <w:tc>
          <w:tcPr>
            <w:tcW w:w="463" w:type="pct"/>
            <w:shd w:val="clear" w:color="auto" w:fill="FFFFFF" w:themeFill="background1"/>
            <w:noWrap/>
            <w:vAlign w:val="center"/>
            <w:hideMark/>
          </w:tcPr>
          <w:p w14:paraId="040A325C" w14:textId="54CB8215" w:rsidR="00211604" w:rsidRPr="00276BCA" w:rsidRDefault="00211604" w:rsidP="00A85F19">
            <w:pPr>
              <w:pStyle w:val="TableNumber"/>
              <w:keepNext/>
              <w:keepLines/>
              <w:tabs>
                <w:tab w:val="clear" w:pos="396"/>
                <w:tab w:val="decimal" w:pos="0"/>
              </w:tabs>
            </w:pPr>
            <w:r w:rsidRPr="00276BCA">
              <w:t>8.00</w:t>
            </w:r>
          </w:p>
        </w:tc>
        <w:tc>
          <w:tcPr>
            <w:tcW w:w="464" w:type="pct"/>
            <w:vMerge/>
            <w:vAlign w:val="center"/>
            <w:hideMark/>
          </w:tcPr>
          <w:p w14:paraId="163AA9D3" w14:textId="77777777" w:rsidR="00211604" w:rsidRPr="00276BCA" w:rsidRDefault="00211604" w:rsidP="00A85F19">
            <w:pPr>
              <w:pStyle w:val="TableNumber"/>
              <w:keepNext/>
              <w:keepLines/>
              <w:ind w:left="-12"/>
            </w:pPr>
          </w:p>
        </w:tc>
        <w:tc>
          <w:tcPr>
            <w:tcW w:w="576" w:type="pct"/>
            <w:shd w:val="clear" w:color="auto" w:fill="FFFFFF" w:themeFill="background1"/>
            <w:noWrap/>
            <w:vAlign w:val="center"/>
            <w:hideMark/>
          </w:tcPr>
          <w:p w14:paraId="6391B22E" w14:textId="77777777" w:rsidR="00211604" w:rsidRPr="00276BCA" w:rsidRDefault="00211604" w:rsidP="00A85F19">
            <w:pPr>
              <w:pStyle w:val="TableNumber"/>
              <w:keepNext/>
              <w:keepLines/>
            </w:pPr>
            <w:r w:rsidRPr="00276BCA">
              <w:t>$146</w:t>
            </w:r>
          </w:p>
        </w:tc>
        <w:tc>
          <w:tcPr>
            <w:tcW w:w="576" w:type="pct"/>
            <w:shd w:val="clear" w:color="auto" w:fill="FFFFFF" w:themeFill="background1"/>
            <w:noWrap/>
            <w:vAlign w:val="center"/>
            <w:hideMark/>
          </w:tcPr>
          <w:p w14:paraId="676D8732" w14:textId="77777777" w:rsidR="00211604" w:rsidRPr="00276BCA" w:rsidRDefault="00211604" w:rsidP="00A85F19">
            <w:pPr>
              <w:pStyle w:val="TableNumber"/>
              <w:keepNext/>
              <w:keepLines/>
            </w:pPr>
            <w:r w:rsidRPr="00276BCA">
              <w:t>$1,168</w:t>
            </w:r>
          </w:p>
        </w:tc>
        <w:tc>
          <w:tcPr>
            <w:tcW w:w="575" w:type="pct"/>
            <w:vMerge/>
            <w:vAlign w:val="center"/>
            <w:hideMark/>
          </w:tcPr>
          <w:p w14:paraId="6FE865FF" w14:textId="77777777" w:rsidR="00211604" w:rsidRPr="00276BCA" w:rsidRDefault="00211604" w:rsidP="00A85F19">
            <w:pPr>
              <w:pStyle w:val="TableNumber"/>
              <w:keepNext/>
              <w:keepLines/>
            </w:pPr>
          </w:p>
        </w:tc>
      </w:tr>
      <w:tr w:rsidR="00E41328" w:rsidRPr="00276BCA" w14:paraId="3CD53A79" w14:textId="77777777" w:rsidTr="77D89277">
        <w:trPr>
          <w:trHeight w:val="221"/>
        </w:trPr>
        <w:tc>
          <w:tcPr>
            <w:tcW w:w="5000" w:type="pct"/>
            <w:gridSpan w:val="9"/>
            <w:vAlign w:val="center"/>
          </w:tcPr>
          <w:p w14:paraId="6221916F" w14:textId="087293BE" w:rsidR="00211604" w:rsidRPr="00276BCA" w:rsidRDefault="00211604" w:rsidP="00A85F19">
            <w:pPr>
              <w:pStyle w:val="TableNumber"/>
              <w:keepNext/>
              <w:keepLines/>
              <w:tabs>
                <w:tab w:val="decimal" w:pos="52"/>
              </w:tabs>
              <w:ind w:left="-12"/>
              <w:jc w:val="left"/>
              <w:rPr>
                <w:b/>
              </w:rPr>
            </w:pPr>
            <w:r w:rsidRPr="00276BCA">
              <w:rPr>
                <w:b/>
              </w:rPr>
              <w:t>Nivolumab + mFOLFOX6</w:t>
            </w:r>
          </w:p>
        </w:tc>
      </w:tr>
      <w:tr w:rsidR="00494DB5" w:rsidRPr="00276BCA" w14:paraId="144F2DA4" w14:textId="77777777" w:rsidTr="77D89277">
        <w:trPr>
          <w:trHeight w:val="221"/>
        </w:trPr>
        <w:tc>
          <w:tcPr>
            <w:tcW w:w="784" w:type="pct"/>
            <w:hideMark/>
          </w:tcPr>
          <w:p w14:paraId="367C1E9B" w14:textId="77777777" w:rsidR="00EB76F7" w:rsidRPr="00276BCA" w:rsidRDefault="00EB76F7" w:rsidP="002928A1">
            <w:pPr>
              <w:pStyle w:val="TableNumber"/>
              <w:keepNext/>
              <w:keepLines/>
              <w:jc w:val="left"/>
            </w:pPr>
            <w:r w:rsidRPr="00276BCA">
              <w:t xml:space="preserve">Nivolumab (40 mg) </w:t>
            </w:r>
          </w:p>
        </w:tc>
        <w:tc>
          <w:tcPr>
            <w:tcW w:w="470" w:type="pct"/>
            <w:vMerge w:val="restart"/>
          </w:tcPr>
          <w:p w14:paraId="5B31040E" w14:textId="11112DE2" w:rsidR="00EB76F7" w:rsidRPr="00276BCA" w:rsidRDefault="00EB76F7" w:rsidP="002928A1">
            <w:pPr>
              <w:pStyle w:val="TableNumber"/>
              <w:keepNext/>
              <w:keepLines/>
              <w:tabs>
                <w:tab w:val="clear" w:pos="396"/>
                <w:tab w:val="decimal" w:pos="171"/>
                <w:tab w:val="left" w:pos="595"/>
              </w:tabs>
              <w:jc w:val="left"/>
            </w:pPr>
            <w:r w:rsidRPr="00276BCA">
              <w:t>240 mg Q2W</w:t>
            </w:r>
          </w:p>
        </w:tc>
        <w:tc>
          <w:tcPr>
            <w:tcW w:w="552" w:type="pct"/>
            <w:shd w:val="clear" w:color="auto" w:fill="FFFFFF" w:themeFill="background1"/>
            <w:noWrap/>
            <w:vAlign w:val="center"/>
            <w:hideMark/>
          </w:tcPr>
          <w:p w14:paraId="02756D99" w14:textId="77777777" w:rsidR="00EB76F7" w:rsidRPr="00276BCA" w:rsidRDefault="00EB76F7" w:rsidP="00A85F19">
            <w:pPr>
              <w:pStyle w:val="TableNumber"/>
              <w:keepNext/>
              <w:keepLines/>
              <w:tabs>
                <w:tab w:val="left" w:pos="595"/>
              </w:tabs>
            </w:pPr>
            <w:r w:rsidRPr="00276BCA">
              <w:t>9.81</w:t>
            </w:r>
          </w:p>
        </w:tc>
        <w:tc>
          <w:tcPr>
            <w:tcW w:w="540" w:type="pct"/>
            <w:vMerge w:val="restart"/>
            <w:shd w:val="clear" w:color="auto" w:fill="FFFFFF" w:themeFill="background1"/>
            <w:vAlign w:val="center"/>
          </w:tcPr>
          <w:p w14:paraId="48346A50" w14:textId="3FD679AA" w:rsidR="007408D1" w:rsidRPr="00276BCA" w:rsidRDefault="00CB398A" w:rsidP="00A85F19">
            <w:pPr>
              <w:pStyle w:val="TableNumber"/>
              <w:keepNext/>
              <w:keepLines/>
              <w:tabs>
                <w:tab w:val="clear" w:pos="396"/>
                <w:tab w:val="decimal" w:pos="52"/>
              </w:tabs>
            </w:pPr>
            <w:r w:rsidRPr="00276BCA">
              <w:t>92.54%</w:t>
            </w:r>
          </w:p>
        </w:tc>
        <w:tc>
          <w:tcPr>
            <w:tcW w:w="463" w:type="pct"/>
            <w:shd w:val="clear" w:color="auto" w:fill="FFFFFF" w:themeFill="background1"/>
            <w:noWrap/>
            <w:vAlign w:val="center"/>
            <w:hideMark/>
          </w:tcPr>
          <w:p w14:paraId="6DFA3842" w14:textId="74BE6BA4" w:rsidR="00EB76F7" w:rsidRPr="00276BCA" w:rsidRDefault="00EB76F7" w:rsidP="00A85F19">
            <w:pPr>
              <w:pStyle w:val="TableNumber"/>
              <w:keepNext/>
              <w:keepLines/>
              <w:tabs>
                <w:tab w:val="clear" w:pos="396"/>
                <w:tab w:val="decimal" w:pos="0"/>
              </w:tabs>
            </w:pPr>
            <w:r w:rsidRPr="00276BCA">
              <w:t>22.00</w:t>
            </w:r>
          </w:p>
        </w:tc>
        <w:tc>
          <w:tcPr>
            <w:tcW w:w="464" w:type="pct"/>
            <w:vMerge w:val="restart"/>
            <w:shd w:val="clear" w:color="auto" w:fill="FFFFFF" w:themeFill="background1"/>
            <w:noWrap/>
            <w:vAlign w:val="center"/>
            <w:hideMark/>
          </w:tcPr>
          <w:p w14:paraId="334D263A" w14:textId="77777777" w:rsidR="00EB76F7" w:rsidRPr="00276BCA" w:rsidRDefault="00EB76F7" w:rsidP="00A85F19">
            <w:pPr>
              <w:pStyle w:val="TableNumber"/>
              <w:keepNext/>
              <w:keepLines/>
              <w:ind w:left="-12"/>
            </w:pPr>
            <w:r w:rsidRPr="00276BCA">
              <w:t>$2,707</w:t>
            </w:r>
          </w:p>
        </w:tc>
        <w:tc>
          <w:tcPr>
            <w:tcW w:w="576" w:type="pct"/>
            <w:vMerge w:val="restart"/>
            <w:shd w:val="clear" w:color="auto" w:fill="FFFFFF" w:themeFill="background1"/>
            <w:noWrap/>
            <w:vAlign w:val="center"/>
            <w:hideMark/>
          </w:tcPr>
          <w:p w14:paraId="31C05F5B" w14:textId="77777777" w:rsidR="00EB76F7" w:rsidRPr="00276BCA" w:rsidRDefault="00EB76F7" w:rsidP="00A85F19">
            <w:pPr>
              <w:pStyle w:val="TableNumber"/>
              <w:keepNext/>
              <w:keepLines/>
            </w:pPr>
            <w:r w:rsidRPr="00276BCA">
              <w:t>$4,532</w:t>
            </w:r>
          </w:p>
        </w:tc>
        <w:tc>
          <w:tcPr>
            <w:tcW w:w="576" w:type="pct"/>
            <w:vMerge w:val="restart"/>
            <w:shd w:val="clear" w:color="auto" w:fill="FFFFFF" w:themeFill="background1"/>
            <w:noWrap/>
            <w:vAlign w:val="center"/>
            <w:hideMark/>
          </w:tcPr>
          <w:p w14:paraId="3C16E932" w14:textId="77777777" w:rsidR="00EB76F7" w:rsidRPr="00276BCA" w:rsidRDefault="00EB76F7" w:rsidP="00A85F19">
            <w:pPr>
              <w:pStyle w:val="TableNumber"/>
              <w:keepNext/>
              <w:keepLines/>
            </w:pPr>
            <w:r w:rsidRPr="00276BCA">
              <w:t>$99,712</w:t>
            </w:r>
          </w:p>
        </w:tc>
        <w:tc>
          <w:tcPr>
            <w:tcW w:w="575" w:type="pct"/>
            <w:vMerge w:val="restart"/>
            <w:noWrap/>
            <w:vAlign w:val="center"/>
            <w:hideMark/>
          </w:tcPr>
          <w:p w14:paraId="55FCF369" w14:textId="77777777" w:rsidR="00EB76F7" w:rsidRPr="00276BCA" w:rsidRDefault="00EB76F7" w:rsidP="00A85F19">
            <w:pPr>
              <w:pStyle w:val="TableNumber"/>
              <w:keepNext/>
              <w:keepLines/>
            </w:pPr>
            <w:r w:rsidRPr="00276BCA">
              <w:t>$108,838</w:t>
            </w:r>
          </w:p>
          <w:p w14:paraId="6412F196" w14:textId="77777777" w:rsidR="00EB76F7" w:rsidRPr="00276BCA" w:rsidRDefault="00EB76F7" w:rsidP="00A85F19">
            <w:pPr>
              <w:pStyle w:val="TableNumber"/>
              <w:keepNext/>
              <w:keepLines/>
            </w:pPr>
          </w:p>
        </w:tc>
      </w:tr>
      <w:tr w:rsidR="00494DB5" w:rsidRPr="00276BCA" w14:paraId="11BFE4DF" w14:textId="77777777" w:rsidTr="77D89277">
        <w:trPr>
          <w:trHeight w:val="221"/>
        </w:trPr>
        <w:tc>
          <w:tcPr>
            <w:tcW w:w="784" w:type="pct"/>
            <w:hideMark/>
          </w:tcPr>
          <w:p w14:paraId="392FB017" w14:textId="21E54944" w:rsidR="00EB76F7" w:rsidRPr="00276BCA" w:rsidRDefault="00EB76F7" w:rsidP="002928A1">
            <w:pPr>
              <w:pStyle w:val="TableNumber"/>
              <w:keepNext/>
              <w:keepLines/>
              <w:jc w:val="left"/>
            </w:pPr>
            <w:r w:rsidRPr="00276BCA">
              <w:t>Nivolumab (100 mg)</w:t>
            </w:r>
          </w:p>
        </w:tc>
        <w:tc>
          <w:tcPr>
            <w:tcW w:w="470" w:type="pct"/>
            <w:vMerge/>
          </w:tcPr>
          <w:p w14:paraId="1771DAAB" w14:textId="47483BEC" w:rsidR="00EB76F7" w:rsidRPr="00276BCA" w:rsidRDefault="00EB76F7" w:rsidP="002928A1">
            <w:pPr>
              <w:pStyle w:val="TableNumber"/>
              <w:keepNext/>
              <w:keepLines/>
              <w:tabs>
                <w:tab w:val="left" w:pos="595"/>
              </w:tabs>
              <w:jc w:val="left"/>
            </w:pPr>
          </w:p>
        </w:tc>
        <w:tc>
          <w:tcPr>
            <w:tcW w:w="552" w:type="pct"/>
            <w:shd w:val="clear" w:color="auto" w:fill="FFFFFF" w:themeFill="background1"/>
            <w:noWrap/>
            <w:vAlign w:val="center"/>
            <w:hideMark/>
          </w:tcPr>
          <w:p w14:paraId="05DE9449" w14:textId="77777777" w:rsidR="00EB76F7" w:rsidRPr="00276BCA" w:rsidRDefault="00EB76F7" w:rsidP="00A85F19">
            <w:pPr>
              <w:pStyle w:val="TableNumber"/>
              <w:keepNext/>
              <w:keepLines/>
              <w:tabs>
                <w:tab w:val="left" w:pos="595"/>
              </w:tabs>
            </w:pPr>
            <w:r w:rsidRPr="00276BCA">
              <w:t>9.81</w:t>
            </w:r>
          </w:p>
        </w:tc>
        <w:tc>
          <w:tcPr>
            <w:tcW w:w="540" w:type="pct"/>
            <w:vMerge/>
            <w:vAlign w:val="center"/>
          </w:tcPr>
          <w:p w14:paraId="43EE0BB0" w14:textId="77777777" w:rsidR="007408D1" w:rsidRPr="00276BCA" w:rsidRDefault="007408D1" w:rsidP="00A85F19">
            <w:pPr>
              <w:pStyle w:val="TableNumber"/>
              <w:keepNext/>
              <w:keepLines/>
              <w:tabs>
                <w:tab w:val="clear" w:pos="396"/>
                <w:tab w:val="decimal" w:pos="52"/>
              </w:tabs>
            </w:pPr>
          </w:p>
        </w:tc>
        <w:tc>
          <w:tcPr>
            <w:tcW w:w="463" w:type="pct"/>
            <w:shd w:val="clear" w:color="auto" w:fill="FFFFFF" w:themeFill="background1"/>
            <w:noWrap/>
            <w:vAlign w:val="center"/>
            <w:hideMark/>
          </w:tcPr>
          <w:p w14:paraId="46EB76E8" w14:textId="1B952661" w:rsidR="00EB76F7" w:rsidRPr="00276BCA" w:rsidRDefault="00EB76F7" w:rsidP="00A85F19">
            <w:pPr>
              <w:pStyle w:val="TableNumber"/>
              <w:keepNext/>
              <w:keepLines/>
              <w:tabs>
                <w:tab w:val="clear" w:pos="396"/>
                <w:tab w:val="decimal" w:pos="0"/>
              </w:tabs>
            </w:pPr>
            <w:r w:rsidRPr="00276BCA">
              <w:t>22.00</w:t>
            </w:r>
          </w:p>
        </w:tc>
        <w:tc>
          <w:tcPr>
            <w:tcW w:w="464" w:type="pct"/>
            <w:vMerge/>
            <w:vAlign w:val="center"/>
            <w:hideMark/>
          </w:tcPr>
          <w:p w14:paraId="523D7992" w14:textId="77777777" w:rsidR="00EB76F7" w:rsidRPr="00276BCA" w:rsidRDefault="00EB76F7" w:rsidP="00A85F19">
            <w:pPr>
              <w:pStyle w:val="TableNumber"/>
              <w:keepNext/>
              <w:keepLines/>
            </w:pPr>
          </w:p>
        </w:tc>
        <w:tc>
          <w:tcPr>
            <w:tcW w:w="576" w:type="pct"/>
            <w:vMerge/>
            <w:vAlign w:val="center"/>
            <w:hideMark/>
          </w:tcPr>
          <w:p w14:paraId="1B6DC755" w14:textId="77777777" w:rsidR="00EB76F7" w:rsidRPr="00276BCA" w:rsidRDefault="00EB76F7" w:rsidP="00A85F19">
            <w:pPr>
              <w:pStyle w:val="TableNumber"/>
              <w:keepNext/>
              <w:keepLines/>
            </w:pPr>
          </w:p>
        </w:tc>
        <w:tc>
          <w:tcPr>
            <w:tcW w:w="576" w:type="pct"/>
            <w:vMerge/>
            <w:vAlign w:val="center"/>
            <w:hideMark/>
          </w:tcPr>
          <w:p w14:paraId="5D84D3EE" w14:textId="77777777" w:rsidR="00EB76F7" w:rsidRPr="00276BCA" w:rsidRDefault="00EB76F7" w:rsidP="00A85F19">
            <w:pPr>
              <w:pStyle w:val="TableNumber"/>
              <w:keepNext/>
              <w:keepLines/>
            </w:pPr>
          </w:p>
        </w:tc>
        <w:tc>
          <w:tcPr>
            <w:tcW w:w="575" w:type="pct"/>
            <w:vMerge/>
            <w:hideMark/>
          </w:tcPr>
          <w:p w14:paraId="4BC33950" w14:textId="77777777" w:rsidR="00EB76F7" w:rsidRPr="00276BCA" w:rsidRDefault="00EB76F7" w:rsidP="002928A1">
            <w:pPr>
              <w:pStyle w:val="TableNumber"/>
              <w:keepNext/>
              <w:keepLines/>
            </w:pPr>
          </w:p>
        </w:tc>
      </w:tr>
      <w:tr w:rsidR="003C2427" w:rsidRPr="00276BCA" w14:paraId="2332EDE7" w14:textId="77777777" w:rsidTr="005574CB">
        <w:trPr>
          <w:trHeight w:val="221"/>
        </w:trPr>
        <w:tc>
          <w:tcPr>
            <w:tcW w:w="1253" w:type="pct"/>
            <w:gridSpan w:val="2"/>
            <w:noWrap/>
            <w:hideMark/>
          </w:tcPr>
          <w:p w14:paraId="45EBBEE3" w14:textId="2D9D88F7" w:rsidR="00EB76F7" w:rsidRPr="00276BCA" w:rsidRDefault="00EB76F7" w:rsidP="002928A1">
            <w:pPr>
              <w:pStyle w:val="TableNumber"/>
              <w:keepNext/>
              <w:keepLines/>
              <w:tabs>
                <w:tab w:val="left" w:pos="595"/>
              </w:tabs>
              <w:jc w:val="left"/>
            </w:pPr>
            <w:r w:rsidRPr="00276BCA">
              <w:t>Oxaliplatin</w:t>
            </w:r>
            <w:r w:rsidR="00947AF6" w:rsidRPr="00276BCA">
              <w:t xml:space="preserve"> 85mg/m</w:t>
            </w:r>
            <w:r w:rsidR="00947AF6" w:rsidRPr="00276BCA">
              <w:rPr>
                <w:vertAlign w:val="superscript"/>
              </w:rPr>
              <w:t>2</w:t>
            </w:r>
            <w:r w:rsidR="00947AF6" w:rsidRPr="00276BCA">
              <w:t xml:space="preserve"> Q2W</w:t>
            </w:r>
          </w:p>
        </w:tc>
        <w:tc>
          <w:tcPr>
            <w:tcW w:w="552" w:type="pct"/>
            <w:shd w:val="clear" w:color="auto" w:fill="FFFFFF" w:themeFill="background1"/>
            <w:noWrap/>
            <w:vAlign w:val="center"/>
            <w:hideMark/>
          </w:tcPr>
          <w:p w14:paraId="0006D207" w14:textId="77777777" w:rsidR="00EB76F7" w:rsidRPr="00276BCA" w:rsidRDefault="00EB76F7" w:rsidP="00A85F19">
            <w:pPr>
              <w:pStyle w:val="TableNumber"/>
              <w:keepNext/>
              <w:keepLines/>
              <w:tabs>
                <w:tab w:val="left" w:pos="595"/>
              </w:tabs>
            </w:pPr>
            <w:r w:rsidRPr="00276BCA">
              <w:t>5.52</w:t>
            </w:r>
          </w:p>
        </w:tc>
        <w:tc>
          <w:tcPr>
            <w:tcW w:w="540" w:type="pct"/>
            <w:shd w:val="clear" w:color="auto" w:fill="FFFFFF" w:themeFill="background1"/>
            <w:vAlign w:val="center"/>
          </w:tcPr>
          <w:p w14:paraId="0C859EE7" w14:textId="53B67250" w:rsidR="007408D1" w:rsidRPr="00276BCA" w:rsidRDefault="00CB398A" w:rsidP="00A85F19">
            <w:pPr>
              <w:pStyle w:val="TableNumber"/>
              <w:keepNext/>
              <w:keepLines/>
              <w:tabs>
                <w:tab w:val="clear" w:pos="396"/>
                <w:tab w:val="decimal" w:pos="52"/>
              </w:tabs>
            </w:pPr>
            <w:r w:rsidRPr="00276BCA">
              <w:t>86.55%</w:t>
            </w:r>
          </w:p>
        </w:tc>
        <w:tc>
          <w:tcPr>
            <w:tcW w:w="463" w:type="pct"/>
            <w:shd w:val="clear" w:color="auto" w:fill="FFFFFF" w:themeFill="background1"/>
            <w:noWrap/>
            <w:vAlign w:val="center"/>
            <w:hideMark/>
          </w:tcPr>
          <w:p w14:paraId="20B3F591" w14:textId="35E77BD0" w:rsidR="00EB76F7" w:rsidRPr="00276BCA" w:rsidRDefault="00EB76F7" w:rsidP="00A85F19">
            <w:pPr>
              <w:pStyle w:val="TableNumber"/>
              <w:keepNext/>
              <w:keepLines/>
              <w:tabs>
                <w:tab w:val="clear" w:pos="396"/>
                <w:tab w:val="decimal" w:pos="0"/>
              </w:tabs>
            </w:pPr>
            <w:r w:rsidRPr="00276BCA">
              <w:t>12.00</w:t>
            </w:r>
          </w:p>
        </w:tc>
        <w:tc>
          <w:tcPr>
            <w:tcW w:w="464" w:type="pct"/>
            <w:vMerge/>
            <w:vAlign w:val="center"/>
            <w:hideMark/>
          </w:tcPr>
          <w:p w14:paraId="32E076CC" w14:textId="77777777" w:rsidR="00EB76F7" w:rsidRPr="00276BCA" w:rsidRDefault="00EB76F7" w:rsidP="00A85F19">
            <w:pPr>
              <w:pStyle w:val="TableNumber"/>
              <w:keepNext/>
              <w:keepLines/>
            </w:pPr>
          </w:p>
        </w:tc>
        <w:tc>
          <w:tcPr>
            <w:tcW w:w="576" w:type="pct"/>
            <w:shd w:val="clear" w:color="auto" w:fill="FFFFFF" w:themeFill="background1"/>
            <w:noWrap/>
            <w:vAlign w:val="center"/>
            <w:hideMark/>
          </w:tcPr>
          <w:p w14:paraId="683A3D49" w14:textId="77777777" w:rsidR="00EB76F7" w:rsidRPr="00276BCA" w:rsidRDefault="00EB76F7" w:rsidP="00A85F19">
            <w:pPr>
              <w:pStyle w:val="TableNumber"/>
              <w:keepNext/>
              <w:keepLines/>
            </w:pPr>
            <w:r w:rsidRPr="00276BCA">
              <w:t>$123</w:t>
            </w:r>
          </w:p>
        </w:tc>
        <w:tc>
          <w:tcPr>
            <w:tcW w:w="576" w:type="pct"/>
            <w:shd w:val="clear" w:color="auto" w:fill="FFFFFF" w:themeFill="background1"/>
            <w:noWrap/>
            <w:vAlign w:val="center"/>
            <w:hideMark/>
          </w:tcPr>
          <w:p w14:paraId="1D4DF6CF" w14:textId="77777777" w:rsidR="00EB76F7" w:rsidRPr="00276BCA" w:rsidRDefault="00EB76F7" w:rsidP="00A85F19">
            <w:pPr>
              <w:pStyle w:val="TableNumber"/>
              <w:keepNext/>
              <w:keepLines/>
            </w:pPr>
            <w:r w:rsidRPr="00276BCA">
              <w:t>$1,475</w:t>
            </w:r>
          </w:p>
        </w:tc>
        <w:tc>
          <w:tcPr>
            <w:tcW w:w="575" w:type="pct"/>
            <w:vMerge/>
            <w:hideMark/>
          </w:tcPr>
          <w:p w14:paraId="53021C25" w14:textId="77777777" w:rsidR="00EB76F7" w:rsidRPr="00276BCA" w:rsidRDefault="00EB76F7" w:rsidP="002928A1">
            <w:pPr>
              <w:pStyle w:val="TableNumber"/>
              <w:keepNext/>
              <w:keepLines/>
            </w:pPr>
          </w:p>
        </w:tc>
      </w:tr>
      <w:tr w:rsidR="003C2427" w:rsidRPr="00276BCA" w14:paraId="2D766DDB" w14:textId="77777777" w:rsidTr="005574CB">
        <w:trPr>
          <w:trHeight w:val="221"/>
        </w:trPr>
        <w:tc>
          <w:tcPr>
            <w:tcW w:w="1253" w:type="pct"/>
            <w:gridSpan w:val="2"/>
            <w:noWrap/>
            <w:hideMark/>
          </w:tcPr>
          <w:p w14:paraId="4B5D45B9" w14:textId="2406D643" w:rsidR="00EB76F7" w:rsidRPr="00276BCA" w:rsidRDefault="00EB76F7" w:rsidP="002928A1">
            <w:pPr>
              <w:pStyle w:val="TableNumber"/>
              <w:keepNext/>
              <w:keepLines/>
              <w:tabs>
                <w:tab w:val="left" w:pos="595"/>
              </w:tabs>
              <w:jc w:val="left"/>
            </w:pPr>
            <w:r w:rsidRPr="00276BCA">
              <w:t>Leucovorin</w:t>
            </w:r>
            <w:r w:rsidR="00947AF6" w:rsidRPr="00276BCA">
              <w:t xml:space="preserve"> 400mg/m</w:t>
            </w:r>
            <w:r w:rsidR="00947AF6" w:rsidRPr="00276BCA">
              <w:rPr>
                <w:vertAlign w:val="superscript"/>
              </w:rPr>
              <w:t>2</w:t>
            </w:r>
            <w:r w:rsidR="00947AF6" w:rsidRPr="00276BCA">
              <w:t xml:space="preserve"> Q2W</w:t>
            </w:r>
          </w:p>
        </w:tc>
        <w:tc>
          <w:tcPr>
            <w:tcW w:w="552" w:type="pct"/>
            <w:shd w:val="clear" w:color="auto" w:fill="FFFFFF" w:themeFill="background1"/>
            <w:noWrap/>
            <w:vAlign w:val="center"/>
            <w:hideMark/>
          </w:tcPr>
          <w:p w14:paraId="5448B3C8" w14:textId="77777777" w:rsidR="00EB76F7" w:rsidRPr="00276BCA" w:rsidRDefault="00EB76F7" w:rsidP="00A85F19">
            <w:pPr>
              <w:pStyle w:val="TableNumber"/>
              <w:keepNext/>
              <w:keepLines/>
              <w:tabs>
                <w:tab w:val="left" w:pos="595"/>
              </w:tabs>
            </w:pPr>
            <w:r w:rsidRPr="00276BCA">
              <w:t>7.07</w:t>
            </w:r>
          </w:p>
        </w:tc>
        <w:tc>
          <w:tcPr>
            <w:tcW w:w="540" w:type="pct"/>
            <w:shd w:val="clear" w:color="auto" w:fill="FFFFFF" w:themeFill="background1"/>
            <w:vAlign w:val="center"/>
          </w:tcPr>
          <w:p w14:paraId="716B8E35" w14:textId="194C4EEA" w:rsidR="007408D1" w:rsidRPr="00276BCA" w:rsidRDefault="00CB398A" w:rsidP="00A85F19">
            <w:pPr>
              <w:pStyle w:val="TableNumber"/>
              <w:keepNext/>
              <w:keepLines/>
              <w:tabs>
                <w:tab w:val="clear" w:pos="396"/>
                <w:tab w:val="decimal" w:pos="52"/>
              </w:tabs>
            </w:pPr>
            <w:r w:rsidRPr="00276BCA">
              <w:t>90.55%</w:t>
            </w:r>
          </w:p>
        </w:tc>
        <w:tc>
          <w:tcPr>
            <w:tcW w:w="463" w:type="pct"/>
            <w:shd w:val="clear" w:color="auto" w:fill="FFFFFF" w:themeFill="background1"/>
            <w:noWrap/>
            <w:vAlign w:val="center"/>
            <w:hideMark/>
          </w:tcPr>
          <w:p w14:paraId="0425D6E0" w14:textId="32188322" w:rsidR="00EB76F7" w:rsidRPr="00276BCA" w:rsidRDefault="00EB76F7" w:rsidP="00A85F19">
            <w:pPr>
              <w:pStyle w:val="TableNumber"/>
              <w:keepNext/>
              <w:keepLines/>
              <w:tabs>
                <w:tab w:val="clear" w:pos="396"/>
                <w:tab w:val="decimal" w:pos="0"/>
              </w:tabs>
            </w:pPr>
            <w:r w:rsidRPr="00276BCA">
              <w:t>16.00</w:t>
            </w:r>
          </w:p>
        </w:tc>
        <w:tc>
          <w:tcPr>
            <w:tcW w:w="464" w:type="pct"/>
            <w:vMerge/>
            <w:vAlign w:val="center"/>
            <w:hideMark/>
          </w:tcPr>
          <w:p w14:paraId="3AB11356" w14:textId="77777777" w:rsidR="00EB76F7" w:rsidRPr="00276BCA" w:rsidRDefault="00EB76F7" w:rsidP="00A85F19">
            <w:pPr>
              <w:pStyle w:val="TableNumber"/>
              <w:keepNext/>
              <w:keepLines/>
            </w:pPr>
          </w:p>
        </w:tc>
        <w:tc>
          <w:tcPr>
            <w:tcW w:w="576" w:type="pct"/>
            <w:shd w:val="clear" w:color="auto" w:fill="FFFFFF" w:themeFill="background1"/>
            <w:noWrap/>
            <w:vAlign w:val="center"/>
            <w:hideMark/>
          </w:tcPr>
          <w:p w14:paraId="363F9A6B" w14:textId="77777777" w:rsidR="00EB76F7" w:rsidRPr="00276BCA" w:rsidRDefault="00EB76F7" w:rsidP="00A85F19">
            <w:pPr>
              <w:pStyle w:val="TableNumber"/>
              <w:keepNext/>
              <w:keepLines/>
            </w:pPr>
            <w:r w:rsidRPr="00276BCA">
              <w:t>$65</w:t>
            </w:r>
          </w:p>
        </w:tc>
        <w:tc>
          <w:tcPr>
            <w:tcW w:w="576" w:type="pct"/>
            <w:shd w:val="clear" w:color="auto" w:fill="FFFFFF" w:themeFill="background1"/>
            <w:noWrap/>
            <w:vAlign w:val="center"/>
            <w:hideMark/>
          </w:tcPr>
          <w:p w14:paraId="4113BBFC" w14:textId="77777777" w:rsidR="00EB76F7" w:rsidRPr="00276BCA" w:rsidRDefault="00EB76F7" w:rsidP="00A85F19">
            <w:pPr>
              <w:pStyle w:val="TableNumber"/>
              <w:keepNext/>
              <w:keepLines/>
            </w:pPr>
            <w:r w:rsidRPr="00276BCA">
              <w:t>$1,048</w:t>
            </w:r>
          </w:p>
        </w:tc>
        <w:tc>
          <w:tcPr>
            <w:tcW w:w="575" w:type="pct"/>
            <w:vMerge/>
            <w:hideMark/>
          </w:tcPr>
          <w:p w14:paraId="2D1F8678" w14:textId="77777777" w:rsidR="00EB76F7" w:rsidRPr="00276BCA" w:rsidRDefault="00EB76F7" w:rsidP="002928A1">
            <w:pPr>
              <w:pStyle w:val="TableNumber"/>
              <w:keepNext/>
              <w:keepLines/>
            </w:pPr>
          </w:p>
        </w:tc>
      </w:tr>
      <w:tr w:rsidR="003C2427" w:rsidRPr="00276BCA" w14:paraId="3E8D8F75" w14:textId="77777777" w:rsidTr="005574CB">
        <w:trPr>
          <w:trHeight w:val="221"/>
        </w:trPr>
        <w:tc>
          <w:tcPr>
            <w:tcW w:w="1253" w:type="pct"/>
            <w:gridSpan w:val="2"/>
            <w:noWrap/>
            <w:hideMark/>
          </w:tcPr>
          <w:p w14:paraId="6E85691A" w14:textId="77777777" w:rsidR="00BB3B21" w:rsidRPr="00276BCA" w:rsidRDefault="00BB3B21" w:rsidP="002928A1">
            <w:pPr>
              <w:pStyle w:val="TableNumber"/>
              <w:keepNext/>
              <w:keepLines/>
              <w:tabs>
                <w:tab w:val="clear" w:pos="396"/>
                <w:tab w:val="decimal" w:pos="22"/>
                <w:tab w:val="left" w:pos="595"/>
              </w:tabs>
              <w:jc w:val="left"/>
            </w:pPr>
            <w:r w:rsidRPr="00276BCA">
              <w:t xml:space="preserve">Fluorouracil (bolus) </w:t>
            </w:r>
          </w:p>
          <w:p w14:paraId="3361303E" w14:textId="0F1DFF43" w:rsidR="00BB3B21" w:rsidRPr="00276BCA" w:rsidRDefault="00BB3B21" w:rsidP="002928A1">
            <w:pPr>
              <w:pStyle w:val="TableNumber"/>
              <w:keepNext/>
              <w:keepLines/>
              <w:tabs>
                <w:tab w:val="decimal" w:pos="22"/>
                <w:tab w:val="left" w:pos="595"/>
              </w:tabs>
              <w:jc w:val="left"/>
            </w:pPr>
            <w:r w:rsidRPr="00276BCA">
              <w:t>400mg/m</w:t>
            </w:r>
            <w:r w:rsidRPr="00276BCA">
              <w:rPr>
                <w:vertAlign w:val="superscript"/>
              </w:rPr>
              <w:t>2</w:t>
            </w:r>
            <w:r w:rsidRPr="00276BCA">
              <w:t xml:space="preserve"> Q2W</w:t>
            </w:r>
          </w:p>
        </w:tc>
        <w:tc>
          <w:tcPr>
            <w:tcW w:w="552" w:type="pct"/>
            <w:shd w:val="clear" w:color="auto" w:fill="FFFFFF" w:themeFill="background1"/>
            <w:noWrap/>
            <w:vAlign w:val="center"/>
            <w:hideMark/>
          </w:tcPr>
          <w:p w14:paraId="32849184" w14:textId="77777777" w:rsidR="00BB3B21" w:rsidRPr="00276BCA" w:rsidRDefault="00BB3B21" w:rsidP="00A85F19">
            <w:pPr>
              <w:pStyle w:val="TableNumber"/>
              <w:keepNext/>
              <w:keepLines/>
              <w:tabs>
                <w:tab w:val="left" w:pos="595"/>
              </w:tabs>
            </w:pPr>
            <w:r w:rsidRPr="00276BCA">
              <w:t>7.07</w:t>
            </w:r>
          </w:p>
        </w:tc>
        <w:tc>
          <w:tcPr>
            <w:tcW w:w="540" w:type="pct"/>
            <w:shd w:val="clear" w:color="auto" w:fill="FFFFFF" w:themeFill="background1"/>
            <w:vAlign w:val="center"/>
          </w:tcPr>
          <w:p w14:paraId="7E50CE50" w14:textId="1F7C3768" w:rsidR="007408D1" w:rsidRPr="00276BCA" w:rsidRDefault="00CB398A" w:rsidP="00A85F19">
            <w:pPr>
              <w:pStyle w:val="TableNumber"/>
              <w:keepNext/>
              <w:keepLines/>
              <w:tabs>
                <w:tab w:val="clear" w:pos="396"/>
                <w:tab w:val="decimal" w:pos="52"/>
              </w:tabs>
            </w:pPr>
            <w:r w:rsidRPr="00276BCA">
              <w:t>93.65%</w:t>
            </w:r>
          </w:p>
        </w:tc>
        <w:tc>
          <w:tcPr>
            <w:tcW w:w="463" w:type="pct"/>
            <w:shd w:val="clear" w:color="auto" w:fill="FFFFFF" w:themeFill="background1"/>
            <w:noWrap/>
            <w:vAlign w:val="center"/>
            <w:hideMark/>
          </w:tcPr>
          <w:p w14:paraId="22CF4A60" w14:textId="4CD40F03" w:rsidR="00BB3B21" w:rsidRPr="00276BCA" w:rsidRDefault="00BB3B21" w:rsidP="00A85F19">
            <w:pPr>
              <w:pStyle w:val="TableNumber"/>
              <w:keepNext/>
              <w:keepLines/>
              <w:tabs>
                <w:tab w:val="clear" w:pos="396"/>
                <w:tab w:val="decimal" w:pos="0"/>
              </w:tabs>
            </w:pPr>
            <w:r w:rsidRPr="00276BCA">
              <w:t>16.00</w:t>
            </w:r>
          </w:p>
        </w:tc>
        <w:tc>
          <w:tcPr>
            <w:tcW w:w="464" w:type="pct"/>
            <w:vMerge/>
            <w:vAlign w:val="center"/>
            <w:hideMark/>
          </w:tcPr>
          <w:p w14:paraId="0564FB0D" w14:textId="77777777" w:rsidR="00BB3B21" w:rsidRPr="00276BCA" w:rsidRDefault="00BB3B21" w:rsidP="00A85F19">
            <w:pPr>
              <w:pStyle w:val="TableNumber"/>
              <w:keepNext/>
              <w:keepLines/>
            </w:pPr>
          </w:p>
        </w:tc>
        <w:tc>
          <w:tcPr>
            <w:tcW w:w="576" w:type="pct"/>
            <w:shd w:val="clear" w:color="auto" w:fill="FFFFFF" w:themeFill="background1"/>
            <w:noWrap/>
            <w:vAlign w:val="center"/>
            <w:hideMark/>
          </w:tcPr>
          <w:p w14:paraId="0DFFE1B7" w14:textId="77777777" w:rsidR="00BB3B21" w:rsidRPr="00276BCA" w:rsidRDefault="00BB3B21" w:rsidP="00A85F19">
            <w:pPr>
              <w:pStyle w:val="TableNumber"/>
              <w:keepNext/>
              <w:keepLines/>
            </w:pPr>
            <w:r w:rsidRPr="00276BCA">
              <w:t>$116</w:t>
            </w:r>
          </w:p>
        </w:tc>
        <w:tc>
          <w:tcPr>
            <w:tcW w:w="576" w:type="pct"/>
            <w:shd w:val="clear" w:color="auto" w:fill="FFFFFF" w:themeFill="background1"/>
            <w:noWrap/>
            <w:vAlign w:val="center"/>
            <w:hideMark/>
          </w:tcPr>
          <w:p w14:paraId="2C82E19A" w14:textId="77777777" w:rsidR="00BB3B21" w:rsidRPr="00276BCA" w:rsidRDefault="00BB3B21" w:rsidP="00A85F19">
            <w:pPr>
              <w:pStyle w:val="TableNumber"/>
              <w:keepNext/>
              <w:keepLines/>
            </w:pPr>
            <w:r w:rsidRPr="00276BCA">
              <w:t>$1,862</w:t>
            </w:r>
          </w:p>
        </w:tc>
        <w:tc>
          <w:tcPr>
            <w:tcW w:w="575" w:type="pct"/>
            <w:vMerge/>
            <w:hideMark/>
          </w:tcPr>
          <w:p w14:paraId="3415ACA9" w14:textId="77777777" w:rsidR="00BB3B21" w:rsidRPr="00276BCA" w:rsidRDefault="00BB3B21" w:rsidP="002928A1">
            <w:pPr>
              <w:pStyle w:val="TableNumber"/>
              <w:keepNext/>
              <w:keepLines/>
            </w:pPr>
          </w:p>
        </w:tc>
      </w:tr>
      <w:tr w:rsidR="003C2427" w:rsidRPr="00276BCA" w14:paraId="28F408B5" w14:textId="77777777" w:rsidTr="005574CB">
        <w:trPr>
          <w:trHeight w:val="221"/>
        </w:trPr>
        <w:tc>
          <w:tcPr>
            <w:tcW w:w="1253" w:type="pct"/>
            <w:gridSpan w:val="2"/>
            <w:noWrap/>
            <w:hideMark/>
          </w:tcPr>
          <w:p w14:paraId="185577B4" w14:textId="0F3B2F09" w:rsidR="00BB3B21" w:rsidRPr="00276BCA" w:rsidRDefault="00BB3B21" w:rsidP="002928A1">
            <w:pPr>
              <w:pStyle w:val="TableNumber"/>
              <w:keepNext/>
              <w:keepLines/>
              <w:tabs>
                <w:tab w:val="clear" w:pos="396"/>
                <w:tab w:val="decimal" w:pos="22"/>
                <w:tab w:val="left" w:pos="595"/>
              </w:tabs>
              <w:jc w:val="left"/>
            </w:pPr>
            <w:r w:rsidRPr="00276BCA">
              <w:t>Fluorouracil (</w:t>
            </w:r>
            <w:r w:rsidR="00A6458C" w:rsidRPr="00276BCA">
              <w:t>infusion</w:t>
            </w:r>
            <w:r w:rsidRPr="00276BCA">
              <w:t xml:space="preserve">) </w:t>
            </w:r>
          </w:p>
          <w:p w14:paraId="57C560F5" w14:textId="21DDEBEA" w:rsidR="00BB3B21" w:rsidRPr="00276BCA" w:rsidRDefault="00BB3B21" w:rsidP="002928A1">
            <w:pPr>
              <w:pStyle w:val="TableNumber"/>
              <w:keepNext/>
              <w:keepLines/>
              <w:tabs>
                <w:tab w:val="decimal" w:pos="22"/>
                <w:tab w:val="left" w:pos="595"/>
              </w:tabs>
              <w:jc w:val="left"/>
            </w:pPr>
            <w:r w:rsidRPr="00276BCA">
              <w:t>2400mg/m</w:t>
            </w:r>
            <w:r w:rsidRPr="00276BCA">
              <w:rPr>
                <w:vertAlign w:val="superscript"/>
              </w:rPr>
              <w:t>2</w:t>
            </w:r>
            <w:r w:rsidRPr="00276BCA">
              <w:t xml:space="preserve"> Q2W</w:t>
            </w:r>
          </w:p>
        </w:tc>
        <w:tc>
          <w:tcPr>
            <w:tcW w:w="552" w:type="pct"/>
            <w:shd w:val="clear" w:color="auto" w:fill="FFFFFF" w:themeFill="background1"/>
            <w:noWrap/>
            <w:vAlign w:val="center"/>
            <w:hideMark/>
          </w:tcPr>
          <w:p w14:paraId="4A256E98" w14:textId="77777777" w:rsidR="00BB3B21" w:rsidRPr="00276BCA" w:rsidRDefault="00BB3B21" w:rsidP="00A85F19">
            <w:pPr>
              <w:pStyle w:val="TableNumber"/>
              <w:keepNext/>
              <w:keepLines/>
              <w:tabs>
                <w:tab w:val="left" w:pos="595"/>
              </w:tabs>
            </w:pPr>
            <w:r w:rsidRPr="00276BCA">
              <w:t>7.07</w:t>
            </w:r>
          </w:p>
        </w:tc>
        <w:tc>
          <w:tcPr>
            <w:tcW w:w="540" w:type="pct"/>
            <w:shd w:val="clear" w:color="auto" w:fill="FFFFFF" w:themeFill="background1"/>
            <w:vAlign w:val="center"/>
          </w:tcPr>
          <w:p w14:paraId="576AFC80" w14:textId="7B6666CC" w:rsidR="007408D1" w:rsidRPr="00276BCA" w:rsidRDefault="00CB398A" w:rsidP="00A85F19">
            <w:pPr>
              <w:pStyle w:val="TableNumber"/>
              <w:keepNext/>
              <w:keepLines/>
              <w:tabs>
                <w:tab w:val="clear" w:pos="396"/>
                <w:tab w:val="decimal" w:pos="52"/>
              </w:tabs>
            </w:pPr>
            <w:r w:rsidRPr="00276BCA">
              <w:t>93.03%</w:t>
            </w:r>
          </w:p>
        </w:tc>
        <w:tc>
          <w:tcPr>
            <w:tcW w:w="463" w:type="pct"/>
            <w:shd w:val="clear" w:color="auto" w:fill="FFFFFF" w:themeFill="background1"/>
            <w:noWrap/>
            <w:vAlign w:val="center"/>
            <w:hideMark/>
          </w:tcPr>
          <w:p w14:paraId="1910A406" w14:textId="361ED1FF" w:rsidR="00BB3B21" w:rsidRPr="00276BCA" w:rsidRDefault="00BB3B21" w:rsidP="00A85F19">
            <w:pPr>
              <w:pStyle w:val="TableNumber"/>
              <w:keepNext/>
              <w:keepLines/>
              <w:tabs>
                <w:tab w:val="clear" w:pos="396"/>
                <w:tab w:val="decimal" w:pos="0"/>
              </w:tabs>
            </w:pPr>
            <w:r w:rsidRPr="00276BCA">
              <w:t>16.00</w:t>
            </w:r>
          </w:p>
        </w:tc>
        <w:tc>
          <w:tcPr>
            <w:tcW w:w="464" w:type="pct"/>
            <w:vMerge/>
            <w:vAlign w:val="center"/>
            <w:hideMark/>
          </w:tcPr>
          <w:p w14:paraId="2E7135C0" w14:textId="77777777" w:rsidR="00BB3B21" w:rsidRPr="00276BCA" w:rsidRDefault="00BB3B21" w:rsidP="00A85F19">
            <w:pPr>
              <w:pStyle w:val="TableNumber"/>
              <w:keepNext/>
              <w:keepLines/>
            </w:pPr>
          </w:p>
        </w:tc>
        <w:tc>
          <w:tcPr>
            <w:tcW w:w="576" w:type="pct"/>
            <w:shd w:val="clear" w:color="auto" w:fill="FFFFFF" w:themeFill="background1"/>
            <w:noWrap/>
            <w:vAlign w:val="center"/>
            <w:hideMark/>
          </w:tcPr>
          <w:p w14:paraId="4827C9BC" w14:textId="77777777" w:rsidR="00BB3B21" w:rsidRPr="00276BCA" w:rsidRDefault="00BB3B21" w:rsidP="00A85F19">
            <w:pPr>
              <w:pStyle w:val="TableNumber"/>
              <w:keepNext/>
              <w:keepLines/>
            </w:pPr>
            <w:r w:rsidRPr="00276BCA">
              <w:t>$127</w:t>
            </w:r>
          </w:p>
        </w:tc>
        <w:tc>
          <w:tcPr>
            <w:tcW w:w="576" w:type="pct"/>
            <w:shd w:val="clear" w:color="auto" w:fill="FFFFFF" w:themeFill="background1"/>
            <w:noWrap/>
            <w:vAlign w:val="center"/>
            <w:hideMark/>
          </w:tcPr>
          <w:p w14:paraId="397319F9" w14:textId="77777777" w:rsidR="00BB3B21" w:rsidRPr="00276BCA" w:rsidRDefault="00BB3B21" w:rsidP="00A85F19">
            <w:pPr>
              <w:pStyle w:val="TableNumber"/>
              <w:keepNext/>
              <w:keepLines/>
            </w:pPr>
            <w:r w:rsidRPr="00276BCA">
              <w:t>$2,034</w:t>
            </w:r>
          </w:p>
        </w:tc>
        <w:tc>
          <w:tcPr>
            <w:tcW w:w="575" w:type="pct"/>
            <w:vMerge/>
            <w:hideMark/>
          </w:tcPr>
          <w:p w14:paraId="0FB835C9" w14:textId="77777777" w:rsidR="00BB3B21" w:rsidRPr="00276BCA" w:rsidRDefault="00BB3B21" w:rsidP="002928A1">
            <w:pPr>
              <w:pStyle w:val="TableNumber"/>
              <w:keepNext/>
              <w:keepLines/>
            </w:pPr>
          </w:p>
        </w:tc>
      </w:tr>
    </w:tbl>
    <w:p w14:paraId="34FED36F" w14:textId="77777777" w:rsidR="00211604" w:rsidRPr="00276BCA" w:rsidRDefault="00211604" w:rsidP="002928A1">
      <w:pPr>
        <w:pStyle w:val="FooterTableFigure"/>
        <w:keepNext/>
        <w:keepLines/>
      </w:pPr>
      <w:r w:rsidRPr="00276BCA">
        <w:t>Source: Table 3-10, p155 of the submission.</w:t>
      </w:r>
    </w:p>
    <w:p w14:paraId="26FEB3B4" w14:textId="4E8EF6EB" w:rsidR="00211604" w:rsidRPr="00276BCA" w:rsidRDefault="00211604" w:rsidP="00204461">
      <w:pPr>
        <w:pStyle w:val="FooterTableFigure"/>
        <w:keepLines/>
      </w:pPr>
      <w:r w:rsidRPr="00276BCA">
        <w:t xml:space="preserve">Bid = taken two times a day; CAPOX = capecitabine and oxaliplatin; CLDN18.2 = Claudin 18.2 positive; </w:t>
      </w:r>
      <w:r w:rsidR="00BF3E29" w:rsidRPr="00276BCA">
        <w:t xml:space="preserve">Disp. = Dispensed; </w:t>
      </w:r>
      <w:r w:rsidRPr="00276BCA">
        <w:t>mFOLFOX6 = fluorouracil, leucovorin, and oxaliplatin; Q2W = every two weeks</w:t>
      </w:r>
      <w:r w:rsidR="009D37A2" w:rsidRPr="00276BCA">
        <w:t>; Q3W = every three weeks</w:t>
      </w:r>
      <w:r w:rsidR="00BF3E29" w:rsidRPr="00276BCA">
        <w:t>; reg = regimen</w:t>
      </w:r>
      <w:r w:rsidR="009D37A2" w:rsidRPr="00276BCA">
        <w:t>.</w:t>
      </w:r>
    </w:p>
    <w:p w14:paraId="2556FF4C" w14:textId="622FCCDE" w:rsidR="00B420A9" w:rsidRPr="00276BCA" w:rsidRDefault="00B420A9">
      <w:pPr>
        <w:spacing w:before="0" w:line="259" w:lineRule="auto"/>
        <w:jc w:val="left"/>
        <w:rPr>
          <w:rFonts w:ascii="Arial Narrow" w:hAnsi="Arial Narrow"/>
          <w:b/>
          <w:sz w:val="20"/>
          <w:szCs w:val="18"/>
        </w:rPr>
      </w:pPr>
      <w:bookmarkStart w:id="66" w:name="_Ref183798135"/>
    </w:p>
    <w:p w14:paraId="2A80D824" w14:textId="083BB182" w:rsidR="006E388E" w:rsidRPr="00276BCA" w:rsidRDefault="006E388E" w:rsidP="00204461">
      <w:pPr>
        <w:pStyle w:val="Caption"/>
      </w:pPr>
      <w:bookmarkStart w:id="67" w:name="_Ref191466171"/>
      <w:r w:rsidRPr="00276BCA">
        <w:lastRenderedPageBreak/>
        <w:t>Table</w:t>
      </w:r>
      <w:r w:rsidR="00875259" w:rsidRPr="00276BCA">
        <w:t xml:space="preserve"> </w:t>
      </w:r>
      <w:r w:rsidR="005E7C50">
        <w:fldChar w:fldCharType="begin"/>
      </w:r>
      <w:r w:rsidR="005E7C50">
        <w:instrText xml:space="preserve"> SEQ Table_PBAC. \* ARABIC </w:instrText>
      </w:r>
      <w:r w:rsidR="005E7C50">
        <w:fldChar w:fldCharType="separate"/>
      </w:r>
      <w:r w:rsidR="0011458F">
        <w:rPr>
          <w:noProof/>
        </w:rPr>
        <w:t>12</w:t>
      </w:r>
      <w:r w:rsidR="005E7C50">
        <w:rPr>
          <w:noProof/>
        </w:rPr>
        <w:fldChar w:fldCharType="end"/>
      </w:r>
      <w:bookmarkEnd w:id="66"/>
      <w:bookmarkEnd w:id="67"/>
      <w:r w:rsidR="00B30838" w:rsidRPr="00276BCA">
        <w:t xml:space="preserve">: </w:t>
      </w:r>
      <w:r w:rsidRPr="00276BCA">
        <w:t>Cost minimisation results</w:t>
      </w:r>
    </w:p>
    <w:tbl>
      <w:tblPr>
        <w:tblStyle w:val="PBACTableStyle"/>
        <w:tblW w:w="0" w:type="auto"/>
        <w:tblCellMar>
          <w:left w:w="57" w:type="dxa"/>
          <w:right w:w="57" w:type="dxa"/>
        </w:tblCellMar>
        <w:tblLook w:val="04A0" w:firstRow="1" w:lastRow="0" w:firstColumn="1" w:lastColumn="0" w:noHBand="0" w:noVBand="1"/>
        <w:tblCaption w:val="Table 12: Cost minimisation results"/>
      </w:tblPr>
      <w:tblGrid>
        <w:gridCol w:w="2170"/>
        <w:gridCol w:w="1254"/>
        <w:gridCol w:w="755"/>
        <w:gridCol w:w="1484"/>
        <w:gridCol w:w="1710"/>
        <w:gridCol w:w="1643"/>
      </w:tblGrid>
      <w:tr w:rsidR="00B06D95" w:rsidRPr="00276BCA" w14:paraId="7F900254" w14:textId="77777777" w:rsidTr="005574CB">
        <w:trPr>
          <w:cnfStyle w:val="100000000000" w:firstRow="1" w:lastRow="0" w:firstColumn="0" w:lastColumn="0" w:oddVBand="0" w:evenVBand="0" w:oddHBand="0" w:evenHBand="0" w:firstRowFirstColumn="0" w:firstRowLastColumn="0" w:lastRowFirstColumn="0" w:lastRowLastColumn="0"/>
          <w:trHeight w:val="2133"/>
        </w:trPr>
        <w:tc>
          <w:tcPr>
            <w:cnfStyle w:val="001000000000" w:firstRow="0" w:lastRow="0" w:firstColumn="1" w:lastColumn="0" w:oddVBand="0" w:evenVBand="0" w:oddHBand="0" w:evenHBand="0" w:firstRowFirstColumn="0" w:firstRowLastColumn="0" w:lastRowFirstColumn="0" w:lastRowLastColumn="0"/>
            <w:tcW w:w="0" w:type="auto"/>
            <w:hideMark/>
          </w:tcPr>
          <w:p w14:paraId="54F2AAD3" w14:textId="77777777" w:rsidR="006E388E" w:rsidRPr="00276BCA" w:rsidRDefault="006E388E" w:rsidP="00155851">
            <w:pPr>
              <w:pStyle w:val="TableText"/>
              <w:keepNext/>
              <w:keepLines/>
              <w:rPr>
                <w:b w:val="0"/>
                <w:color w:val="auto"/>
                <w:lang w:val="en-AU"/>
              </w:rPr>
            </w:pPr>
            <w:bookmarkStart w:id="68" w:name="_Hlk183798624"/>
            <w:r w:rsidRPr="00276BCA">
              <w:rPr>
                <w:lang w:val="en-AU"/>
              </w:rPr>
              <w:t>Treatment</w:t>
            </w:r>
          </w:p>
        </w:tc>
        <w:tc>
          <w:tcPr>
            <w:tcW w:w="0" w:type="dxa"/>
            <w:hideMark/>
          </w:tcPr>
          <w:p w14:paraId="7C903C83" w14:textId="357F9F5F" w:rsidR="006E388E" w:rsidRPr="00276BCA" w:rsidRDefault="006E388E" w:rsidP="00155851">
            <w:pPr>
              <w:pStyle w:val="TableText"/>
              <w:keepNext/>
              <w:keepLines/>
              <w:jc w:val="center"/>
              <w:cnfStyle w:val="100000000000" w:firstRow="1" w:lastRow="0" w:firstColumn="0" w:lastColumn="0" w:oddVBand="0" w:evenVBand="0" w:oddHBand="0" w:evenHBand="0" w:firstRowFirstColumn="0" w:firstRowLastColumn="0" w:lastRowFirstColumn="0" w:lastRowLastColumn="0"/>
              <w:rPr>
                <w:b w:val="0"/>
                <w:color w:val="auto"/>
                <w:lang w:val="en-AU"/>
              </w:rPr>
            </w:pPr>
            <w:r w:rsidRPr="00276BCA">
              <w:rPr>
                <w:lang w:val="en-AU"/>
              </w:rPr>
              <w:t>Split b</w:t>
            </w:r>
            <w:r w:rsidR="00D56C0E" w:rsidRPr="00276BCA">
              <w:rPr>
                <w:lang w:val="en-AU"/>
              </w:rPr>
              <w:t>etween</w:t>
            </w:r>
            <w:r w:rsidRPr="00276BCA">
              <w:rPr>
                <w:lang w:val="en-AU"/>
              </w:rPr>
              <w:t xml:space="preserve"> CAPOX and mFOLFOX</w:t>
            </w:r>
            <w:r w:rsidR="00D56C0E" w:rsidRPr="00276BCA">
              <w:rPr>
                <w:lang w:val="en-AU"/>
              </w:rPr>
              <w:t>6</w:t>
            </w:r>
          </w:p>
        </w:tc>
        <w:tc>
          <w:tcPr>
            <w:tcW w:w="0" w:type="dxa"/>
            <w:hideMark/>
          </w:tcPr>
          <w:p w14:paraId="446E61F4" w14:textId="78F5E33B" w:rsidR="006E388E" w:rsidRPr="00276BCA" w:rsidRDefault="006E388E" w:rsidP="00155851">
            <w:pPr>
              <w:pStyle w:val="TableText"/>
              <w:keepNext/>
              <w:keepLines/>
              <w:jc w:val="center"/>
              <w:cnfStyle w:val="100000000000" w:firstRow="1" w:lastRow="0" w:firstColumn="0" w:lastColumn="0" w:oddVBand="0" w:evenVBand="0" w:oddHBand="0" w:evenHBand="0" w:firstRowFirstColumn="0" w:firstRowLastColumn="0" w:lastRowFirstColumn="0" w:lastRowLastColumn="0"/>
              <w:rPr>
                <w:b w:val="0"/>
                <w:color w:val="auto"/>
                <w:lang w:val="en-AU"/>
              </w:rPr>
            </w:pPr>
            <w:r w:rsidRPr="00276BCA">
              <w:rPr>
                <w:lang w:val="en-AU"/>
              </w:rPr>
              <w:t xml:space="preserve">Testing Cost </w:t>
            </w:r>
          </w:p>
        </w:tc>
        <w:tc>
          <w:tcPr>
            <w:tcW w:w="0" w:type="dxa"/>
            <w:hideMark/>
          </w:tcPr>
          <w:p w14:paraId="59B0AAED" w14:textId="0C1B401A" w:rsidR="006E388E" w:rsidRPr="00276BCA" w:rsidRDefault="006E388E" w:rsidP="00155851">
            <w:pPr>
              <w:pStyle w:val="TableText"/>
              <w:keepNext/>
              <w:keepLines/>
              <w:jc w:val="center"/>
              <w:cnfStyle w:val="100000000000" w:firstRow="1" w:lastRow="0" w:firstColumn="0" w:lastColumn="0" w:oddVBand="0" w:evenVBand="0" w:oddHBand="0" w:evenHBand="0" w:firstRowFirstColumn="0" w:firstRowLastColumn="0" w:lastRowFirstColumn="0" w:lastRowLastColumn="0"/>
              <w:rPr>
                <w:b w:val="0"/>
                <w:color w:val="auto"/>
                <w:lang w:val="en-AU"/>
              </w:rPr>
            </w:pPr>
            <w:r w:rsidRPr="00276BCA">
              <w:rPr>
                <w:lang w:val="en-AU"/>
              </w:rPr>
              <w:t xml:space="preserve">Total Acquisition and Admin Cost </w:t>
            </w:r>
            <w:r w:rsidR="00611869" w:rsidRPr="00276BCA">
              <w:rPr>
                <w:lang w:val="en-AU"/>
              </w:rPr>
              <w:t xml:space="preserve">based on </w:t>
            </w:r>
            <w:r w:rsidR="003231F2" w:rsidRPr="00276BCA">
              <w:rPr>
                <w:lang w:val="en-AU"/>
              </w:rPr>
              <w:t xml:space="preserve">dispensed price </w:t>
            </w:r>
          </w:p>
        </w:tc>
        <w:tc>
          <w:tcPr>
            <w:tcW w:w="0" w:type="dxa"/>
            <w:hideMark/>
          </w:tcPr>
          <w:p w14:paraId="699A2567" w14:textId="3EDEB0FC" w:rsidR="006E388E" w:rsidRPr="00276BCA" w:rsidRDefault="006E388E" w:rsidP="00155851">
            <w:pPr>
              <w:pStyle w:val="TableText"/>
              <w:keepNext/>
              <w:keepLines/>
              <w:jc w:val="center"/>
              <w:cnfStyle w:val="100000000000" w:firstRow="1" w:lastRow="0" w:firstColumn="0" w:lastColumn="0" w:oddVBand="0" w:evenVBand="0" w:oddHBand="0" w:evenHBand="0" w:firstRowFirstColumn="0" w:firstRowLastColumn="0" w:lastRowFirstColumn="0" w:lastRowLastColumn="0"/>
              <w:rPr>
                <w:b w:val="0"/>
                <w:color w:val="auto"/>
                <w:lang w:val="en-AU"/>
              </w:rPr>
            </w:pPr>
            <w:r w:rsidRPr="00276BCA">
              <w:rPr>
                <w:lang w:val="en-AU"/>
              </w:rPr>
              <w:t xml:space="preserve">Resulting AEMP of </w:t>
            </w:r>
            <w:proofErr w:type="spellStart"/>
            <w:r w:rsidRPr="00276BCA">
              <w:rPr>
                <w:lang w:val="en-AU"/>
              </w:rPr>
              <w:t>zolbetuximab</w:t>
            </w:r>
            <w:proofErr w:type="spellEnd"/>
            <w:r w:rsidRPr="00276BCA">
              <w:rPr>
                <w:lang w:val="en-AU"/>
              </w:rPr>
              <w:t xml:space="preserve"> if the cost difference is $0 based on </w:t>
            </w:r>
            <w:r w:rsidR="001806B7" w:rsidRPr="00276BCA">
              <w:rPr>
                <w:lang w:val="en-AU"/>
              </w:rPr>
              <w:t>dispensed price</w:t>
            </w:r>
          </w:p>
        </w:tc>
        <w:tc>
          <w:tcPr>
            <w:tcW w:w="0" w:type="auto"/>
          </w:tcPr>
          <w:p w14:paraId="5999E26B" w14:textId="1DA7CDA9" w:rsidR="006E388E" w:rsidRPr="00276BCA" w:rsidRDefault="006E388E" w:rsidP="00155851">
            <w:pPr>
              <w:pStyle w:val="TableText"/>
              <w:keepNext/>
              <w:keepLines/>
              <w:jc w:val="center"/>
              <w:cnfStyle w:val="100000000000" w:firstRow="1" w:lastRow="0" w:firstColumn="0" w:lastColumn="0" w:oddVBand="0" w:evenVBand="0" w:oddHBand="0" w:evenHBand="0" w:firstRowFirstColumn="0" w:firstRowLastColumn="0" w:lastRowFirstColumn="0" w:lastRowLastColumn="0"/>
              <w:rPr>
                <w:color w:val="auto"/>
                <w:lang w:val="en-AU"/>
              </w:rPr>
            </w:pPr>
            <w:r w:rsidRPr="00276BCA">
              <w:rPr>
                <w:lang w:val="en-AU"/>
              </w:rPr>
              <w:t xml:space="preserve">Resulting AEMP of </w:t>
            </w:r>
            <w:proofErr w:type="spellStart"/>
            <w:r w:rsidRPr="00276BCA">
              <w:rPr>
                <w:lang w:val="en-AU"/>
              </w:rPr>
              <w:t>zolbetuximab</w:t>
            </w:r>
            <w:proofErr w:type="spellEnd"/>
            <w:r w:rsidRPr="00276BCA">
              <w:rPr>
                <w:lang w:val="en-AU"/>
              </w:rPr>
              <w:t xml:space="preserve"> if the cost difference is $0 based on </w:t>
            </w:r>
            <w:r w:rsidR="00D56C0E" w:rsidRPr="00276BCA">
              <w:rPr>
                <w:lang w:val="en-AU"/>
              </w:rPr>
              <w:t xml:space="preserve">AEMP </w:t>
            </w:r>
          </w:p>
        </w:tc>
      </w:tr>
      <w:tr w:rsidR="00F05A20" w:rsidRPr="00276BCA" w14:paraId="286455E1" w14:textId="77777777" w:rsidTr="00BF1257">
        <w:trPr>
          <w:trHeight w:val="197"/>
        </w:trPr>
        <w:tc>
          <w:tcPr>
            <w:cnfStyle w:val="001000000000" w:firstRow="0" w:lastRow="0" w:firstColumn="1" w:lastColumn="0" w:oddVBand="0" w:evenVBand="0" w:oddHBand="0" w:evenHBand="0" w:firstRowFirstColumn="0" w:firstRowLastColumn="0" w:lastRowFirstColumn="0" w:lastRowLastColumn="0"/>
            <w:tcW w:w="0" w:type="auto"/>
            <w:noWrap/>
            <w:hideMark/>
          </w:tcPr>
          <w:p w14:paraId="52B63A17" w14:textId="77777777" w:rsidR="006E388E" w:rsidRPr="00276BCA" w:rsidRDefault="006E388E" w:rsidP="00155851">
            <w:pPr>
              <w:pStyle w:val="TableText"/>
              <w:keepNext/>
              <w:keepLines/>
              <w:rPr>
                <w:color w:val="auto"/>
                <w:lang w:val="en-AU"/>
              </w:rPr>
            </w:pPr>
            <w:proofErr w:type="spellStart"/>
            <w:r w:rsidRPr="00276BCA">
              <w:rPr>
                <w:lang w:val="en-AU"/>
              </w:rPr>
              <w:t>Zolbetuximab</w:t>
            </w:r>
            <w:proofErr w:type="spellEnd"/>
            <w:r w:rsidRPr="00276BCA">
              <w:rPr>
                <w:lang w:val="en-AU"/>
              </w:rPr>
              <w:t xml:space="preserve"> + CAPOX</w:t>
            </w:r>
          </w:p>
        </w:tc>
        <w:tc>
          <w:tcPr>
            <w:tcW w:w="1254" w:type="dxa"/>
            <w:noWrap/>
            <w:hideMark/>
          </w:tcPr>
          <w:p w14:paraId="33DF5BA6" w14:textId="77777777" w:rsidR="006E388E" w:rsidRPr="00276BCA" w:rsidRDefault="006E388E" w:rsidP="00155851">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50%</w:t>
            </w:r>
          </w:p>
        </w:tc>
        <w:tc>
          <w:tcPr>
            <w:tcW w:w="755" w:type="dxa"/>
            <w:vMerge w:val="restart"/>
            <w:noWrap/>
            <w:hideMark/>
          </w:tcPr>
          <w:p w14:paraId="1ACBBA3C" w14:textId="77777777" w:rsidR="006E388E" w:rsidRPr="00276BCA" w:rsidRDefault="006E388E" w:rsidP="00155851">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$292</w:t>
            </w:r>
          </w:p>
        </w:tc>
        <w:tc>
          <w:tcPr>
            <w:tcW w:w="1484" w:type="dxa"/>
            <w:vMerge w:val="restart"/>
            <w:noWrap/>
            <w:hideMark/>
          </w:tcPr>
          <w:p w14:paraId="66347BAE" w14:textId="17B518BD" w:rsidR="006E388E" w:rsidRPr="00276BCA" w:rsidRDefault="006E388E" w:rsidP="00C6542E">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$108,369</w:t>
            </w:r>
          </w:p>
        </w:tc>
        <w:tc>
          <w:tcPr>
            <w:tcW w:w="1710" w:type="dxa"/>
            <w:vMerge w:val="restart"/>
            <w:noWrap/>
          </w:tcPr>
          <w:p w14:paraId="0679B8FA" w14:textId="7BA97765" w:rsidR="006E388E" w:rsidRPr="00276BCA" w:rsidRDefault="006E388E" w:rsidP="00155851">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$773.</w:t>
            </w:r>
            <w:r w:rsidR="00D56C0E" w:rsidRPr="00276BCA">
              <w:rPr>
                <w:lang w:val="en-AU"/>
              </w:rPr>
              <w:t>27</w:t>
            </w:r>
          </w:p>
        </w:tc>
        <w:tc>
          <w:tcPr>
            <w:tcW w:w="0" w:type="auto"/>
            <w:vMerge w:val="restart"/>
          </w:tcPr>
          <w:p w14:paraId="06B9FE7B" w14:textId="4AF8B514" w:rsidR="006E388E" w:rsidRPr="00276BCA" w:rsidRDefault="006E388E" w:rsidP="00155851">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$773.</w:t>
            </w:r>
            <w:r w:rsidR="00D56C0E" w:rsidRPr="00276BCA">
              <w:rPr>
                <w:lang w:val="en-AU"/>
              </w:rPr>
              <w:t>93</w:t>
            </w:r>
          </w:p>
        </w:tc>
      </w:tr>
      <w:bookmarkEnd w:id="68"/>
      <w:tr w:rsidR="00F05A20" w:rsidRPr="00276BCA" w14:paraId="40E08E88" w14:textId="77777777" w:rsidTr="00BF1257">
        <w:trPr>
          <w:trHeight w:val="197"/>
        </w:trPr>
        <w:tc>
          <w:tcPr>
            <w:cnfStyle w:val="001000000000" w:firstRow="0" w:lastRow="0" w:firstColumn="1" w:lastColumn="0" w:oddVBand="0" w:evenVBand="0" w:oddHBand="0" w:evenHBand="0" w:firstRowFirstColumn="0" w:firstRowLastColumn="0" w:lastRowFirstColumn="0" w:lastRowLastColumn="0"/>
            <w:tcW w:w="0" w:type="auto"/>
            <w:noWrap/>
            <w:hideMark/>
          </w:tcPr>
          <w:p w14:paraId="2C3F5E20" w14:textId="77777777" w:rsidR="006E388E" w:rsidRPr="00276BCA" w:rsidRDefault="006E388E" w:rsidP="00155851">
            <w:pPr>
              <w:pStyle w:val="TableText"/>
              <w:keepNext/>
              <w:keepLines/>
              <w:rPr>
                <w:color w:val="auto"/>
                <w:lang w:val="en-AU"/>
              </w:rPr>
            </w:pPr>
            <w:proofErr w:type="spellStart"/>
            <w:r w:rsidRPr="00276BCA">
              <w:rPr>
                <w:lang w:val="en-AU"/>
              </w:rPr>
              <w:t>Zolbetuximab</w:t>
            </w:r>
            <w:proofErr w:type="spellEnd"/>
            <w:r w:rsidRPr="00276BCA">
              <w:rPr>
                <w:lang w:val="en-AU"/>
              </w:rPr>
              <w:t xml:space="preserve"> + mFOLFOX6</w:t>
            </w:r>
          </w:p>
        </w:tc>
        <w:tc>
          <w:tcPr>
            <w:tcW w:w="1254" w:type="dxa"/>
            <w:noWrap/>
            <w:hideMark/>
          </w:tcPr>
          <w:p w14:paraId="160AACBF" w14:textId="77777777" w:rsidR="006E388E" w:rsidRPr="00276BCA" w:rsidRDefault="006E388E" w:rsidP="00155851">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50%</w:t>
            </w:r>
          </w:p>
        </w:tc>
        <w:tc>
          <w:tcPr>
            <w:tcW w:w="755" w:type="dxa"/>
            <w:vMerge/>
            <w:hideMark/>
          </w:tcPr>
          <w:p w14:paraId="3291DAED" w14:textId="77777777" w:rsidR="006E388E" w:rsidRPr="00276BCA" w:rsidRDefault="006E388E" w:rsidP="0015585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p>
        </w:tc>
        <w:tc>
          <w:tcPr>
            <w:tcW w:w="1484" w:type="dxa"/>
            <w:vMerge/>
            <w:hideMark/>
          </w:tcPr>
          <w:p w14:paraId="20889123" w14:textId="77777777" w:rsidR="006E388E" w:rsidRPr="00276BCA" w:rsidRDefault="006E388E" w:rsidP="00C6542E">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p>
        </w:tc>
        <w:tc>
          <w:tcPr>
            <w:tcW w:w="1710" w:type="dxa"/>
            <w:vMerge/>
          </w:tcPr>
          <w:p w14:paraId="3234B9CB" w14:textId="77777777" w:rsidR="006E388E" w:rsidRPr="00276BCA" w:rsidRDefault="006E388E" w:rsidP="0015585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p>
        </w:tc>
        <w:tc>
          <w:tcPr>
            <w:tcW w:w="0" w:type="auto"/>
            <w:vMerge/>
          </w:tcPr>
          <w:p w14:paraId="2BC85E90" w14:textId="77777777" w:rsidR="006E388E" w:rsidRPr="00276BCA" w:rsidRDefault="006E388E" w:rsidP="0015585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p>
        </w:tc>
      </w:tr>
      <w:tr w:rsidR="00F05A20" w:rsidRPr="00276BCA" w14:paraId="4282CC65" w14:textId="77777777" w:rsidTr="00BF1257">
        <w:trPr>
          <w:trHeight w:val="197"/>
        </w:trPr>
        <w:tc>
          <w:tcPr>
            <w:cnfStyle w:val="001000000000" w:firstRow="0" w:lastRow="0" w:firstColumn="1" w:lastColumn="0" w:oddVBand="0" w:evenVBand="0" w:oddHBand="0" w:evenHBand="0" w:firstRowFirstColumn="0" w:firstRowLastColumn="0" w:lastRowFirstColumn="0" w:lastRowLastColumn="0"/>
            <w:tcW w:w="0" w:type="auto"/>
            <w:noWrap/>
            <w:hideMark/>
          </w:tcPr>
          <w:p w14:paraId="01C8D78B" w14:textId="77777777" w:rsidR="006E388E" w:rsidRPr="00276BCA" w:rsidRDefault="006E388E" w:rsidP="00155851">
            <w:pPr>
              <w:pStyle w:val="TableText"/>
              <w:keepNext/>
              <w:keepLines/>
              <w:rPr>
                <w:color w:val="auto"/>
                <w:lang w:val="en-AU"/>
              </w:rPr>
            </w:pPr>
            <w:r w:rsidRPr="00276BCA">
              <w:rPr>
                <w:lang w:val="en-AU"/>
              </w:rPr>
              <w:t>Nivolumab + CAPOX</w:t>
            </w:r>
          </w:p>
        </w:tc>
        <w:tc>
          <w:tcPr>
            <w:tcW w:w="1254" w:type="dxa"/>
            <w:noWrap/>
            <w:hideMark/>
          </w:tcPr>
          <w:p w14:paraId="1101A4B3" w14:textId="77777777" w:rsidR="006E388E" w:rsidRPr="00276BCA" w:rsidRDefault="006E388E" w:rsidP="00155851">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50%</w:t>
            </w:r>
          </w:p>
        </w:tc>
        <w:tc>
          <w:tcPr>
            <w:tcW w:w="755" w:type="dxa"/>
            <w:vMerge w:val="restart"/>
            <w:noWrap/>
            <w:hideMark/>
          </w:tcPr>
          <w:p w14:paraId="07181929" w14:textId="77777777" w:rsidR="006E388E" w:rsidRPr="00276BCA" w:rsidRDefault="006E388E" w:rsidP="00155851">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$0</w:t>
            </w:r>
          </w:p>
        </w:tc>
        <w:tc>
          <w:tcPr>
            <w:tcW w:w="1484" w:type="dxa"/>
            <w:vMerge w:val="restart"/>
            <w:noWrap/>
            <w:hideMark/>
          </w:tcPr>
          <w:p w14:paraId="41109F6D" w14:textId="337BAD4D" w:rsidR="006E388E" w:rsidRPr="00276BCA" w:rsidRDefault="006E388E" w:rsidP="00C6542E">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$108,661</w:t>
            </w:r>
          </w:p>
        </w:tc>
        <w:tc>
          <w:tcPr>
            <w:tcW w:w="1710" w:type="dxa"/>
            <w:vMerge/>
          </w:tcPr>
          <w:p w14:paraId="35C0E0E8" w14:textId="77777777" w:rsidR="006E388E" w:rsidRPr="00276BCA" w:rsidRDefault="006E388E" w:rsidP="0015585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p>
        </w:tc>
        <w:tc>
          <w:tcPr>
            <w:tcW w:w="0" w:type="auto"/>
            <w:vMerge/>
          </w:tcPr>
          <w:p w14:paraId="4380E29F" w14:textId="77777777" w:rsidR="006E388E" w:rsidRPr="00276BCA" w:rsidRDefault="006E388E" w:rsidP="0015585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p>
        </w:tc>
      </w:tr>
      <w:tr w:rsidR="00F05A20" w:rsidRPr="00276BCA" w14:paraId="652E4E1E" w14:textId="77777777" w:rsidTr="00BF1257">
        <w:trPr>
          <w:trHeight w:val="197"/>
        </w:trPr>
        <w:tc>
          <w:tcPr>
            <w:cnfStyle w:val="001000000000" w:firstRow="0" w:lastRow="0" w:firstColumn="1" w:lastColumn="0" w:oddVBand="0" w:evenVBand="0" w:oddHBand="0" w:evenHBand="0" w:firstRowFirstColumn="0" w:firstRowLastColumn="0" w:lastRowFirstColumn="0" w:lastRowLastColumn="0"/>
            <w:tcW w:w="0" w:type="auto"/>
            <w:noWrap/>
            <w:hideMark/>
          </w:tcPr>
          <w:p w14:paraId="2EE82857" w14:textId="77777777" w:rsidR="006E388E" w:rsidRPr="00276BCA" w:rsidRDefault="006E388E" w:rsidP="00155851">
            <w:pPr>
              <w:pStyle w:val="TableText"/>
              <w:keepNext/>
              <w:keepLines/>
              <w:rPr>
                <w:color w:val="auto"/>
                <w:lang w:val="en-AU"/>
              </w:rPr>
            </w:pPr>
            <w:r w:rsidRPr="00276BCA">
              <w:rPr>
                <w:lang w:val="en-AU"/>
              </w:rPr>
              <w:t>Nivolumab + mFOLFOX6</w:t>
            </w:r>
          </w:p>
        </w:tc>
        <w:tc>
          <w:tcPr>
            <w:tcW w:w="1254" w:type="dxa"/>
            <w:noWrap/>
            <w:hideMark/>
          </w:tcPr>
          <w:p w14:paraId="1B606FCB" w14:textId="77777777" w:rsidR="006E388E" w:rsidRPr="00276BCA" w:rsidRDefault="006E388E" w:rsidP="00155851">
            <w:pPr>
              <w:pStyle w:val="TableText"/>
              <w:keepNext/>
              <w:keepLines/>
              <w:jc w:val="center"/>
              <w:cnfStyle w:val="000000000000" w:firstRow="0" w:lastRow="0" w:firstColumn="0" w:lastColumn="0" w:oddVBand="0" w:evenVBand="0" w:oddHBand="0" w:evenHBand="0" w:firstRowFirstColumn="0" w:firstRowLastColumn="0" w:lastRowFirstColumn="0" w:lastRowLastColumn="0"/>
              <w:rPr>
                <w:color w:val="auto"/>
                <w:lang w:val="en-AU"/>
              </w:rPr>
            </w:pPr>
            <w:r w:rsidRPr="00276BCA">
              <w:rPr>
                <w:lang w:val="en-AU"/>
              </w:rPr>
              <w:t>50%</w:t>
            </w:r>
          </w:p>
        </w:tc>
        <w:tc>
          <w:tcPr>
            <w:tcW w:w="755" w:type="dxa"/>
            <w:vMerge/>
            <w:hideMark/>
          </w:tcPr>
          <w:p w14:paraId="5DAD7E95" w14:textId="77777777" w:rsidR="006E388E" w:rsidRPr="00276BCA" w:rsidRDefault="006E388E" w:rsidP="0015585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p>
        </w:tc>
        <w:tc>
          <w:tcPr>
            <w:tcW w:w="1484" w:type="dxa"/>
            <w:vMerge/>
            <w:hideMark/>
          </w:tcPr>
          <w:p w14:paraId="63DE110A" w14:textId="77777777" w:rsidR="006E388E" w:rsidRPr="00276BCA" w:rsidRDefault="006E388E" w:rsidP="0015585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p>
        </w:tc>
        <w:tc>
          <w:tcPr>
            <w:tcW w:w="1710" w:type="dxa"/>
            <w:vMerge/>
          </w:tcPr>
          <w:p w14:paraId="59409096" w14:textId="77777777" w:rsidR="006E388E" w:rsidRPr="00276BCA" w:rsidRDefault="006E388E" w:rsidP="0015585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p>
        </w:tc>
        <w:tc>
          <w:tcPr>
            <w:tcW w:w="0" w:type="auto"/>
            <w:vMerge/>
          </w:tcPr>
          <w:p w14:paraId="1CF7B02C" w14:textId="77777777" w:rsidR="006E388E" w:rsidRPr="00276BCA" w:rsidRDefault="006E388E" w:rsidP="00155851">
            <w:pPr>
              <w:pStyle w:val="TableText"/>
              <w:keepNext/>
              <w:keepLines/>
              <w:cnfStyle w:val="000000000000" w:firstRow="0" w:lastRow="0" w:firstColumn="0" w:lastColumn="0" w:oddVBand="0" w:evenVBand="0" w:oddHBand="0" w:evenHBand="0" w:firstRowFirstColumn="0" w:firstRowLastColumn="0" w:lastRowFirstColumn="0" w:lastRowLastColumn="0"/>
              <w:rPr>
                <w:color w:val="auto"/>
                <w:lang w:val="en-AU"/>
              </w:rPr>
            </w:pPr>
          </w:p>
        </w:tc>
      </w:tr>
    </w:tbl>
    <w:p w14:paraId="3C77AF56" w14:textId="77777777" w:rsidR="006E388E" w:rsidRPr="00276BCA" w:rsidRDefault="006E388E" w:rsidP="00155851">
      <w:pPr>
        <w:pStyle w:val="FooterTableFigure"/>
        <w:keepNext/>
        <w:keepLines/>
        <w:widowControl w:val="0"/>
      </w:pPr>
      <w:r w:rsidRPr="00276BCA">
        <w:t>Source: Table 3-11, p155 of the submission.</w:t>
      </w:r>
    </w:p>
    <w:p w14:paraId="568E594C" w14:textId="77777777" w:rsidR="006E388E" w:rsidRPr="00276BCA" w:rsidRDefault="69178141" w:rsidP="77D89277">
      <w:pPr>
        <w:pStyle w:val="FooterTableFigure"/>
        <w:keepNext/>
        <w:keepLines/>
        <w:widowControl w:val="0"/>
      </w:pPr>
      <w:r w:rsidRPr="00276BCA">
        <w:t>AEMP = approved ex-manufacturer price; CAPOX = capecitabine and oxaliplatin; DPMA = dispensed price for maximum amount; mFOLFOX6 = fluorouracil, leucovorin, and oxaliplatin.</w:t>
      </w:r>
    </w:p>
    <w:p w14:paraId="3FB11FE3" w14:textId="5E08DA81" w:rsidR="00B420A9" w:rsidRPr="00276BCA" w:rsidRDefault="00E267B6" w:rsidP="77D89277">
      <w:pPr>
        <w:pStyle w:val="FooterTableFigure"/>
        <w:widowControl w:val="0"/>
      </w:pPr>
      <w:r w:rsidRPr="00276BCA">
        <w:t>C</w:t>
      </w:r>
      <w:r w:rsidR="69178141" w:rsidRPr="00276BCA">
        <w:t xml:space="preserve">alculated during evaluation using the ‘Attachment 10- VYLOY-CLDN </w:t>
      </w:r>
      <w:proofErr w:type="spellStart"/>
      <w:r w:rsidR="69178141" w:rsidRPr="00276BCA">
        <w:t>Australia_Cost-min_Section</w:t>
      </w:r>
      <w:proofErr w:type="spellEnd"/>
      <w:r w:rsidR="69178141" w:rsidRPr="00276BCA">
        <w:t xml:space="preserve"> 3-Final.xslx’ to the submission.</w:t>
      </w:r>
    </w:p>
    <w:p w14:paraId="2716F48E" w14:textId="7AFDFB56" w:rsidR="00D56C0E" w:rsidRPr="00276BCA" w:rsidRDefault="00D56C0E" w:rsidP="77D89277">
      <w:pPr>
        <w:pStyle w:val="ListParagraph"/>
        <w:numPr>
          <w:ilvl w:val="4"/>
          <w:numId w:val="8"/>
        </w:numPr>
        <w:rPr>
          <w:color w:val="auto"/>
        </w:rPr>
      </w:pPr>
      <w:r w:rsidRPr="00276BCA">
        <w:rPr>
          <w:color w:val="auto"/>
        </w:rPr>
        <w:fldChar w:fldCharType="begin"/>
      </w:r>
      <w:r w:rsidRPr="00276BCA">
        <w:rPr>
          <w:color w:val="auto"/>
        </w:rPr>
        <w:instrText xml:space="preserve"> REF _Ref183798923 \h </w:instrText>
      </w:r>
      <w:r w:rsidR="00D06EAF" w:rsidRPr="00276BCA">
        <w:rPr>
          <w:color w:val="auto"/>
        </w:rPr>
        <w:instrText xml:space="preserve"> \* MERGEFORMAT </w:instrText>
      </w:r>
      <w:r w:rsidRPr="00276BCA">
        <w:rPr>
          <w:color w:val="auto"/>
        </w:rPr>
      </w:r>
      <w:r w:rsidRPr="00276BCA">
        <w:rPr>
          <w:color w:val="auto"/>
        </w:rPr>
        <w:fldChar w:fldCharType="separate"/>
      </w:r>
      <w:r w:rsidR="0011458F" w:rsidRPr="00276BCA">
        <w:t xml:space="preserve">Table </w:t>
      </w:r>
      <w:r w:rsidR="0011458F">
        <w:t>13</w:t>
      </w:r>
      <w:r w:rsidRPr="00276BCA">
        <w:rPr>
          <w:color w:val="auto"/>
        </w:rPr>
        <w:fldChar w:fldCharType="end"/>
      </w:r>
      <w:r w:rsidR="38673064" w:rsidRPr="00276BCA">
        <w:rPr>
          <w:color w:val="auto"/>
        </w:rPr>
        <w:t xml:space="preserve"> summarises the results of sensitivity analyses for the CMA conducted by the submission and during the evaluation.</w:t>
      </w:r>
      <w:r w:rsidR="026F5F50" w:rsidRPr="00276BCA">
        <w:rPr>
          <w:color w:val="auto"/>
        </w:rPr>
        <w:t xml:space="preserve"> </w:t>
      </w:r>
    </w:p>
    <w:p w14:paraId="5A111323" w14:textId="506C1A27" w:rsidR="00D56C0E" w:rsidRPr="00276BCA" w:rsidRDefault="00D56C0E" w:rsidP="00204461">
      <w:pPr>
        <w:pStyle w:val="Caption"/>
      </w:pPr>
      <w:bookmarkStart w:id="69" w:name="_Ref183798923"/>
      <w:r w:rsidRPr="00276BCA">
        <w:lastRenderedPageBreak/>
        <w:t xml:space="preserve">Table </w:t>
      </w:r>
      <w:r w:rsidR="005E7C50">
        <w:fldChar w:fldCharType="begin"/>
      </w:r>
      <w:r w:rsidR="005E7C50">
        <w:instrText xml:space="preserve"> SEQ Table_PBAC. \* ARABIC </w:instrText>
      </w:r>
      <w:r w:rsidR="005E7C50">
        <w:fldChar w:fldCharType="separate"/>
      </w:r>
      <w:r w:rsidR="0011458F">
        <w:rPr>
          <w:noProof/>
        </w:rPr>
        <w:t>13</w:t>
      </w:r>
      <w:r w:rsidR="005E7C50">
        <w:rPr>
          <w:noProof/>
        </w:rPr>
        <w:fldChar w:fldCharType="end"/>
      </w:r>
      <w:bookmarkEnd w:id="69"/>
      <w:r w:rsidR="00D331CD" w:rsidRPr="00276BCA">
        <w:t xml:space="preserve">: </w:t>
      </w:r>
      <w:r w:rsidRPr="00276BCA">
        <w:t xml:space="preserve">Results of </w:t>
      </w:r>
      <w:r w:rsidR="00E36DDD" w:rsidRPr="00276BCA">
        <w:t xml:space="preserve">univariate sensitivity analysis </w:t>
      </w:r>
      <w:r w:rsidRPr="00276BCA">
        <w:t xml:space="preserve">conducted by the submission and during the evaluation using published AEMP of nivolumab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Results of univariate sensitivity analysis conducted by the submission and during the evaluation using published AEMP of nivolumab "/>
      </w:tblPr>
      <w:tblGrid>
        <w:gridCol w:w="2094"/>
        <w:gridCol w:w="2094"/>
        <w:gridCol w:w="2753"/>
        <w:gridCol w:w="2075"/>
      </w:tblGrid>
      <w:tr w:rsidR="00E41328" w:rsidRPr="00276BCA" w14:paraId="78CA53CD" w14:textId="77777777" w:rsidTr="00895540">
        <w:trPr>
          <w:cnfStyle w:val="100000000000" w:firstRow="1" w:lastRow="0" w:firstColumn="0" w:lastColumn="0" w:oddVBand="0" w:evenVBand="0" w:oddHBand="0" w:evenHBand="0" w:firstRowFirstColumn="0" w:firstRowLastColumn="0" w:lastRowFirstColumn="0" w:lastRowLastColumn="0"/>
          <w:tblHeader/>
        </w:trPr>
        <w:tc>
          <w:tcPr>
            <w:tcW w:w="1161" w:type="pct"/>
            <w:shd w:val="clear" w:color="auto" w:fill="auto"/>
            <w:vAlign w:val="center"/>
          </w:tcPr>
          <w:p w14:paraId="1D9362A7" w14:textId="77777777" w:rsidR="00BA4D8C" w:rsidRPr="00276BCA" w:rsidRDefault="00EA4BCB" w:rsidP="00CB202B">
            <w:pPr>
              <w:pStyle w:val="TableText"/>
              <w:keepNext/>
              <w:keepLines/>
              <w:jc w:val="center"/>
              <w:rPr>
                <w:b w:val="0"/>
                <w:lang w:val="en-AU"/>
              </w:rPr>
            </w:pPr>
            <w:proofErr w:type="spellStart"/>
            <w:r w:rsidRPr="00276BCA">
              <w:rPr>
                <w:lang w:val="en-AU"/>
              </w:rPr>
              <w:t>Zolbetuximab</w:t>
            </w:r>
            <w:proofErr w:type="spellEnd"/>
            <w:r w:rsidRPr="00276BCA">
              <w:rPr>
                <w:lang w:val="en-AU"/>
              </w:rPr>
              <w:t xml:space="preserve"> + </w:t>
            </w:r>
          </w:p>
          <w:p w14:paraId="0353E85E" w14:textId="73479E5E" w:rsidR="00EA4BCB" w:rsidRPr="00276BCA" w:rsidRDefault="00EA4BCB" w:rsidP="00CB202B">
            <w:pPr>
              <w:pStyle w:val="TableText"/>
              <w:keepNext/>
              <w:keepLines/>
              <w:jc w:val="center"/>
              <w:rPr>
                <w:lang w:val="en-AU"/>
              </w:rPr>
            </w:pPr>
            <w:r w:rsidRPr="00276BCA">
              <w:rPr>
                <w:lang w:val="en-AU"/>
              </w:rPr>
              <w:t>Testing cost</w:t>
            </w:r>
          </w:p>
        </w:tc>
        <w:tc>
          <w:tcPr>
            <w:tcW w:w="1161" w:type="pct"/>
            <w:shd w:val="clear" w:color="auto" w:fill="auto"/>
            <w:vAlign w:val="center"/>
          </w:tcPr>
          <w:p w14:paraId="45061106" w14:textId="77777777" w:rsidR="00EA4BCB" w:rsidRPr="00276BCA" w:rsidRDefault="00EA4BCB" w:rsidP="00CB202B">
            <w:pPr>
              <w:pStyle w:val="TableText"/>
              <w:keepNext/>
              <w:keepLines/>
              <w:jc w:val="center"/>
              <w:rPr>
                <w:lang w:val="en-AU"/>
              </w:rPr>
            </w:pPr>
            <w:r w:rsidRPr="00276BCA">
              <w:rPr>
                <w:lang w:val="en-AU"/>
              </w:rPr>
              <w:t>Nivolumab+</w:t>
            </w:r>
          </w:p>
          <w:p w14:paraId="14C7F9D6" w14:textId="77777777" w:rsidR="00EA4BCB" w:rsidRPr="00276BCA" w:rsidRDefault="00EA4BCB" w:rsidP="00CB202B">
            <w:pPr>
              <w:pStyle w:val="TableText"/>
              <w:keepNext/>
              <w:keepLines/>
              <w:jc w:val="center"/>
              <w:rPr>
                <w:lang w:val="en-AU"/>
              </w:rPr>
            </w:pPr>
            <w:proofErr w:type="spellStart"/>
            <w:r w:rsidRPr="00276BCA">
              <w:rPr>
                <w:lang w:val="en-AU"/>
              </w:rPr>
              <w:t>mFOLFOX</w:t>
            </w:r>
            <w:proofErr w:type="spellEnd"/>
            <w:r w:rsidRPr="00276BCA">
              <w:rPr>
                <w:lang w:val="en-AU"/>
              </w:rPr>
              <w:t>/CAPOX</w:t>
            </w:r>
          </w:p>
        </w:tc>
        <w:tc>
          <w:tcPr>
            <w:tcW w:w="1527" w:type="pct"/>
            <w:shd w:val="clear" w:color="auto" w:fill="auto"/>
            <w:vAlign w:val="center"/>
          </w:tcPr>
          <w:p w14:paraId="56C84B60" w14:textId="77777777" w:rsidR="00EA4BCB" w:rsidRPr="00276BCA" w:rsidRDefault="00EA4BCB" w:rsidP="00CB202B">
            <w:pPr>
              <w:pStyle w:val="TableText"/>
              <w:keepNext/>
              <w:keepLines/>
              <w:jc w:val="center"/>
              <w:rPr>
                <w:lang w:val="en-AU"/>
              </w:rPr>
            </w:pPr>
            <w:r w:rsidRPr="00276BCA">
              <w:rPr>
                <w:lang w:val="en-AU"/>
              </w:rPr>
              <w:t>Incremental cost</w:t>
            </w:r>
          </w:p>
        </w:tc>
        <w:tc>
          <w:tcPr>
            <w:tcW w:w="1151" w:type="pct"/>
            <w:shd w:val="clear" w:color="auto" w:fill="auto"/>
            <w:vAlign w:val="center"/>
          </w:tcPr>
          <w:p w14:paraId="3DDCCCF6" w14:textId="142938C3" w:rsidR="00BA4D8C" w:rsidRPr="00276BCA" w:rsidRDefault="00BA4D8C" w:rsidP="00CB202B">
            <w:pPr>
              <w:pStyle w:val="TableText"/>
              <w:keepNext/>
              <w:keepLines/>
              <w:jc w:val="center"/>
              <w:rPr>
                <w:lang w:val="en-AU"/>
              </w:rPr>
            </w:pPr>
            <w:r w:rsidRPr="00276BCA">
              <w:rPr>
                <w:lang w:val="en-AU"/>
              </w:rPr>
              <w:t xml:space="preserve">Cost-minimised </w:t>
            </w:r>
            <w:proofErr w:type="spellStart"/>
            <w:r w:rsidRPr="00276BCA">
              <w:rPr>
                <w:lang w:val="en-AU"/>
              </w:rPr>
              <w:t>zolbetuximab</w:t>
            </w:r>
            <w:proofErr w:type="spellEnd"/>
            <w:r w:rsidRPr="00276BCA">
              <w:rPr>
                <w:lang w:val="en-AU"/>
              </w:rPr>
              <w:t xml:space="preserve"> AEMP</w:t>
            </w:r>
          </w:p>
          <w:p w14:paraId="5D008A66" w14:textId="5AAFCD23" w:rsidR="00EA4BCB" w:rsidRPr="00276BCA" w:rsidRDefault="00BA4D8C" w:rsidP="00CB202B">
            <w:pPr>
              <w:pStyle w:val="TableText"/>
              <w:keepNext/>
              <w:keepLines/>
              <w:jc w:val="center"/>
              <w:rPr>
                <w:lang w:val="en-AU"/>
              </w:rPr>
            </w:pPr>
            <w:r w:rsidRPr="00276BCA">
              <w:rPr>
                <w:lang w:val="en-AU"/>
              </w:rPr>
              <w:t>(% change)</w:t>
            </w:r>
          </w:p>
        </w:tc>
      </w:tr>
      <w:tr w:rsidR="00E41328" w:rsidRPr="00276BCA" w14:paraId="1A1905FF" w14:textId="77777777" w:rsidTr="00842EE3">
        <w:tc>
          <w:tcPr>
            <w:tcW w:w="5000" w:type="pct"/>
            <w:gridSpan w:val="4"/>
            <w:vAlign w:val="center"/>
          </w:tcPr>
          <w:p w14:paraId="04FDDD22" w14:textId="737BA797" w:rsidR="00EA4BCB" w:rsidRPr="00276BCA" w:rsidRDefault="00EA4BCB" w:rsidP="00CB202B">
            <w:pPr>
              <w:pStyle w:val="TableText"/>
              <w:keepNext/>
              <w:keepLines/>
              <w:rPr>
                <w:b/>
                <w:lang w:val="en-AU"/>
              </w:rPr>
            </w:pPr>
            <w:r w:rsidRPr="00276BCA">
              <w:rPr>
                <w:b/>
                <w:lang w:val="en-AU"/>
              </w:rPr>
              <w:t xml:space="preserve">Base case based on </w:t>
            </w:r>
            <w:proofErr w:type="spellStart"/>
            <w:r w:rsidRPr="00276BCA">
              <w:rPr>
                <w:b/>
                <w:lang w:val="en-AU"/>
              </w:rPr>
              <w:t>AEMP</w:t>
            </w:r>
            <w:r w:rsidR="00E61304" w:rsidRPr="00276BCA">
              <w:rPr>
                <w:b/>
                <w:vertAlign w:val="superscript"/>
                <w:lang w:val="en-AU"/>
              </w:rPr>
              <w:t>a</w:t>
            </w:r>
            <w:proofErr w:type="spellEnd"/>
          </w:p>
        </w:tc>
      </w:tr>
      <w:tr w:rsidR="00E41328" w:rsidRPr="00276BCA" w14:paraId="6EE02DDE" w14:textId="77777777" w:rsidTr="00842EE3">
        <w:tc>
          <w:tcPr>
            <w:tcW w:w="1161" w:type="pct"/>
            <w:vAlign w:val="center"/>
          </w:tcPr>
          <w:p w14:paraId="4D07B44B" w14:textId="77777777" w:rsidR="00EA4BCB" w:rsidRPr="00276BCA" w:rsidRDefault="00EA4BCB" w:rsidP="00CB202B">
            <w:pPr>
              <w:pStyle w:val="TableText"/>
              <w:keepNext/>
              <w:keepLines/>
              <w:jc w:val="center"/>
              <w:rPr>
                <w:lang w:val="en-AU"/>
              </w:rPr>
            </w:pPr>
            <w:r w:rsidRPr="00276BCA">
              <w:rPr>
                <w:lang w:val="en-AU"/>
              </w:rPr>
              <w:t>$102,502</w:t>
            </w:r>
          </w:p>
        </w:tc>
        <w:tc>
          <w:tcPr>
            <w:tcW w:w="1161" w:type="pct"/>
            <w:vAlign w:val="center"/>
          </w:tcPr>
          <w:p w14:paraId="3B9C84FA" w14:textId="77777777" w:rsidR="00EA4BCB" w:rsidRPr="00276BCA" w:rsidRDefault="00EA4BCB" w:rsidP="00CB202B">
            <w:pPr>
              <w:pStyle w:val="TableText"/>
              <w:keepNext/>
              <w:keepLines/>
              <w:jc w:val="center"/>
              <w:rPr>
                <w:lang w:val="en-AU"/>
              </w:rPr>
            </w:pPr>
            <w:r w:rsidRPr="00276BCA">
              <w:rPr>
                <w:lang w:val="en-AU"/>
              </w:rPr>
              <w:t>$102,502</w:t>
            </w:r>
          </w:p>
        </w:tc>
        <w:tc>
          <w:tcPr>
            <w:tcW w:w="1527" w:type="pct"/>
            <w:vAlign w:val="center"/>
          </w:tcPr>
          <w:p w14:paraId="7EA63B97" w14:textId="77777777" w:rsidR="00EA4BCB" w:rsidRPr="00276BCA" w:rsidRDefault="00EA4BCB" w:rsidP="00CB202B">
            <w:pPr>
              <w:pStyle w:val="TableText"/>
              <w:keepNext/>
              <w:keepLines/>
              <w:jc w:val="center"/>
              <w:rPr>
                <w:lang w:val="en-AU"/>
              </w:rPr>
            </w:pPr>
            <w:r w:rsidRPr="00276BCA">
              <w:rPr>
                <w:lang w:val="en-AU"/>
              </w:rPr>
              <w:t>$0</w:t>
            </w:r>
          </w:p>
        </w:tc>
        <w:tc>
          <w:tcPr>
            <w:tcW w:w="1151" w:type="pct"/>
            <w:vAlign w:val="center"/>
          </w:tcPr>
          <w:p w14:paraId="4A4908B7" w14:textId="77777777" w:rsidR="00EA4BCB" w:rsidRPr="00276BCA" w:rsidRDefault="00EA4BCB" w:rsidP="00CB202B">
            <w:pPr>
              <w:pStyle w:val="TableText"/>
              <w:keepNext/>
              <w:keepLines/>
              <w:jc w:val="center"/>
              <w:rPr>
                <w:lang w:val="en-AU"/>
              </w:rPr>
            </w:pPr>
            <w:r w:rsidRPr="00276BCA">
              <w:rPr>
                <w:lang w:val="en-AU"/>
              </w:rPr>
              <w:t>-</w:t>
            </w:r>
          </w:p>
        </w:tc>
      </w:tr>
      <w:tr w:rsidR="00E41328" w:rsidRPr="00276BCA" w14:paraId="7992F9E9" w14:textId="77777777" w:rsidTr="005574CB">
        <w:tc>
          <w:tcPr>
            <w:tcW w:w="5000" w:type="pct"/>
            <w:gridSpan w:val="4"/>
            <w:vAlign w:val="center"/>
          </w:tcPr>
          <w:p w14:paraId="294C923D" w14:textId="77777777" w:rsidR="00EA4BCB" w:rsidRPr="00276BCA" w:rsidRDefault="00EA4BCB" w:rsidP="00CB202B">
            <w:pPr>
              <w:pStyle w:val="TableText"/>
              <w:keepNext/>
              <w:keepLines/>
              <w:rPr>
                <w:b/>
                <w:lang w:val="en-AU"/>
              </w:rPr>
            </w:pPr>
            <w:r w:rsidRPr="00276BCA">
              <w:rPr>
                <w:b/>
                <w:lang w:val="en-AU"/>
              </w:rPr>
              <w:t>Univariate analyses conducted by the submission</w:t>
            </w:r>
          </w:p>
        </w:tc>
      </w:tr>
      <w:tr w:rsidR="00E41328" w:rsidRPr="00276BCA" w14:paraId="53781194" w14:textId="77777777" w:rsidTr="00842EE3">
        <w:tc>
          <w:tcPr>
            <w:tcW w:w="5000" w:type="pct"/>
            <w:gridSpan w:val="4"/>
            <w:vAlign w:val="center"/>
          </w:tcPr>
          <w:p w14:paraId="168A51FD" w14:textId="77777777" w:rsidR="00EA4BCB" w:rsidRPr="00276BCA" w:rsidRDefault="00EA4BCB" w:rsidP="00CB202B">
            <w:pPr>
              <w:pStyle w:val="TableText"/>
              <w:keepNext/>
              <w:keepLines/>
              <w:rPr>
                <w:lang w:val="en-AU"/>
              </w:rPr>
            </w:pPr>
            <w:r w:rsidRPr="00276BCA">
              <w:rPr>
                <w:lang w:val="en-AU"/>
              </w:rPr>
              <w:t xml:space="preserve">Assuming </w:t>
            </w:r>
            <w:r w:rsidRPr="00276BCA">
              <w:rPr>
                <w:b/>
                <w:lang w:val="en-AU"/>
              </w:rPr>
              <w:t>CAPOX /mFOLFOX6 split of 80%/20%</w:t>
            </w:r>
            <w:r w:rsidRPr="00276BCA">
              <w:rPr>
                <w:lang w:val="en-AU"/>
              </w:rPr>
              <w:t xml:space="preserve"> (base case: 50%/50%)</w:t>
            </w:r>
          </w:p>
        </w:tc>
      </w:tr>
      <w:tr w:rsidR="00E41328" w:rsidRPr="00276BCA" w14:paraId="23C15DAD" w14:textId="77777777" w:rsidTr="00842EE3">
        <w:tc>
          <w:tcPr>
            <w:tcW w:w="1161" w:type="pct"/>
          </w:tcPr>
          <w:p w14:paraId="40473D39" w14:textId="77777777" w:rsidR="00EA4BCB" w:rsidRPr="00276BCA" w:rsidRDefault="00EA4BCB" w:rsidP="00CB202B">
            <w:pPr>
              <w:pStyle w:val="TableText"/>
              <w:keepNext/>
              <w:keepLines/>
              <w:jc w:val="center"/>
              <w:rPr>
                <w:lang w:val="en-AU"/>
              </w:rPr>
            </w:pPr>
            <w:r w:rsidRPr="00276BCA">
              <w:rPr>
                <w:lang w:val="en-AU"/>
              </w:rPr>
              <w:t>$93,891</w:t>
            </w:r>
          </w:p>
        </w:tc>
        <w:tc>
          <w:tcPr>
            <w:tcW w:w="1161" w:type="pct"/>
          </w:tcPr>
          <w:p w14:paraId="0804811D" w14:textId="77777777" w:rsidR="00EA4BCB" w:rsidRPr="00276BCA" w:rsidRDefault="00EA4BCB" w:rsidP="00CB202B">
            <w:pPr>
              <w:pStyle w:val="TableText"/>
              <w:keepNext/>
              <w:keepLines/>
              <w:jc w:val="center"/>
              <w:rPr>
                <w:lang w:val="en-AU"/>
              </w:rPr>
            </w:pPr>
            <w:r w:rsidRPr="00276BCA">
              <w:rPr>
                <w:lang w:val="en-AU"/>
              </w:rPr>
              <w:t>$103,822</w:t>
            </w:r>
          </w:p>
        </w:tc>
        <w:tc>
          <w:tcPr>
            <w:tcW w:w="1527" w:type="pct"/>
            <w:vAlign w:val="center"/>
          </w:tcPr>
          <w:p w14:paraId="2FD9DB00" w14:textId="77777777" w:rsidR="00EA4BCB" w:rsidRPr="00276BCA" w:rsidRDefault="00EA4BCB" w:rsidP="00CB202B">
            <w:pPr>
              <w:pStyle w:val="TableText"/>
              <w:keepNext/>
              <w:keepLines/>
              <w:jc w:val="center"/>
              <w:rPr>
                <w:lang w:val="en-AU"/>
              </w:rPr>
            </w:pPr>
            <w:r w:rsidRPr="00276BCA">
              <w:rPr>
                <w:lang w:val="en-AU"/>
              </w:rPr>
              <w:t>-$9,931</w:t>
            </w:r>
          </w:p>
        </w:tc>
        <w:tc>
          <w:tcPr>
            <w:tcW w:w="1151" w:type="pct"/>
            <w:vAlign w:val="center"/>
          </w:tcPr>
          <w:p w14:paraId="53B361F2" w14:textId="77777777" w:rsidR="00EA4BCB" w:rsidRPr="00276BCA" w:rsidRDefault="00EA4BCB" w:rsidP="00CB202B">
            <w:pPr>
              <w:pStyle w:val="TableText"/>
              <w:keepNext/>
              <w:keepLines/>
              <w:jc w:val="center"/>
              <w:rPr>
                <w:lang w:val="en-AU"/>
              </w:rPr>
            </w:pPr>
            <w:r w:rsidRPr="00276BCA">
              <w:rPr>
                <w:lang w:val="en-AU"/>
              </w:rPr>
              <w:t>11%</w:t>
            </w:r>
          </w:p>
        </w:tc>
      </w:tr>
      <w:tr w:rsidR="00E41328" w:rsidRPr="00276BCA" w14:paraId="705E6D24" w14:textId="77777777" w:rsidTr="00842EE3">
        <w:tc>
          <w:tcPr>
            <w:tcW w:w="5000" w:type="pct"/>
            <w:gridSpan w:val="4"/>
            <w:vAlign w:val="center"/>
          </w:tcPr>
          <w:p w14:paraId="4C338ABE" w14:textId="77777777" w:rsidR="00EA4BCB" w:rsidRPr="00276BCA" w:rsidRDefault="00EA4BCB" w:rsidP="00CB202B">
            <w:pPr>
              <w:pStyle w:val="TableText"/>
              <w:keepNext/>
              <w:keepLines/>
              <w:rPr>
                <w:lang w:val="en-AU"/>
              </w:rPr>
            </w:pPr>
            <w:r w:rsidRPr="00276BCA">
              <w:rPr>
                <w:lang w:val="en-AU"/>
              </w:rPr>
              <w:t xml:space="preserve">Assuming </w:t>
            </w:r>
            <w:r w:rsidRPr="00276BCA">
              <w:rPr>
                <w:b/>
                <w:lang w:val="en-AU"/>
              </w:rPr>
              <w:t>CAPOX /mFOLFOX6 split of 20%/80%</w:t>
            </w:r>
            <w:r w:rsidRPr="00276BCA">
              <w:rPr>
                <w:lang w:val="en-AU"/>
              </w:rPr>
              <w:t xml:space="preserve"> (base case: 50%/50%)</w:t>
            </w:r>
          </w:p>
        </w:tc>
      </w:tr>
      <w:tr w:rsidR="00E41328" w:rsidRPr="00276BCA" w14:paraId="1E472035" w14:textId="77777777" w:rsidTr="00842EE3">
        <w:tc>
          <w:tcPr>
            <w:tcW w:w="1161" w:type="pct"/>
          </w:tcPr>
          <w:p w14:paraId="718E0146" w14:textId="77777777" w:rsidR="00EA4BCB" w:rsidRPr="00276BCA" w:rsidRDefault="00EA4BCB" w:rsidP="00CB202B">
            <w:pPr>
              <w:pStyle w:val="TableText"/>
              <w:keepNext/>
              <w:keepLines/>
              <w:jc w:val="center"/>
              <w:rPr>
                <w:lang w:val="en-AU"/>
              </w:rPr>
            </w:pPr>
            <w:r w:rsidRPr="00276BCA">
              <w:rPr>
                <w:lang w:val="en-AU"/>
              </w:rPr>
              <w:t>$111,114</w:t>
            </w:r>
          </w:p>
        </w:tc>
        <w:tc>
          <w:tcPr>
            <w:tcW w:w="1161" w:type="pct"/>
          </w:tcPr>
          <w:p w14:paraId="6FD3DCBA" w14:textId="77777777" w:rsidR="00EA4BCB" w:rsidRPr="00276BCA" w:rsidRDefault="00EA4BCB" w:rsidP="00CB202B">
            <w:pPr>
              <w:pStyle w:val="TableText"/>
              <w:keepNext/>
              <w:keepLines/>
              <w:jc w:val="center"/>
              <w:rPr>
                <w:lang w:val="en-AU"/>
              </w:rPr>
            </w:pPr>
            <w:r w:rsidRPr="00276BCA">
              <w:rPr>
                <w:lang w:val="en-AU"/>
              </w:rPr>
              <w:t>$101,183</w:t>
            </w:r>
          </w:p>
        </w:tc>
        <w:tc>
          <w:tcPr>
            <w:tcW w:w="1527" w:type="pct"/>
          </w:tcPr>
          <w:p w14:paraId="2DC7C6FB" w14:textId="77777777" w:rsidR="00EA4BCB" w:rsidRPr="00276BCA" w:rsidRDefault="00EA4BCB" w:rsidP="00CB202B">
            <w:pPr>
              <w:pStyle w:val="TableText"/>
              <w:keepNext/>
              <w:keepLines/>
              <w:jc w:val="center"/>
              <w:rPr>
                <w:lang w:val="en-AU"/>
              </w:rPr>
            </w:pPr>
            <w:r w:rsidRPr="00276BCA">
              <w:rPr>
                <w:lang w:val="en-AU"/>
              </w:rPr>
              <w:t>$9,931</w:t>
            </w:r>
          </w:p>
        </w:tc>
        <w:tc>
          <w:tcPr>
            <w:tcW w:w="1151" w:type="pct"/>
            <w:vAlign w:val="center"/>
          </w:tcPr>
          <w:p w14:paraId="642944F4" w14:textId="77777777" w:rsidR="00EA4BCB" w:rsidRPr="00276BCA" w:rsidRDefault="00EA4BCB" w:rsidP="00CB202B">
            <w:pPr>
              <w:pStyle w:val="TableText"/>
              <w:keepNext/>
              <w:keepLines/>
              <w:jc w:val="center"/>
              <w:rPr>
                <w:lang w:val="en-AU"/>
              </w:rPr>
            </w:pPr>
            <w:r w:rsidRPr="00276BCA">
              <w:rPr>
                <w:lang w:val="en-AU"/>
              </w:rPr>
              <w:t>-9%</w:t>
            </w:r>
          </w:p>
        </w:tc>
      </w:tr>
      <w:tr w:rsidR="00E41328" w:rsidRPr="00276BCA" w14:paraId="2A44CDEF" w14:textId="77777777" w:rsidTr="005574CB">
        <w:tc>
          <w:tcPr>
            <w:tcW w:w="5000" w:type="pct"/>
            <w:gridSpan w:val="4"/>
            <w:vAlign w:val="center"/>
          </w:tcPr>
          <w:p w14:paraId="29AB4362" w14:textId="3E90B1CA" w:rsidR="00EA4BCB" w:rsidRPr="00276BCA" w:rsidRDefault="00EA4BCB" w:rsidP="00CB202B">
            <w:pPr>
              <w:pStyle w:val="TableText"/>
              <w:keepNext/>
              <w:keepLines/>
              <w:rPr>
                <w:lang w:val="en-AU"/>
              </w:rPr>
            </w:pPr>
            <w:r w:rsidRPr="00276BCA">
              <w:rPr>
                <w:lang w:val="en-AU"/>
              </w:rPr>
              <w:t xml:space="preserve">Assuming </w:t>
            </w:r>
            <w:r w:rsidRPr="00276BCA">
              <w:rPr>
                <w:b/>
                <w:lang w:val="en-AU"/>
              </w:rPr>
              <w:t>no vial sharing</w:t>
            </w:r>
            <w:r w:rsidRPr="00276BCA">
              <w:rPr>
                <w:lang w:val="en-AU"/>
              </w:rPr>
              <w:t xml:space="preserve"> (base case: no drug wastage)</w:t>
            </w:r>
          </w:p>
        </w:tc>
      </w:tr>
      <w:tr w:rsidR="00E41328" w:rsidRPr="00276BCA" w14:paraId="77162BB9" w14:textId="77777777" w:rsidTr="00842EE3">
        <w:tc>
          <w:tcPr>
            <w:tcW w:w="1161" w:type="pct"/>
          </w:tcPr>
          <w:p w14:paraId="2C9D20AB" w14:textId="3ADF7C78" w:rsidR="00EA4BCB" w:rsidRPr="00276BCA" w:rsidRDefault="0007275F" w:rsidP="00CB202B">
            <w:pPr>
              <w:pStyle w:val="TableText"/>
              <w:keepNext/>
              <w:keepLines/>
              <w:jc w:val="center"/>
              <w:rPr>
                <w:lang w:val="en-AU"/>
              </w:rPr>
            </w:pPr>
            <w:r w:rsidRPr="00276BCA">
              <w:rPr>
                <w:lang w:val="en-AU"/>
              </w:rPr>
              <w:t xml:space="preserve"> $107,</w:t>
            </w:r>
            <w:r w:rsidR="000D2E4C" w:rsidRPr="00276BCA">
              <w:rPr>
                <w:lang w:val="en-AU"/>
              </w:rPr>
              <w:t>304</w:t>
            </w:r>
          </w:p>
        </w:tc>
        <w:tc>
          <w:tcPr>
            <w:tcW w:w="1161" w:type="pct"/>
          </w:tcPr>
          <w:p w14:paraId="22FB079B" w14:textId="77777777" w:rsidR="00EA4BCB" w:rsidRPr="00276BCA" w:rsidRDefault="00EA4BCB" w:rsidP="00CB202B">
            <w:pPr>
              <w:pStyle w:val="TableText"/>
              <w:keepNext/>
              <w:keepLines/>
              <w:jc w:val="center"/>
              <w:rPr>
                <w:lang w:val="en-AU"/>
              </w:rPr>
            </w:pPr>
            <w:r w:rsidRPr="00276BCA">
              <w:rPr>
                <w:lang w:val="en-AU"/>
              </w:rPr>
              <w:t>$102,663</w:t>
            </w:r>
          </w:p>
        </w:tc>
        <w:tc>
          <w:tcPr>
            <w:tcW w:w="1527" w:type="pct"/>
          </w:tcPr>
          <w:p w14:paraId="135F83BA" w14:textId="12708A11" w:rsidR="00EA4BCB" w:rsidRPr="00276BCA" w:rsidRDefault="00EA4BCB" w:rsidP="00CB202B">
            <w:pPr>
              <w:pStyle w:val="TableText"/>
              <w:keepNext/>
              <w:keepLines/>
              <w:jc w:val="center"/>
              <w:rPr>
                <w:lang w:val="en-AU"/>
              </w:rPr>
            </w:pPr>
            <w:r w:rsidRPr="00276BCA">
              <w:rPr>
                <w:lang w:val="en-AU"/>
              </w:rPr>
              <w:t>-$</w:t>
            </w:r>
            <w:r w:rsidR="008A33A9" w:rsidRPr="00276BCA">
              <w:rPr>
                <w:lang w:val="en-AU"/>
              </w:rPr>
              <w:t>4,641</w:t>
            </w:r>
          </w:p>
        </w:tc>
        <w:tc>
          <w:tcPr>
            <w:tcW w:w="1151" w:type="pct"/>
            <w:vAlign w:val="center"/>
          </w:tcPr>
          <w:p w14:paraId="524D35CF" w14:textId="77777777" w:rsidR="00EA4BCB" w:rsidRPr="00276BCA" w:rsidRDefault="00EA4BCB" w:rsidP="00CB202B">
            <w:pPr>
              <w:pStyle w:val="TableText"/>
              <w:keepNext/>
              <w:keepLines/>
              <w:jc w:val="center"/>
              <w:rPr>
                <w:lang w:val="en-AU"/>
              </w:rPr>
            </w:pPr>
            <w:r w:rsidRPr="00276BCA">
              <w:rPr>
                <w:lang w:val="en-AU"/>
              </w:rPr>
              <w:t>-4%</w:t>
            </w:r>
          </w:p>
        </w:tc>
      </w:tr>
      <w:tr w:rsidR="00E41328" w:rsidRPr="00276BCA" w14:paraId="78399DD1" w14:textId="77777777" w:rsidTr="00842EE3">
        <w:tc>
          <w:tcPr>
            <w:tcW w:w="5000" w:type="pct"/>
            <w:gridSpan w:val="4"/>
            <w:vAlign w:val="center"/>
          </w:tcPr>
          <w:p w14:paraId="28985D22" w14:textId="77777777" w:rsidR="00EA4BCB" w:rsidRPr="00276BCA" w:rsidRDefault="00EA4BCB" w:rsidP="00CB202B">
            <w:pPr>
              <w:pStyle w:val="TableText"/>
              <w:keepNext/>
              <w:keepLines/>
              <w:rPr>
                <w:lang w:val="en-AU"/>
              </w:rPr>
            </w:pPr>
            <w:r w:rsidRPr="00276BCA">
              <w:rPr>
                <w:lang w:val="en-AU"/>
              </w:rPr>
              <w:t xml:space="preserve">Assuming </w:t>
            </w:r>
            <w:r w:rsidRPr="00276BCA">
              <w:rPr>
                <w:b/>
                <w:lang w:val="en-AU"/>
              </w:rPr>
              <w:t>42% of patients are CLDN18.2+</w:t>
            </w:r>
            <w:r w:rsidRPr="00276BCA">
              <w:rPr>
                <w:lang w:val="en-AU"/>
              </w:rPr>
              <w:t xml:space="preserve"> (base case: 38.38%)</w:t>
            </w:r>
          </w:p>
        </w:tc>
      </w:tr>
      <w:tr w:rsidR="00E41328" w:rsidRPr="00276BCA" w14:paraId="66966A72" w14:textId="77777777" w:rsidTr="00842EE3">
        <w:tc>
          <w:tcPr>
            <w:tcW w:w="1161" w:type="pct"/>
          </w:tcPr>
          <w:p w14:paraId="55684B2B" w14:textId="414AE3F9" w:rsidR="00EA4BCB" w:rsidRPr="00276BCA" w:rsidRDefault="007D0A4A" w:rsidP="00CB202B">
            <w:pPr>
              <w:pStyle w:val="TableText"/>
              <w:keepNext/>
              <w:keepLines/>
              <w:jc w:val="center"/>
              <w:rPr>
                <w:lang w:val="en-AU"/>
              </w:rPr>
            </w:pPr>
            <w:r w:rsidRPr="00276BCA">
              <w:rPr>
                <w:lang w:val="en-AU"/>
              </w:rPr>
              <w:t>$</w:t>
            </w:r>
            <w:r w:rsidR="00375948" w:rsidRPr="00276BCA">
              <w:rPr>
                <w:lang w:val="en-AU"/>
              </w:rPr>
              <w:t>102,477</w:t>
            </w:r>
          </w:p>
        </w:tc>
        <w:tc>
          <w:tcPr>
            <w:tcW w:w="1161" w:type="pct"/>
          </w:tcPr>
          <w:p w14:paraId="1D188E5C" w14:textId="77777777" w:rsidR="00EA4BCB" w:rsidRPr="00276BCA" w:rsidRDefault="00EA4BCB" w:rsidP="00CB202B">
            <w:pPr>
              <w:pStyle w:val="TableText"/>
              <w:keepNext/>
              <w:keepLines/>
              <w:jc w:val="center"/>
              <w:rPr>
                <w:lang w:val="en-AU"/>
              </w:rPr>
            </w:pPr>
            <w:r w:rsidRPr="00276BCA">
              <w:rPr>
                <w:lang w:val="en-AU"/>
              </w:rPr>
              <w:t>$102,502</w:t>
            </w:r>
          </w:p>
        </w:tc>
        <w:tc>
          <w:tcPr>
            <w:tcW w:w="1527" w:type="pct"/>
          </w:tcPr>
          <w:p w14:paraId="521A1BD0" w14:textId="71189C6C" w:rsidR="00EA4BCB" w:rsidRPr="00276BCA" w:rsidRDefault="00EA4BCB" w:rsidP="00CB202B">
            <w:pPr>
              <w:pStyle w:val="TableText"/>
              <w:keepNext/>
              <w:keepLines/>
              <w:jc w:val="center"/>
              <w:rPr>
                <w:lang w:val="en-AU"/>
              </w:rPr>
            </w:pPr>
            <w:r w:rsidRPr="00276BCA">
              <w:rPr>
                <w:lang w:val="en-AU"/>
              </w:rPr>
              <w:t>-</w:t>
            </w:r>
            <w:r w:rsidR="00375948" w:rsidRPr="00276BCA">
              <w:rPr>
                <w:lang w:val="en-AU"/>
              </w:rPr>
              <w:t>$25</w:t>
            </w:r>
          </w:p>
        </w:tc>
        <w:tc>
          <w:tcPr>
            <w:tcW w:w="1151" w:type="pct"/>
            <w:vAlign w:val="center"/>
          </w:tcPr>
          <w:p w14:paraId="4EA9E3D6" w14:textId="77777777" w:rsidR="00EA4BCB" w:rsidRPr="00276BCA" w:rsidRDefault="00EA4BCB" w:rsidP="00CB202B">
            <w:pPr>
              <w:pStyle w:val="TableText"/>
              <w:keepNext/>
              <w:keepLines/>
              <w:jc w:val="center"/>
              <w:rPr>
                <w:lang w:val="en-AU"/>
              </w:rPr>
            </w:pPr>
            <w:r w:rsidRPr="00276BCA">
              <w:rPr>
                <w:lang w:val="en-AU"/>
              </w:rPr>
              <w:t>&lt;1%</w:t>
            </w:r>
          </w:p>
        </w:tc>
      </w:tr>
      <w:tr w:rsidR="00E41328" w:rsidRPr="00276BCA" w14:paraId="19BC6362" w14:textId="77777777" w:rsidTr="00842EE3">
        <w:tc>
          <w:tcPr>
            <w:tcW w:w="5000" w:type="pct"/>
            <w:gridSpan w:val="4"/>
            <w:vAlign w:val="center"/>
          </w:tcPr>
          <w:p w14:paraId="337E9239" w14:textId="77777777" w:rsidR="00EA4BCB" w:rsidRPr="00276BCA" w:rsidRDefault="00EA4BCB" w:rsidP="00CB202B">
            <w:pPr>
              <w:pStyle w:val="TableText"/>
              <w:keepNext/>
              <w:keepLines/>
              <w:rPr>
                <w:lang w:val="en-AU"/>
              </w:rPr>
            </w:pPr>
            <w:r w:rsidRPr="00276BCA">
              <w:rPr>
                <w:lang w:val="en-AU"/>
              </w:rPr>
              <w:t xml:space="preserve">Assuming </w:t>
            </w:r>
            <w:r w:rsidRPr="00276BCA">
              <w:rPr>
                <w:b/>
                <w:lang w:val="en-AU"/>
              </w:rPr>
              <w:t>35% of patients are CLDN18.2+</w:t>
            </w:r>
            <w:r w:rsidRPr="00276BCA">
              <w:rPr>
                <w:lang w:val="en-AU"/>
              </w:rPr>
              <w:t xml:space="preserve"> (base case: 38.38%)</w:t>
            </w:r>
          </w:p>
        </w:tc>
      </w:tr>
      <w:tr w:rsidR="00E41328" w:rsidRPr="00276BCA" w14:paraId="1DA02B8F" w14:textId="77777777" w:rsidTr="00842EE3">
        <w:tc>
          <w:tcPr>
            <w:tcW w:w="1161" w:type="pct"/>
          </w:tcPr>
          <w:p w14:paraId="6B3D75CC" w14:textId="4D369CE4" w:rsidR="00EA4BCB" w:rsidRPr="00276BCA" w:rsidRDefault="00375948" w:rsidP="00CB202B">
            <w:pPr>
              <w:pStyle w:val="TableText"/>
              <w:keepNext/>
              <w:keepLines/>
              <w:jc w:val="center"/>
              <w:rPr>
                <w:lang w:val="en-AU"/>
              </w:rPr>
            </w:pPr>
            <w:r w:rsidRPr="00276BCA">
              <w:rPr>
                <w:lang w:val="en-AU"/>
              </w:rPr>
              <w:t>$</w:t>
            </w:r>
            <w:r w:rsidR="00BE7A86" w:rsidRPr="00276BCA">
              <w:rPr>
                <w:lang w:val="en-AU"/>
              </w:rPr>
              <w:t>102,530</w:t>
            </w:r>
          </w:p>
        </w:tc>
        <w:tc>
          <w:tcPr>
            <w:tcW w:w="1161" w:type="pct"/>
          </w:tcPr>
          <w:p w14:paraId="2FDD1317" w14:textId="77777777" w:rsidR="00EA4BCB" w:rsidRPr="00276BCA" w:rsidRDefault="00EA4BCB" w:rsidP="00CB202B">
            <w:pPr>
              <w:pStyle w:val="TableText"/>
              <w:keepNext/>
              <w:keepLines/>
              <w:jc w:val="center"/>
              <w:rPr>
                <w:lang w:val="en-AU"/>
              </w:rPr>
            </w:pPr>
            <w:r w:rsidRPr="00276BCA">
              <w:rPr>
                <w:lang w:val="en-AU"/>
              </w:rPr>
              <w:t>$102,502</w:t>
            </w:r>
          </w:p>
        </w:tc>
        <w:tc>
          <w:tcPr>
            <w:tcW w:w="1527" w:type="pct"/>
          </w:tcPr>
          <w:p w14:paraId="4F32161F" w14:textId="432DAE32" w:rsidR="00EA4BCB" w:rsidRPr="00276BCA" w:rsidRDefault="00A37306" w:rsidP="00CB202B">
            <w:pPr>
              <w:pStyle w:val="TableText"/>
              <w:keepNext/>
              <w:keepLines/>
              <w:jc w:val="center"/>
              <w:rPr>
                <w:lang w:val="en-AU"/>
              </w:rPr>
            </w:pPr>
            <w:r w:rsidRPr="00276BCA">
              <w:rPr>
                <w:lang w:val="en-AU"/>
              </w:rPr>
              <w:t>$28</w:t>
            </w:r>
          </w:p>
        </w:tc>
        <w:tc>
          <w:tcPr>
            <w:tcW w:w="1151" w:type="pct"/>
            <w:vAlign w:val="center"/>
          </w:tcPr>
          <w:p w14:paraId="4F878904" w14:textId="77777777" w:rsidR="00EA4BCB" w:rsidRPr="00276BCA" w:rsidRDefault="00EA4BCB" w:rsidP="00CB202B">
            <w:pPr>
              <w:pStyle w:val="TableText"/>
              <w:keepNext/>
              <w:keepLines/>
              <w:jc w:val="center"/>
              <w:rPr>
                <w:lang w:val="en-AU"/>
              </w:rPr>
            </w:pPr>
            <w:r w:rsidRPr="00276BCA">
              <w:rPr>
                <w:lang w:val="en-AU"/>
              </w:rPr>
              <w:t>&lt;1%</w:t>
            </w:r>
          </w:p>
        </w:tc>
      </w:tr>
      <w:tr w:rsidR="00E41328" w:rsidRPr="00276BCA" w14:paraId="1E62CD5A" w14:textId="77777777" w:rsidTr="00842EE3">
        <w:tc>
          <w:tcPr>
            <w:tcW w:w="5000" w:type="pct"/>
            <w:gridSpan w:val="4"/>
            <w:vAlign w:val="center"/>
          </w:tcPr>
          <w:p w14:paraId="24B3BCE8" w14:textId="77777777" w:rsidR="00EA4BCB" w:rsidRPr="00276BCA" w:rsidRDefault="00EA4BCB" w:rsidP="00CB202B">
            <w:pPr>
              <w:pStyle w:val="TableText"/>
              <w:keepNext/>
              <w:keepLines/>
              <w:rPr>
                <w:lang w:val="en-AU"/>
              </w:rPr>
            </w:pPr>
            <w:r w:rsidRPr="00276BCA">
              <w:rPr>
                <w:lang w:val="en-AU"/>
              </w:rPr>
              <w:t xml:space="preserve">Assuming </w:t>
            </w:r>
            <w:r w:rsidRPr="00276BCA">
              <w:rPr>
                <w:b/>
                <w:lang w:val="en-AU"/>
              </w:rPr>
              <w:t>600 mg/m</w:t>
            </w:r>
            <w:r w:rsidRPr="00276BCA">
              <w:rPr>
                <w:b/>
                <w:vertAlign w:val="superscript"/>
                <w:lang w:val="en-AU"/>
              </w:rPr>
              <w:t xml:space="preserve">2 </w:t>
            </w:r>
            <w:r w:rsidRPr="00276BCA">
              <w:rPr>
                <w:b/>
                <w:lang w:val="en-AU"/>
              </w:rPr>
              <w:t>Q3W dosing regimen with mFOLFOX6</w:t>
            </w:r>
            <w:r w:rsidRPr="00276BCA">
              <w:rPr>
                <w:lang w:val="en-AU"/>
              </w:rPr>
              <w:t xml:space="preserve"> (base case: 400 mg/m</w:t>
            </w:r>
            <w:r w:rsidRPr="00276BCA">
              <w:rPr>
                <w:vertAlign w:val="superscript"/>
                <w:lang w:val="en-AU"/>
              </w:rPr>
              <w:t>2</w:t>
            </w:r>
            <w:r w:rsidRPr="00276BCA">
              <w:rPr>
                <w:lang w:val="en-AU"/>
              </w:rPr>
              <w:t xml:space="preserve"> Q2W)</w:t>
            </w:r>
          </w:p>
        </w:tc>
      </w:tr>
      <w:tr w:rsidR="00E41328" w:rsidRPr="00276BCA" w14:paraId="098B1BA2" w14:textId="77777777" w:rsidTr="00842EE3">
        <w:tc>
          <w:tcPr>
            <w:tcW w:w="1161" w:type="pct"/>
          </w:tcPr>
          <w:p w14:paraId="4F6CAA98" w14:textId="77777777" w:rsidR="00EA4BCB" w:rsidRPr="00276BCA" w:rsidRDefault="00EA4BCB" w:rsidP="00CB202B">
            <w:pPr>
              <w:pStyle w:val="TableText"/>
              <w:keepNext/>
              <w:keepLines/>
              <w:jc w:val="center"/>
              <w:rPr>
                <w:lang w:val="en-AU"/>
              </w:rPr>
            </w:pPr>
            <w:r w:rsidRPr="00276BCA">
              <w:rPr>
                <w:lang w:val="en-AU"/>
              </w:rPr>
              <w:t>$102,933</w:t>
            </w:r>
          </w:p>
        </w:tc>
        <w:tc>
          <w:tcPr>
            <w:tcW w:w="1161" w:type="pct"/>
          </w:tcPr>
          <w:p w14:paraId="16D96C34" w14:textId="77777777" w:rsidR="00EA4BCB" w:rsidRPr="00276BCA" w:rsidRDefault="00EA4BCB" w:rsidP="00CB202B">
            <w:pPr>
              <w:pStyle w:val="TableText"/>
              <w:keepNext/>
              <w:keepLines/>
              <w:jc w:val="center"/>
              <w:rPr>
                <w:lang w:val="en-AU"/>
              </w:rPr>
            </w:pPr>
            <w:r w:rsidRPr="00276BCA">
              <w:rPr>
                <w:lang w:val="en-AU"/>
              </w:rPr>
              <w:t>$102,502</w:t>
            </w:r>
          </w:p>
        </w:tc>
        <w:tc>
          <w:tcPr>
            <w:tcW w:w="1527" w:type="pct"/>
          </w:tcPr>
          <w:p w14:paraId="2E18B858" w14:textId="77777777" w:rsidR="00EA4BCB" w:rsidRPr="00276BCA" w:rsidRDefault="00EA4BCB" w:rsidP="00CB202B">
            <w:pPr>
              <w:pStyle w:val="TableText"/>
              <w:keepNext/>
              <w:keepLines/>
              <w:jc w:val="center"/>
              <w:rPr>
                <w:lang w:val="en-AU"/>
              </w:rPr>
            </w:pPr>
            <w:r w:rsidRPr="00276BCA">
              <w:rPr>
                <w:lang w:val="en-AU"/>
              </w:rPr>
              <w:t>$431</w:t>
            </w:r>
          </w:p>
        </w:tc>
        <w:tc>
          <w:tcPr>
            <w:tcW w:w="1151" w:type="pct"/>
            <w:vAlign w:val="center"/>
          </w:tcPr>
          <w:p w14:paraId="0564DD51" w14:textId="77777777" w:rsidR="00EA4BCB" w:rsidRPr="00276BCA" w:rsidRDefault="00EA4BCB" w:rsidP="00CB202B">
            <w:pPr>
              <w:pStyle w:val="TableText"/>
              <w:keepNext/>
              <w:keepLines/>
              <w:jc w:val="center"/>
              <w:rPr>
                <w:lang w:val="en-AU"/>
              </w:rPr>
            </w:pPr>
            <w:r w:rsidRPr="00276BCA">
              <w:rPr>
                <w:lang w:val="en-AU"/>
              </w:rPr>
              <w:t>&lt;1%</w:t>
            </w:r>
          </w:p>
        </w:tc>
      </w:tr>
      <w:tr w:rsidR="00E41328" w:rsidRPr="00276BCA" w14:paraId="4D49907A" w14:textId="77777777" w:rsidTr="00842EE3">
        <w:tc>
          <w:tcPr>
            <w:tcW w:w="5000" w:type="pct"/>
            <w:gridSpan w:val="4"/>
            <w:vAlign w:val="center"/>
          </w:tcPr>
          <w:p w14:paraId="38AFD9F6" w14:textId="77777777" w:rsidR="00EA4BCB" w:rsidRPr="00276BCA" w:rsidRDefault="00EA4BCB" w:rsidP="00CB202B">
            <w:pPr>
              <w:pStyle w:val="TableText"/>
              <w:keepNext/>
              <w:keepLines/>
              <w:rPr>
                <w:b/>
                <w:lang w:val="en-AU"/>
              </w:rPr>
            </w:pPr>
            <w:r w:rsidRPr="00276BCA">
              <w:rPr>
                <w:b/>
                <w:lang w:val="en-AU"/>
              </w:rPr>
              <w:t>Univariate analyses conducted during evaluation</w:t>
            </w:r>
          </w:p>
        </w:tc>
      </w:tr>
      <w:tr w:rsidR="00E41328" w:rsidRPr="00276BCA" w14:paraId="034F5742" w14:textId="77777777" w:rsidTr="00842EE3">
        <w:tc>
          <w:tcPr>
            <w:tcW w:w="5000" w:type="pct"/>
            <w:gridSpan w:val="4"/>
            <w:vAlign w:val="center"/>
          </w:tcPr>
          <w:p w14:paraId="1A38778F" w14:textId="79BB6555" w:rsidR="00EA4BCB" w:rsidRPr="00276BCA" w:rsidRDefault="00EA4BCB" w:rsidP="00CB202B">
            <w:pPr>
              <w:pStyle w:val="TableText"/>
              <w:keepNext/>
              <w:keepLines/>
              <w:rPr>
                <w:lang w:val="en-AU"/>
              </w:rPr>
            </w:pPr>
            <w:r w:rsidRPr="00276BCA">
              <w:rPr>
                <w:lang w:val="en-AU"/>
              </w:rPr>
              <w:t xml:space="preserve">Assuming average </w:t>
            </w:r>
            <w:r w:rsidRPr="00276BCA">
              <w:rPr>
                <w:b/>
                <w:lang w:val="en-AU"/>
              </w:rPr>
              <w:t>BSA of 1.80 m²</w:t>
            </w:r>
            <w:r w:rsidRPr="00276BCA">
              <w:rPr>
                <w:lang w:val="en-AU"/>
              </w:rPr>
              <w:t xml:space="preserve"> (base case: 1.70 m²)</w:t>
            </w:r>
          </w:p>
        </w:tc>
      </w:tr>
      <w:tr w:rsidR="00D01F9F" w:rsidRPr="00276BCA" w14:paraId="6FAB85CD" w14:textId="77777777" w:rsidTr="00842EE3">
        <w:tc>
          <w:tcPr>
            <w:tcW w:w="1161" w:type="pct"/>
          </w:tcPr>
          <w:p w14:paraId="15D33C32" w14:textId="35598342" w:rsidR="00D01F9F" w:rsidRPr="00276BCA" w:rsidRDefault="00D01F9F" w:rsidP="00CB202B">
            <w:pPr>
              <w:pStyle w:val="TableText"/>
              <w:keepNext/>
              <w:keepLines/>
              <w:jc w:val="center"/>
              <w:rPr>
                <w:lang w:val="en-AU"/>
              </w:rPr>
            </w:pPr>
            <w:r w:rsidRPr="00276BCA">
              <w:rPr>
                <w:rFonts w:cs="Times New Roman"/>
                <w:lang w:val="en-AU"/>
              </w:rPr>
              <w:t>$108,253</w:t>
            </w:r>
          </w:p>
        </w:tc>
        <w:tc>
          <w:tcPr>
            <w:tcW w:w="1161" w:type="pct"/>
          </w:tcPr>
          <w:p w14:paraId="63B90D00" w14:textId="77777777" w:rsidR="00D01F9F" w:rsidRPr="00276BCA" w:rsidRDefault="00D01F9F" w:rsidP="00CB202B">
            <w:pPr>
              <w:pStyle w:val="TableText"/>
              <w:keepNext/>
              <w:keepLines/>
              <w:jc w:val="center"/>
              <w:rPr>
                <w:lang w:val="en-AU"/>
              </w:rPr>
            </w:pPr>
            <w:r w:rsidRPr="00276BCA">
              <w:rPr>
                <w:lang w:val="en-AU"/>
              </w:rPr>
              <w:t>$102,554</w:t>
            </w:r>
          </w:p>
        </w:tc>
        <w:tc>
          <w:tcPr>
            <w:tcW w:w="1527" w:type="pct"/>
          </w:tcPr>
          <w:p w14:paraId="4D34AABE" w14:textId="460D4AA0" w:rsidR="00D01F9F" w:rsidRPr="00276BCA" w:rsidRDefault="00D01F9F" w:rsidP="00CB202B">
            <w:pPr>
              <w:pStyle w:val="TableText"/>
              <w:keepNext/>
              <w:keepLines/>
              <w:jc w:val="center"/>
              <w:rPr>
                <w:lang w:val="en-AU"/>
              </w:rPr>
            </w:pPr>
            <w:r w:rsidRPr="00276BCA">
              <w:rPr>
                <w:rFonts w:cs="Times New Roman"/>
                <w:lang w:val="en-AU"/>
              </w:rPr>
              <w:t>$5,700</w:t>
            </w:r>
          </w:p>
        </w:tc>
        <w:tc>
          <w:tcPr>
            <w:tcW w:w="1151" w:type="pct"/>
            <w:vAlign w:val="center"/>
          </w:tcPr>
          <w:p w14:paraId="78870A85" w14:textId="77777777" w:rsidR="00D01F9F" w:rsidRPr="00276BCA" w:rsidRDefault="00D01F9F" w:rsidP="00CB202B">
            <w:pPr>
              <w:pStyle w:val="TableText"/>
              <w:keepNext/>
              <w:keepLines/>
              <w:jc w:val="center"/>
              <w:rPr>
                <w:lang w:val="en-AU"/>
              </w:rPr>
            </w:pPr>
            <w:r w:rsidRPr="00276BCA">
              <w:rPr>
                <w:lang w:val="en-AU"/>
              </w:rPr>
              <w:t>-5%</w:t>
            </w:r>
          </w:p>
        </w:tc>
      </w:tr>
      <w:tr w:rsidR="00E41328" w:rsidRPr="00276BCA" w14:paraId="643EB7C3" w14:textId="77777777" w:rsidTr="00842EE3">
        <w:tc>
          <w:tcPr>
            <w:tcW w:w="5000" w:type="pct"/>
            <w:gridSpan w:val="4"/>
            <w:vAlign w:val="center"/>
          </w:tcPr>
          <w:p w14:paraId="1748F07D" w14:textId="77777777" w:rsidR="00EA4BCB" w:rsidRPr="00276BCA" w:rsidRDefault="00EA4BCB" w:rsidP="00CB202B">
            <w:pPr>
              <w:pStyle w:val="TableText"/>
              <w:keepNext/>
              <w:keepLines/>
              <w:rPr>
                <w:lang w:val="en-AU"/>
              </w:rPr>
            </w:pPr>
            <w:r w:rsidRPr="00276BCA">
              <w:rPr>
                <w:lang w:val="en-AU"/>
              </w:rPr>
              <w:t>Assuming the</w:t>
            </w:r>
            <w:r w:rsidRPr="00276BCA">
              <w:rPr>
                <w:b/>
                <w:lang w:val="en-AU"/>
              </w:rPr>
              <w:t xml:space="preserve"> mean treatment durations for </w:t>
            </w:r>
            <w:proofErr w:type="spellStart"/>
            <w:r w:rsidRPr="00276BCA">
              <w:rPr>
                <w:b/>
                <w:lang w:val="en-AU"/>
              </w:rPr>
              <w:t>zolbetuximab</w:t>
            </w:r>
            <w:proofErr w:type="spellEnd"/>
            <w:r w:rsidRPr="00276BCA">
              <w:rPr>
                <w:b/>
                <w:lang w:val="en-AU"/>
              </w:rPr>
              <w:t xml:space="preserve"> and nivolumab are identical</w:t>
            </w:r>
            <w:r w:rsidRPr="00276BCA">
              <w:rPr>
                <w:lang w:val="en-AU"/>
              </w:rPr>
              <w:t xml:space="preserve">, based on the reported treatment duration in the SPOTLIGHT study (7.34 months) and GLOW (10.07 months) trials (base case: using mean treatment duration of </w:t>
            </w:r>
            <w:proofErr w:type="spellStart"/>
            <w:r w:rsidRPr="00276BCA">
              <w:rPr>
                <w:lang w:val="en-AU"/>
              </w:rPr>
              <w:t>zolbetuximab</w:t>
            </w:r>
            <w:proofErr w:type="spellEnd"/>
            <w:r w:rsidRPr="00276BCA">
              <w:rPr>
                <w:lang w:val="en-AU"/>
              </w:rPr>
              <w:t xml:space="preserve"> (SPOTLIGHT: 7.34 months and GLOW:10.07 months) and nivolumab trial (</w:t>
            </w:r>
            <w:proofErr w:type="spellStart"/>
            <w:r w:rsidRPr="00276BCA">
              <w:rPr>
                <w:lang w:val="en-AU"/>
              </w:rPr>
              <w:t>CheckMate</w:t>
            </w:r>
            <w:proofErr w:type="spellEnd"/>
            <w:r w:rsidRPr="00276BCA">
              <w:rPr>
                <w:lang w:val="en-AU"/>
              </w:rPr>
              <w:t xml:space="preserve"> 649: 9.81 months) </w:t>
            </w:r>
            <w:proofErr w:type="spellStart"/>
            <w:proofErr w:type="gramStart"/>
            <w:r w:rsidRPr="00276BCA">
              <w:rPr>
                <w:vertAlign w:val="superscript"/>
                <w:lang w:val="en-AU"/>
              </w:rPr>
              <w:t>b,c</w:t>
            </w:r>
            <w:proofErr w:type="spellEnd"/>
            <w:proofErr w:type="gramEnd"/>
          </w:p>
        </w:tc>
      </w:tr>
      <w:tr w:rsidR="00E41328" w:rsidRPr="00276BCA" w14:paraId="2DEC8619" w14:textId="77777777" w:rsidTr="00842EE3">
        <w:tc>
          <w:tcPr>
            <w:tcW w:w="1161" w:type="pct"/>
          </w:tcPr>
          <w:p w14:paraId="551C9133" w14:textId="77777777" w:rsidR="00EA4BCB" w:rsidRPr="00276BCA" w:rsidRDefault="00EA4BCB" w:rsidP="00CB202B">
            <w:pPr>
              <w:pStyle w:val="TableText"/>
              <w:keepNext/>
              <w:keepLines/>
              <w:jc w:val="center"/>
              <w:rPr>
                <w:lang w:val="en-AU"/>
              </w:rPr>
            </w:pPr>
            <w:r w:rsidRPr="00276BCA">
              <w:rPr>
                <w:lang w:val="en-AU"/>
              </w:rPr>
              <w:t>$102,502</w:t>
            </w:r>
          </w:p>
        </w:tc>
        <w:tc>
          <w:tcPr>
            <w:tcW w:w="1161" w:type="pct"/>
          </w:tcPr>
          <w:p w14:paraId="43FB37CE" w14:textId="77777777" w:rsidR="00EA4BCB" w:rsidRPr="00276BCA" w:rsidRDefault="00EA4BCB" w:rsidP="00CB202B">
            <w:pPr>
              <w:pStyle w:val="TableText"/>
              <w:keepNext/>
              <w:keepLines/>
              <w:jc w:val="center"/>
              <w:rPr>
                <w:lang w:val="en-AU"/>
              </w:rPr>
            </w:pPr>
            <w:r w:rsidRPr="00276BCA">
              <w:rPr>
                <w:lang w:val="en-AU"/>
              </w:rPr>
              <w:t>$88,754</w:t>
            </w:r>
          </w:p>
        </w:tc>
        <w:tc>
          <w:tcPr>
            <w:tcW w:w="1527" w:type="pct"/>
          </w:tcPr>
          <w:p w14:paraId="1798B15B" w14:textId="77777777" w:rsidR="00EA4BCB" w:rsidRPr="00276BCA" w:rsidRDefault="00EA4BCB" w:rsidP="00CB202B">
            <w:pPr>
              <w:pStyle w:val="TableText"/>
              <w:keepNext/>
              <w:keepLines/>
              <w:jc w:val="center"/>
              <w:rPr>
                <w:lang w:val="en-AU"/>
              </w:rPr>
            </w:pPr>
            <w:r w:rsidRPr="00276BCA">
              <w:rPr>
                <w:lang w:val="en-AU"/>
              </w:rPr>
              <w:t>$13,748</w:t>
            </w:r>
          </w:p>
        </w:tc>
        <w:tc>
          <w:tcPr>
            <w:tcW w:w="1151" w:type="pct"/>
            <w:vAlign w:val="center"/>
          </w:tcPr>
          <w:p w14:paraId="57D8A987" w14:textId="77777777" w:rsidR="00EA4BCB" w:rsidRPr="00276BCA" w:rsidRDefault="00EA4BCB" w:rsidP="00CB202B">
            <w:pPr>
              <w:pStyle w:val="TableText"/>
              <w:keepNext/>
              <w:keepLines/>
              <w:jc w:val="center"/>
              <w:rPr>
                <w:lang w:val="en-AU"/>
              </w:rPr>
            </w:pPr>
            <w:r w:rsidRPr="00276BCA">
              <w:rPr>
                <w:lang w:val="en-AU"/>
              </w:rPr>
              <w:t>-14%</w:t>
            </w:r>
          </w:p>
        </w:tc>
      </w:tr>
      <w:tr w:rsidR="00E41328" w:rsidRPr="00276BCA" w14:paraId="0AEF8580" w14:textId="77777777" w:rsidTr="00842EE3">
        <w:tc>
          <w:tcPr>
            <w:tcW w:w="5000" w:type="pct"/>
            <w:gridSpan w:val="4"/>
            <w:vAlign w:val="center"/>
          </w:tcPr>
          <w:p w14:paraId="65E12FB1" w14:textId="77777777" w:rsidR="00EA4BCB" w:rsidRPr="00276BCA" w:rsidRDefault="00EA4BCB" w:rsidP="00CB202B">
            <w:pPr>
              <w:pStyle w:val="TableText"/>
              <w:keepNext/>
              <w:keepLines/>
              <w:rPr>
                <w:lang w:val="en-AU"/>
              </w:rPr>
            </w:pPr>
            <w:r w:rsidRPr="00276BCA">
              <w:rPr>
                <w:lang w:val="en-AU"/>
              </w:rPr>
              <w:t xml:space="preserve">Assuming </w:t>
            </w:r>
            <w:r w:rsidRPr="00276BCA">
              <w:rPr>
                <w:b/>
                <w:lang w:val="en-AU"/>
              </w:rPr>
              <w:t xml:space="preserve">100% CAPOX </w:t>
            </w:r>
            <w:r w:rsidRPr="00276BCA">
              <w:rPr>
                <w:lang w:val="en-AU"/>
              </w:rPr>
              <w:t>(base case: 50% CAPOX and 50% mFOLOFOX6)</w:t>
            </w:r>
          </w:p>
        </w:tc>
      </w:tr>
      <w:tr w:rsidR="00E41328" w:rsidRPr="00276BCA" w14:paraId="05EE056A" w14:textId="77777777" w:rsidTr="00842EE3">
        <w:tc>
          <w:tcPr>
            <w:tcW w:w="1161" w:type="pct"/>
          </w:tcPr>
          <w:p w14:paraId="21E13E11" w14:textId="6B1A2D3B" w:rsidR="00EA4BCB" w:rsidRPr="00276BCA" w:rsidRDefault="005208E8" w:rsidP="00CB202B">
            <w:pPr>
              <w:pStyle w:val="TableText"/>
              <w:keepNext/>
              <w:keepLines/>
              <w:jc w:val="center"/>
              <w:rPr>
                <w:lang w:val="en-AU"/>
              </w:rPr>
            </w:pPr>
            <w:r w:rsidRPr="00276BCA">
              <w:rPr>
                <w:lang w:val="en-AU"/>
              </w:rPr>
              <w:t>$88,150</w:t>
            </w:r>
          </w:p>
        </w:tc>
        <w:tc>
          <w:tcPr>
            <w:tcW w:w="1161" w:type="pct"/>
          </w:tcPr>
          <w:p w14:paraId="5916DF5A" w14:textId="77777777" w:rsidR="00EA4BCB" w:rsidRPr="00276BCA" w:rsidRDefault="00EA4BCB" w:rsidP="00CB202B">
            <w:pPr>
              <w:pStyle w:val="TableText"/>
              <w:keepNext/>
              <w:keepLines/>
              <w:jc w:val="center"/>
              <w:rPr>
                <w:lang w:val="en-AU"/>
              </w:rPr>
            </w:pPr>
            <w:r w:rsidRPr="00276BCA">
              <w:rPr>
                <w:lang w:val="en-AU"/>
              </w:rPr>
              <w:t>$104,701</w:t>
            </w:r>
          </w:p>
        </w:tc>
        <w:tc>
          <w:tcPr>
            <w:tcW w:w="1527" w:type="pct"/>
          </w:tcPr>
          <w:p w14:paraId="5D835CFB" w14:textId="28006B8C" w:rsidR="00EA4BCB" w:rsidRPr="00276BCA" w:rsidRDefault="00EA4BCB" w:rsidP="00CB202B">
            <w:pPr>
              <w:pStyle w:val="TableText"/>
              <w:keepNext/>
              <w:keepLines/>
              <w:jc w:val="center"/>
              <w:rPr>
                <w:lang w:val="en-AU"/>
              </w:rPr>
            </w:pPr>
            <w:r w:rsidRPr="00276BCA">
              <w:rPr>
                <w:lang w:val="en-AU"/>
              </w:rPr>
              <w:t>-</w:t>
            </w:r>
            <w:r w:rsidR="005208E8" w:rsidRPr="00276BCA">
              <w:rPr>
                <w:lang w:val="en-AU"/>
              </w:rPr>
              <w:t>$16,552</w:t>
            </w:r>
          </w:p>
        </w:tc>
        <w:tc>
          <w:tcPr>
            <w:tcW w:w="1151" w:type="pct"/>
            <w:vAlign w:val="center"/>
          </w:tcPr>
          <w:p w14:paraId="1392E87F" w14:textId="77777777" w:rsidR="00EA4BCB" w:rsidRPr="00276BCA" w:rsidRDefault="00EA4BCB" w:rsidP="00CB202B">
            <w:pPr>
              <w:pStyle w:val="TableText"/>
              <w:keepNext/>
              <w:keepLines/>
              <w:jc w:val="center"/>
              <w:rPr>
                <w:lang w:val="en-AU"/>
              </w:rPr>
            </w:pPr>
            <w:r w:rsidRPr="00276BCA">
              <w:rPr>
                <w:lang w:val="en-AU"/>
              </w:rPr>
              <w:t>19%</w:t>
            </w:r>
          </w:p>
        </w:tc>
      </w:tr>
      <w:tr w:rsidR="00E41328" w:rsidRPr="00276BCA" w14:paraId="501D3985" w14:textId="77777777" w:rsidTr="005574CB">
        <w:tc>
          <w:tcPr>
            <w:tcW w:w="5000" w:type="pct"/>
            <w:gridSpan w:val="4"/>
            <w:vAlign w:val="center"/>
          </w:tcPr>
          <w:p w14:paraId="17526C9B" w14:textId="77777777" w:rsidR="00EA4BCB" w:rsidRPr="00276BCA" w:rsidRDefault="00EA4BCB" w:rsidP="00CB202B">
            <w:pPr>
              <w:pStyle w:val="TableText"/>
              <w:keepNext/>
              <w:keepLines/>
              <w:rPr>
                <w:lang w:val="en-AU"/>
              </w:rPr>
            </w:pPr>
            <w:r w:rsidRPr="00276BCA">
              <w:rPr>
                <w:lang w:val="en-AU"/>
              </w:rPr>
              <w:t xml:space="preserve">Assuming </w:t>
            </w:r>
            <w:r w:rsidRPr="00276BCA">
              <w:rPr>
                <w:b/>
                <w:lang w:val="en-AU"/>
              </w:rPr>
              <w:t>100% mFOLFOX6</w:t>
            </w:r>
            <w:r w:rsidRPr="00276BCA">
              <w:rPr>
                <w:lang w:val="en-AU"/>
              </w:rPr>
              <w:t xml:space="preserve"> (base case: 50% CAPOX and 50% mFOLOFOX6)</w:t>
            </w:r>
          </w:p>
        </w:tc>
      </w:tr>
      <w:tr w:rsidR="00E41328" w:rsidRPr="00276BCA" w14:paraId="468C2270" w14:textId="77777777" w:rsidTr="00842EE3">
        <w:tc>
          <w:tcPr>
            <w:tcW w:w="1161" w:type="pct"/>
          </w:tcPr>
          <w:p w14:paraId="0C347A89" w14:textId="5F43ED20" w:rsidR="00EA4BCB" w:rsidRPr="00276BCA" w:rsidRDefault="00D14888" w:rsidP="00CB202B">
            <w:pPr>
              <w:pStyle w:val="TableText"/>
              <w:keepNext/>
              <w:keepLines/>
              <w:jc w:val="center"/>
              <w:rPr>
                <w:lang w:val="en-AU"/>
              </w:rPr>
            </w:pPr>
            <w:r w:rsidRPr="00276BCA">
              <w:rPr>
                <w:lang w:val="en-AU"/>
              </w:rPr>
              <w:t>$116,855</w:t>
            </w:r>
          </w:p>
        </w:tc>
        <w:tc>
          <w:tcPr>
            <w:tcW w:w="1161" w:type="pct"/>
          </w:tcPr>
          <w:p w14:paraId="544D9DBB" w14:textId="77777777" w:rsidR="00EA4BCB" w:rsidRPr="00276BCA" w:rsidRDefault="00EA4BCB" w:rsidP="00CB202B">
            <w:pPr>
              <w:pStyle w:val="TableText"/>
              <w:keepNext/>
              <w:keepLines/>
              <w:jc w:val="center"/>
              <w:rPr>
                <w:lang w:val="en-AU"/>
              </w:rPr>
            </w:pPr>
            <w:r w:rsidRPr="00276BCA">
              <w:rPr>
                <w:lang w:val="en-AU"/>
              </w:rPr>
              <w:t>$100,303</w:t>
            </w:r>
          </w:p>
        </w:tc>
        <w:tc>
          <w:tcPr>
            <w:tcW w:w="1527" w:type="pct"/>
          </w:tcPr>
          <w:p w14:paraId="40A8DF1B" w14:textId="3B2610C0" w:rsidR="00EA4BCB" w:rsidRPr="00276BCA" w:rsidRDefault="005208E8" w:rsidP="00CB202B">
            <w:pPr>
              <w:pStyle w:val="TableText"/>
              <w:keepNext/>
              <w:keepLines/>
              <w:jc w:val="center"/>
              <w:rPr>
                <w:lang w:val="en-AU"/>
              </w:rPr>
            </w:pPr>
            <w:r w:rsidRPr="00276BCA">
              <w:rPr>
                <w:lang w:val="en-AU"/>
              </w:rPr>
              <w:t>$16,552</w:t>
            </w:r>
          </w:p>
        </w:tc>
        <w:tc>
          <w:tcPr>
            <w:tcW w:w="1151" w:type="pct"/>
            <w:vAlign w:val="center"/>
          </w:tcPr>
          <w:p w14:paraId="2983F649" w14:textId="288ECC11" w:rsidR="00EA4BCB" w:rsidRPr="00276BCA" w:rsidRDefault="00EA4BCB" w:rsidP="00CB202B">
            <w:pPr>
              <w:pStyle w:val="TableText"/>
              <w:keepNext/>
              <w:keepLines/>
              <w:jc w:val="center"/>
              <w:rPr>
                <w:lang w:val="en-AU"/>
              </w:rPr>
            </w:pPr>
            <w:r w:rsidRPr="00276BCA">
              <w:rPr>
                <w:lang w:val="en-AU"/>
              </w:rPr>
              <w:t>-</w:t>
            </w:r>
            <w:r w:rsidR="00215233" w:rsidRPr="00276BCA">
              <w:rPr>
                <w:lang w:val="en-AU"/>
              </w:rPr>
              <w:t>15</w:t>
            </w:r>
            <w:r w:rsidRPr="00276BCA">
              <w:rPr>
                <w:lang w:val="en-AU"/>
              </w:rPr>
              <w:t>%</w:t>
            </w:r>
          </w:p>
        </w:tc>
      </w:tr>
      <w:tr w:rsidR="00E41328" w:rsidRPr="00276BCA" w14:paraId="14957BC0" w14:textId="77777777" w:rsidTr="00842EE3">
        <w:tc>
          <w:tcPr>
            <w:tcW w:w="5000" w:type="pct"/>
            <w:gridSpan w:val="4"/>
            <w:vAlign w:val="center"/>
          </w:tcPr>
          <w:p w14:paraId="09120D50" w14:textId="77777777" w:rsidR="00EA4BCB" w:rsidRPr="00276BCA" w:rsidRDefault="00EA4BCB" w:rsidP="00CB202B">
            <w:pPr>
              <w:pStyle w:val="TableText"/>
              <w:keepNext/>
              <w:keepLines/>
              <w:rPr>
                <w:lang w:val="en-AU"/>
              </w:rPr>
            </w:pPr>
            <w:r w:rsidRPr="00276BCA">
              <w:rPr>
                <w:lang w:val="en-AU"/>
              </w:rPr>
              <w:t xml:space="preserve">Assuming that </w:t>
            </w:r>
            <w:r w:rsidRPr="00276BCA">
              <w:rPr>
                <w:b/>
                <w:lang w:val="en-AU"/>
              </w:rPr>
              <w:t>number of mean doses were not rounded down to the nearest whole number</w:t>
            </w:r>
            <w:r w:rsidRPr="00276BCA">
              <w:rPr>
                <w:lang w:val="en-AU"/>
              </w:rPr>
              <w:t xml:space="preserve"> (base case: mean doses were rounded down to the nearest whole number)</w:t>
            </w:r>
          </w:p>
        </w:tc>
      </w:tr>
      <w:tr w:rsidR="00BA4D8C" w:rsidRPr="00276BCA" w14:paraId="241063E6" w14:textId="77777777" w:rsidTr="00842EE3">
        <w:tc>
          <w:tcPr>
            <w:tcW w:w="1161" w:type="pct"/>
          </w:tcPr>
          <w:p w14:paraId="45B92561" w14:textId="77777777" w:rsidR="00EA4BCB" w:rsidRPr="00276BCA" w:rsidRDefault="00EA4BCB" w:rsidP="00CB202B">
            <w:pPr>
              <w:pStyle w:val="TableText"/>
              <w:keepNext/>
              <w:keepLines/>
              <w:jc w:val="center"/>
              <w:rPr>
                <w:lang w:val="en-AU"/>
              </w:rPr>
            </w:pPr>
            <w:r w:rsidRPr="00276BCA">
              <w:rPr>
                <w:lang w:val="en-AU"/>
              </w:rPr>
              <w:t>$107,172</w:t>
            </w:r>
          </w:p>
        </w:tc>
        <w:tc>
          <w:tcPr>
            <w:tcW w:w="1161" w:type="pct"/>
          </w:tcPr>
          <w:p w14:paraId="6ADBCFA7" w14:textId="77777777" w:rsidR="00EA4BCB" w:rsidRPr="00276BCA" w:rsidRDefault="00EA4BCB" w:rsidP="00CB202B">
            <w:pPr>
              <w:pStyle w:val="TableText"/>
              <w:keepNext/>
              <w:keepLines/>
              <w:jc w:val="center"/>
              <w:rPr>
                <w:lang w:val="en-AU"/>
              </w:rPr>
            </w:pPr>
            <w:r w:rsidRPr="00276BCA">
              <w:rPr>
                <w:lang w:val="en-AU"/>
              </w:rPr>
              <w:t>$104,018</w:t>
            </w:r>
          </w:p>
        </w:tc>
        <w:tc>
          <w:tcPr>
            <w:tcW w:w="1527" w:type="pct"/>
          </w:tcPr>
          <w:p w14:paraId="0DBA3C92" w14:textId="77777777" w:rsidR="00EA4BCB" w:rsidRPr="00276BCA" w:rsidRDefault="00EA4BCB" w:rsidP="00CB202B">
            <w:pPr>
              <w:pStyle w:val="TableText"/>
              <w:keepNext/>
              <w:keepLines/>
              <w:jc w:val="center"/>
              <w:rPr>
                <w:lang w:val="en-AU"/>
              </w:rPr>
            </w:pPr>
            <w:r w:rsidRPr="00276BCA">
              <w:rPr>
                <w:lang w:val="en-AU"/>
              </w:rPr>
              <w:t>$3,154</w:t>
            </w:r>
          </w:p>
        </w:tc>
        <w:tc>
          <w:tcPr>
            <w:tcW w:w="1151" w:type="pct"/>
            <w:vAlign w:val="center"/>
          </w:tcPr>
          <w:p w14:paraId="3CB26D1A" w14:textId="77777777" w:rsidR="00EA4BCB" w:rsidRPr="00276BCA" w:rsidRDefault="00EA4BCB" w:rsidP="00CB202B">
            <w:pPr>
              <w:pStyle w:val="TableText"/>
              <w:keepNext/>
              <w:keepLines/>
              <w:jc w:val="center"/>
              <w:rPr>
                <w:lang w:val="en-AU"/>
              </w:rPr>
            </w:pPr>
            <w:r w:rsidRPr="00276BCA">
              <w:rPr>
                <w:lang w:val="en-AU"/>
              </w:rPr>
              <w:t>-3%</w:t>
            </w:r>
          </w:p>
        </w:tc>
      </w:tr>
    </w:tbl>
    <w:p w14:paraId="6A060904" w14:textId="77777777" w:rsidR="00E73448" w:rsidRPr="00276BCA" w:rsidRDefault="4AA08130" w:rsidP="77D89277">
      <w:pPr>
        <w:keepNext/>
        <w:keepLines/>
        <w:widowControl w:val="0"/>
        <w:spacing w:before="0" w:after="0"/>
        <w:contextualSpacing/>
        <w:rPr>
          <w:rFonts w:ascii="Arial Narrow" w:eastAsia="Times New Roman" w:hAnsi="Arial Narrow" w:cs="Arial"/>
          <w:snapToGrid w:val="0"/>
          <w:sz w:val="18"/>
          <w:szCs w:val="18"/>
        </w:rPr>
      </w:pPr>
      <w:r w:rsidRPr="00276BCA">
        <w:rPr>
          <w:rFonts w:ascii="Arial Narrow" w:eastAsia="Times New Roman" w:hAnsi="Arial Narrow" w:cs="Arial"/>
          <w:snapToGrid w:val="0"/>
          <w:sz w:val="18"/>
          <w:szCs w:val="18"/>
        </w:rPr>
        <w:t xml:space="preserve">Source: Table 3-12, p156 of the submission and conducted during evaluation using ‘Attachment 10- VYLOY-CLDN </w:t>
      </w:r>
      <w:proofErr w:type="spellStart"/>
      <w:r w:rsidRPr="00276BCA">
        <w:rPr>
          <w:rFonts w:ascii="Arial Narrow" w:eastAsia="Times New Roman" w:hAnsi="Arial Narrow" w:cs="Arial"/>
          <w:snapToGrid w:val="0"/>
          <w:sz w:val="18"/>
          <w:szCs w:val="18"/>
        </w:rPr>
        <w:t>Australia_Cost-min_Section</w:t>
      </w:r>
      <w:proofErr w:type="spellEnd"/>
      <w:r w:rsidRPr="00276BCA">
        <w:rPr>
          <w:rFonts w:ascii="Arial Narrow" w:eastAsia="Times New Roman" w:hAnsi="Arial Narrow" w:cs="Arial"/>
          <w:snapToGrid w:val="0"/>
          <w:sz w:val="18"/>
          <w:szCs w:val="18"/>
        </w:rPr>
        <w:t xml:space="preserve"> 3-Final.xslx’ to the submission.</w:t>
      </w:r>
    </w:p>
    <w:p w14:paraId="0494D4C5" w14:textId="77777777" w:rsidR="00E73448" w:rsidRPr="00276BCA" w:rsidRDefault="00E73448" w:rsidP="00CB202B">
      <w:pPr>
        <w:keepNext/>
        <w:keepLines/>
        <w:widowControl w:val="0"/>
        <w:spacing w:before="0" w:after="0"/>
        <w:contextualSpacing/>
        <w:rPr>
          <w:rFonts w:ascii="Arial Narrow" w:eastAsia="Times New Roman" w:hAnsi="Arial Narrow" w:cs="Arial"/>
          <w:snapToGrid w:val="0"/>
          <w:sz w:val="18"/>
          <w:szCs w:val="20"/>
        </w:rPr>
      </w:pPr>
      <w:r w:rsidRPr="00276BCA">
        <w:rPr>
          <w:rFonts w:ascii="Arial Narrow" w:eastAsia="Times New Roman" w:hAnsi="Arial Narrow" w:cs="Arial"/>
          <w:snapToGrid w:val="0"/>
          <w:sz w:val="18"/>
          <w:szCs w:val="20"/>
        </w:rPr>
        <w:t xml:space="preserve">AEMP = approved ex-manufacturer price; BSA = body surface area; CAPOX = capecitabine and oxaliplatin; CLDN18.2 = Claudin 18.2; </w:t>
      </w:r>
      <w:r w:rsidRPr="00276BCA">
        <w:rPr>
          <w:rFonts w:ascii="Arial Narrow" w:eastAsia="Times New Roman" w:hAnsi="Arial Narrow" w:cs="Arial"/>
          <w:snapToGrid w:val="0"/>
          <w:sz w:val="18"/>
          <w:lang w:eastAsia="en-AU"/>
        </w:rPr>
        <w:t xml:space="preserve">mFOLFOX6 = fluorouracil, leucovorin, and oxaliplatin; </w:t>
      </w:r>
      <w:r w:rsidRPr="00276BCA">
        <w:rPr>
          <w:rFonts w:ascii="Arial Narrow" w:eastAsia="Times New Roman" w:hAnsi="Arial Narrow" w:cs="Arial"/>
          <w:snapToGrid w:val="0"/>
          <w:sz w:val="18"/>
          <w:szCs w:val="20"/>
        </w:rPr>
        <w:t>Q3W = once in three weeks.</w:t>
      </w:r>
    </w:p>
    <w:p w14:paraId="5CB335C6" w14:textId="77777777" w:rsidR="00E73448" w:rsidRPr="00276BCA" w:rsidRDefault="00E73448" w:rsidP="00CB202B">
      <w:pPr>
        <w:keepNext/>
        <w:keepLines/>
        <w:widowControl w:val="0"/>
        <w:spacing w:before="0" w:after="0"/>
        <w:contextualSpacing/>
        <w:rPr>
          <w:rFonts w:ascii="Arial Narrow" w:eastAsia="Times New Roman" w:hAnsi="Arial Narrow" w:cs="Arial"/>
          <w:snapToGrid w:val="0"/>
          <w:sz w:val="18"/>
          <w:szCs w:val="18"/>
        </w:rPr>
      </w:pPr>
      <w:r w:rsidRPr="00276BCA">
        <w:rPr>
          <w:rFonts w:ascii="Arial Narrow" w:eastAsia="Times New Roman" w:hAnsi="Arial Narrow" w:cs="Arial"/>
          <w:snapToGrid w:val="0"/>
          <w:sz w:val="18"/>
          <w:szCs w:val="18"/>
          <w:vertAlign w:val="superscript"/>
        </w:rPr>
        <w:t xml:space="preserve">a </w:t>
      </w:r>
      <w:r w:rsidRPr="00276BCA">
        <w:rPr>
          <w:rFonts w:ascii="Arial Narrow" w:eastAsia="Times New Roman" w:hAnsi="Arial Narrow" w:cs="Arial"/>
          <w:snapToGrid w:val="0"/>
          <w:sz w:val="18"/>
          <w:szCs w:val="18"/>
        </w:rPr>
        <w:t xml:space="preserve">Assuming the cost difference, between </w:t>
      </w:r>
      <w:proofErr w:type="spellStart"/>
      <w:r w:rsidRPr="00276BCA">
        <w:rPr>
          <w:rFonts w:ascii="Arial Narrow" w:eastAsia="Times New Roman" w:hAnsi="Arial Narrow" w:cs="Arial"/>
          <w:snapToGrid w:val="0"/>
          <w:sz w:val="18"/>
          <w:szCs w:val="18"/>
        </w:rPr>
        <w:t>zolbetuximab</w:t>
      </w:r>
      <w:proofErr w:type="spellEnd"/>
      <w:r w:rsidRPr="00276BCA">
        <w:rPr>
          <w:rFonts w:ascii="Arial Narrow" w:eastAsia="Times New Roman" w:hAnsi="Arial Narrow" w:cs="Arial"/>
          <w:snapToGrid w:val="0"/>
          <w:sz w:val="18"/>
          <w:szCs w:val="18"/>
        </w:rPr>
        <w:t xml:space="preserve"> + chemotherapy and nivolumab + chemotherapy, becomes zero based on AEMP costs.</w:t>
      </w:r>
    </w:p>
    <w:p w14:paraId="38288E1A" w14:textId="170CC615" w:rsidR="00024899" w:rsidRPr="00276BCA" w:rsidRDefault="2952284B" w:rsidP="77D89277">
      <w:pPr>
        <w:keepNext/>
        <w:keepLines/>
        <w:widowControl w:val="0"/>
        <w:spacing w:before="0" w:after="0"/>
        <w:contextualSpacing/>
        <w:rPr>
          <w:rFonts w:ascii="Arial Narrow" w:eastAsia="Times New Roman" w:hAnsi="Arial Narrow" w:cs="Arial"/>
          <w:snapToGrid w:val="0"/>
          <w:sz w:val="18"/>
          <w:szCs w:val="18"/>
        </w:rPr>
      </w:pPr>
      <w:r w:rsidRPr="00276BCA">
        <w:rPr>
          <w:rFonts w:ascii="Arial Narrow" w:eastAsia="Times New Roman" w:hAnsi="Arial Narrow" w:cs="Arial"/>
          <w:snapToGrid w:val="0"/>
          <w:sz w:val="18"/>
          <w:szCs w:val="18"/>
          <w:vertAlign w:val="superscript"/>
        </w:rPr>
        <w:t>b</w:t>
      </w:r>
      <w:r w:rsidRPr="00276BCA">
        <w:rPr>
          <w:rFonts w:ascii="Arial Narrow" w:eastAsia="Times New Roman" w:hAnsi="Arial Narrow" w:cs="Arial"/>
          <w:snapToGrid w:val="0"/>
          <w:sz w:val="18"/>
          <w:szCs w:val="18"/>
        </w:rPr>
        <w:t xml:space="preserve"> Median duration for other components in SPOTLIGHT (4.65 months for capecitabine and 4.06 months for oxaliplatin) and GLOW (5.90 months for leucovorin, 5.30 months for fluorouracil [bolus], 6.50 months for fluorouracil [</w:t>
      </w:r>
      <w:r w:rsidR="47CC7DE7" w:rsidRPr="00276BCA">
        <w:rPr>
          <w:rFonts w:ascii="Arial Narrow" w:eastAsia="Times New Roman" w:hAnsi="Arial Narrow" w:cs="Arial"/>
          <w:snapToGrid w:val="0"/>
          <w:sz w:val="18"/>
          <w:szCs w:val="18"/>
        </w:rPr>
        <w:t>infusion</w:t>
      </w:r>
      <w:r w:rsidRPr="00276BCA">
        <w:rPr>
          <w:rFonts w:ascii="Arial Narrow" w:eastAsia="Times New Roman" w:hAnsi="Arial Narrow" w:cs="Arial"/>
          <w:snapToGrid w:val="0"/>
          <w:sz w:val="18"/>
          <w:szCs w:val="18"/>
        </w:rPr>
        <w:t xml:space="preserve">] and 4.93 months for oxaliplatin) and </w:t>
      </w:r>
      <w:proofErr w:type="spellStart"/>
      <w:r w:rsidRPr="00276BCA">
        <w:rPr>
          <w:rFonts w:ascii="Arial Narrow" w:eastAsia="Times New Roman" w:hAnsi="Arial Narrow" w:cs="Arial"/>
          <w:snapToGrid w:val="0"/>
          <w:sz w:val="18"/>
          <w:szCs w:val="18"/>
        </w:rPr>
        <w:t>CheckMate</w:t>
      </w:r>
      <w:proofErr w:type="spellEnd"/>
      <w:r w:rsidRPr="00276BCA">
        <w:rPr>
          <w:rFonts w:ascii="Arial Narrow" w:eastAsia="Times New Roman" w:hAnsi="Arial Narrow" w:cs="Arial"/>
          <w:snapToGrid w:val="0"/>
          <w:sz w:val="18"/>
          <w:szCs w:val="18"/>
        </w:rPr>
        <w:t xml:space="preserve"> 649 (4.90 for all components). </w:t>
      </w:r>
    </w:p>
    <w:p w14:paraId="6222CD36" w14:textId="6017D8DC" w:rsidR="00E73448" w:rsidRPr="00276BCA" w:rsidRDefault="2952284B" w:rsidP="77D89277">
      <w:pPr>
        <w:keepNext/>
        <w:keepLines/>
        <w:widowControl w:val="0"/>
        <w:spacing w:before="0" w:after="0"/>
        <w:contextualSpacing/>
        <w:rPr>
          <w:rFonts w:ascii="Arial Narrow" w:eastAsia="Times New Roman" w:hAnsi="Arial Narrow" w:cs="Arial"/>
          <w:snapToGrid w:val="0"/>
          <w:sz w:val="18"/>
          <w:szCs w:val="18"/>
        </w:rPr>
      </w:pPr>
      <w:r w:rsidRPr="00276BCA">
        <w:rPr>
          <w:rFonts w:ascii="Arial Narrow" w:eastAsia="Times New Roman" w:hAnsi="Arial Narrow" w:cs="Arial"/>
          <w:snapToGrid w:val="0"/>
          <w:sz w:val="18"/>
          <w:szCs w:val="18"/>
          <w:vertAlign w:val="superscript"/>
        </w:rPr>
        <w:t>c</w:t>
      </w:r>
      <w:r w:rsidRPr="00276BCA">
        <w:rPr>
          <w:rFonts w:ascii="Arial Narrow" w:eastAsia="Times New Roman" w:hAnsi="Arial Narrow" w:cs="Arial"/>
          <w:snapToGrid w:val="0"/>
          <w:sz w:val="18"/>
          <w:szCs w:val="18"/>
        </w:rPr>
        <w:t xml:space="preserve"> Mean duration for other components in SPOTLIGHT (6.98 months for capecitabine and 3.62 months for oxaliplatin) and GLOW (8.93 months for leucovorin, 7.86 months for fluorouracil [bolus], 10.21 months for fluorouracil [</w:t>
      </w:r>
      <w:r w:rsidR="47CC7DE7" w:rsidRPr="00276BCA">
        <w:rPr>
          <w:rFonts w:ascii="Arial Narrow" w:eastAsia="Times New Roman" w:hAnsi="Arial Narrow" w:cs="Arial"/>
          <w:snapToGrid w:val="0"/>
          <w:sz w:val="18"/>
          <w:szCs w:val="18"/>
        </w:rPr>
        <w:t>infusion</w:t>
      </w:r>
      <w:r w:rsidRPr="00276BCA">
        <w:rPr>
          <w:rFonts w:ascii="Arial Narrow" w:eastAsia="Times New Roman" w:hAnsi="Arial Narrow" w:cs="Arial"/>
          <w:snapToGrid w:val="0"/>
          <w:sz w:val="18"/>
          <w:szCs w:val="18"/>
        </w:rPr>
        <w:t xml:space="preserve">] and 4.32 months for oxaliplatin) and </w:t>
      </w:r>
      <w:proofErr w:type="spellStart"/>
      <w:r w:rsidRPr="00276BCA">
        <w:rPr>
          <w:rFonts w:ascii="Arial Narrow" w:eastAsia="Times New Roman" w:hAnsi="Arial Narrow" w:cs="Arial"/>
          <w:snapToGrid w:val="0"/>
          <w:sz w:val="18"/>
          <w:szCs w:val="18"/>
        </w:rPr>
        <w:t>CheckMate</w:t>
      </w:r>
      <w:proofErr w:type="spellEnd"/>
      <w:r w:rsidRPr="00276BCA">
        <w:rPr>
          <w:rFonts w:ascii="Arial Narrow" w:eastAsia="Times New Roman" w:hAnsi="Arial Narrow" w:cs="Arial"/>
          <w:snapToGrid w:val="0"/>
          <w:sz w:val="18"/>
          <w:szCs w:val="18"/>
        </w:rPr>
        <w:t xml:space="preserve"> 649 (5.52 for oxaliplatin and 7.07 for all remaining components). </w:t>
      </w:r>
      <w:r w:rsidR="4AA08130" w:rsidRPr="00276BCA">
        <w:rPr>
          <w:rFonts w:ascii="Arial Narrow" w:eastAsia="Times New Roman" w:hAnsi="Arial Narrow" w:cs="Arial"/>
          <w:snapToGrid w:val="0"/>
          <w:sz w:val="18"/>
          <w:szCs w:val="18"/>
        </w:rPr>
        <w:t>Italics calculated during evaluation.</w:t>
      </w:r>
    </w:p>
    <w:p w14:paraId="6EAF3913" w14:textId="0492FD56" w:rsidR="006E388E" w:rsidRPr="00276BCA" w:rsidRDefault="70DC117E" w:rsidP="77D89277">
      <w:pPr>
        <w:pStyle w:val="ListParagraph"/>
        <w:numPr>
          <w:ilvl w:val="4"/>
          <w:numId w:val="8"/>
        </w:numPr>
        <w:rPr>
          <w:color w:val="auto"/>
        </w:rPr>
      </w:pPr>
      <w:r w:rsidRPr="00276BCA">
        <w:rPr>
          <w:color w:val="auto"/>
        </w:rPr>
        <w:t xml:space="preserve">The evaluation </w:t>
      </w:r>
      <w:r w:rsidR="33618637" w:rsidRPr="00276BCA">
        <w:rPr>
          <w:color w:val="auto"/>
        </w:rPr>
        <w:t>and the ESCs</w:t>
      </w:r>
      <w:r w:rsidRPr="00276BCA">
        <w:rPr>
          <w:color w:val="auto"/>
        </w:rPr>
        <w:t xml:space="preserve"> noted that s</w:t>
      </w:r>
      <w:r w:rsidR="6B86A7AA" w:rsidRPr="00276BCA">
        <w:rPr>
          <w:color w:val="auto"/>
        </w:rPr>
        <w:t xml:space="preserve">hould the PBAC accept the clinical claim of overall noninferior effectiveness and safety, the cost-minimisation approach must establish that the cost per patient for treatment with </w:t>
      </w:r>
      <w:proofErr w:type="spellStart"/>
      <w:r w:rsidR="2A7DC182" w:rsidRPr="00276BCA">
        <w:rPr>
          <w:color w:val="auto"/>
        </w:rPr>
        <w:t>zolbetuximab</w:t>
      </w:r>
      <w:proofErr w:type="spellEnd"/>
      <w:r w:rsidR="2A7DC182" w:rsidRPr="00276BCA">
        <w:rPr>
          <w:color w:val="auto"/>
        </w:rPr>
        <w:t xml:space="preserve"> + chemotherapy and the CLDN18 testing</w:t>
      </w:r>
      <w:r w:rsidR="6B86A7AA" w:rsidRPr="00276BCA">
        <w:rPr>
          <w:color w:val="auto"/>
        </w:rPr>
        <w:t xml:space="preserve"> would be no more than the cost per patient of </w:t>
      </w:r>
      <w:r w:rsidR="2A7DC182" w:rsidRPr="00276BCA">
        <w:rPr>
          <w:color w:val="auto"/>
        </w:rPr>
        <w:t xml:space="preserve">nivolumab + chemotherapy. </w:t>
      </w:r>
      <w:r w:rsidR="6B86A7AA" w:rsidRPr="00276BCA">
        <w:rPr>
          <w:color w:val="auto"/>
        </w:rPr>
        <w:t xml:space="preserve">The cost per patient </w:t>
      </w:r>
      <w:proofErr w:type="gramStart"/>
      <w:r w:rsidR="6B86A7AA" w:rsidRPr="00276BCA">
        <w:rPr>
          <w:color w:val="auto"/>
        </w:rPr>
        <w:t>takes into account</w:t>
      </w:r>
      <w:proofErr w:type="gramEnd"/>
      <w:r w:rsidR="6B86A7AA" w:rsidRPr="00276BCA">
        <w:rPr>
          <w:color w:val="auto"/>
        </w:rPr>
        <w:t xml:space="preserve"> the mean </w:t>
      </w:r>
      <w:proofErr w:type="spellStart"/>
      <w:r w:rsidR="6B86A7AA" w:rsidRPr="00276BCA">
        <w:rPr>
          <w:color w:val="auto"/>
        </w:rPr>
        <w:t>equi</w:t>
      </w:r>
      <w:proofErr w:type="spellEnd"/>
      <w:r w:rsidR="6B86A7AA" w:rsidRPr="00276BCA">
        <w:rPr>
          <w:color w:val="auto"/>
        </w:rPr>
        <w:t xml:space="preserve">-effective doses </w:t>
      </w:r>
      <w:r w:rsidR="6B86A7AA" w:rsidRPr="00276BCA">
        <w:rPr>
          <w:color w:val="auto"/>
        </w:rPr>
        <w:lastRenderedPageBreak/>
        <w:t xml:space="preserve">of the new intervention and the alternative </w:t>
      </w:r>
      <w:proofErr w:type="gramStart"/>
      <w:r w:rsidR="6B86A7AA" w:rsidRPr="00276BCA">
        <w:rPr>
          <w:color w:val="auto"/>
        </w:rPr>
        <w:t>therapy, and</w:t>
      </w:r>
      <w:proofErr w:type="gramEnd"/>
      <w:r w:rsidR="6B86A7AA" w:rsidRPr="00276BCA">
        <w:rPr>
          <w:color w:val="auto"/>
        </w:rPr>
        <w:t xml:space="preserve"> also accounts for any difference in the mean duration of treatment. Where these cost per patient calculations are uncertain, the guiding principle is that the Australian Government should not bear the financial risk of this uncertainty because the Australian population already has access to therapy that is at least as effective and safe.</w:t>
      </w:r>
      <w:r w:rsidR="000739BD" w:rsidRPr="00276BCA">
        <w:rPr>
          <w:color w:val="auto"/>
        </w:rPr>
        <w:t xml:space="preserve"> </w:t>
      </w:r>
    </w:p>
    <w:p w14:paraId="19939EEF" w14:textId="2542B0AD" w:rsidR="00C317F3" w:rsidRPr="00276BCA" w:rsidRDefault="0EDB5E73" w:rsidP="00BF2D48">
      <w:pPr>
        <w:pStyle w:val="OutlineHeading2"/>
        <w:rPr>
          <w:rFonts w:ascii="Calibri" w:hAnsi="Calibri" w:cs="Calibri"/>
          <w:iCs/>
        </w:rPr>
      </w:pPr>
      <w:bookmarkStart w:id="70" w:name="_Toc413139283"/>
      <w:r w:rsidRPr="00276BCA">
        <w:rPr>
          <w:rFonts w:ascii="Calibri" w:hAnsi="Calibri" w:cs="Calibri"/>
          <w:iCs/>
        </w:rPr>
        <w:t>Drug</w:t>
      </w:r>
      <w:r w:rsidR="4F07ED87" w:rsidRPr="00276BCA">
        <w:rPr>
          <w:rFonts w:ascii="Calibri" w:hAnsi="Calibri" w:cs="Calibri"/>
          <w:iCs/>
        </w:rPr>
        <w:t xml:space="preserve"> cost/patient/</w:t>
      </w:r>
      <w:bookmarkEnd w:id="70"/>
      <w:r w:rsidR="7B60CF23" w:rsidRPr="00276BCA">
        <w:rPr>
          <w:rFonts w:ascii="Calibri" w:hAnsi="Calibri" w:cs="Calibri"/>
          <w:iCs/>
        </w:rPr>
        <w:t>course</w:t>
      </w:r>
    </w:p>
    <w:p w14:paraId="3C69F29B" w14:textId="74D9DB51" w:rsidR="000F18B1" w:rsidRPr="00276BCA" w:rsidRDefault="000F18B1" w:rsidP="008E424C">
      <w:pPr>
        <w:pStyle w:val="ListParagraph"/>
        <w:numPr>
          <w:ilvl w:val="4"/>
          <w:numId w:val="8"/>
        </w:numPr>
        <w:rPr>
          <w:color w:val="auto"/>
        </w:rPr>
      </w:pPr>
      <w:r w:rsidRPr="00276BCA">
        <w:rPr>
          <w:color w:val="auto"/>
        </w:rPr>
        <w:t xml:space="preserve">During the evaluation, total cost per course </w:t>
      </w:r>
      <w:r w:rsidR="0064555A" w:rsidRPr="00276BCA">
        <w:rPr>
          <w:color w:val="auto"/>
        </w:rPr>
        <w:t xml:space="preserve">was </w:t>
      </w:r>
      <w:r w:rsidRPr="00276BCA">
        <w:rPr>
          <w:color w:val="auto"/>
        </w:rPr>
        <w:t xml:space="preserve">calculated based on costs per cycle and number of cycles and is presented in </w:t>
      </w:r>
      <w:r w:rsidRPr="00276BCA">
        <w:rPr>
          <w:color w:val="auto"/>
        </w:rPr>
        <w:fldChar w:fldCharType="begin"/>
      </w:r>
      <w:r w:rsidRPr="00276BCA">
        <w:rPr>
          <w:color w:val="auto"/>
        </w:rPr>
        <w:instrText xml:space="preserve"> REF _Ref184408253 \h  \* MERGEFORMAT </w:instrText>
      </w:r>
      <w:r w:rsidRPr="00276BCA">
        <w:rPr>
          <w:color w:val="auto"/>
        </w:rPr>
      </w:r>
      <w:r w:rsidRPr="00276BCA">
        <w:rPr>
          <w:color w:val="auto"/>
        </w:rPr>
        <w:fldChar w:fldCharType="separate"/>
      </w:r>
      <w:r w:rsidR="0011458F" w:rsidRPr="0011458F">
        <w:rPr>
          <w:color w:val="auto"/>
        </w:rPr>
        <w:t>Table 14</w:t>
      </w:r>
      <w:r w:rsidRPr="00276BCA">
        <w:rPr>
          <w:color w:val="auto"/>
        </w:rPr>
        <w:fldChar w:fldCharType="end"/>
      </w:r>
      <w:r w:rsidRPr="00276BCA">
        <w:rPr>
          <w:color w:val="auto"/>
        </w:rPr>
        <w:t xml:space="preserve">. The following difference between the drug costs as estimated using information from the </w:t>
      </w:r>
      <w:proofErr w:type="spellStart"/>
      <w:r w:rsidRPr="00276BCA">
        <w:rPr>
          <w:color w:val="auto"/>
        </w:rPr>
        <w:t>zolbetuximab</w:t>
      </w:r>
      <w:proofErr w:type="spellEnd"/>
      <w:r w:rsidRPr="00276BCA">
        <w:rPr>
          <w:color w:val="auto"/>
        </w:rPr>
        <w:t xml:space="preserve"> and nivolumab </w:t>
      </w:r>
      <w:r w:rsidR="00FD592D" w:rsidRPr="00276BCA">
        <w:rPr>
          <w:color w:val="auto"/>
        </w:rPr>
        <w:t>trials</w:t>
      </w:r>
      <w:r w:rsidRPr="00276BCA">
        <w:rPr>
          <w:color w:val="auto"/>
        </w:rPr>
        <w:t>, in the economic model and the financial estimates were noted:</w:t>
      </w:r>
    </w:p>
    <w:p w14:paraId="07D37FE9" w14:textId="01DA2D94" w:rsidR="000F18B1" w:rsidRPr="00276BCA" w:rsidRDefault="000F18B1" w:rsidP="00FD592D">
      <w:pPr>
        <w:pStyle w:val="PBACESParagraphBulletPoint"/>
        <w:rPr>
          <w:color w:val="auto"/>
        </w:rPr>
      </w:pPr>
      <w:r w:rsidRPr="00276BCA">
        <w:rPr>
          <w:color w:val="auto"/>
        </w:rPr>
        <w:t xml:space="preserve">The base case of the economic model assumed vial sharing of chemotherapy; therefore, the cost per treatment course was higher </w:t>
      </w:r>
      <w:r w:rsidR="003931A2" w:rsidRPr="00276BCA">
        <w:rPr>
          <w:color w:val="auto"/>
        </w:rPr>
        <w:t>in</w:t>
      </w:r>
      <w:r w:rsidRPr="00276BCA">
        <w:rPr>
          <w:color w:val="auto"/>
        </w:rPr>
        <w:t xml:space="preserve"> the financial estimates which </w:t>
      </w:r>
      <w:r w:rsidR="003931A2" w:rsidRPr="00276BCA">
        <w:rPr>
          <w:color w:val="auto"/>
        </w:rPr>
        <w:t>assumed no wastage</w:t>
      </w:r>
      <w:r w:rsidR="008D1937" w:rsidRPr="00276BCA">
        <w:rPr>
          <w:color w:val="auto"/>
        </w:rPr>
        <w:t>; and</w:t>
      </w:r>
    </w:p>
    <w:p w14:paraId="19D98973" w14:textId="12E7BF7D" w:rsidR="00CD31B5" w:rsidRPr="00276BCA" w:rsidRDefault="58FCEFB5" w:rsidP="77D89277">
      <w:pPr>
        <w:pStyle w:val="PBACESParagraphBulletPoint"/>
        <w:rPr>
          <w:color w:val="auto"/>
        </w:rPr>
      </w:pPr>
      <w:r w:rsidRPr="00276BCA">
        <w:rPr>
          <w:color w:val="auto"/>
        </w:rPr>
        <w:t xml:space="preserve">EMP was </w:t>
      </w:r>
      <w:r w:rsidR="00BE1215" w:rsidRPr="00276BCA">
        <w:rPr>
          <w:color w:val="auto"/>
        </w:rPr>
        <w:t xml:space="preserve">calculated </w:t>
      </w:r>
      <w:r w:rsidR="0D9A5629" w:rsidRPr="00276BCA">
        <w:rPr>
          <w:color w:val="auto"/>
        </w:rPr>
        <w:t xml:space="preserve">for </w:t>
      </w:r>
      <w:proofErr w:type="spellStart"/>
      <w:r w:rsidR="37ED678F" w:rsidRPr="00276BCA">
        <w:rPr>
          <w:color w:val="auto"/>
        </w:rPr>
        <w:t>zolbetuximab</w:t>
      </w:r>
      <w:proofErr w:type="spellEnd"/>
      <w:r w:rsidR="37ED678F" w:rsidRPr="00276BCA">
        <w:rPr>
          <w:color w:val="auto"/>
        </w:rPr>
        <w:t xml:space="preserve"> in </w:t>
      </w:r>
      <w:r w:rsidR="0D9A5629" w:rsidRPr="00276BCA">
        <w:rPr>
          <w:color w:val="auto"/>
        </w:rPr>
        <w:t xml:space="preserve">the </w:t>
      </w:r>
      <w:r w:rsidRPr="00276BCA">
        <w:rPr>
          <w:color w:val="auto"/>
        </w:rPr>
        <w:t xml:space="preserve">economic model whereas DMPA was used </w:t>
      </w:r>
      <w:r w:rsidR="0D9A5629" w:rsidRPr="00276BCA">
        <w:rPr>
          <w:color w:val="auto"/>
        </w:rPr>
        <w:t>for estimating the</w:t>
      </w:r>
      <w:r w:rsidRPr="00276BCA">
        <w:rPr>
          <w:color w:val="auto"/>
        </w:rPr>
        <w:t xml:space="preserve"> financial </w:t>
      </w:r>
      <w:r w:rsidR="0D9A5629" w:rsidRPr="00276BCA">
        <w:rPr>
          <w:color w:val="auto"/>
        </w:rPr>
        <w:t>cost</w:t>
      </w:r>
      <w:r w:rsidRPr="00276BCA">
        <w:rPr>
          <w:color w:val="auto"/>
        </w:rPr>
        <w:t>s.</w:t>
      </w:r>
    </w:p>
    <w:p w14:paraId="65201C0F" w14:textId="27E84EA5" w:rsidR="000F18B1" w:rsidRPr="00276BCA" w:rsidRDefault="000F18B1" w:rsidP="00204461">
      <w:pPr>
        <w:pStyle w:val="Caption"/>
      </w:pPr>
      <w:bookmarkStart w:id="71" w:name="_Ref184408253"/>
      <w:r w:rsidRPr="00276BCA">
        <w:lastRenderedPageBreak/>
        <w:t xml:space="preserve">Table </w:t>
      </w:r>
      <w:r w:rsidR="005E7C50">
        <w:fldChar w:fldCharType="begin"/>
      </w:r>
      <w:r w:rsidR="005E7C50">
        <w:instrText xml:space="preserve"> SEQ Table_PBAC. \* ARABIC </w:instrText>
      </w:r>
      <w:r w:rsidR="005E7C50">
        <w:fldChar w:fldCharType="separate"/>
      </w:r>
      <w:r w:rsidR="0011458F">
        <w:rPr>
          <w:noProof/>
        </w:rPr>
        <w:t>14</w:t>
      </w:r>
      <w:r w:rsidR="005E7C50">
        <w:rPr>
          <w:noProof/>
        </w:rPr>
        <w:fldChar w:fldCharType="end"/>
      </w:r>
      <w:bookmarkEnd w:id="71"/>
      <w:r w:rsidR="00D331CD" w:rsidRPr="00276BCA">
        <w:t xml:space="preserve">: </w:t>
      </w:r>
      <w:r w:rsidRPr="00276BCA">
        <w:t xml:space="preserve">Drug </w:t>
      </w:r>
      <w:r w:rsidR="00565F55" w:rsidRPr="00276BCA">
        <w:t xml:space="preserve">cost </w:t>
      </w:r>
      <w:r w:rsidRPr="00276BCA">
        <w:t xml:space="preserve">per patient </w:t>
      </w:r>
      <w:r w:rsidR="00F57C93" w:rsidRPr="00276BCA">
        <w:t>per 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Table 14: Drug cost per patient per course"/>
      </w:tblPr>
      <w:tblGrid>
        <w:gridCol w:w="1393"/>
        <w:gridCol w:w="866"/>
        <w:gridCol w:w="710"/>
        <w:gridCol w:w="994"/>
        <w:gridCol w:w="1134"/>
        <w:gridCol w:w="710"/>
        <w:gridCol w:w="862"/>
        <w:gridCol w:w="743"/>
        <w:gridCol w:w="743"/>
        <w:gridCol w:w="861"/>
      </w:tblGrid>
      <w:tr w:rsidR="00E41328" w:rsidRPr="00276BCA" w14:paraId="30785B8B" w14:textId="77777777" w:rsidTr="00BF1257">
        <w:trPr>
          <w:trHeight w:val="20"/>
        </w:trPr>
        <w:tc>
          <w:tcPr>
            <w:tcW w:w="773" w:type="pct"/>
            <w:vMerge w:val="restart"/>
            <w:vAlign w:val="center"/>
          </w:tcPr>
          <w:p w14:paraId="201FE014" w14:textId="77777777" w:rsidR="00CF1176" w:rsidRPr="00276BCA" w:rsidRDefault="00CF1176" w:rsidP="00CB202B">
            <w:pPr>
              <w:keepNext/>
              <w:keepLines/>
              <w:spacing w:before="0" w:after="0"/>
              <w:jc w:val="center"/>
              <w:rPr>
                <w:rFonts w:ascii="Calibri" w:eastAsia="Times New Roman" w:hAnsi="Calibri" w:cs="Calibri"/>
                <w:b/>
                <w:szCs w:val="20"/>
              </w:rPr>
            </w:pPr>
          </w:p>
        </w:tc>
        <w:tc>
          <w:tcPr>
            <w:tcW w:w="1425" w:type="pct"/>
            <w:gridSpan w:val="3"/>
            <w:vAlign w:val="center"/>
            <w:hideMark/>
          </w:tcPr>
          <w:p w14:paraId="01E42E8B" w14:textId="56409D1F" w:rsidR="00CF1176" w:rsidRPr="00276BCA" w:rsidRDefault="24556079" w:rsidP="77D89277">
            <w:pPr>
              <w:keepNext/>
              <w:keepLines/>
              <w:spacing w:before="0" w:after="0"/>
              <w:jc w:val="center"/>
              <w:rPr>
                <w:rFonts w:ascii="Arial Narrow" w:eastAsia="Times New Roman" w:hAnsi="Arial Narrow" w:cs="Calibri"/>
                <w:b/>
                <w:bCs/>
                <w:sz w:val="20"/>
                <w:szCs w:val="20"/>
              </w:rPr>
            </w:pPr>
            <w:r w:rsidRPr="00276BCA">
              <w:rPr>
                <w:rFonts w:ascii="Arial Narrow" w:eastAsia="Times New Roman" w:hAnsi="Arial Narrow" w:cs="Calibri"/>
                <w:b/>
                <w:bCs/>
                <w:sz w:val="20"/>
                <w:szCs w:val="20"/>
              </w:rPr>
              <w:t xml:space="preserve">Cost per </w:t>
            </w:r>
            <w:proofErr w:type="spellStart"/>
            <w:r w:rsidRPr="00276BCA">
              <w:rPr>
                <w:rFonts w:ascii="Arial Narrow" w:eastAsia="Times New Roman" w:hAnsi="Arial Narrow" w:cs="Calibri"/>
                <w:b/>
                <w:bCs/>
                <w:sz w:val="20"/>
                <w:szCs w:val="20"/>
              </w:rPr>
              <w:t>cycle</w:t>
            </w:r>
            <w:r w:rsidR="5F68EFD7" w:rsidRPr="00276BCA">
              <w:rPr>
                <w:rFonts w:ascii="Arial Narrow" w:eastAsia="Times New Roman" w:hAnsi="Arial Narrow" w:cs="Calibri"/>
                <w:b/>
                <w:bCs/>
                <w:sz w:val="20"/>
                <w:szCs w:val="20"/>
                <w:vertAlign w:val="superscript"/>
              </w:rPr>
              <w:t>a</w:t>
            </w:r>
            <w:proofErr w:type="spellEnd"/>
          </w:p>
        </w:tc>
        <w:tc>
          <w:tcPr>
            <w:tcW w:w="1501" w:type="pct"/>
            <w:gridSpan w:val="3"/>
            <w:vAlign w:val="center"/>
            <w:hideMark/>
          </w:tcPr>
          <w:p w14:paraId="29DA44B8" w14:textId="77777777" w:rsidR="00CF1176" w:rsidRPr="00276BCA" w:rsidRDefault="00CF1176" w:rsidP="00CB202B">
            <w:pPr>
              <w:keepNext/>
              <w:keepLines/>
              <w:spacing w:before="0" w:after="0"/>
              <w:jc w:val="center"/>
              <w:rPr>
                <w:rFonts w:ascii="Arial Narrow" w:eastAsia="Times New Roman" w:hAnsi="Arial Narrow" w:cs="Calibri"/>
                <w:b/>
                <w:sz w:val="20"/>
                <w:szCs w:val="20"/>
              </w:rPr>
            </w:pPr>
            <w:r w:rsidRPr="00276BCA">
              <w:rPr>
                <w:rFonts w:ascii="Arial Narrow" w:eastAsia="Times New Roman" w:hAnsi="Arial Narrow" w:cs="Calibri"/>
                <w:b/>
                <w:sz w:val="20"/>
                <w:szCs w:val="20"/>
              </w:rPr>
              <w:t>Duration of treatment</w:t>
            </w:r>
          </w:p>
        </w:tc>
        <w:tc>
          <w:tcPr>
            <w:tcW w:w="1302" w:type="pct"/>
            <w:gridSpan w:val="3"/>
            <w:vAlign w:val="center"/>
            <w:hideMark/>
          </w:tcPr>
          <w:p w14:paraId="358AFF7E" w14:textId="77777777" w:rsidR="00CF1176" w:rsidRPr="00276BCA" w:rsidRDefault="00CF1176" w:rsidP="00CB202B">
            <w:pPr>
              <w:keepNext/>
              <w:keepLines/>
              <w:spacing w:before="0" w:after="0"/>
              <w:jc w:val="center"/>
              <w:rPr>
                <w:rFonts w:ascii="Arial Narrow" w:eastAsia="Times New Roman" w:hAnsi="Arial Narrow" w:cs="Calibri"/>
                <w:b/>
                <w:sz w:val="20"/>
                <w:szCs w:val="20"/>
              </w:rPr>
            </w:pPr>
            <w:r w:rsidRPr="00276BCA">
              <w:rPr>
                <w:rFonts w:ascii="Arial Narrow" w:eastAsia="Times New Roman" w:hAnsi="Arial Narrow" w:cs="Calibri"/>
                <w:b/>
                <w:sz w:val="20"/>
                <w:szCs w:val="20"/>
              </w:rPr>
              <w:t>Total cost per course</w:t>
            </w:r>
          </w:p>
        </w:tc>
      </w:tr>
      <w:tr w:rsidR="00840E95" w:rsidRPr="00276BCA" w14:paraId="61C94212" w14:textId="77777777" w:rsidTr="00BF1257">
        <w:trPr>
          <w:trHeight w:val="20"/>
        </w:trPr>
        <w:tc>
          <w:tcPr>
            <w:tcW w:w="773" w:type="pct"/>
            <w:vMerge/>
            <w:vAlign w:val="center"/>
            <w:hideMark/>
          </w:tcPr>
          <w:p w14:paraId="145CA403" w14:textId="77777777" w:rsidR="00CF1176" w:rsidRPr="00276BCA" w:rsidRDefault="00CF1176" w:rsidP="00CB202B">
            <w:pPr>
              <w:keepNext/>
              <w:keepLines/>
              <w:spacing w:before="0" w:after="0"/>
              <w:rPr>
                <w:rFonts w:ascii="Calibri" w:eastAsia="Times New Roman" w:hAnsi="Calibri" w:cs="Calibri"/>
                <w:b/>
                <w:szCs w:val="20"/>
              </w:rPr>
            </w:pPr>
          </w:p>
        </w:tc>
        <w:tc>
          <w:tcPr>
            <w:tcW w:w="480" w:type="pct"/>
            <w:vAlign w:val="center"/>
            <w:hideMark/>
          </w:tcPr>
          <w:p w14:paraId="410CC9A0" w14:textId="08F60DD2" w:rsidR="00CF1176" w:rsidRPr="00276BCA" w:rsidRDefault="24556079" w:rsidP="77D89277">
            <w:pPr>
              <w:keepNext/>
              <w:keepLines/>
              <w:spacing w:before="0" w:after="0"/>
              <w:jc w:val="center"/>
              <w:rPr>
                <w:rFonts w:ascii="Arial Narrow" w:eastAsia="Times New Roman" w:hAnsi="Arial Narrow" w:cs="Calibri"/>
                <w:b/>
                <w:bCs/>
                <w:sz w:val="20"/>
                <w:szCs w:val="20"/>
              </w:rPr>
            </w:pPr>
            <w:proofErr w:type="spellStart"/>
            <w:r w:rsidRPr="00276BCA">
              <w:rPr>
                <w:rFonts w:ascii="Arial Narrow" w:eastAsia="Times New Roman" w:hAnsi="Arial Narrow" w:cs="Calibri"/>
                <w:b/>
                <w:bCs/>
                <w:sz w:val="20"/>
                <w:szCs w:val="20"/>
              </w:rPr>
              <w:t>Trial</w:t>
            </w:r>
            <w:r w:rsidR="5F68EFD7" w:rsidRPr="00276BCA">
              <w:rPr>
                <w:rFonts w:ascii="Arial Narrow" w:eastAsia="Times New Roman" w:hAnsi="Arial Narrow" w:cs="Calibri"/>
                <w:b/>
                <w:bCs/>
                <w:sz w:val="20"/>
                <w:szCs w:val="20"/>
                <w:vertAlign w:val="superscript"/>
              </w:rPr>
              <w:t>b</w:t>
            </w:r>
            <w:proofErr w:type="spellEnd"/>
          </w:p>
        </w:tc>
        <w:tc>
          <w:tcPr>
            <w:tcW w:w="394" w:type="pct"/>
            <w:vAlign w:val="center"/>
            <w:hideMark/>
          </w:tcPr>
          <w:p w14:paraId="45326457" w14:textId="77777777" w:rsidR="00CF1176" w:rsidRPr="00276BCA" w:rsidRDefault="24556079" w:rsidP="77D89277">
            <w:pPr>
              <w:keepNext/>
              <w:keepLines/>
              <w:spacing w:before="0" w:after="0"/>
              <w:jc w:val="center"/>
              <w:rPr>
                <w:rFonts w:ascii="Arial Narrow" w:eastAsia="Times New Roman" w:hAnsi="Arial Narrow" w:cs="Calibri"/>
                <w:b/>
                <w:bCs/>
                <w:sz w:val="20"/>
                <w:szCs w:val="20"/>
                <w:vertAlign w:val="superscript"/>
              </w:rPr>
            </w:pPr>
            <w:proofErr w:type="spellStart"/>
            <w:r w:rsidRPr="00276BCA">
              <w:rPr>
                <w:rFonts w:ascii="Arial Narrow" w:eastAsia="Times New Roman" w:hAnsi="Arial Narrow" w:cs="Calibri"/>
                <w:b/>
                <w:bCs/>
                <w:sz w:val="20"/>
                <w:szCs w:val="20"/>
              </w:rPr>
              <w:t>Model</w:t>
            </w:r>
            <w:r w:rsidR="5F68EFD7" w:rsidRPr="00276BCA">
              <w:rPr>
                <w:rFonts w:ascii="Arial Narrow" w:eastAsia="Times New Roman" w:hAnsi="Arial Narrow" w:cs="Calibri"/>
                <w:b/>
                <w:bCs/>
                <w:sz w:val="20"/>
                <w:szCs w:val="20"/>
                <w:vertAlign w:val="superscript"/>
              </w:rPr>
              <w:t>c</w:t>
            </w:r>
            <w:proofErr w:type="spellEnd"/>
          </w:p>
          <w:p w14:paraId="229FE45B" w14:textId="6CA56F54" w:rsidR="004F62C7" w:rsidRPr="00276BCA" w:rsidRDefault="004F62C7" w:rsidP="00CB202B">
            <w:pPr>
              <w:keepNext/>
              <w:keepLines/>
              <w:spacing w:before="0" w:after="0"/>
              <w:jc w:val="center"/>
              <w:rPr>
                <w:rFonts w:ascii="Arial Narrow" w:eastAsia="Times New Roman" w:hAnsi="Arial Narrow" w:cs="Calibri"/>
                <w:b/>
                <w:sz w:val="20"/>
                <w:szCs w:val="20"/>
              </w:rPr>
            </w:pPr>
            <w:r w:rsidRPr="00276BCA">
              <w:rPr>
                <w:rFonts w:ascii="Arial Narrow" w:eastAsia="Times New Roman" w:hAnsi="Arial Narrow" w:cs="Calibri"/>
                <w:b/>
                <w:sz w:val="20"/>
                <w:szCs w:val="20"/>
              </w:rPr>
              <w:t>(AEMP)</w:t>
            </w:r>
          </w:p>
        </w:tc>
        <w:tc>
          <w:tcPr>
            <w:tcW w:w="551" w:type="pct"/>
            <w:vAlign w:val="center"/>
            <w:hideMark/>
          </w:tcPr>
          <w:p w14:paraId="6B0839BE" w14:textId="3FA7BA6E" w:rsidR="00CF1176" w:rsidRPr="00276BCA" w:rsidRDefault="24556079" w:rsidP="77D89277">
            <w:pPr>
              <w:keepNext/>
              <w:keepLines/>
              <w:spacing w:before="0" w:after="0"/>
              <w:jc w:val="center"/>
              <w:rPr>
                <w:rFonts w:ascii="Arial Narrow" w:eastAsia="Times New Roman" w:hAnsi="Arial Narrow" w:cs="Calibri"/>
                <w:b/>
                <w:bCs/>
                <w:sz w:val="20"/>
                <w:szCs w:val="20"/>
                <w:vertAlign w:val="superscript"/>
              </w:rPr>
            </w:pPr>
            <w:proofErr w:type="spellStart"/>
            <w:r w:rsidRPr="00276BCA">
              <w:rPr>
                <w:rFonts w:ascii="Arial Narrow" w:eastAsia="Times New Roman" w:hAnsi="Arial Narrow" w:cs="Calibri"/>
                <w:b/>
                <w:bCs/>
                <w:sz w:val="20"/>
                <w:szCs w:val="20"/>
              </w:rPr>
              <w:t>Financials</w:t>
            </w:r>
            <w:r w:rsidR="5F68EFD7" w:rsidRPr="00276BCA">
              <w:rPr>
                <w:rFonts w:ascii="Arial Narrow" w:eastAsia="Times New Roman" w:hAnsi="Arial Narrow" w:cs="Calibri"/>
                <w:b/>
                <w:bCs/>
                <w:sz w:val="20"/>
                <w:szCs w:val="20"/>
                <w:vertAlign w:val="superscript"/>
              </w:rPr>
              <w:t>d</w:t>
            </w:r>
            <w:proofErr w:type="spellEnd"/>
          </w:p>
          <w:p w14:paraId="359C2130" w14:textId="77777777" w:rsidR="00CF1176" w:rsidRPr="00276BCA" w:rsidRDefault="00CF1176" w:rsidP="00CB202B">
            <w:pPr>
              <w:keepNext/>
              <w:keepLines/>
              <w:spacing w:before="0" w:after="0"/>
              <w:jc w:val="center"/>
              <w:rPr>
                <w:rFonts w:ascii="Arial Narrow" w:eastAsia="Times New Roman" w:hAnsi="Arial Narrow" w:cs="Calibri"/>
                <w:b/>
                <w:sz w:val="20"/>
                <w:szCs w:val="20"/>
              </w:rPr>
            </w:pPr>
            <w:r w:rsidRPr="00276BCA">
              <w:rPr>
                <w:rFonts w:ascii="Arial Narrow" w:eastAsia="Times New Roman" w:hAnsi="Arial Narrow" w:cs="Calibri"/>
                <w:b/>
                <w:sz w:val="20"/>
                <w:szCs w:val="20"/>
              </w:rPr>
              <w:t xml:space="preserve">(Weighted DPMA) </w:t>
            </w:r>
          </w:p>
        </w:tc>
        <w:tc>
          <w:tcPr>
            <w:tcW w:w="629" w:type="pct"/>
            <w:vAlign w:val="center"/>
            <w:hideMark/>
          </w:tcPr>
          <w:p w14:paraId="41B20F52" w14:textId="77777777" w:rsidR="00CF1176" w:rsidRPr="00276BCA" w:rsidRDefault="00CF1176" w:rsidP="00CB202B">
            <w:pPr>
              <w:keepNext/>
              <w:keepLines/>
              <w:spacing w:before="0" w:after="0"/>
              <w:jc w:val="center"/>
              <w:rPr>
                <w:rFonts w:ascii="Arial Narrow" w:eastAsia="Times New Roman" w:hAnsi="Arial Narrow" w:cs="Calibri"/>
                <w:b/>
                <w:sz w:val="20"/>
                <w:szCs w:val="20"/>
              </w:rPr>
            </w:pPr>
            <w:r w:rsidRPr="00276BCA">
              <w:rPr>
                <w:rFonts w:ascii="Arial Narrow" w:eastAsia="Times New Roman" w:hAnsi="Arial Narrow" w:cs="Calibri"/>
                <w:b/>
                <w:sz w:val="20"/>
                <w:szCs w:val="20"/>
              </w:rPr>
              <w:t>Trial</w:t>
            </w:r>
          </w:p>
        </w:tc>
        <w:tc>
          <w:tcPr>
            <w:tcW w:w="394" w:type="pct"/>
            <w:vAlign w:val="center"/>
            <w:hideMark/>
          </w:tcPr>
          <w:p w14:paraId="6702914E" w14:textId="7FD0A140" w:rsidR="00CF1176" w:rsidRPr="00276BCA" w:rsidRDefault="00CF1176" w:rsidP="00CB202B">
            <w:pPr>
              <w:keepNext/>
              <w:keepLines/>
              <w:spacing w:before="0" w:after="0"/>
              <w:jc w:val="center"/>
              <w:rPr>
                <w:rFonts w:ascii="Arial Narrow" w:eastAsia="Times New Roman" w:hAnsi="Arial Narrow" w:cs="Calibri"/>
                <w:b/>
                <w:sz w:val="20"/>
                <w:szCs w:val="20"/>
              </w:rPr>
            </w:pPr>
            <w:r w:rsidRPr="00276BCA">
              <w:rPr>
                <w:rFonts w:ascii="Arial Narrow" w:eastAsia="Times New Roman" w:hAnsi="Arial Narrow" w:cs="Calibri"/>
                <w:b/>
                <w:sz w:val="20"/>
                <w:szCs w:val="20"/>
              </w:rPr>
              <w:t>Model</w:t>
            </w:r>
          </w:p>
        </w:tc>
        <w:tc>
          <w:tcPr>
            <w:tcW w:w="477" w:type="pct"/>
            <w:vAlign w:val="center"/>
            <w:hideMark/>
          </w:tcPr>
          <w:p w14:paraId="688D5957" w14:textId="3ACD6B8B" w:rsidR="00CF1176" w:rsidRPr="00276BCA" w:rsidRDefault="00CF1176" w:rsidP="00CB202B">
            <w:pPr>
              <w:keepNext/>
              <w:keepLines/>
              <w:spacing w:before="0" w:after="0"/>
              <w:jc w:val="center"/>
              <w:rPr>
                <w:rFonts w:ascii="Arial Narrow" w:eastAsia="Times New Roman" w:hAnsi="Arial Narrow" w:cs="Calibri"/>
                <w:b/>
                <w:sz w:val="20"/>
                <w:szCs w:val="20"/>
                <w:vertAlign w:val="superscript"/>
              </w:rPr>
            </w:pPr>
            <w:r w:rsidRPr="00276BCA">
              <w:rPr>
                <w:rFonts w:ascii="Arial Narrow" w:eastAsia="Times New Roman" w:hAnsi="Arial Narrow" w:cs="Calibri"/>
                <w:b/>
                <w:sz w:val="20"/>
                <w:szCs w:val="20"/>
              </w:rPr>
              <w:t>Financials</w:t>
            </w:r>
          </w:p>
          <w:p w14:paraId="11A9500D" w14:textId="17BE769A" w:rsidR="00CF1176" w:rsidRPr="00276BCA" w:rsidRDefault="00CF1176" w:rsidP="00CB202B">
            <w:pPr>
              <w:keepNext/>
              <w:keepLines/>
              <w:spacing w:before="0" w:after="0"/>
              <w:jc w:val="center"/>
              <w:rPr>
                <w:rFonts w:ascii="Arial Narrow" w:eastAsia="Times New Roman" w:hAnsi="Arial Narrow" w:cs="Calibri"/>
                <w:b/>
                <w:sz w:val="20"/>
                <w:szCs w:val="20"/>
              </w:rPr>
            </w:pPr>
            <w:r w:rsidRPr="00276BCA">
              <w:rPr>
                <w:rFonts w:ascii="Arial Narrow" w:eastAsia="Times New Roman" w:hAnsi="Arial Narrow" w:cs="Calibri"/>
                <w:b/>
                <w:sz w:val="20"/>
                <w:szCs w:val="20"/>
              </w:rPr>
              <w:t xml:space="preserve">(Weighted DPMA) </w:t>
            </w:r>
          </w:p>
        </w:tc>
        <w:tc>
          <w:tcPr>
            <w:tcW w:w="412" w:type="pct"/>
            <w:vAlign w:val="center"/>
            <w:hideMark/>
          </w:tcPr>
          <w:p w14:paraId="2770B65A" w14:textId="77777777" w:rsidR="00CF1176" w:rsidRPr="00276BCA" w:rsidRDefault="00CF1176" w:rsidP="00CB202B">
            <w:pPr>
              <w:keepNext/>
              <w:keepLines/>
              <w:spacing w:before="0" w:after="0"/>
              <w:jc w:val="center"/>
              <w:rPr>
                <w:rFonts w:ascii="Arial Narrow" w:eastAsia="Times New Roman" w:hAnsi="Arial Narrow" w:cs="Calibri"/>
                <w:b/>
                <w:sz w:val="20"/>
                <w:szCs w:val="20"/>
              </w:rPr>
            </w:pPr>
            <w:r w:rsidRPr="00276BCA">
              <w:rPr>
                <w:rFonts w:ascii="Arial Narrow" w:eastAsia="Times New Roman" w:hAnsi="Arial Narrow" w:cs="Calibri"/>
                <w:b/>
                <w:sz w:val="20"/>
                <w:szCs w:val="20"/>
              </w:rPr>
              <w:t>Trial</w:t>
            </w:r>
          </w:p>
        </w:tc>
        <w:tc>
          <w:tcPr>
            <w:tcW w:w="412" w:type="pct"/>
            <w:vAlign w:val="center"/>
            <w:hideMark/>
          </w:tcPr>
          <w:p w14:paraId="030CE5C0" w14:textId="77777777" w:rsidR="00CF1176" w:rsidRPr="00276BCA" w:rsidRDefault="00CF1176" w:rsidP="00CB202B">
            <w:pPr>
              <w:keepNext/>
              <w:keepLines/>
              <w:spacing w:before="0" w:after="0"/>
              <w:jc w:val="center"/>
              <w:rPr>
                <w:rFonts w:ascii="Arial Narrow" w:eastAsia="Times New Roman" w:hAnsi="Arial Narrow" w:cs="Calibri"/>
                <w:b/>
                <w:sz w:val="20"/>
                <w:szCs w:val="20"/>
              </w:rPr>
            </w:pPr>
            <w:r w:rsidRPr="00276BCA">
              <w:rPr>
                <w:rFonts w:ascii="Arial Narrow" w:eastAsia="Times New Roman" w:hAnsi="Arial Narrow" w:cs="Calibri"/>
                <w:b/>
                <w:sz w:val="20"/>
                <w:szCs w:val="20"/>
              </w:rPr>
              <w:t>Model</w:t>
            </w:r>
          </w:p>
          <w:p w14:paraId="2A1053F1" w14:textId="20D6B1F2" w:rsidR="004F62C7" w:rsidRPr="00276BCA" w:rsidRDefault="004F62C7"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b/>
                <w:sz w:val="20"/>
                <w:szCs w:val="20"/>
              </w:rPr>
              <w:t>(AEMP)</w:t>
            </w:r>
          </w:p>
        </w:tc>
        <w:tc>
          <w:tcPr>
            <w:tcW w:w="477" w:type="pct"/>
            <w:vAlign w:val="center"/>
            <w:hideMark/>
          </w:tcPr>
          <w:p w14:paraId="4F7115B3" w14:textId="77777777" w:rsidR="00CF1176" w:rsidRPr="00276BCA" w:rsidRDefault="00CF1176" w:rsidP="00CB202B">
            <w:pPr>
              <w:keepNext/>
              <w:keepLines/>
              <w:spacing w:before="0" w:after="0"/>
              <w:jc w:val="center"/>
              <w:rPr>
                <w:rFonts w:ascii="Arial Narrow" w:eastAsia="Times New Roman" w:hAnsi="Arial Narrow" w:cs="Calibri"/>
                <w:b/>
                <w:sz w:val="20"/>
                <w:szCs w:val="20"/>
              </w:rPr>
            </w:pPr>
            <w:r w:rsidRPr="00276BCA">
              <w:rPr>
                <w:rFonts w:ascii="Arial Narrow" w:eastAsia="Times New Roman" w:hAnsi="Arial Narrow" w:cs="Calibri"/>
                <w:b/>
                <w:sz w:val="20"/>
                <w:szCs w:val="20"/>
              </w:rPr>
              <w:t>Financials</w:t>
            </w:r>
          </w:p>
          <w:p w14:paraId="405A4301" w14:textId="7879D4C1" w:rsidR="00CF1176" w:rsidRPr="00276BCA" w:rsidRDefault="00CF1176" w:rsidP="00CB202B">
            <w:pPr>
              <w:keepNext/>
              <w:keepLines/>
              <w:spacing w:before="0" w:after="0"/>
              <w:jc w:val="center"/>
              <w:rPr>
                <w:rFonts w:ascii="Arial Narrow" w:eastAsia="Times New Roman" w:hAnsi="Arial Narrow" w:cs="Calibri"/>
                <w:b/>
                <w:sz w:val="20"/>
                <w:szCs w:val="20"/>
              </w:rPr>
            </w:pPr>
            <w:r w:rsidRPr="00276BCA">
              <w:rPr>
                <w:rFonts w:ascii="Arial Narrow" w:eastAsia="Times New Roman" w:hAnsi="Arial Narrow" w:cs="Calibri"/>
                <w:b/>
                <w:sz w:val="20"/>
                <w:szCs w:val="20"/>
              </w:rPr>
              <w:t>(Weighted DPMA)</w:t>
            </w:r>
            <w:r w:rsidR="00C9403C" w:rsidRPr="00276BCA">
              <w:rPr>
                <w:rFonts w:ascii="Arial Narrow" w:eastAsia="Times New Roman" w:hAnsi="Arial Narrow" w:cs="Calibri"/>
                <w:b/>
                <w:sz w:val="20"/>
                <w:szCs w:val="20"/>
              </w:rPr>
              <w:t xml:space="preserve"> </w:t>
            </w:r>
          </w:p>
        </w:tc>
      </w:tr>
      <w:tr w:rsidR="00E41328" w:rsidRPr="00276BCA" w14:paraId="5C86C389" w14:textId="77777777" w:rsidTr="00D90610">
        <w:trPr>
          <w:trHeight w:val="20"/>
        </w:trPr>
        <w:tc>
          <w:tcPr>
            <w:tcW w:w="5000" w:type="pct"/>
            <w:gridSpan w:val="10"/>
            <w:vAlign w:val="center"/>
            <w:hideMark/>
          </w:tcPr>
          <w:p w14:paraId="00F89C09" w14:textId="77777777" w:rsidR="00CF1176" w:rsidRPr="00276BCA" w:rsidRDefault="00CF1176" w:rsidP="00CB202B">
            <w:pPr>
              <w:keepNext/>
              <w:keepLines/>
              <w:spacing w:before="0" w:after="0"/>
              <w:rPr>
                <w:rFonts w:ascii="Arial Narrow" w:eastAsia="Times New Roman" w:hAnsi="Arial Narrow" w:cs="Calibri"/>
                <w:b/>
                <w:sz w:val="20"/>
                <w:szCs w:val="20"/>
              </w:rPr>
            </w:pPr>
            <w:proofErr w:type="spellStart"/>
            <w:r w:rsidRPr="00276BCA">
              <w:rPr>
                <w:rFonts w:ascii="Arial Narrow" w:eastAsia="Times New Roman" w:hAnsi="Arial Narrow" w:cs="Calibri"/>
                <w:b/>
                <w:sz w:val="20"/>
                <w:szCs w:val="20"/>
              </w:rPr>
              <w:t>Zolbetuximab</w:t>
            </w:r>
            <w:proofErr w:type="spellEnd"/>
            <w:r w:rsidRPr="00276BCA">
              <w:rPr>
                <w:rFonts w:ascii="Arial Narrow" w:eastAsia="Times New Roman" w:hAnsi="Arial Narrow" w:cs="Calibri"/>
                <w:b/>
                <w:sz w:val="20"/>
                <w:szCs w:val="20"/>
              </w:rPr>
              <w:t xml:space="preserve"> plus mFOLFOX6</w:t>
            </w:r>
          </w:p>
        </w:tc>
      </w:tr>
      <w:tr w:rsidR="001A20E6" w:rsidRPr="00276BCA" w14:paraId="19F6136B" w14:textId="77777777" w:rsidTr="00BF1257">
        <w:trPr>
          <w:trHeight w:val="328"/>
        </w:trPr>
        <w:tc>
          <w:tcPr>
            <w:tcW w:w="773" w:type="pct"/>
            <w:vAlign w:val="center"/>
            <w:hideMark/>
          </w:tcPr>
          <w:p w14:paraId="39083670" w14:textId="77777777" w:rsidR="001A20E6" w:rsidRPr="00276BCA" w:rsidRDefault="001A20E6" w:rsidP="00CB202B">
            <w:pPr>
              <w:keepNext/>
              <w:keepLines/>
              <w:spacing w:before="0" w:after="0"/>
              <w:jc w:val="left"/>
              <w:rPr>
                <w:rFonts w:ascii="Arial Narrow" w:eastAsia="Times New Roman" w:hAnsi="Arial Narrow" w:cs="Calibri"/>
                <w:sz w:val="20"/>
                <w:szCs w:val="20"/>
              </w:rPr>
            </w:pPr>
            <w:proofErr w:type="spellStart"/>
            <w:r w:rsidRPr="00276BCA">
              <w:rPr>
                <w:rFonts w:ascii="Arial Narrow" w:eastAsia="Times New Roman" w:hAnsi="Arial Narrow" w:cs="Calibri"/>
                <w:sz w:val="20"/>
                <w:szCs w:val="20"/>
              </w:rPr>
              <w:t>Zolbetuximab</w:t>
            </w:r>
            <w:proofErr w:type="spellEnd"/>
            <w:r w:rsidRPr="00276BCA">
              <w:rPr>
                <w:rFonts w:ascii="Arial Narrow" w:eastAsia="Times New Roman" w:hAnsi="Arial Narrow" w:cs="Calibri"/>
                <w:sz w:val="20"/>
                <w:szCs w:val="20"/>
              </w:rPr>
              <w:t>,</w:t>
            </w:r>
          </w:p>
          <w:p w14:paraId="0B1D3990" w14:textId="77777777" w:rsidR="001A20E6" w:rsidRPr="00276BCA" w:rsidRDefault="001A20E6" w:rsidP="00CB202B">
            <w:pPr>
              <w:keepNext/>
              <w:keepLines/>
              <w:spacing w:before="0" w:after="0"/>
              <w:jc w:val="left"/>
              <w:rPr>
                <w:rFonts w:ascii="Arial Narrow" w:eastAsia="Times New Roman" w:hAnsi="Arial Narrow" w:cs="Calibri"/>
                <w:sz w:val="20"/>
                <w:szCs w:val="20"/>
                <w:vertAlign w:val="superscript"/>
              </w:rPr>
            </w:pPr>
            <w:r w:rsidRPr="00276BCA">
              <w:rPr>
                <w:rFonts w:ascii="Arial Narrow" w:eastAsia="Times New Roman" w:hAnsi="Arial Narrow" w:cs="Calibri"/>
                <w:sz w:val="20"/>
                <w:szCs w:val="20"/>
              </w:rPr>
              <w:t>800 mg/m</w:t>
            </w:r>
            <w:r w:rsidRPr="00276BCA">
              <w:rPr>
                <w:rFonts w:ascii="Arial Narrow" w:eastAsia="Times New Roman" w:hAnsi="Arial Narrow" w:cs="Calibri"/>
                <w:sz w:val="20"/>
                <w:szCs w:val="20"/>
                <w:vertAlign w:val="superscript"/>
              </w:rPr>
              <w:t>2</w:t>
            </w:r>
          </w:p>
          <w:p w14:paraId="7B35F8BD" w14:textId="77777777" w:rsidR="001A20E6" w:rsidRPr="00276BCA" w:rsidRDefault="001A20E6" w:rsidP="00CB202B">
            <w:pPr>
              <w:keepNext/>
              <w:keepLines/>
              <w:spacing w:before="0" w:after="0"/>
              <w:jc w:val="left"/>
              <w:rPr>
                <w:rFonts w:ascii="Arial Narrow" w:eastAsia="Times New Roman" w:hAnsi="Arial Narrow" w:cs="Calibri"/>
                <w:sz w:val="20"/>
                <w:szCs w:val="20"/>
              </w:rPr>
            </w:pPr>
            <w:r w:rsidRPr="00276BCA">
              <w:rPr>
                <w:rFonts w:ascii="Arial Narrow" w:eastAsia="Times New Roman" w:hAnsi="Arial Narrow" w:cs="Calibri"/>
                <w:sz w:val="20"/>
                <w:szCs w:val="20"/>
              </w:rPr>
              <w:t>(one-time cost)</w:t>
            </w:r>
          </w:p>
        </w:tc>
        <w:tc>
          <w:tcPr>
            <w:tcW w:w="480" w:type="pct"/>
            <w:vAlign w:val="center"/>
          </w:tcPr>
          <w:p w14:paraId="60946A09"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$10,764</w:t>
            </w:r>
          </w:p>
        </w:tc>
        <w:tc>
          <w:tcPr>
            <w:tcW w:w="394" w:type="pct"/>
            <w:vAlign w:val="center"/>
          </w:tcPr>
          <w:p w14:paraId="38B4D361"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$9,735</w:t>
            </w:r>
          </w:p>
        </w:tc>
        <w:tc>
          <w:tcPr>
            <w:tcW w:w="551" w:type="pct"/>
            <w:vAlign w:val="center"/>
          </w:tcPr>
          <w:p w14:paraId="0C1E1099" w14:textId="395F83DF"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$11,049</w:t>
            </w:r>
          </w:p>
        </w:tc>
        <w:tc>
          <w:tcPr>
            <w:tcW w:w="629" w:type="pct"/>
            <w:vAlign w:val="center"/>
          </w:tcPr>
          <w:p w14:paraId="786F87AF" w14:textId="31FAC787" w:rsidR="001A20E6" w:rsidRPr="00276BCA" w:rsidRDefault="001A20E6" w:rsidP="77D89277">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 xml:space="preserve">1 </w:t>
            </w:r>
            <w:proofErr w:type="spellStart"/>
            <w:proofErr w:type="gramStart"/>
            <w:r w:rsidRPr="00276BCA">
              <w:rPr>
                <w:rFonts w:ascii="Arial Narrow" w:eastAsia="Times New Roman" w:hAnsi="Arial Narrow" w:cs="Calibri"/>
                <w:sz w:val="20"/>
                <w:szCs w:val="20"/>
              </w:rPr>
              <w:t>cycle</w:t>
            </w:r>
            <w:r w:rsidRPr="00276BCA">
              <w:rPr>
                <w:rFonts w:ascii="Arial Narrow" w:eastAsia="Times New Roman" w:hAnsi="Arial Narrow" w:cs="Calibri"/>
                <w:sz w:val="20"/>
                <w:szCs w:val="20"/>
                <w:vertAlign w:val="superscript"/>
              </w:rPr>
              <w:t>e,f</w:t>
            </w:r>
            <w:proofErr w:type="spellEnd"/>
            <w:proofErr w:type="gramEnd"/>
          </w:p>
        </w:tc>
        <w:tc>
          <w:tcPr>
            <w:tcW w:w="394" w:type="pct"/>
            <w:vAlign w:val="center"/>
          </w:tcPr>
          <w:p w14:paraId="69B53710"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1 cycle</w:t>
            </w:r>
          </w:p>
        </w:tc>
        <w:tc>
          <w:tcPr>
            <w:tcW w:w="477" w:type="pct"/>
            <w:vAlign w:val="center"/>
          </w:tcPr>
          <w:p w14:paraId="680E4FA1"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 xml:space="preserve">0.92 </w:t>
            </w:r>
          </w:p>
          <w:p w14:paraId="0811C622"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cycles</w:t>
            </w:r>
          </w:p>
        </w:tc>
        <w:tc>
          <w:tcPr>
            <w:tcW w:w="412" w:type="pct"/>
            <w:vMerge w:val="restart"/>
            <w:vAlign w:val="center"/>
          </w:tcPr>
          <w:p w14:paraId="2CEAB662" w14:textId="70164419"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$117,327</w:t>
            </w:r>
          </w:p>
        </w:tc>
        <w:tc>
          <w:tcPr>
            <w:tcW w:w="412" w:type="pct"/>
            <w:vMerge w:val="restart"/>
            <w:vAlign w:val="center"/>
          </w:tcPr>
          <w:p w14:paraId="436391A3" w14:textId="4EDEE162"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$111,953</w:t>
            </w:r>
          </w:p>
        </w:tc>
        <w:tc>
          <w:tcPr>
            <w:tcW w:w="477" w:type="pct"/>
            <w:vMerge w:val="restart"/>
            <w:vAlign w:val="center"/>
          </w:tcPr>
          <w:p w14:paraId="5DD6F15B" w14:textId="69276543"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$118,081</w:t>
            </w:r>
          </w:p>
        </w:tc>
      </w:tr>
      <w:tr w:rsidR="001A20E6" w:rsidRPr="00276BCA" w14:paraId="630E52EA" w14:textId="77777777" w:rsidTr="00BF1257">
        <w:trPr>
          <w:trHeight w:val="328"/>
        </w:trPr>
        <w:tc>
          <w:tcPr>
            <w:tcW w:w="773" w:type="pct"/>
            <w:vAlign w:val="center"/>
          </w:tcPr>
          <w:p w14:paraId="10539DCE" w14:textId="77777777" w:rsidR="001A20E6" w:rsidRPr="00276BCA" w:rsidRDefault="001A20E6" w:rsidP="00CB202B">
            <w:pPr>
              <w:keepNext/>
              <w:keepLines/>
              <w:spacing w:before="0" w:after="0"/>
              <w:jc w:val="left"/>
              <w:rPr>
                <w:rFonts w:ascii="Arial Narrow" w:eastAsia="Times New Roman" w:hAnsi="Arial Narrow" w:cs="Calibri"/>
                <w:sz w:val="20"/>
                <w:szCs w:val="20"/>
              </w:rPr>
            </w:pPr>
            <w:proofErr w:type="spellStart"/>
            <w:r w:rsidRPr="00276BCA">
              <w:rPr>
                <w:rFonts w:ascii="Arial Narrow" w:eastAsia="Times New Roman" w:hAnsi="Arial Narrow" w:cs="Calibri"/>
                <w:sz w:val="20"/>
                <w:szCs w:val="20"/>
              </w:rPr>
              <w:t>Zolbetuximab</w:t>
            </w:r>
            <w:proofErr w:type="spellEnd"/>
            <w:r w:rsidRPr="00276BCA">
              <w:rPr>
                <w:rFonts w:ascii="Arial Narrow" w:eastAsia="Times New Roman" w:hAnsi="Arial Narrow" w:cs="Calibri"/>
                <w:sz w:val="20"/>
                <w:szCs w:val="20"/>
              </w:rPr>
              <w:t>,</w:t>
            </w:r>
          </w:p>
          <w:p w14:paraId="72D9A892" w14:textId="396957D6" w:rsidR="001A20E6" w:rsidRPr="00276BCA" w:rsidRDefault="001A20E6" w:rsidP="00CB202B">
            <w:pPr>
              <w:keepNext/>
              <w:keepLines/>
              <w:spacing w:before="0" w:after="0"/>
              <w:jc w:val="left"/>
              <w:rPr>
                <w:rFonts w:ascii="Arial Narrow" w:eastAsia="Times New Roman" w:hAnsi="Arial Narrow" w:cs="Calibri"/>
                <w:sz w:val="20"/>
                <w:szCs w:val="20"/>
              </w:rPr>
            </w:pPr>
            <w:r w:rsidRPr="00276BCA">
              <w:rPr>
                <w:rFonts w:ascii="Arial Narrow" w:eastAsia="Times New Roman" w:hAnsi="Arial Narrow" w:cs="Calibri"/>
                <w:sz w:val="20"/>
                <w:szCs w:val="20"/>
              </w:rPr>
              <w:t>400 mg/m</w:t>
            </w:r>
            <w:r w:rsidRPr="00276BCA">
              <w:rPr>
                <w:rFonts w:ascii="Arial Narrow" w:eastAsia="Times New Roman" w:hAnsi="Arial Narrow" w:cs="Calibri"/>
                <w:sz w:val="20"/>
                <w:szCs w:val="20"/>
                <w:vertAlign w:val="superscript"/>
              </w:rPr>
              <w:t xml:space="preserve">2 </w:t>
            </w:r>
            <w:r w:rsidRPr="00276BCA">
              <w:rPr>
                <w:rFonts w:ascii="Arial Narrow" w:eastAsia="Times New Roman" w:hAnsi="Arial Narrow" w:cs="Calibri"/>
                <w:sz w:val="20"/>
                <w:szCs w:val="20"/>
              </w:rPr>
              <w:t>Q2W</w:t>
            </w:r>
          </w:p>
        </w:tc>
        <w:tc>
          <w:tcPr>
            <w:tcW w:w="480" w:type="pct"/>
            <w:vAlign w:val="center"/>
          </w:tcPr>
          <w:p w14:paraId="2324E6D9" w14:textId="1DDCF8D2"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$5,382</w:t>
            </w:r>
          </w:p>
        </w:tc>
        <w:tc>
          <w:tcPr>
            <w:tcW w:w="394" w:type="pct"/>
            <w:vAlign w:val="center"/>
          </w:tcPr>
          <w:p w14:paraId="59B8C568"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$4,868</w:t>
            </w:r>
          </w:p>
        </w:tc>
        <w:tc>
          <w:tcPr>
            <w:tcW w:w="551" w:type="pct"/>
            <w:vAlign w:val="center"/>
          </w:tcPr>
          <w:p w14:paraId="207A17ED" w14:textId="4D889A90"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$5,584</w:t>
            </w:r>
          </w:p>
        </w:tc>
        <w:tc>
          <w:tcPr>
            <w:tcW w:w="629" w:type="pct"/>
            <w:vAlign w:val="center"/>
          </w:tcPr>
          <w:p w14:paraId="3F8D3F89"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13.2 cycle for Q3W</w:t>
            </w:r>
          </w:p>
          <w:p w14:paraId="06F49D38" w14:textId="3805100D" w:rsidR="001A20E6" w:rsidRPr="00276BCA" w:rsidRDefault="001A20E6" w:rsidP="77D89277">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 xml:space="preserve">Converted to 19.8 cycle for Q2W </w:t>
            </w:r>
            <w:proofErr w:type="spellStart"/>
            <w:proofErr w:type="gramStart"/>
            <w:r w:rsidRPr="00276BCA">
              <w:rPr>
                <w:rFonts w:ascii="Arial Narrow" w:eastAsia="Times New Roman" w:hAnsi="Arial Narrow" w:cs="Calibri"/>
                <w:sz w:val="20"/>
                <w:szCs w:val="20"/>
                <w:vertAlign w:val="superscript"/>
              </w:rPr>
              <w:t>e,f</w:t>
            </w:r>
            <w:proofErr w:type="spellEnd"/>
            <w:proofErr w:type="gramEnd"/>
          </w:p>
        </w:tc>
        <w:tc>
          <w:tcPr>
            <w:tcW w:w="394" w:type="pct"/>
            <w:vAlign w:val="center"/>
          </w:tcPr>
          <w:p w14:paraId="714010B5"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21 cycles</w:t>
            </w:r>
          </w:p>
        </w:tc>
        <w:tc>
          <w:tcPr>
            <w:tcW w:w="477" w:type="pct"/>
            <w:vAlign w:val="center"/>
          </w:tcPr>
          <w:p w14:paraId="41CDE5C4"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19.32</w:t>
            </w:r>
          </w:p>
          <w:p w14:paraId="12F46D58"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cycles</w:t>
            </w:r>
          </w:p>
        </w:tc>
        <w:tc>
          <w:tcPr>
            <w:tcW w:w="412" w:type="pct"/>
            <w:vMerge/>
            <w:vAlign w:val="center"/>
          </w:tcPr>
          <w:p w14:paraId="461373FA" w14:textId="77777777" w:rsidR="001A20E6" w:rsidRPr="00276BCA" w:rsidRDefault="001A20E6" w:rsidP="00CB202B">
            <w:pPr>
              <w:keepNext/>
              <w:keepLines/>
              <w:spacing w:before="0" w:after="0"/>
              <w:jc w:val="center"/>
              <w:rPr>
                <w:rFonts w:ascii="Arial Narrow" w:eastAsia="Times New Roman" w:hAnsi="Arial Narrow" w:cs="Calibri"/>
                <w:sz w:val="20"/>
                <w:szCs w:val="20"/>
              </w:rPr>
            </w:pPr>
          </w:p>
        </w:tc>
        <w:tc>
          <w:tcPr>
            <w:tcW w:w="412" w:type="pct"/>
            <w:vMerge/>
            <w:vAlign w:val="center"/>
          </w:tcPr>
          <w:p w14:paraId="735521B2" w14:textId="77777777" w:rsidR="001A20E6" w:rsidRPr="00276BCA" w:rsidRDefault="001A20E6" w:rsidP="00CB202B">
            <w:pPr>
              <w:keepNext/>
              <w:keepLines/>
              <w:spacing w:before="0" w:after="0"/>
              <w:jc w:val="center"/>
              <w:rPr>
                <w:rFonts w:ascii="Arial Narrow" w:eastAsia="Times New Roman" w:hAnsi="Arial Narrow" w:cs="Calibri"/>
                <w:sz w:val="20"/>
                <w:szCs w:val="20"/>
              </w:rPr>
            </w:pPr>
          </w:p>
        </w:tc>
        <w:tc>
          <w:tcPr>
            <w:tcW w:w="477" w:type="pct"/>
            <w:vMerge/>
            <w:vAlign w:val="center"/>
          </w:tcPr>
          <w:p w14:paraId="23FAAEBD" w14:textId="77777777" w:rsidR="001A20E6" w:rsidRPr="00276BCA" w:rsidRDefault="001A20E6" w:rsidP="00CB202B">
            <w:pPr>
              <w:keepNext/>
              <w:keepLines/>
              <w:spacing w:before="0" w:after="0"/>
              <w:jc w:val="center"/>
              <w:rPr>
                <w:rFonts w:ascii="Arial Narrow" w:eastAsia="Times New Roman" w:hAnsi="Arial Narrow" w:cs="Calibri"/>
                <w:sz w:val="20"/>
                <w:szCs w:val="20"/>
              </w:rPr>
            </w:pPr>
          </w:p>
        </w:tc>
      </w:tr>
      <w:tr w:rsidR="00E41328" w:rsidRPr="00276BCA" w14:paraId="1F225A1E" w14:textId="77777777" w:rsidTr="00D90610">
        <w:trPr>
          <w:trHeight w:val="20"/>
        </w:trPr>
        <w:tc>
          <w:tcPr>
            <w:tcW w:w="5000" w:type="pct"/>
            <w:gridSpan w:val="10"/>
            <w:hideMark/>
          </w:tcPr>
          <w:p w14:paraId="378FB513" w14:textId="77777777" w:rsidR="00CF1176" w:rsidRPr="00276BCA" w:rsidRDefault="00CF1176" w:rsidP="00CB202B">
            <w:pPr>
              <w:keepNext/>
              <w:keepLines/>
              <w:spacing w:before="0" w:after="0"/>
              <w:rPr>
                <w:rFonts w:ascii="Arial Narrow" w:eastAsia="Times New Roman" w:hAnsi="Arial Narrow" w:cs="Calibri"/>
                <w:b/>
                <w:sz w:val="20"/>
                <w:szCs w:val="20"/>
              </w:rPr>
            </w:pPr>
            <w:proofErr w:type="spellStart"/>
            <w:r w:rsidRPr="00276BCA">
              <w:rPr>
                <w:rFonts w:ascii="Arial Narrow" w:eastAsia="Times New Roman" w:hAnsi="Arial Narrow" w:cs="Calibri"/>
                <w:b/>
                <w:sz w:val="20"/>
                <w:szCs w:val="20"/>
              </w:rPr>
              <w:t>Zolbetuximab</w:t>
            </w:r>
            <w:proofErr w:type="spellEnd"/>
            <w:r w:rsidRPr="00276BCA">
              <w:rPr>
                <w:rFonts w:ascii="Arial Narrow" w:eastAsia="Times New Roman" w:hAnsi="Arial Narrow" w:cs="Calibri"/>
                <w:b/>
                <w:sz w:val="20"/>
                <w:szCs w:val="20"/>
              </w:rPr>
              <w:t xml:space="preserve"> plus CAPOX</w:t>
            </w:r>
          </w:p>
        </w:tc>
      </w:tr>
      <w:tr w:rsidR="001A20E6" w:rsidRPr="00276BCA" w14:paraId="16DF39D2" w14:textId="77777777" w:rsidTr="00BF1257">
        <w:trPr>
          <w:trHeight w:val="328"/>
        </w:trPr>
        <w:tc>
          <w:tcPr>
            <w:tcW w:w="773" w:type="pct"/>
            <w:vAlign w:val="center"/>
            <w:hideMark/>
          </w:tcPr>
          <w:p w14:paraId="03E7FDEE" w14:textId="77777777" w:rsidR="001A20E6" w:rsidRPr="00276BCA" w:rsidRDefault="001A20E6" w:rsidP="00CB202B">
            <w:pPr>
              <w:keepNext/>
              <w:keepLines/>
              <w:spacing w:before="0" w:after="0"/>
              <w:jc w:val="left"/>
              <w:rPr>
                <w:rFonts w:ascii="Arial Narrow" w:eastAsia="Times New Roman" w:hAnsi="Arial Narrow" w:cs="Calibri"/>
                <w:sz w:val="20"/>
                <w:szCs w:val="20"/>
              </w:rPr>
            </w:pPr>
            <w:proofErr w:type="spellStart"/>
            <w:r w:rsidRPr="00276BCA">
              <w:rPr>
                <w:rFonts w:ascii="Arial Narrow" w:eastAsia="Times New Roman" w:hAnsi="Arial Narrow" w:cs="Calibri"/>
                <w:sz w:val="20"/>
                <w:szCs w:val="20"/>
              </w:rPr>
              <w:t>Zolbetuximab</w:t>
            </w:r>
            <w:proofErr w:type="spellEnd"/>
            <w:r w:rsidRPr="00276BCA">
              <w:rPr>
                <w:rFonts w:ascii="Arial Narrow" w:eastAsia="Times New Roman" w:hAnsi="Arial Narrow" w:cs="Calibri"/>
                <w:sz w:val="20"/>
                <w:szCs w:val="20"/>
              </w:rPr>
              <w:t>,</w:t>
            </w:r>
          </w:p>
          <w:p w14:paraId="76053C72" w14:textId="77777777" w:rsidR="001A20E6" w:rsidRPr="00276BCA" w:rsidRDefault="001A20E6" w:rsidP="00CB202B">
            <w:pPr>
              <w:keepNext/>
              <w:keepLines/>
              <w:spacing w:before="0" w:after="0"/>
              <w:jc w:val="left"/>
              <w:rPr>
                <w:rFonts w:ascii="Arial Narrow" w:eastAsia="Times New Roman" w:hAnsi="Arial Narrow" w:cs="Calibri"/>
                <w:sz w:val="20"/>
                <w:szCs w:val="20"/>
              </w:rPr>
            </w:pPr>
            <w:r w:rsidRPr="00276BCA">
              <w:rPr>
                <w:rFonts w:ascii="Arial Narrow" w:eastAsia="Times New Roman" w:hAnsi="Arial Narrow" w:cs="Calibri"/>
                <w:sz w:val="20"/>
                <w:szCs w:val="20"/>
              </w:rPr>
              <w:t>800 mg/m</w:t>
            </w:r>
            <w:r w:rsidRPr="00276BCA">
              <w:rPr>
                <w:rFonts w:ascii="Arial Narrow" w:eastAsia="Times New Roman" w:hAnsi="Arial Narrow" w:cs="Calibri"/>
                <w:sz w:val="20"/>
                <w:szCs w:val="20"/>
                <w:vertAlign w:val="superscript"/>
              </w:rPr>
              <w:t>2</w:t>
            </w:r>
            <w:r w:rsidRPr="00276BCA">
              <w:rPr>
                <w:rFonts w:ascii="Arial Narrow" w:eastAsia="Times New Roman" w:hAnsi="Arial Narrow" w:cs="Calibri"/>
                <w:sz w:val="20"/>
                <w:szCs w:val="20"/>
              </w:rPr>
              <w:t xml:space="preserve"> </w:t>
            </w:r>
          </w:p>
          <w:p w14:paraId="41ECC8F7" w14:textId="77777777" w:rsidR="001A20E6" w:rsidRPr="00276BCA" w:rsidRDefault="001A20E6" w:rsidP="00CB202B">
            <w:pPr>
              <w:keepNext/>
              <w:keepLines/>
              <w:spacing w:before="0" w:after="0"/>
              <w:jc w:val="left"/>
              <w:rPr>
                <w:rFonts w:ascii="Arial Narrow" w:eastAsia="Times New Roman" w:hAnsi="Arial Narrow" w:cs="Calibri"/>
                <w:sz w:val="20"/>
                <w:szCs w:val="20"/>
              </w:rPr>
            </w:pPr>
            <w:r w:rsidRPr="00276BCA">
              <w:rPr>
                <w:rFonts w:ascii="Arial Narrow" w:eastAsia="Times New Roman" w:hAnsi="Arial Narrow" w:cs="Calibri"/>
                <w:sz w:val="20"/>
                <w:szCs w:val="20"/>
              </w:rPr>
              <w:t>(one-time cost)</w:t>
            </w:r>
          </w:p>
        </w:tc>
        <w:tc>
          <w:tcPr>
            <w:tcW w:w="480" w:type="pct"/>
            <w:vAlign w:val="center"/>
          </w:tcPr>
          <w:p w14:paraId="33E686C5"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$10,269</w:t>
            </w:r>
          </w:p>
        </w:tc>
        <w:tc>
          <w:tcPr>
            <w:tcW w:w="394" w:type="pct"/>
            <w:vAlign w:val="center"/>
          </w:tcPr>
          <w:p w14:paraId="2DCD01A5"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$10,118</w:t>
            </w:r>
          </w:p>
        </w:tc>
        <w:tc>
          <w:tcPr>
            <w:tcW w:w="551" w:type="pct"/>
            <w:vAlign w:val="center"/>
          </w:tcPr>
          <w:p w14:paraId="2CC4D4C2"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$11,049</w:t>
            </w:r>
          </w:p>
        </w:tc>
        <w:tc>
          <w:tcPr>
            <w:tcW w:w="629" w:type="pct"/>
            <w:vAlign w:val="center"/>
          </w:tcPr>
          <w:p w14:paraId="1622EAB3" w14:textId="231746C7" w:rsidR="001A20E6" w:rsidRPr="00276BCA" w:rsidRDefault="001A20E6" w:rsidP="77D89277">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 xml:space="preserve">1 </w:t>
            </w:r>
            <w:proofErr w:type="spellStart"/>
            <w:r w:rsidRPr="00276BCA">
              <w:rPr>
                <w:rFonts w:ascii="Arial Narrow" w:eastAsia="Times New Roman" w:hAnsi="Arial Narrow" w:cs="Calibri"/>
                <w:sz w:val="20"/>
                <w:szCs w:val="20"/>
              </w:rPr>
              <w:t>cycle</w:t>
            </w:r>
            <w:r w:rsidRPr="00276BCA">
              <w:rPr>
                <w:rFonts w:ascii="Arial Narrow" w:eastAsia="Times New Roman" w:hAnsi="Arial Narrow" w:cs="Calibri"/>
                <w:sz w:val="20"/>
                <w:szCs w:val="20"/>
                <w:vertAlign w:val="superscript"/>
              </w:rPr>
              <w:t>g</w:t>
            </w:r>
            <w:proofErr w:type="spellEnd"/>
          </w:p>
        </w:tc>
        <w:tc>
          <w:tcPr>
            <w:tcW w:w="394" w:type="pct"/>
            <w:vAlign w:val="center"/>
          </w:tcPr>
          <w:p w14:paraId="54928ECC"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1 cycle</w:t>
            </w:r>
          </w:p>
        </w:tc>
        <w:tc>
          <w:tcPr>
            <w:tcW w:w="477" w:type="pct"/>
            <w:vAlign w:val="center"/>
          </w:tcPr>
          <w:p w14:paraId="157D03AD"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0.96</w:t>
            </w:r>
          </w:p>
          <w:p w14:paraId="7802B5F9"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cycles</w:t>
            </w:r>
          </w:p>
        </w:tc>
        <w:tc>
          <w:tcPr>
            <w:tcW w:w="412" w:type="pct"/>
            <w:vMerge w:val="restart"/>
            <w:vAlign w:val="center"/>
          </w:tcPr>
          <w:p w14:paraId="1B0BFF28"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$83,436</w:t>
            </w:r>
          </w:p>
        </w:tc>
        <w:tc>
          <w:tcPr>
            <w:tcW w:w="412" w:type="pct"/>
            <w:vMerge w:val="restart"/>
            <w:vAlign w:val="center"/>
          </w:tcPr>
          <w:p w14:paraId="36485203"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$85,999</w:t>
            </w:r>
          </w:p>
        </w:tc>
        <w:tc>
          <w:tcPr>
            <w:tcW w:w="477" w:type="pct"/>
            <w:vMerge w:val="restart"/>
            <w:vAlign w:val="center"/>
          </w:tcPr>
          <w:p w14:paraId="0F7F0493" w14:textId="30476C6E"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$91,246</w:t>
            </w:r>
          </w:p>
        </w:tc>
      </w:tr>
      <w:tr w:rsidR="001A20E6" w:rsidRPr="00276BCA" w14:paraId="14133783" w14:textId="77777777" w:rsidTr="005574CB">
        <w:trPr>
          <w:trHeight w:val="328"/>
        </w:trPr>
        <w:tc>
          <w:tcPr>
            <w:tcW w:w="773" w:type="pct"/>
            <w:vAlign w:val="center"/>
          </w:tcPr>
          <w:p w14:paraId="0CB9EC88" w14:textId="77777777" w:rsidR="001A20E6" w:rsidRPr="00276BCA" w:rsidRDefault="001A20E6" w:rsidP="00CB202B">
            <w:pPr>
              <w:keepNext/>
              <w:keepLines/>
              <w:spacing w:before="0" w:after="0"/>
              <w:jc w:val="left"/>
              <w:rPr>
                <w:rFonts w:ascii="Arial Narrow" w:eastAsia="Times New Roman" w:hAnsi="Arial Narrow" w:cs="Calibri"/>
                <w:sz w:val="20"/>
                <w:szCs w:val="20"/>
              </w:rPr>
            </w:pPr>
            <w:proofErr w:type="spellStart"/>
            <w:r w:rsidRPr="00276BCA">
              <w:rPr>
                <w:rFonts w:ascii="Arial Narrow" w:eastAsia="Times New Roman" w:hAnsi="Arial Narrow" w:cs="Calibri"/>
                <w:sz w:val="20"/>
                <w:szCs w:val="20"/>
              </w:rPr>
              <w:t>Zolbetuximab</w:t>
            </w:r>
            <w:proofErr w:type="spellEnd"/>
            <w:r w:rsidRPr="00276BCA">
              <w:rPr>
                <w:rFonts w:ascii="Arial Narrow" w:eastAsia="Times New Roman" w:hAnsi="Arial Narrow" w:cs="Calibri"/>
                <w:sz w:val="20"/>
                <w:szCs w:val="20"/>
              </w:rPr>
              <w:t>,</w:t>
            </w:r>
          </w:p>
          <w:p w14:paraId="53B3DC92" w14:textId="77777777" w:rsidR="001A20E6" w:rsidRPr="00276BCA" w:rsidRDefault="001A20E6" w:rsidP="00CB202B">
            <w:pPr>
              <w:keepNext/>
              <w:keepLines/>
              <w:spacing w:before="0" w:after="0"/>
              <w:jc w:val="left"/>
              <w:rPr>
                <w:rFonts w:ascii="Arial Narrow" w:eastAsia="Times New Roman" w:hAnsi="Arial Narrow" w:cs="Calibri"/>
                <w:sz w:val="20"/>
                <w:szCs w:val="20"/>
              </w:rPr>
            </w:pPr>
            <w:r w:rsidRPr="00276BCA">
              <w:rPr>
                <w:rFonts w:ascii="Arial Narrow" w:eastAsia="Times New Roman" w:hAnsi="Arial Narrow" w:cs="Calibri"/>
                <w:sz w:val="20"/>
                <w:szCs w:val="20"/>
              </w:rPr>
              <w:t>600 mg/m</w:t>
            </w:r>
            <w:r w:rsidRPr="00276BCA">
              <w:rPr>
                <w:rFonts w:ascii="Arial Narrow" w:eastAsia="Times New Roman" w:hAnsi="Arial Narrow" w:cs="Calibri"/>
                <w:sz w:val="20"/>
                <w:szCs w:val="20"/>
                <w:vertAlign w:val="superscript"/>
              </w:rPr>
              <w:t>2</w:t>
            </w:r>
            <w:r w:rsidRPr="00276BCA">
              <w:rPr>
                <w:rFonts w:ascii="Arial Narrow" w:eastAsia="Times New Roman" w:hAnsi="Arial Narrow" w:cs="Calibri"/>
                <w:sz w:val="20"/>
                <w:szCs w:val="20"/>
              </w:rPr>
              <w:t xml:space="preserve"> Q3W</w:t>
            </w:r>
          </w:p>
        </w:tc>
        <w:tc>
          <w:tcPr>
            <w:tcW w:w="480" w:type="pct"/>
            <w:vAlign w:val="center"/>
          </w:tcPr>
          <w:p w14:paraId="3621AB99"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$7,702</w:t>
            </w:r>
          </w:p>
        </w:tc>
        <w:tc>
          <w:tcPr>
            <w:tcW w:w="394" w:type="pct"/>
            <w:vAlign w:val="center"/>
          </w:tcPr>
          <w:p w14:paraId="44C0EF43"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$7,588</w:t>
            </w:r>
          </w:p>
        </w:tc>
        <w:tc>
          <w:tcPr>
            <w:tcW w:w="551" w:type="pct"/>
            <w:vAlign w:val="center"/>
          </w:tcPr>
          <w:p w14:paraId="38A7BFA6"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$8,707</w:t>
            </w:r>
          </w:p>
        </w:tc>
        <w:tc>
          <w:tcPr>
            <w:tcW w:w="629" w:type="pct"/>
            <w:vAlign w:val="center"/>
          </w:tcPr>
          <w:p w14:paraId="167002C6" w14:textId="46751314" w:rsidR="001A20E6" w:rsidRPr="00276BCA" w:rsidRDefault="001A20E6" w:rsidP="77D89277">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 xml:space="preserve">9.5 </w:t>
            </w:r>
            <w:proofErr w:type="spellStart"/>
            <w:r w:rsidRPr="00276BCA">
              <w:rPr>
                <w:rFonts w:ascii="Arial Narrow" w:eastAsia="Times New Roman" w:hAnsi="Arial Narrow" w:cs="Calibri"/>
                <w:sz w:val="20"/>
                <w:szCs w:val="20"/>
              </w:rPr>
              <w:t>cycles</w:t>
            </w:r>
            <w:r w:rsidRPr="00276BCA">
              <w:rPr>
                <w:rFonts w:ascii="Arial Narrow" w:eastAsia="Times New Roman" w:hAnsi="Arial Narrow" w:cs="Calibri"/>
                <w:sz w:val="20"/>
                <w:szCs w:val="20"/>
                <w:vertAlign w:val="superscript"/>
              </w:rPr>
              <w:t>g</w:t>
            </w:r>
            <w:proofErr w:type="spellEnd"/>
          </w:p>
        </w:tc>
        <w:tc>
          <w:tcPr>
            <w:tcW w:w="394" w:type="pct"/>
            <w:vAlign w:val="center"/>
          </w:tcPr>
          <w:p w14:paraId="622713A2"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10 cycles</w:t>
            </w:r>
          </w:p>
        </w:tc>
        <w:tc>
          <w:tcPr>
            <w:tcW w:w="477" w:type="pct"/>
            <w:vAlign w:val="center"/>
          </w:tcPr>
          <w:p w14:paraId="1029266A"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9.26</w:t>
            </w:r>
          </w:p>
          <w:p w14:paraId="15B36DF4" w14:textId="77777777" w:rsidR="001A20E6" w:rsidRPr="00276BCA" w:rsidRDefault="001A20E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cycles</w:t>
            </w:r>
          </w:p>
        </w:tc>
        <w:tc>
          <w:tcPr>
            <w:tcW w:w="412" w:type="pct"/>
            <w:vMerge/>
            <w:vAlign w:val="center"/>
          </w:tcPr>
          <w:p w14:paraId="1F8DDB05" w14:textId="77777777" w:rsidR="001A20E6" w:rsidRPr="00276BCA" w:rsidRDefault="001A20E6" w:rsidP="00CB202B">
            <w:pPr>
              <w:keepNext/>
              <w:keepLines/>
              <w:spacing w:before="0" w:after="0"/>
              <w:jc w:val="center"/>
              <w:rPr>
                <w:rFonts w:ascii="Arial Narrow" w:eastAsia="Times New Roman" w:hAnsi="Arial Narrow" w:cs="Calibri"/>
                <w:sz w:val="20"/>
                <w:szCs w:val="20"/>
              </w:rPr>
            </w:pPr>
          </w:p>
        </w:tc>
        <w:tc>
          <w:tcPr>
            <w:tcW w:w="412" w:type="pct"/>
            <w:vMerge/>
            <w:vAlign w:val="center"/>
          </w:tcPr>
          <w:p w14:paraId="20181D32" w14:textId="77777777" w:rsidR="001A20E6" w:rsidRPr="00276BCA" w:rsidRDefault="001A20E6" w:rsidP="00CB202B">
            <w:pPr>
              <w:keepNext/>
              <w:keepLines/>
              <w:spacing w:before="0" w:after="0"/>
              <w:jc w:val="center"/>
              <w:rPr>
                <w:rFonts w:ascii="Arial Narrow" w:eastAsia="Times New Roman" w:hAnsi="Arial Narrow" w:cs="Calibri"/>
                <w:sz w:val="20"/>
                <w:szCs w:val="20"/>
              </w:rPr>
            </w:pPr>
          </w:p>
        </w:tc>
        <w:tc>
          <w:tcPr>
            <w:tcW w:w="477" w:type="pct"/>
            <w:vMerge/>
            <w:vAlign w:val="center"/>
          </w:tcPr>
          <w:p w14:paraId="5824BA7D" w14:textId="77777777" w:rsidR="001A20E6" w:rsidRPr="00276BCA" w:rsidRDefault="001A20E6" w:rsidP="00CB202B">
            <w:pPr>
              <w:keepNext/>
              <w:keepLines/>
              <w:spacing w:before="0" w:after="0"/>
              <w:jc w:val="center"/>
              <w:rPr>
                <w:rFonts w:ascii="Arial Narrow" w:eastAsia="Times New Roman" w:hAnsi="Arial Narrow" w:cs="Calibri"/>
                <w:sz w:val="20"/>
                <w:szCs w:val="20"/>
              </w:rPr>
            </w:pPr>
          </w:p>
        </w:tc>
      </w:tr>
      <w:tr w:rsidR="00E41328" w:rsidRPr="00276BCA" w14:paraId="501901F4" w14:textId="77777777" w:rsidTr="00D90610">
        <w:trPr>
          <w:trHeight w:val="20"/>
        </w:trPr>
        <w:tc>
          <w:tcPr>
            <w:tcW w:w="3698" w:type="pct"/>
            <w:gridSpan w:val="7"/>
            <w:vAlign w:val="center"/>
            <w:hideMark/>
          </w:tcPr>
          <w:p w14:paraId="404557DC" w14:textId="03144DA5" w:rsidR="00CF1176" w:rsidRPr="00276BCA" w:rsidRDefault="00CF1176" w:rsidP="00CB202B">
            <w:pPr>
              <w:keepNext/>
              <w:keepLines/>
              <w:spacing w:before="0" w:after="0"/>
              <w:rPr>
                <w:rFonts w:ascii="Arial Narrow" w:eastAsia="Times New Roman" w:hAnsi="Arial Narrow" w:cs="Calibri"/>
                <w:b/>
                <w:sz w:val="20"/>
                <w:szCs w:val="20"/>
              </w:rPr>
            </w:pPr>
            <w:r w:rsidRPr="00276BCA">
              <w:rPr>
                <w:rFonts w:ascii="Arial Narrow" w:eastAsia="Times New Roman" w:hAnsi="Arial Narrow" w:cs="Calibri"/>
                <w:b/>
                <w:sz w:val="20"/>
                <w:szCs w:val="20"/>
              </w:rPr>
              <w:t>Total (weighted</w:t>
            </w:r>
            <w:r w:rsidR="001B08DB" w:rsidRPr="00276BCA">
              <w:rPr>
                <w:rFonts w:ascii="Arial Narrow" w:eastAsia="Times New Roman" w:hAnsi="Arial Narrow" w:cs="Calibri"/>
                <w:b/>
                <w:sz w:val="20"/>
                <w:szCs w:val="20"/>
              </w:rPr>
              <w:t>; 50%/50% split between mFOLFOX6 and CAPOX)</w:t>
            </w:r>
          </w:p>
        </w:tc>
        <w:tc>
          <w:tcPr>
            <w:tcW w:w="412" w:type="pct"/>
            <w:vAlign w:val="center"/>
          </w:tcPr>
          <w:p w14:paraId="3F486066" w14:textId="129B30EF" w:rsidR="00CF1176" w:rsidRPr="00276BCA" w:rsidRDefault="00CF1176" w:rsidP="00CB202B">
            <w:pPr>
              <w:keepNext/>
              <w:keepLines/>
              <w:spacing w:before="0" w:after="0"/>
              <w:jc w:val="center"/>
              <w:rPr>
                <w:rFonts w:ascii="Arial Narrow" w:eastAsia="Times New Roman" w:hAnsi="Arial Narrow" w:cs="Calibri"/>
                <w:b/>
                <w:sz w:val="20"/>
                <w:szCs w:val="20"/>
              </w:rPr>
            </w:pPr>
            <w:r w:rsidRPr="00276BCA">
              <w:rPr>
                <w:rFonts w:ascii="Arial Narrow" w:eastAsia="Times New Roman" w:hAnsi="Arial Narrow" w:cs="Calibri"/>
                <w:b/>
                <w:sz w:val="20"/>
                <w:szCs w:val="20"/>
              </w:rPr>
              <w:t>$</w:t>
            </w:r>
            <w:r w:rsidR="0002325A" w:rsidRPr="00276BCA">
              <w:rPr>
                <w:rFonts w:ascii="Arial Narrow" w:eastAsia="Times New Roman" w:hAnsi="Arial Narrow" w:cs="Calibri"/>
                <w:b/>
                <w:sz w:val="20"/>
                <w:szCs w:val="20"/>
              </w:rPr>
              <w:t>100,381</w:t>
            </w:r>
          </w:p>
        </w:tc>
        <w:tc>
          <w:tcPr>
            <w:tcW w:w="412" w:type="pct"/>
            <w:vAlign w:val="center"/>
          </w:tcPr>
          <w:p w14:paraId="56A6FBD9" w14:textId="3AFFFB06" w:rsidR="00CF1176" w:rsidRPr="00276BCA" w:rsidRDefault="00CF1176" w:rsidP="00CB202B">
            <w:pPr>
              <w:keepNext/>
              <w:keepLines/>
              <w:spacing w:before="0" w:after="0"/>
              <w:jc w:val="center"/>
              <w:rPr>
                <w:rFonts w:ascii="Arial Narrow" w:eastAsia="Times New Roman" w:hAnsi="Arial Narrow" w:cs="Calibri"/>
                <w:b/>
                <w:sz w:val="20"/>
                <w:szCs w:val="20"/>
              </w:rPr>
            </w:pPr>
            <w:r w:rsidRPr="00276BCA">
              <w:rPr>
                <w:rFonts w:ascii="Arial Narrow" w:eastAsia="Times New Roman" w:hAnsi="Arial Narrow" w:cs="Calibri"/>
                <w:b/>
                <w:sz w:val="20"/>
                <w:szCs w:val="20"/>
              </w:rPr>
              <w:t>$9</w:t>
            </w:r>
            <w:r w:rsidR="00F76A0F" w:rsidRPr="00276BCA">
              <w:rPr>
                <w:rFonts w:ascii="Arial Narrow" w:eastAsia="Times New Roman" w:hAnsi="Arial Narrow" w:cs="Calibri"/>
                <w:b/>
                <w:sz w:val="20"/>
                <w:szCs w:val="20"/>
              </w:rPr>
              <w:t>8</w:t>
            </w:r>
            <w:r w:rsidRPr="00276BCA">
              <w:rPr>
                <w:rFonts w:ascii="Arial Narrow" w:eastAsia="Times New Roman" w:hAnsi="Arial Narrow" w:cs="Calibri"/>
                <w:b/>
                <w:sz w:val="20"/>
                <w:szCs w:val="20"/>
              </w:rPr>
              <w:t>,</w:t>
            </w:r>
            <w:r w:rsidR="00F76A0F" w:rsidRPr="00276BCA">
              <w:rPr>
                <w:rFonts w:ascii="Arial Narrow" w:eastAsia="Times New Roman" w:hAnsi="Arial Narrow" w:cs="Calibri"/>
                <w:b/>
                <w:sz w:val="20"/>
                <w:szCs w:val="20"/>
              </w:rPr>
              <w:t>976</w:t>
            </w:r>
          </w:p>
        </w:tc>
        <w:tc>
          <w:tcPr>
            <w:tcW w:w="477" w:type="pct"/>
            <w:vAlign w:val="center"/>
          </w:tcPr>
          <w:p w14:paraId="5F18A905" w14:textId="49C3417E" w:rsidR="00CF1176" w:rsidRPr="00276BCA" w:rsidRDefault="00CF1176" w:rsidP="00CB202B">
            <w:pPr>
              <w:keepNext/>
              <w:keepLines/>
              <w:spacing w:before="0" w:after="0"/>
              <w:jc w:val="center"/>
              <w:rPr>
                <w:rFonts w:ascii="Arial Narrow" w:eastAsia="Times New Roman" w:hAnsi="Arial Narrow" w:cs="Calibri"/>
                <w:b/>
                <w:sz w:val="20"/>
                <w:szCs w:val="20"/>
              </w:rPr>
            </w:pPr>
            <w:r w:rsidRPr="00276BCA">
              <w:rPr>
                <w:rFonts w:ascii="Arial Narrow" w:eastAsia="Times New Roman" w:hAnsi="Arial Narrow" w:cs="Calibri"/>
                <w:b/>
                <w:sz w:val="20"/>
                <w:szCs w:val="20"/>
              </w:rPr>
              <w:t>$10</w:t>
            </w:r>
            <w:r w:rsidR="001B08DB" w:rsidRPr="00276BCA">
              <w:rPr>
                <w:rFonts w:ascii="Arial Narrow" w:eastAsia="Times New Roman" w:hAnsi="Arial Narrow" w:cs="Calibri"/>
                <w:b/>
                <w:sz w:val="20"/>
                <w:szCs w:val="20"/>
              </w:rPr>
              <w:t>4,663</w:t>
            </w:r>
          </w:p>
        </w:tc>
      </w:tr>
      <w:tr w:rsidR="00E41328" w:rsidRPr="00276BCA" w14:paraId="68E8B9F8" w14:textId="77777777" w:rsidTr="00D90610">
        <w:trPr>
          <w:trHeight w:val="20"/>
        </w:trPr>
        <w:tc>
          <w:tcPr>
            <w:tcW w:w="5000" w:type="pct"/>
            <w:gridSpan w:val="10"/>
            <w:vAlign w:val="center"/>
            <w:hideMark/>
          </w:tcPr>
          <w:p w14:paraId="6A6CBF03" w14:textId="195B6E88" w:rsidR="00CF1176" w:rsidRPr="00276BCA" w:rsidRDefault="00CF1176" w:rsidP="00CB202B">
            <w:pPr>
              <w:keepNext/>
              <w:keepLines/>
              <w:spacing w:before="0" w:after="0"/>
              <w:rPr>
                <w:rFonts w:ascii="Arial Narrow" w:eastAsia="Times New Roman" w:hAnsi="Arial Narrow" w:cs="Calibri"/>
                <w:b/>
                <w:sz w:val="20"/>
                <w:szCs w:val="20"/>
              </w:rPr>
            </w:pPr>
            <w:r w:rsidRPr="00276BCA">
              <w:rPr>
                <w:rFonts w:ascii="Arial Narrow" w:eastAsia="Times New Roman" w:hAnsi="Arial Narrow" w:cs="Calibri"/>
                <w:b/>
                <w:sz w:val="20"/>
                <w:szCs w:val="20"/>
              </w:rPr>
              <w:t>Nivolumab plus mFOLFOX6</w:t>
            </w:r>
          </w:p>
        </w:tc>
      </w:tr>
      <w:tr w:rsidR="00840E95" w:rsidRPr="00276BCA" w14:paraId="2D407B69" w14:textId="77777777" w:rsidTr="00BF1257">
        <w:trPr>
          <w:trHeight w:val="20"/>
        </w:trPr>
        <w:tc>
          <w:tcPr>
            <w:tcW w:w="773" w:type="pct"/>
            <w:vAlign w:val="center"/>
            <w:hideMark/>
          </w:tcPr>
          <w:p w14:paraId="7AB4378A" w14:textId="77777777" w:rsidR="00895540" w:rsidRPr="00276BCA" w:rsidRDefault="00CF1176" w:rsidP="00CB202B">
            <w:pPr>
              <w:keepNext/>
              <w:keepLines/>
              <w:spacing w:before="0" w:after="0"/>
              <w:rPr>
                <w:rFonts w:ascii="Arial Narrow" w:eastAsia="Times New Roman" w:hAnsi="Arial Narrow" w:cs="Calibri"/>
                <w:sz w:val="20"/>
                <w:szCs w:val="20"/>
              </w:rPr>
            </w:pPr>
            <w:r w:rsidRPr="00276BCA">
              <w:rPr>
                <w:rFonts w:ascii="Arial Narrow" w:eastAsia="Times New Roman" w:hAnsi="Arial Narrow" w:cs="Calibri"/>
                <w:sz w:val="20"/>
                <w:szCs w:val="20"/>
              </w:rPr>
              <w:t xml:space="preserve">Nivolumab, </w:t>
            </w:r>
          </w:p>
          <w:p w14:paraId="43333DCE" w14:textId="3B8F120C" w:rsidR="00CF1176" w:rsidRPr="00276BCA" w:rsidRDefault="00CF1176" w:rsidP="00CB202B">
            <w:pPr>
              <w:keepNext/>
              <w:keepLines/>
              <w:spacing w:before="0" w:after="0"/>
              <w:rPr>
                <w:rFonts w:ascii="Arial Narrow" w:eastAsia="Times New Roman" w:hAnsi="Arial Narrow" w:cs="Calibri"/>
                <w:sz w:val="20"/>
                <w:szCs w:val="20"/>
              </w:rPr>
            </w:pPr>
            <w:r w:rsidRPr="00276BCA">
              <w:rPr>
                <w:rFonts w:ascii="Arial Narrow" w:eastAsia="Times New Roman" w:hAnsi="Arial Narrow" w:cs="Calibri"/>
                <w:sz w:val="20"/>
                <w:szCs w:val="20"/>
              </w:rPr>
              <w:t>240 mg Q2W</w:t>
            </w:r>
          </w:p>
        </w:tc>
        <w:tc>
          <w:tcPr>
            <w:tcW w:w="480" w:type="pct"/>
            <w:vAlign w:val="center"/>
          </w:tcPr>
          <w:p w14:paraId="1FD6D218" w14:textId="77777777" w:rsidR="00CF1176" w:rsidRPr="00276BCA" w:rsidRDefault="00CF117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$4,377</w:t>
            </w:r>
          </w:p>
        </w:tc>
        <w:tc>
          <w:tcPr>
            <w:tcW w:w="394" w:type="pct"/>
            <w:vAlign w:val="center"/>
          </w:tcPr>
          <w:p w14:paraId="0F46966C" w14:textId="77777777" w:rsidR="00CF1176" w:rsidRPr="00276BCA" w:rsidRDefault="00CF117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$4,377</w:t>
            </w:r>
          </w:p>
        </w:tc>
        <w:tc>
          <w:tcPr>
            <w:tcW w:w="551" w:type="pct"/>
            <w:vAlign w:val="center"/>
          </w:tcPr>
          <w:p w14:paraId="22056D73" w14:textId="77777777" w:rsidR="00CF1176" w:rsidRPr="00276BCA" w:rsidRDefault="00CF117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$4,900</w:t>
            </w:r>
          </w:p>
        </w:tc>
        <w:tc>
          <w:tcPr>
            <w:tcW w:w="629" w:type="pct"/>
            <w:vAlign w:val="center"/>
          </w:tcPr>
          <w:p w14:paraId="4544A1CE" w14:textId="77777777" w:rsidR="00CF1176" w:rsidRPr="00276BCA" w:rsidRDefault="00CF117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21.31 cycles</w:t>
            </w:r>
          </w:p>
        </w:tc>
        <w:tc>
          <w:tcPr>
            <w:tcW w:w="394" w:type="pct"/>
            <w:vAlign w:val="center"/>
          </w:tcPr>
          <w:p w14:paraId="75002B2F" w14:textId="77777777" w:rsidR="00CF1176" w:rsidRPr="00276BCA" w:rsidRDefault="00CF117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22 cycles</w:t>
            </w:r>
          </w:p>
        </w:tc>
        <w:tc>
          <w:tcPr>
            <w:tcW w:w="477" w:type="pct"/>
            <w:vAlign w:val="center"/>
          </w:tcPr>
          <w:p w14:paraId="228591A1" w14:textId="77777777" w:rsidR="00CF1176" w:rsidRPr="00276BCA" w:rsidRDefault="00CF117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19.72 cycles</w:t>
            </w:r>
          </w:p>
        </w:tc>
        <w:tc>
          <w:tcPr>
            <w:tcW w:w="412" w:type="pct"/>
            <w:vAlign w:val="center"/>
          </w:tcPr>
          <w:p w14:paraId="79308229" w14:textId="77777777" w:rsidR="00CF1176" w:rsidRPr="00276BCA" w:rsidRDefault="00CF117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$96,294</w:t>
            </w:r>
          </w:p>
        </w:tc>
        <w:tc>
          <w:tcPr>
            <w:tcW w:w="412" w:type="pct"/>
            <w:vAlign w:val="center"/>
          </w:tcPr>
          <w:p w14:paraId="54FE5355" w14:textId="77777777" w:rsidR="00CF1176" w:rsidRPr="00276BCA" w:rsidRDefault="00CF117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$96,302</w:t>
            </w:r>
          </w:p>
        </w:tc>
        <w:tc>
          <w:tcPr>
            <w:tcW w:w="477" w:type="pct"/>
            <w:vAlign w:val="center"/>
          </w:tcPr>
          <w:p w14:paraId="3BCFC835" w14:textId="1257698B" w:rsidR="00CF1176" w:rsidRPr="00276BCA" w:rsidRDefault="00CF117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$96,6</w:t>
            </w:r>
            <w:r w:rsidR="001B08DB" w:rsidRPr="00276BCA">
              <w:rPr>
                <w:rFonts w:ascii="Arial Narrow" w:eastAsia="Times New Roman" w:hAnsi="Arial Narrow" w:cs="Calibri"/>
                <w:sz w:val="20"/>
                <w:szCs w:val="20"/>
              </w:rPr>
              <w:t>18</w:t>
            </w:r>
          </w:p>
        </w:tc>
      </w:tr>
      <w:tr w:rsidR="00E41328" w:rsidRPr="00276BCA" w14:paraId="19D78C95" w14:textId="77777777" w:rsidTr="00D90610">
        <w:trPr>
          <w:trHeight w:val="20"/>
        </w:trPr>
        <w:tc>
          <w:tcPr>
            <w:tcW w:w="5000" w:type="pct"/>
            <w:gridSpan w:val="10"/>
            <w:vAlign w:val="center"/>
          </w:tcPr>
          <w:p w14:paraId="1DCB430A" w14:textId="77777777" w:rsidR="00CF1176" w:rsidRPr="00276BCA" w:rsidRDefault="00CF1176" w:rsidP="00CB202B">
            <w:pPr>
              <w:keepNext/>
              <w:keepLines/>
              <w:spacing w:before="0" w:after="0"/>
              <w:rPr>
                <w:rFonts w:ascii="Arial Narrow" w:eastAsia="Times New Roman" w:hAnsi="Arial Narrow" w:cs="Calibri"/>
                <w:sz w:val="20"/>
                <w:szCs w:val="20"/>
              </w:rPr>
            </w:pPr>
            <w:r w:rsidRPr="00276BCA">
              <w:rPr>
                <w:rFonts w:ascii="Arial Narrow" w:eastAsia="Times New Roman" w:hAnsi="Arial Narrow" w:cs="Calibri"/>
                <w:b/>
                <w:sz w:val="20"/>
                <w:szCs w:val="20"/>
              </w:rPr>
              <w:t>Nivolumab plus CAPOX</w:t>
            </w:r>
          </w:p>
        </w:tc>
      </w:tr>
      <w:tr w:rsidR="00840E95" w:rsidRPr="00276BCA" w14:paraId="1B01A477" w14:textId="77777777" w:rsidTr="00BF1257">
        <w:trPr>
          <w:trHeight w:val="20"/>
        </w:trPr>
        <w:tc>
          <w:tcPr>
            <w:tcW w:w="773" w:type="pct"/>
            <w:vAlign w:val="center"/>
          </w:tcPr>
          <w:p w14:paraId="60E59533" w14:textId="77777777" w:rsidR="00895540" w:rsidRPr="00276BCA" w:rsidRDefault="00CF1176" w:rsidP="00CB202B">
            <w:pPr>
              <w:keepNext/>
              <w:keepLines/>
              <w:spacing w:before="0" w:after="0"/>
              <w:rPr>
                <w:rFonts w:ascii="Arial Narrow" w:eastAsia="Times New Roman" w:hAnsi="Arial Narrow" w:cs="Calibri"/>
                <w:sz w:val="20"/>
                <w:szCs w:val="20"/>
              </w:rPr>
            </w:pPr>
            <w:r w:rsidRPr="00276BCA">
              <w:rPr>
                <w:rFonts w:ascii="Arial Narrow" w:eastAsia="Times New Roman" w:hAnsi="Arial Narrow" w:cs="Calibri"/>
                <w:sz w:val="20"/>
                <w:szCs w:val="20"/>
              </w:rPr>
              <w:t>Nivolumab,</w:t>
            </w:r>
          </w:p>
          <w:p w14:paraId="7D390193" w14:textId="6299B88A" w:rsidR="00CF1176" w:rsidRPr="00276BCA" w:rsidRDefault="00CF1176" w:rsidP="00CB202B">
            <w:pPr>
              <w:keepNext/>
              <w:keepLines/>
              <w:spacing w:before="0" w:after="0"/>
              <w:rPr>
                <w:rFonts w:ascii="Arial Narrow" w:eastAsia="Times New Roman" w:hAnsi="Arial Narrow" w:cs="Calibri"/>
                <w:sz w:val="20"/>
                <w:szCs w:val="20"/>
              </w:rPr>
            </w:pPr>
            <w:r w:rsidRPr="00276BCA">
              <w:rPr>
                <w:rFonts w:ascii="Arial Narrow" w:eastAsia="Times New Roman" w:hAnsi="Arial Narrow" w:cs="Calibri"/>
                <w:sz w:val="20"/>
                <w:szCs w:val="20"/>
              </w:rPr>
              <w:t>360 mg Q3W</w:t>
            </w:r>
          </w:p>
        </w:tc>
        <w:tc>
          <w:tcPr>
            <w:tcW w:w="480" w:type="pct"/>
            <w:vAlign w:val="center"/>
          </w:tcPr>
          <w:p w14:paraId="0EFE4F41" w14:textId="77777777" w:rsidR="00CF1176" w:rsidRPr="00276BCA" w:rsidRDefault="00CF117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$6,824</w:t>
            </w:r>
          </w:p>
        </w:tc>
        <w:tc>
          <w:tcPr>
            <w:tcW w:w="394" w:type="pct"/>
            <w:vAlign w:val="center"/>
          </w:tcPr>
          <w:p w14:paraId="4D3324FD" w14:textId="77777777" w:rsidR="00CF1176" w:rsidRPr="00276BCA" w:rsidRDefault="00CF117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$6,824</w:t>
            </w:r>
          </w:p>
        </w:tc>
        <w:tc>
          <w:tcPr>
            <w:tcW w:w="551" w:type="pct"/>
            <w:vAlign w:val="center"/>
          </w:tcPr>
          <w:p w14:paraId="3E1ED67A" w14:textId="77777777" w:rsidR="00CF1176" w:rsidRPr="00276BCA" w:rsidRDefault="00CF117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$7,290</w:t>
            </w:r>
          </w:p>
        </w:tc>
        <w:tc>
          <w:tcPr>
            <w:tcW w:w="629" w:type="pct"/>
            <w:vAlign w:val="center"/>
          </w:tcPr>
          <w:p w14:paraId="4016D49F" w14:textId="77777777" w:rsidR="00CF1176" w:rsidRPr="00276BCA" w:rsidRDefault="00CF117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14.20 cycles</w:t>
            </w:r>
          </w:p>
        </w:tc>
        <w:tc>
          <w:tcPr>
            <w:tcW w:w="394" w:type="pct"/>
            <w:vAlign w:val="center"/>
          </w:tcPr>
          <w:p w14:paraId="46E7AA7C" w14:textId="77777777" w:rsidR="00CF1176" w:rsidRPr="00276BCA" w:rsidRDefault="00CF117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15 cycles</w:t>
            </w:r>
          </w:p>
        </w:tc>
        <w:tc>
          <w:tcPr>
            <w:tcW w:w="477" w:type="pct"/>
            <w:vAlign w:val="center"/>
          </w:tcPr>
          <w:p w14:paraId="40841EE7" w14:textId="77777777" w:rsidR="00CF1176" w:rsidRPr="00276BCA" w:rsidRDefault="00CF117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13.66 cycles</w:t>
            </w:r>
          </w:p>
        </w:tc>
        <w:tc>
          <w:tcPr>
            <w:tcW w:w="412" w:type="pct"/>
            <w:vAlign w:val="center"/>
          </w:tcPr>
          <w:p w14:paraId="27A2652D" w14:textId="77777777" w:rsidR="00CF1176" w:rsidRPr="00276BCA" w:rsidRDefault="00CF117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$102,360</w:t>
            </w:r>
          </w:p>
        </w:tc>
        <w:tc>
          <w:tcPr>
            <w:tcW w:w="412" w:type="pct"/>
            <w:vAlign w:val="center"/>
          </w:tcPr>
          <w:p w14:paraId="1C104059" w14:textId="77777777" w:rsidR="00CF1176" w:rsidRPr="00276BCA" w:rsidRDefault="00CF117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$102,361</w:t>
            </w:r>
          </w:p>
        </w:tc>
        <w:tc>
          <w:tcPr>
            <w:tcW w:w="477" w:type="pct"/>
            <w:vAlign w:val="center"/>
          </w:tcPr>
          <w:p w14:paraId="3681575F" w14:textId="2564BE44" w:rsidR="00CF1176" w:rsidRPr="00276BCA" w:rsidRDefault="00CF1176" w:rsidP="00CB202B">
            <w:pPr>
              <w:keepNext/>
              <w:keepLines/>
              <w:spacing w:before="0" w:after="0"/>
              <w:jc w:val="center"/>
              <w:rPr>
                <w:rFonts w:ascii="Arial Narrow" w:eastAsia="Times New Roman" w:hAnsi="Arial Narrow" w:cs="Calibri"/>
                <w:sz w:val="20"/>
                <w:szCs w:val="20"/>
              </w:rPr>
            </w:pPr>
            <w:r w:rsidRPr="00276BCA">
              <w:rPr>
                <w:rFonts w:ascii="Arial Narrow" w:eastAsia="Times New Roman" w:hAnsi="Arial Narrow" w:cs="Calibri"/>
                <w:sz w:val="20"/>
                <w:szCs w:val="20"/>
              </w:rPr>
              <w:t>$99,5</w:t>
            </w:r>
            <w:r w:rsidR="001B08DB" w:rsidRPr="00276BCA">
              <w:rPr>
                <w:rFonts w:ascii="Arial Narrow" w:eastAsia="Times New Roman" w:hAnsi="Arial Narrow" w:cs="Calibri"/>
                <w:sz w:val="20"/>
                <w:szCs w:val="20"/>
              </w:rPr>
              <w:t>93</w:t>
            </w:r>
          </w:p>
        </w:tc>
      </w:tr>
      <w:tr w:rsidR="00E41328" w:rsidRPr="00276BCA" w14:paraId="5CA2496A" w14:textId="77777777" w:rsidTr="00D90610">
        <w:trPr>
          <w:trHeight w:val="20"/>
        </w:trPr>
        <w:tc>
          <w:tcPr>
            <w:tcW w:w="3698" w:type="pct"/>
            <w:gridSpan w:val="7"/>
            <w:vAlign w:val="center"/>
            <w:hideMark/>
          </w:tcPr>
          <w:p w14:paraId="290F319D" w14:textId="1B3DDD21" w:rsidR="00CF1176" w:rsidRPr="00276BCA" w:rsidRDefault="00CF1176" w:rsidP="00CB202B">
            <w:pPr>
              <w:keepNext/>
              <w:keepLines/>
              <w:spacing w:before="0" w:after="0"/>
              <w:rPr>
                <w:rFonts w:ascii="Arial Narrow" w:eastAsia="Times New Roman" w:hAnsi="Arial Narrow" w:cs="Calibri"/>
                <w:sz w:val="20"/>
                <w:szCs w:val="20"/>
              </w:rPr>
            </w:pPr>
            <w:r w:rsidRPr="00276BCA">
              <w:rPr>
                <w:rFonts w:ascii="Arial Narrow" w:eastAsia="Times New Roman" w:hAnsi="Arial Narrow" w:cs="Calibri"/>
                <w:b/>
                <w:sz w:val="20"/>
                <w:szCs w:val="20"/>
              </w:rPr>
              <w:t>Total (weighted</w:t>
            </w:r>
            <w:r w:rsidR="001B08DB" w:rsidRPr="00276BCA">
              <w:rPr>
                <w:rFonts w:ascii="Arial Narrow" w:eastAsia="Times New Roman" w:hAnsi="Arial Narrow" w:cs="Calibri"/>
                <w:b/>
                <w:sz w:val="20"/>
                <w:szCs w:val="20"/>
              </w:rPr>
              <w:t>; 50%/50% split between mFOLFOX6 and CAPOX)</w:t>
            </w:r>
          </w:p>
        </w:tc>
        <w:tc>
          <w:tcPr>
            <w:tcW w:w="412" w:type="pct"/>
            <w:vAlign w:val="center"/>
          </w:tcPr>
          <w:p w14:paraId="46EF1958" w14:textId="77777777" w:rsidR="00CF1176" w:rsidRPr="00276BCA" w:rsidRDefault="00CF1176" w:rsidP="00CB202B">
            <w:pPr>
              <w:keepNext/>
              <w:keepLines/>
              <w:spacing w:before="0" w:after="0"/>
              <w:jc w:val="center"/>
              <w:rPr>
                <w:rFonts w:ascii="Arial Narrow" w:eastAsia="Times New Roman" w:hAnsi="Arial Narrow" w:cs="Calibri"/>
                <w:b/>
                <w:sz w:val="20"/>
                <w:szCs w:val="20"/>
              </w:rPr>
            </w:pPr>
            <w:r w:rsidRPr="00276BCA">
              <w:rPr>
                <w:rFonts w:ascii="Arial Narrow" w:eastAsia="Times New Roman" w:hAnsi="Arial Narrow" w:cs="Calibri"/>
                <w:b/>
                <w:sz w:val="20"/>
                <w:szCs w:val="20"/>
              </w:rPr>
              <w:t>$99,327</w:t>
            </w:r>
          </w:p>
        </w:tc>
        <w:tc>
          <w:tcPr>
            <w:tcW w:w="412" w:type="pct"/>
          </w:tcPr>
          <w:p w14:paraId="5DAC1F7B" w14:textId="77777777" w:rsidR="00CF1176" w:rsidRPr="00276BCA" w:rsidRDefault="00CF1176" w:rsidP="00CB202B">
            <w:pPr>
              <w:keepNext/>
              <w:keepLines/>
              <w:spacing w:before="0" w:after="0"/>
              <w:jc w:val="center"/>
              <w:rPr>
                <w:rFonts w:ascii="Arial Narrow" w:eastAsia="Times New Roman" w:hAnsi="Arial Narrow" w:cs="Calibri"/>
                <w:b/>
                <w:sz w:val="20"/>
                <w:szCs w:val="20"/>
              </w:rPr>
            </w:pPr>
            <w:r w:rsidRPr="00276BCA">
              <w:rPr>
                <w:rFonts w:ascii="Arial Narrow" w:eastAsia="Times New Roman" w:hAnsi="Arial Narrow" w:cs="Calibri"/>
                <w:b/>
                <w:sz w:val="20"/>
                <w:szCs w:val="20"/>
              </w:rPr>
              <w:t>$99,331</w:t>
            </w:r>
          </w:p>
        </w:tc>
        <w:tc>
          <w:tcPr>
            <w:tcW w:w="477" w:type="pct"/>
          </w:tcPr>
          <w:p w14:paraId="2F409BB5" w14:textId="1FC6B82F" w:rsidR="00CF1176" w:rsidRPr="00276BCA" w:rsidRDefault="00CF1176" w:rsidP="00CB202B">
            <w:pPr>
              <w:keepNext/>
              <w:keepLines/>
              <w:spacing w:before="0" w:after="0"/>
              <w:jc w:val="center"/>
              <w:rPr>
                <w:rFonts w:ascii="Arial Narrow" w:eastAsia="Times New Roman" w:hAnsi="Arial Narrow" w:cs="Calibri"/>
                <w:b/>
                <w:sz w:val="20"/>
                <w:szCs w:val="20"/>
              </w:rPr>
            </w:pPr>
            <w:r w:rsidRPr="00276BCA">
              <w:rPr>
                <w:rFonts w:ascii="Arial Narrow" w:eastAsia="Times New Roman" w:hAnsi="Arial Narrow" w:cs="Calibri"/>
                <w:b/>
                <w:sz w:val="20"/>
                <w:szCs w:val="20"/>
              </w:rPr>
              <w:t>$98,10</w:t>
            </w:r>
            <w:r w:rsidR="0002325A" w:rsidRPr="00276BCA">
              <w:rPr>
                <w:rFonts w:ascii="Arial Narrow" w:eastAsia="Times New Roman" w:hAnsi="Arial Narrow" w:cs="Calibri"/>
                <w:b/>
                <w:sz w:val="20"/>
                <w:szCs w:val="20"/>
              </w:rPr>
              <w:t>6</w:t>
            </w:r>
          </w:p>
        </w:tc>
      </w:tr>
    </w:tbl>
    <w:p w14:paraId="58E75F78" w14:textId="77777777" w:rsidR="00CF1176" w:rsidRPr="00276BCA" w:rsidRDefault="24556079" w:rsidP="00CB202B">
      <w:pPr>
        <w:pStyle w:val="TableFooter"/>
        <w:keepNext/>
        <w:keepLines/>
      </w:pPr>
      <w:r w:rsidRPr="00276BCA">
        <w:rPr>
          <w:rFonts w:eastAsia="Calibri"/>
        </w:rPr>
        <w:t xml:space="preserve">Source: Table 2-20, p90; ‘Attachment 10- VYLOY-CLDN </w:t>
      </w:r>
      <w:proofErr w:type="spellStart"/>
      <w:r w:rsidRPr="00276BCA">
        <w:rPr>
          <w:rFonts w:eastAsia="Calibri"/>
        </w:rPr>
        <w:t>Australia_Cost-min_Section</w:t>
      </w:r>
      <w:proofErr w:type="spellEnd"/>
      <w:r w:rsidRPr="00276BCA">
        <w:rPr>
          <w:rFonts w:eastAsia="Calibri"/>
        </w:rPr>
        <w:t xml:space="preserve"> 3-Final.xslx’ and </w:t>
      </w:r>
      <w:r w:rsidRPr="00276BCA">
        <w:t xml:space="preserve">‘Attachment 11 – VYLOY CoDep Submission S4 </w:t>
      </w:r>
      <w:proofErr w:type="spellStart"/>
      <w:r w:rsidRPr="00276BCA">
        <w:t>model_Final</w:t>
      </w:r>
      <w:proofErr w:type="spellEnd"/>
      <w:r w:rsidRPr="00276BCA">
        <w:t>’ to the submission.</w:t>
      </w:r>
    </w:p>
    <w:p w14:paraId="3F465104" w14:textId="77777777" w:rsidR="00CF1176" w:rsidRPr="00276BCA" w:rsidRDefault="24556079" w:rsidP="00CB202B">
      <w:pPr>
        <w:pStyle w:val="FooterTableFigure"/>
        <w:keepNext/>
        <w:keepLines/>
      </w:pPr>
      <w:r w:rsidRPr="00276BCA">
        <w:t>BSA = body surface area; CAPOX = capecitabine and oxaliplatin; DPMA = dispensed price for maximum amount; mFOLFOX6 = fluorouracil, leucovorin, and oxaliplatin; Q2W = every two weeks; Q3W = every three weeks.</w:t>
      </w:r>
    </w:p>
    <w:p w14:paraId="079ED8CE" w14:textId="17CAAED6" w:rsidR="00CF1176" w:rsidRPr="00276BCA" w:rsidRDefault="00CF1176" w:rsidP="00CB202B">
      <w:pPr>
        <w:pStyle w:val="FooterTableFigure"/>
        <w:keepNext/>
        <w:keepLines/>
        <w:rPr>
          <w:vertAlign w:val="superscript"/>
        </w:rPr>
      </w:pPr>
      <w:r w:rsidRPr="00276BCA">
        <w:rPr>
          <w:vertAlign w:val="superscript"/>
        </w:rPr>
        <w:t>a</w:t>
      </w:r>
      <w:r w:rsidRPr="00276BCA">
        <w:t xml:space="preserve"> BSA in the SPOTLIGHT trial = 1.7</w:t>
      </w:r>
      <w:r w:rsidR="001B08DB" w:rsidRPr="00276BCA">
        <w:t>4</w:t>
      </w:r>
      <w:r w:rsidRPr="00276BCA">
        <w:t xml:space="preserve"> m</w:t>
      </w:r>
      <w:r w:rsidRPr="00276BCA">
        <w:rPr>
          <w:vertAlign w:val="superscript"/>
        </w:rPr>
        <w:t>2</w:t>
      </w:r>
      <w:r w:rsidRPr="00276BCA">
        <w:t>, GLOW trial = 1.6</w:t>
      </w:r>
      <w:r w:rsidR="001B08DB" w:rsidRPr="00276BCA">
        <w:t>6</w:t>
      </w:r>
      <w:r w:rsidRPr="00276BCA">
        <w:t xml:space="preserve"> m</w:t>
      </w:r>
      <w:r w:rsidRPr="00276BCA">
        <w:rPr>
          <w:vertAlign w:val="superscript"/>
        </w:rPr>
        <w:t>2</w:t>
      </w:r>
      <w:r w:rsidRPr="00276BCA">
        <w:t>; Economic Model = 1.70 m</w:t>
      </w:r>
      <w:r w:rsidRPr="00276BCA">
        <w:rPr>
          <w:vertAlign w:val="superscript"/>
        </w:rPr>
        <w:t>2</w:t>
      </w:r>
      <w:r w:rsidRPr="00276BCA">
        <w:t>; Financial Model = 1.70 m</w:t>
      </w:r>
      <w:r w:rsidRPr="00276BCA">
        <w:rPr>
          <w:vertAlign w:val="superscript"/>
        </w:rPr>
        <w:t>2</w:t>
      </w:r>
    </w:p>
    <w:p w14:paraId="56C82C3C" w14:textId="77777777" w:rsidR="00BC6420" w:rsidRPr="00276BCA" w:rsidRDefault="5F68EFD7" w:rsidP="00CB202B">
      <w:pPr>
        <w:pStyle w:val="FooterTableFigure"/>
        <w:keepNext/>
        <w:keepLines/>
      </w:pPr>
      <w:proofErr w:type="spellStart"/>
      <w:r w:rsidRPr="00276BCA">
        <w:rPr>
          <w:vertAlign w:val="superscript"/>
        </w:rPr>
        <w:t>b</w:t>
      </w:r>
      <w:r w:rsidRPr="00276BCA">
        <w:t>Cost</w:t>
      </w:r>
      <w:proofErr w:type="spellEnd"/>
      <w:r w:rsidRPr="00276BCA">
        <w:t xml:space="preserve"> per cycle in the trial was calculated as dosage × mean BSA × cost per vial ÷100</w:t>
      </w:r>
    </w:p>
    <w:p w14:paraId="5855D1D6" w14:textId="64FAB988" w:rsidR="00BC6420" w:rsidRPr="00276BCA" w:rsidRDefault="00BC6420" w:rsidP="00CB202B">
      <w:pPr>
        <w:pStyle w:val="FooterTableFigure"/>
        <w:keepNext/>
        <w:keepLines/>
      </w:pPr>
      <w:r w:rsidRPr="00276BCA">
        <w:rPr>
          <w:vertAlign w:val="superscript"/>
        </w:rPr>
        <w:t xml:space="preserve">c </w:t>
      </w:r>
      <w:r w:rsidRPr="00276BCA">
        <w:t>Cost per cycle in the economic model was calculated as dosage × RDI ×</w:t>
      </w:r>
      <w:r w:rsidR="00C9403C" w:rsidRPr="00276BCA">
        <w:t xml:space="preserve"> </w:t>
      </w:r>
      <w:r w:rsidRPr="00276BCA">
        <w:t>mean BSA × cost per vial ÷100</w:t>
      </w:r>
    </w:p>
    <w:p w14:paraId="6F5FE8FD" w14:textId="77777777" w:rsidR="00BC6420" w:rsidRPr="00276BCA" w:rsidRDefault="5F68EFD7" w:rsidP="00CB202B">
      <w:pPr>
        <w:pStyle w:val="FooterTableFigure"/>
        <w:keepNext/>
        <w:keepLines/>
      </w:pPr>
      <w:proofErr w:type="spellStart"/>
      <w:r w:rsidRPr="00276BCA">
        <w:rPr>
          <w:vertAlign w:val="superscript"/>
        </w:rPr>
        <w:t>d</w:t>
      </w:r>
      <w:r w:rsidRPr="00276BCA">
        <w:t>Cost</w:t>
      </w:r>
      <w:proofErr w:type="spellEnd"/>
      <w:r w:rsidRPr="00276BCA">
        <w:t xml:space="preserve"> per cycle in the financial model was calculated as dosage × mean BSA × cost per vial ÷100</w:t>
      </w:r>
    </w:p>
    <w:p w14:paraId="73EFFBD9" w14:textId="2AB6873A" w:rsidR="00CF1176" w:rsidRPr="00276BCA" w:rsidRDefault="5F68EFD7" w:rsidP="00CB202B">
      <w:pPr>
        <w:pStyle w:val="FooterTableFigure"/>
        <w:keepNext/>
        <w:keepLines/>
      </w:pPr>
      <w:proofErr w:type="spellStart"/>
      <w:r w:rsidRPr="00276BCA">
        <w:rPr>
          <w:vertAlign w:val="superscript"/>
        </w:rPr>
        <w:t>e</w:t>
      </w:r>
      <w:r w:rsidR="24556079" w:rsidRPr="00276BCA">
        <w:t>This</w:t>
      </w:r>
      <w:proofErr w:type="spellEnd"/>
      <w:r w:rsidR="24556079" w:rsidRPr="00276BCA">
        <w:t xml:space="preserve"> was based on the mean number of infusions in the SPOTLIGHT trial (14.2 infusions)</w:t>
      </w:r>
      <w:r w:rsidR="52F209C9" w:rsidRPr="00276BCA">
        <w:t xml:space="preserve">, with 1 infusion assumed to be the loading dose and remaining 13.2 infusion (Q3W) assumed to be </w:t>
      </w:r>
      <w:r w:rsidR="263C68A8" w:rsidRPr="00276BCA">
        <w:t xml:space="preserve">maintenance dose for </w:t>
      </w:r>
      <w:proofErr w:type="spellStart"/>
      <w:r w:rsidR="00A107EF" w:rsidRPr="00276BCA">
        <w:t>zolbetuximab</w:t>
      </w:r>
      <w:proofErr w:type="spellEnd"/>
      <w:r w:rsidR="00A107EF" w:rsidRPr="00276BCA">
        <w:t>.</w:t>
      </w:r>
    </w:p>
    <w:p w14:paraId="24FC705D" w14:textId="77777777" w:rsidR="00BC6420" w:rsidRPr="00276BCA" w:rsidRDefault="00BC6420" w:rsidP="00CB202B">
      <w:pPr>
        <w:pStyle w:val="FooterTableFigure"/>
        <w:keepNext/>
        <w:keepLines/>
      </w:pPr>
      <w:r w:rsidRPr="00276BCA">
        <w:rPr>
          <w:vertAlign w:val="superscript"/>
        </w:rPr>
        <w:t>f</w:t>
      </w:r>
      <w:r w:rsidR="00CF1176" w:rsidRPr="00276BCA">
        <w:t xml:space="preserve"> </w:t>
      </w:r>
      <w:r w:rsidRPr="00276BCA">
        <w:t>While both the economic and financial model used 400 mg/m</w:t>
      </w:r>
      <w:r w:rsidRPr="00276BCA">
        <w:rPr>
          <w:vertAlign w:val="superscript"/>
        </w:rPr>
        <w:t>2</w:t>
      </w:r>
      <w:r w:rsidRPr="00276BCA">
        <w:t>,</w:t>
      </w:r>
      <w:r w:rsidRPr="00276BCA">
        <w:rPr>
          <w:vertAlign w:val="superscript"/>
        </w:rPr>
        <w:t xml:space="preserve"> </w:t>
      </w:r>
      <w:r w:rsidRPr="00276BCA">
        <w:t>the trial used 600 mg/m</w:t>
      </w:r>
      <w:r w:rsidRPr="00276BCA">
        <w:rPr>
          <w:vertAlign w:val="superscript"/>
        </w:rPr>
        <w:t>2</w:t>
      </w:r>
      <w:r w:rsidRPr="00276BCA">
        <w:t xml:space="preserve"> of </w:t>
      </w:r>
      <w:proofErr w:type="spellStart"/>
      <w:r w:rsidRPr="00276BCA">
        <w:t>zolbetuximab</w:t>
      </w:r>
      <w:proofErr w:type="spellEnd"/>
      <w:r w:rsidRPr="00276BCA">
        <w:t xml:space="preserve"> with mFOFLOX6.</w:t>
      </w:r>
    </w:p>
    <w:p w14:paraId="589DA9B1" w14:textId="7883D8F7" w:rsidR="00CF1176" w:rsidRPr="00276BCA" w:rsidRDefault="5F68EFD7" w:rsidP="00CB202B">
      <w:pPr>
        <w:pStyle w:val="FooterTableFigure"/>
        <w:keepNext/>
        <w:keepLines/>
      </w:pPr>
      <w:r w:rsidRPr="00276BCA">
        <w:rPr>
          <w:vertAlign w:val="superscript"/>
        </w:rPr>
        <w:t>g</w:t>
      </w:r>
      <w:r w:rsidRPr="00276BCA">
        <w:t xml:space="preserve"> </w:t>
      </w:r>
      <w:r w:rsidR="24556079" w:rsidRPr="00276BCA">
        <w:t>This was based on the mean number of infusions in the GLOW trial (10.5 infusions)</w:t>
      </w:r>
      <w:r w:rsidR="263C68A8" w:rsidRPr="00276BCA">
        <w:t xml:space="preserve">, with 1 infusion assumed to be the loading dose and remaining 9.5 infusion (Q3W) assumed to be maintenance dose for </w:t>
      </w:r>
      <w:proofErr w:type="spellStart"/>
      <w:r w:rsidR="263C68A8" w:rsidRPr="00276BCA">
        <w:t>zolbetuximab</w:t>
      </w:r>
      <w:proofErr w:type="spellEnd"/>
      <w:r w:rsidR="24556079" w:rsidRPr="00276BCA">
        <w:t>.</w:t>
      </w:r>
    </w:p>
    <w:p w14:paraId="5A9E89A2" w14:textId="16040A20" w:rsidR="004F62C7" w:rsidRPr="00276BCA" w:rsidRDefault="004F62C7" w:rsidP="00CF1176">
      <w:pPr>
        <w:pStyle w:val="FooterTableFigure"/>
      </w:pPr>
      <w:r w:rsidRPr="00276BCA">
        <w:t>Italics compiled during the evaluation.</w:t>
      </w:r>
    </w:p>
    <w:p w14:paraId="6BA73615" w14:textId="34AC048D" w:rsidR="00460B6A" w:rsidRPr="00276BCA" w:rsidRDefault="00460B6A" w:rsidP="00074A38">
      <w:pPr>
        <w:pStyle w:val="OutlineHeading2"/>
        <w:rPr>
          <w:rFonts w:ascii="Calibri" w:hAnsi="Calibri" w:cs="Calibri"/>
          <w:iCs/>
        </w:rPr>
      </w:pPr>
      <w:bookmarkStart w:id="72" w:name="_Toc413139284"/>
      <w:bookmarkStart w:id="73" w:name="_Toc413139286"/>
      <w:r w:rsidRPr="00276BCA">
        <w:rPr>
          <w:rFonts w:ascii="Calibri" w:hAnsi="Calibri" w:cs="Calibri"/>
          <w:iCs/>
        </w:rPr>
        <w:t xml:space="preserve">Estimated PBS </w:t>
      </w:r>
      <w:r w:rsidR="0093156C" w:rsidRPr="00276BCA">
        <w:rPr>
          <w:rFonts w:ascii="Calibri" w:hAnsi="Calibri" w:cs="Calibri"/>
          <w:iCs/>
        </w:rPr>
        <w:t xml:space="preserve">usage </w:t>
      </w:r>
      <w:r w:rsidR="003C54D2" w:rsidRPr="00276BCA">
        <w:rPr>
          <w:rFonts w:ascii="Calibri" w:hAnsi="Calibri" w:cs="Calibri"/>
          <w:iCs/>
        </w:rPr>
        <w:t xml:space="preserve">&amp; </w:t>
      </w:r>
      <w:r w:rsidRPr="00276BCA">
        <w:rPr>
          <w:rFonts w:ascii="Calibri" w:hAnsi="Calibri" w:cs="Calibri"/>
          <w:iCs/>
        </w:rPr>
        <w:t>financial implications</w:t>
      </w:r>
      <w:bookmarkEnd w:id="72"/>
    </w:p>
    <w:p w14:paraId="567530A2" w14:textId="6D3111EA" w:rsidR="008969E8" w:rsidRPr="00276BCA" w:rsidRDefault="008969E8" w:rsidP="008969E8">
      <w:pPr>
        <w:pStyle w:val="ListParagraph"/>
        <w:numPr>
          <w:ilvl w:val="4"/>
          <w:numId w:val="8"/>
        </w:numPr>
        <w:rPr>
          <w:color w:val="auto"/>
        </w:rPr>
      </w:pPr>
      <w:bookmarkStart w:id="74" w:name="_Ref184065622"/>
      <w:bookmarkEnd w:id="73"/>
      <w:r w:rsidRPr="00276BCA">
        <w:rPr>
          <w:color w:val="auto"/>
        </w:rPr>
        <w:t xml:space="preserve">This submission </w:t>
      </w:r>
      <w:r w:rsidR="00FC27BB" w:rsidRPr="00276BCA">
        <w:rPr>
          <w:color w:val="auto"/>
        </w:rPr>
        <w:t>was</w:t>
      </w:r>
      <w:r w:rsidRPr="00276BCA">
        <w:rPr>
          <w:color w:val="auto"/>
        </w:rPr>
        <w:t xml:space="preserve"> considered by DUSC. An epidemiological approach was used to estimate the use and costs of CLDN18 testing and </w:t>
      </w:r>
      <w:proofErr w:type="spellStart"/>
      <w:r w:rsidRPr="00276BCA">
        <w:rPr>
          <w:color w:val="auto"/>
        </w:rPr>
        <w:t>zolbetuximab</w:t>
      </w:r>
      <w:proofErr w:type="spellEnd"/>
      <w:r w:rsidRPr="00276BCA">
        <w:rPr>
          <w:color w:val="auto"/>
        </w:rPr>
        <w:t xml:space="preserve"> treatment.</w:t>
      </w:r>
    </w:p>
    <w:p w14:paraId="68D7AD63" w14:textId="649517C9" w:rsidR="008969E8" w:rsidRPr="00276BCA" w:rsidRDefault="008969E8" w:rsidP="008969E8">
      <w:pPr>
        <w:pStyle w:val="ListParagraph"/>
        <w:numPr>
          <w:ilvl w:val="4"/>
          <w:numId w:val="8"/>
        </w:numPr>
        <w:rPr>
          <w:color w:val="auto"/>
        </w:rPr>
      </w:pPr>
      <w:r w:rsidRPr="00276BCA">
        <w:rPr>
          <w:color w:val="auto"/>
        </w:rPr>
        <w:t xml:space="preserve">The key inputs in the financial analysis are summarised in </w:t>
      </w:r>
      <w:r w:rsidRPr="00276BCA">
        <w:rPr>
          <w:color w:val="auto"/>
        </w:rPr>
        <w:fldChar w:fldCharType="begin"/>
      </w:r>
      <w:r w:rsidRPr="00276BCA">
        <w:rPr>
          <w:color w:val="auto"/>
        </w:rPr>
        <w:instrText xml:space="preserve"> REF _Ref183434742 \h </w:instrText>
      </w:r>
      <w:r w:rsidR="00875259" w:rsidRPr="00276BCA">
        <w:rPr>
          <w:color w:val="auto"/>
        </w:rPr>
        <w:instrText xml:space="preserve"> \* MERGEFORMAT </w:instrText>
      </w:r>
      <w:r w:rsidRPr="00276BCA">
        <w:rPr>
          <w:color w:val="auto"/>
        </w:rPr>
      </w:r>
      <w:r w:rsidRPr="00276BCA">
        <w:rPr>
          <w:color w:val="auto"/>
        </w:rPr>
        <w:fldChar w:fldCharType="separate"/>
      </w:r>
      <w:r w:rsidR="0011458F" w:rsidRPr="0011458F">
        <w:rPr>
          <w:color w:val="auto"/>
        </w:rPr>
        <w:t>Table 15</w:t>
      </w:r>
      <w:r w:rsidRPr="00276BCA">
        <w:rPr>
          <w:color w:val="auto"/>
        </w:rPr>
        <w:fldChar w:fldCharType="end"/>
      </w:r>
      <w:r w:rsidRPr="00276BCA">
        <w:rPr>
          <w:color w:val="auto"/>
        </w:rPr>
        <w:t>.</w:t>
      </w:r>
    </w:p>
    <w:p w14:paraId="35239671" w14:textId="6443E097" w:rsidR="008969E8" w:rsidRPr="00276BCA" w:rsidRDefault="008969E8" w:rsidP="008969E8">
      <w:pPr>
        <w:pStyle w:val="TableFigureHeading"/>
        <w:keepLines/>
        <w:rPr>
          <w:rStyle w:val="CommentReference"/>
          <w:b/>
        </w:rPr>
      </w:pPr>
      <w:bookmarkStart w:id="75" w:name="_Ref183434742"/>
      <w:r w:rsidRPr="00276BCA">
        <w:lastRenderedPageBreak/>
        <w:t xml:space="preserve">Table </w:t>
      </w:r>
      <w:r w:rsidR="005E7C50">
        <w:fldChar w:fldCharType="begin"/>
      </w:r>
      <w:r w:rsidR="005E7C50">
        <w:instrText xml:space="preserve"> SEQ Table_PBAC. \* ARABIC </w:instrText>
      </w:r>
      <w:r w:rsidR="005E7C50">
        <w:fldChar w:fldCharType="separate"/>
      </w:r>
      <w:r w:rsidR="0011458F">
        <w:rPr>
          <w:noProof/>
        </w:rPr>
        <w:t>15</w:t>
      </w:r>
      <w:r w:rsidR="005E7C50">
        <w:rPr>
          <w:noProof/>
        </w:rPr>
        <w:fldChar w:fldCharType="end"/>
      </w:r>
      <w:bookmarkEnd w:id="75"/>
      <w:r w:rsidR="006D475B" w:rsidRPr="00276BCA">
        <w:t xml:space="preserve">: </w:t>
      </w:r>
      <w:r w:rsidRPr="00276BCA">
        <w:rPr>
          <w:rStyle w:val="CommentReference"/>
          <w:b/>
        </w:rPr>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Key inputs for financial estimates"/>
      </w:tblPr>
      <w:tblGrid>
        <w:gridCol w:w="1554"/>
        <w:gridCol w:w="2552"/>
        <w:gridCol w:w="4910"/>
      </w:tblGrid>
      <w:tr w:rsidR="008969E8" w:rsidRPr="00276BCA" w14:paraId="557AFE09" w14:textId="77777777">
        <w:trPr>
          <w:tblHeader/>
        </w:trPr>
        <w:tc>
          <w:tcPr>
            <w:tcW w:w="862" w:type="pct"/>
            <w:vAlign w:val="center"/>
          </w:tcPr>
          <w:p w14:paraId="314F40F9" w14:textId="77777777" w:rsidR="008969E8" w:rsidRPr="00276BCA" w:rsidRDefault="008969E8">
            <w:pPr>
              <w:pStyle w:val="In-tableHeading"/>
              <w:keepLines/>
              <w:rPr>
                <w:lang w:val="en-AU"/>
              </w:rPr>
            </w:pPr>
            <w:r w:rsidRPr="00276BCA">
              <w:rPr>
                <w:lang w:val="en-AU"/>
              </w:rPr>
              <w:t>Parameter</w:t>
            </w:r>
          </w:p>
        </w:tc>
        <w:tc>
          <w:tcPr>
            <w:tcW w:w="1415" w:type="pct"/>
            <w:vAlign w:val="center"/>
          </w:tcPr>
          <w:p w14:paraId="487C54B7" w14:textId="77777777" w:rsidR="008969E8" w:rsidRPr="00276BCA" w:rsidRDefault="008969E8">
            <w:pPr>
              <w:pStyle w:val="In-tableHeading"/>
              <w:keepLines/>
              <w:rPr>
                <w:lang w:val="en-AU"/>
              </w:rPr>
            </w:pPr>
            <w:r w:rsidRPr="00276BCA">
              <w:rPr>
                <w:lang w:val="en-AU"/>
              </w:rPr>
              <w:t>Value applied and source</w:t>
            </w:r>
          </w:p>
        </w:tc>
        <w:tc>
          <w:tcPr>
            <w:tcW w:w="2723" w:type="pct"/>
            <w:vAlign w:val="center"/>
          </w:tcPr>
          <w:p w14:paraId="64CADC86" w14:textId="77777777" w:rsidR="008969E8" w:rsidRPr="00276BCA" w:rsidRDefault="008969E8">
            <w:pPr>
              <w:pStyle w:val="In-tableHeading"/>
              <w:keepLines/>
              <w:rPr>
                <w:lang w:val="en-AU"/>
              </w:rPr>
            </w:pPr>
            <w:r w:rsidRPr="00276BCA">
              <w:rPr>
                <w:lang w:val="en-AU"/>
              </w:rPr>
              <w:t>Comment</w:t>
            </w:r>
          </w:p>
        </w:tc>
      </w:tr>
      <w:tr w:rsidR="003363BF" w:rsidRPr="00276BCA" w14:paraId="11E4DCBB" w14:textId="77777777" w:rsidTr="003363BF">
        <w:tc>
          <w:tcPr>
            <w:tcW w:w="5000" w:type="pct"/>
            <w:gridSpan w:val="3"/>
            <w:vAlign w:val="center"/>
          </w:tcPr>
          <w:p w14:paraId="34C20274" w14:textId="6784A35D" w:rsidR="003363BF" w:rsidRPr="00276BCA" w:rsidRDefault="00295957">
            <w:pPr>
              <w:pStyle w:val="TableText"/>
              <w:keepNext/>
              <w:keepLines/>
              <w:rPr>
                <w:b/>
                <w:bCs/>
              </w:rPr>
            </w:pPr>
            <w:r w:rsidRPr="00276BCA">
              <w:rPr>
                <w:b/>
                <w:bCs/>
              </w:rPr>
              <w:t>Eligible population</w:t>
            </w:r>
          </w:p>
        </w:tc>
      </w:tr>
      <w:tr w:rsidR="008969E8" w:rsidRPr="00276BCA" w14:paraId="287AFD56" w14:textId="77777777">
        <w:tc>
          <w:tcPr>
            <w:tcW w:w="862" w:type="pct"/>
            <w:vAlign w:val="center"/>
          </w:tcPr>
          <w:p w14:paraId="6A7074AF" w14:textId="10E2F2C3" w:rsidR="008969E8" w:rsidRPr="00276BCA" w:rsidRDefault="008969E8">
            <w:pPr>
              <w:pStyle w:val="TableText"/>
              <w:keepNext/>
              <w:keepLines/>
            </w:pPr>
            <w:r w:rsidRPr="00276BCA">
              <w:t xml:space="preserve">Incidence </w:t>
            </w:r>
            <w:r w:rsidR="002E0CBE" w:rsidRPr="00276BCA">
              <w:t>of</w:t>
            </w:r>
            <w:r w:rsidRPr="00276BCA">
              <w:t xml:space="preserve"> GC</w:t>
            </w:r>
          </w:p>
        </w:tc>
        <w:tc>
          <w:tcPr>
            <w:tcW w:w="1415" w:type="pct"/>
            <w:vAlign w:val="center"/>
          </w:tcPr>
          <w:p w14:paraId="77396079" w14:textId="1CD6AEC3" w:rsidR="008969E8" w:rsidRPr="00276BCA" w:rsidRDefault="00E36329">
            <w:pPr>
              <w:pStyle w:val="TableText"/>
              <w:keepNext/>
              <w:keepLines/>
            </w:pPr>
            <w:r w:rsidRPr="00614E4F">
              <w:rPr>
                <w:color w:val="000000"/>
                <w:spacing w:val="53"/>
                <w:shd w:val="solid" w:color="000000" w:fill="000000"/>
                <w:fitText w:val="330" w:id="-694461440"/>
                <w14:textFill>
                  <w14:solidFill>
                    <w14:srgbClr w14:val="000000">
                      <w14:alpha w14:val="100000"/>
                    </w14:srgbClr>
                  </w14:solidFill>
                </w14:textFill>
              </w:rPr>
              <w:t>|||</w:t>
            </w:r>
            <w:r w:rsidRPr="00614E4F">
              <w:rPr>
                <w:color w:val="000000"/>
                <w:spacing w:val="1"/>
                <w:shd w:val="solid" w:color="000000" w:fill="000000"/>
                <w:fitText w:val="330" w:id="-694461440"/>
                <w14:textFill>
                  <w14:solidFill>
                    <w14:srgbClr w14:val="000000">
                      <w14:alpha w14:val="100000"/>
                    </w14:srgbClr>
                  </w14:solidFill>
                </w14:textFill>
              </w:rPr>
              <w:t>|</w:t>
            </w:r>
            <w:r w:rsidR="00732C26" w:rsidRPr="00276BCA">
              <w:rPr>
                <w:vertAlign w:val="superscript"/>
              </w:rPr>
              <w:t>1</w:t>
            </w:r>
            <w:r w:rsidR="008969E8" w:rsidRPr="00276BCA">
              <w:rPr>
                <w:vertAlign w:val="superscript"/>
              </w:rPr>
              <w:t xml:space="preserve"> </w:t>
            </w:r>
            <w:r w:rsidR="008969E8" w:rsidRPr="00276BCA">
              <w:t xml:space="preserve">in Year 1, increasing to </w:t>
            </w:r>
            <w:r w:rsidRPr="00614E4F">
              <w:rPr>
                <w:color w:val="000000"/>
                <w:spacing w:val="53"/>
                <w:shd w:val="solid" w:color="000000" w:fill="000000"/>
                <w14:textFill>
                  <w14:solidFill>
                    <w14:srgbClr w14:val="000000">
                      <w14:alpha w14:val="100000"/>
                    </w14:srgbClr>
                  </w14:solidFill>
                </w14:textFill>
              </w:rPr>
              <w:t>|||</w:t>
            </w:r>
            <w:r w:rsidRPr="00614E4F">
              <w:rPr>
                <w:color w:val="000000"/>
                <w:spacing w:val="287"/>
                <w:shd w:val="solid" w:color="000000" w:fill="000000"/>
                <w:fitText w:val="330" w:id="-694461439"/>
                <w14:textFill>
                  <w14:solidFill>
                    <w14:srgbClr w14:val="000000">
                      <w14:alpha w14:val="100000"/>
                    </w14:srgbClr>
                  </w14:solidFill>
                </w14:textFill>
              </w:rPr>
              <w:t>|</w:t>
            </w:r>
            <w:r w:rsidR="00732C26" w:rsidRPr="00276BCA">
              <w:rPr>
                <w:vertAlign w:val="superscript"/>
              </w:rPr>
              <w:t>1</w:t>
            </w:r>
            <w:r w:rsidR="008969E8" w:rsidRPr="00276BCA">
              <w:t xml:space="preserve"> in Year 6; based on long-term cancer incidence projections (2024-2033) reported by AIHW.</w:t>
            </w:r>
          </w:p>
        </w:tc>
        <w:tc>
          <w:tcPr>
            <w:tcW w:w="2723" w:type="pct"/>
            <w:vAlign w:val="center"/>
          </w:tcPr>
          <w:p w14:paraId="6F36E84E" w14:textId="6F459CFF" w:rsidR="008969E8" w:rsidRPr="00276BCA" w:rsidRDefault="008969E8">
            <w:pPr>
              <w:pStyle w:val="TableText"/>
              <w:keepNext/>
              <w:keepLines/>
            </w:pPr>
            <w:r w:rsidRPr="00276BCA">
              <w:t>The selected data source was appropriate. However, the AIHW database used in the submission for the annual forecast relied on 2019 data, despite the availability of more recent 2020 data, which shows a decrease of approximately 230 patients</w:t>
            </w:r>
            <w:r w:rsidR="00294A12" w:rsidRPr="00276BCA">
              <w:t>, possibly impacted by COVID</w:t>
            </w:r>
            <w:r w:rsidRPr="00276BCA">
              <w:t xml:space="preserve">. Using the updated patient numbers reduced the financial impact by 5%. </w:t>
            </w:r>
          </w:p>
        </w:tc>
      </w:tr>
      <w:tr w:rsidR="008969E8" w:rsidRPr="00276BCA" w14:paraId="187AE52F" w14:textId="77777777">
        <w:tc>
          <w:tcPr>
            <w:tcW w:w="862" w:type="pct"/>
            <w:vAlign w:val="center"/>
          </w:tcPr>
          <w:p w14:paraId="11558F9B" w14:textId="77777777" w:rsidR="008969E8" w:rsidRPr="00276BCA" w:rsidRDefault="008969E8">
            <w:pPr>
              <w:pStyle w:val="TableText"/>
              <w:keepNext/>
              <w:keepLines/>
            </w:pPr>
            <w:r w:rsidRPr="00276BCA">
              <w:t>Proportion diagnosed with advanced or metastatic disease</w:t>
            </w:r>
          </w:p>
        </w:tc>
        <w:tc>
          <w:tcPr>
            <w:tcW w:w="1415" w:type="pct"/>
            <w:vAlign w:val="center"/>
          </w:tcPr>
          <w:p w14:paraId="1A72EC1A" w14:textId="77777777" w:rsidR="008969E8" w:rsidRPr="00276BCA" w:rsidRDefault="008969E8">
            <w:pPr>
              <w:pStyle w:val="TableText"/>
              <w:keepNext/>
              <w:keepLines/>
            </w:pPr>
            <w:r w:rsidRPr="00276BCA">
              <w:t>85%; based on Wagner et al., (2010) and Nivolumab PSD March 2022 PBAC Meeting.</w:t>
            </w:r>
          </w:p>
        </w:tc>
        <w:tc>
          <w:tcPr>
            <w:tcW w:w="2723" w:type="pct"/>
            <w:vAlign w:val="center"/>
          </w:tcPr>
          <w:p w14:paraId="45D85D2A" w14:textId="0236DEF0" w:rsidR="008969E8" w:rsidRPr="00276BCA" w:rsidRDefault="008969E8">
            <w:pPr>
              <w:pStyle w:val="TableText"/>
              <w:keepNext/>
              <w:keepLines/>
            </w:pPr>
          </w:p>
        </w:tc>
      </w:tr>
      <w:tr w:rsidR="008969E8" w:rsidRPr="00276BCA" w14:paraId="2558A333" w14:textId="77777777">
        <w:tc>
          <w:tcPr>
            <w:tcW w:w="862" w:type="pct"/>
            <w:vAlign w:val="center"/>
          </w:tcPr>
          <w:p w14:paraId="3DB6F625" w14:textId="77777777" w:rsidR="008969E8" w:rsidRPr="00276BCA" w:rsidRDefault="008969E8">
            <w:pPr>
              <w:pStyle w:val="TableText"/>
              <w:keepNext/>
              <w:keepLines/>
            </w:pPr>
            <w:r w:rsidRPr="00276BCA">
              <w:t>Proportion with AC histology</w:t>
            </w:r>
          </w:p>
        </w:tc>
        <w:tc>
          <w:tcPr>
            <w:tcW w:w="1415" w:type="pct"/>
            <w:vAlign w:val="center"/>
          </w:tcPr>
          <w:p w14:paraId="2F0DBA84" w14:textId="77777777" w:rsidR="008969E8" w:rsidRPr="00276BCA" w:rsidRDefault="008969E8">
            <w:pPr>
              <w:pStyle w:val="TableText"/>
              <w:keepNext/>
              <w:keepLines/>
            </w:pPr>
            <w:r w:rsidRPr="00276BCA">
              <w:t>84.08%; based on AIHW 2021 report.</w:t>
            </w:r>
          </w:p>
        </w:tc>
        <w:tc>
          <w:tcPr>
            <w:tcW w:w="2723" w:type="pct"/>
            <w:vAlign w:val="center"/>
          </w:tcPr>
          <w:p w14:paraId="3CB921F6" w14:textId="62F2980B" w:rsidR="008969E8" w:rsidRPr="00276BCA" w:rsidRDefault="008969E8">
            <w:pPr>
              <w:pStyle w:val="TableText"/>
              <w:keepNext/>
              <w:keepLines/>
            </w:pPr>
          </w:p>
        </w:tc>
      </w:tr>
      <w:tr w:rsidR="008969E8" w:rsidRPr="00276BCA" w14:paraId="06C1C836" w14:textId="77777777">
        <w:tc>
          <w:tcPr>
            <w:tcW w:w="862" w:type="pct"/>
            <w:vAlign w:val="center"/>
          </w:tcPr>
          <w:p w14:paraId="5479A448" w14:textId="77777777" w:rsidR="008969E8" w:rsidRPr="00276BCA" w:rsidRDefault="008969E8">
            <w:pPr>
              <w:pStyle w:val="TableText"/>
              <w:keepNext/>
              <w:keepLines/>
            </w:pPr>
            <w:r w:rsidRPr="00276BCA">
              <w:t>Proportion of patients with ECOG PS of 0 or 1</w:t>
            </w:r>
          </w:p>
        </w:tc>
        <w:tc>
          <w:tcPr>
            <w:tcW w:w="1415" w:type="pct"/>
            <w:vAlign w:val="center"/>
          </w:tcPr>
          <w:p w14:paraId="59A0464E" w14:textId="77777777" w:rsidR="008969E8" w:rsidRPr="00276BCA" w:rsidRDefault="008969E8">
            <w:pPr>
              <w:pStyle w:val="TableText"/>
              <w:keepNext/>
              <w:keepLines/>
            </w:pPr>
            <w:r w:rsidRPr="00276BCA">
              <w:t xml:space="preserve">80%; based on reports from Ma et al. </w:t>
            </w:r>
            <w:r w:rsidRPr="00614E4F">
              <w:t xml:space="preserve">(2021) and Gómez-Ulloa et al. </w:t>
            </w:r>
            <w:r w:rsidRPr="00276BCA">
              <w:t>(2020).</w:t>
            </w:r>
          </w:p>
        </w:tc>
        <w:tc>
          <w:tcPr>
            <w:tcW w:w="2723" w:type="pct"/>
            <w:vAlign w:val="center"/>
          </w:tcPr>
          <w:p w14:paraId="74B60A9B" w14:textId="253BB47F" w:rsidR="008969E8" w:rsidRPr="00276BCA" w:rsidRDefault="008969E8">
            <w:pPr>
              <w:pStyle w:val="TableText"/>
              <w:keepNext/>
              <w:keepLines/>
            </w:pPr>
            <w:r w:rsidRPr="00276BCA">
              <w:t>This was uncertain</w:t>
            </w:r>
            <w:r w:rsidR="00F44350" w:rsidRPr="00276BCA">
              <w:t xml:space="preserve"> and likely </w:t>
            </w:r>
            <w:r w:rsidR="000C3694" w:rsidRPr="00276BCA">
              <w:t>overestimated</w:t>
            </w:r>
            <w:r w:rsidR="006F0518" w:rsidRPr="00276BCA">
              <w:t>.</w:t>
            </w:r>
            <w:r w:rsidR="002E30AB" w:rsidRPr="00276BCA">
              <w:t xml:space="preserve"> </w:t>
            </w:r>
            <w:r w:rsidRPr="00276BCA">
              <w:t xml:space="preserve">The applicability of Ma et al. (2021) to the Australian population is limited, as the study was conducted in China. Although Gómez-Ulloa et al. (2020) included 34 patients from Australia, 70% had an ECOG performance status of 0-1 at the initiation of 2L treatment, and 26% had an unknown status. Additionally, the </w:t>
            </w:r>
            <w:r w:rsidR="002E30AB" w:rsidRPr="00276BCA">
              <w:t>n</w:t>
            </w:r>
            <w:r w:rsidRPr="00276BCA">
              <w:t>ivolumab March 2022 PBAC submission used a lower estimate of 74.75%.</w:t>
            </w:r>
          </w:p>
        </w:tc>
      </w:tr>
      <w:tr w:rsidR="008969E8" w:rsidRPr="00276BCA" w14:paraId="39EE0DA6" w14:textId="77777777">
        <w:tc>
          <w:tcPr>
            <w:tcW w:w="862" w:type="pct"/>
            <w:vAlign w:val="center"/>
          </w:tcPr>
          <w:p w14:paraId="532A624F" w14:textId="77777777" w:rsidR="008969E8" w:rsidRPr="00276BCA" w:rsidRDefault="008969E8">
            <w:pPr>
              <w:pStyle w:val="TableText"/>
              <w:keepNext/>
              <w:keepLines/>
            </w:pPr>
            <w:r w:rsidRPr="00276BCA">
              <w:t>Proportion of patients who are HER2-negative</w:t>
            </w:r>
          </w:p>
        </w:tc>
        <w:tc>
          <w:tcPr>
            <w:tcW w:w="1415" w:type="pct"/>
            <w:vAlign w:val="center"/>
          </w:tcPr>
          <w:p w14:paraId="1C0A4E5D" w14:textId="77777777" w:rsidR="008969E8" w:rsidRPr="00276BCA" w:rsidRDefault="008969E8">
            <w:pPr>
              <w:pStyle w:val="TableText"/>
              <w:keepNext/>
              <w:keepLines/>
            </w:pPr>
            <w:r w:rsidRPr="00276BCA">
              <w:t>86.10%; based on Kumarasinghe et al., (2017).</w:t>
            </w:r>
          </w:p>
        </w:tc>
        <w:tc>
          <w:tcPr>
            <w:tcW w:w="2723" w:type="pct"/>
            <w:vAlign w:val="center"/>
          </w:tcPr>
          <w:p w14:paraId="526CFB35" w14:textId="32C50B11" w:rsidR="008969E8" w:rsidRPr="00276BCA" w:rsidRDefault="008969E8">
            <w:pPr>
              <w:pStyle w:val="TableText"/>
              <w:keepNext/>
              <w:keepLines/>
            </w:pPr>
          </w:p>
        </w:tc>
      </w:tr>
      <w:tr w:rsidR="008969E8" w:rsidRPr="00276BCA" w14:paraId="7C3E7757" w14:textId="77777777">
        <w:tc>
          <w:tcPr>
            <w:tcW w:w="862" w:type="pct"/>
            <w:vAlign w:val="center"/>
          </w:tcPr>
          <w:p w14:paraId="7C8E7AA2" w14:textId="77777777" w:rsidR="008969E8" w:rsidRPr="00276BCA" w:rsidRDefault="008969E8">
            <w:pPr>
              <w:pStyle w:val="TableText"/>
              <w:keepNext/>
              <w:keepLines/>
            </w:pPr>
            <w:r w:rsidRPr="00276BCA">
              <w:t>Proportion of patients tested for CLDN18</w:t>
            </w:r>
          </w:p>
        </w:tc>
        <w:tc>
          <w:tcPr>
            <w:tcW w:w="1415" w:type="pct"/>
            <w:vAlign w:val="center"/>
          </w:tcPr>
          <w:p w14:paraId="0103972F" w14:textId="77777777" w:rsidR="008969E8" w:rsidRPr="00276BCA" w:rsidRDefault="008969E8">
            <w:pPr>
              <w:pStyle w:val="TableText"/>
              <w:keepNext/>
              <w:keepLines/>
            </w:pPr>
            <w:r w:rsidRPr="00276BCA">
              <w:t>90%; based on Sponsor’s assumption.</w:t>
            </w:r>
          </w:p>
        </w:tc>
        <w:tc>
          <w:tcPr>
            <w:tcW w:w="2723" w:type="pct"/>
            <w:vAlign w:val="center"/>
          </w:tcPr>
          <w:p w14:paraId="01CBA325" w14:textId="4965329F" w:rsidR="0006063C" w:rsidRPr="00276BCA" w:rsidRDefault="008969E8">
            <w:pPr>
              <w:pStyle w:val="TableText"/>
              <w:keepNext/>
              <w:keepLines/>
            </w:pPr>
            <w:r w:rsidRPr="00276BCA">
              <w:t xml:space="preserve">While this approach was reasonable for estimating the number of patients who would receive treatment with </w:t>
            </w:r>
            <w:proofErr w:type="spellStart"/>
            <w:r w:rsidRPr="00276BCA">
              <w:t>zolbetuximab</w:t>
            </w:r>
            <w:proofErr w:type="spellEnd"/>
            <w:r w:rsidRPr="00276BCA">
              <w:t>, it may not be appropriate for calculating the number of patients who will undergo CLDN18 testing. PASC specified that CLDN18 testing will be done in all patients with locally advanced unresectable or metastatic G/GOJ adenocarcinoma irrespective of HER2 status. (p17, MSAC Application 1767 Ratified PICO Confirmation, April 2024 PASC Meeting).</w:t>
            </w:r>
            <w:r w:rsidR="005A5CCC" w:rsidRPr="00276BCA">
              <w:t xml:space="preserve"> </w:t>
            </w:r>
            <w:r w:rsidR="005A5CCC" w:rsidRPr="00276BCA">
              <w:rPr>
                <w:szCs w:val="20"/>
              </w:rPr>
              <w:t xml:space="preserve">DUSC considered that this input results in an </w:t>
            </w:r>
            <w:r w:rsidR="000C3694" w:rsidRPr="00276BCA">
              <w:rPr>
                <w:szCs w:val="20"/>
              </w:rPr>
              <w:t>unnecessary</w:t>
            </w:r>
            <w:r w:rsidR="005A5CCC" w:rsidRPr="00276BCA">
              <w:rPr>
                <w:szCs w:val="20"/>
              </w:rPr>
              <w:t xml:space="preserve"> loss of patients.</w:t>
            </w:r>
          </w:p>
        </w:tc>
      </w:tr>
      <w:tr w:rsidR="008969E8" w:rsidRPr="00276BCA" w14:paraId="1C886C34" w14:textId="77777777">
        <w:tc>
          <w:tcPr>
            <w:tcW w:w="862" w:type="pct"/>
            <w:vAlign w:val="center"/>
          </w:tcPr>
          <w:p w14:paraId="03753317" w14:textId="77777777" w:rsidR="008969E8" w:rsidRPr="00276BCA" w:rsidRDefault="008969E8">
            <w:pPr>
              <w:pStyle w:val="TableText"/>
              <w:keepNext/>
              <w:keepLines/>
            </w:pPr>
            <w:r w:rsidRPr="00276BCA">
              <w:t>Proportion of patients with ≥75% CLDN18.2 tumour expression</w:t>
            </w:r>
          </w:p>
        </w:tc>
        <w:tc>
          <w:tcPr>
            <w:tcW w:w="1415" w:type="pct"/>
            <w:vAlign w:val="center"/>
          </w:tcPr>
          <w:p w14:paraId="4235A27E" w14:textId="77777777" w:rsidR="008969E8" w:rsidRPr="00276BCA" w:rsidRDefault="008969E8">
            <w:pPr>
              <w:pStyle w:val="TableText"/>
              <w:keepNext/>
              <w:keepLines/>
            </w:pPr>
            <w:r w:rsidRPr="00276BCA">
              <w:t>38.4%; weighted average of patients who tested positive for CLDN18.2 expression in SPOTLIGHT &amp; GLOW trials.</w:t>
            </w:r>
          </w:p>
        </w:tc>
        <w:tc>
          <w:tcPr>
            <w:tcW w:w="2723" w:type="pct"/>
            <w:vAlign w:val="center"/>
          </w:tcPr>
          <w:p w14:paraId="1EA78AE6" w14:textId="30F01D99" w:rsidR="00EB02B7" w:rsidRPr="00276BCA" w:rsidRDefault="008969E8" w:rsidP="00EB02B7">
            <w:pPr>
              <w:pStyle w:val="TableText"/>
              <w:keepNext/>
              <w:keepLines/>
            </w:pPr>
            <w:r w:rsidRPr="00276BCA">
              <w:t>There is inherent uncertainty regarding the proportion of patients testing positive for CLDN18.2 in Australia, as the trials were conducted internationally</w:t>
            </w:r>
            <w:r w:rsidR="00E31F11" w:rsidRPr="00276BCA">
              <w:rPr>
                <w:szCs w:val="20"/>
              </w:rPr>
              <w:t xml:space="preserve"> and the sensitivity analysis indicates that alteration of ±10% will consequently cause a ±13% change in overall estimates</w:t>
            </w:r>
            <w:r w:rsidRPr="00276BCA">
              <w:t xml:space="preserve">. </w:t>
            </w:r>
          </w:p>
        </w:tc>
      </w:tr>
      <w:tr w:rsidR="006A6756" w:rsidRPr="00276BCA" w14:paraId="58C19CC3" w14:textId="77777777" w:rsidTr="00295957">
        <w:tc>
          <w:tcPr>
            <w:tcW w:w="5000" w:type="pct"/>
            <w:gridSpan w:val="3"/>
            <w:vAlign w:val="center"/>
          </w:tcPr>
          <w:p w14:paraId="031F09A4" w14:textId="5CDAD6E1" w:rsidR="006A6756" w:rsidRPr="00276BCA" w:rsidRDefault="006A6756" w:rsidP="006A6756">
            <w:pPr>
              <w:pStyle w:val="TableText"/>
              <w:keepNext/>
              <w:keepLines/>
              <w:rPr>
                <w:i/>
              </w:rPr>
            </w:pPr>
            <w:r w:rsidRPr="00276BCA">
              <w:rPr>
                <w:b/>
                <w:szCs w:val="20"/>
              </w:rPr>
              <w:t>Treatment utilisation</w:t>
            </w:r>
          </w:p>
        </w:tc>
      </w:tr>
      <w:tr w:rsidR="006A6756" w:rsidRPr="00276BCA" w14:paraId="6CF763BB" w14:textId="77777777">
        <w:tc>
          <w:tcPr>
            <w:tcW w:w="862" w:type="pct"/>
            <w:vAlign w:val="center"/>
          </w:tcPr>
          <w:p w14:paraId="38ABC7C8" w14:textId="77777777" w:rsidR="006A6756" w:rsidRPr="00276BCA" w:rsidRDefault="006A6756" w:rsidP="006A6756">
            <w:pPr>
              <w:pStyle w:val="TableText"/>
              <w:keepNext/>
              <w:keepLines/>
            </w:pPr>
            <w:r w:rsidRPr="00276BCA">
              <w:t>Uptake rate</w:t>
            </w:r>
          </w:p>
        </w:tc>
        <w:tc>
          <w:tcPr>
            <w:tcW w:w="1415" w:type="pct"/>
            <w:vAlign w:val="center"/>
          </w:tcPr>
          <w:p w14:paraId="311C02AC" w14:textId="7DC7DD9B" w:rsidR="006A6756" w:rsidRPr="00276BCA" w:rsidRDefault="00E36329" w:rsidP="006A6756">
            <w:pPr>
              <w:pStyle w:val="TableText"/>
              <w:keepNext/>
              <w:keepLines/>
            </w:pPr>
            <w:r w:rsidRPr="00614E4F">
              <w:rPr>
                <w:color w:val="000000"/>
                <w:spacing w:val="53"/>
                <w:shd w:val="solid" w:color="000000" w:fill="000000"/>
                <w14:textFill>
                  <w14:solidFill>
                    <w14:srgbClr w14:val="000000">
                      <w14:alpha w14:val="100000"/>
                    </w14:srgbClr>
                  </w14:solidFill>
                </w14:textFill>
              </w:rPr>
              <w:t>|||</w:t>
            </w:r>
            <w:r w:rsidRPr="00614E4F">
              <w:rPr>
                <w:color w:val="000000"/>
                <w:spacing w:val="287"/>
                <w:shd w:val="solid" w:color="000000" w:fill="000000"/>
                <w:fitText w:val="330" w:id="-694461184"/>
                <w14:textFill>
                  <w14:solidFill>
                    <w14:srgbClr w14:val="000000">
                      <w14:alpha w14:val="100000"/>
                    </w14:srgbClr>
                  </w14:solidFill>
                </w14:textFill>
              </w:rPr>
              <w:t>|</w:t>
            </w:r>
            <w:r w:rsidR="006A6756" w:rsidRPr="00276BCA">
              <w:t xml:space="preserve">% in Year 1 increasing by </w:t>
            </w:r>
            <w:r w:rsidRPr="00614E4F">
              <w:rPr>
                <w:color w:val="000000"/>
                <w:spacing w:val="53"/>
                <w:shd w:val="solid" w:color="000000" w:fill="000000"/>
                <w14:textFill>
                  <w14:solidFill>
                    <w14:srgbClr w14:val="000000">
                      <w14:alpha w14:val="100000"/>
                    </w14:srgbClr>
                  </w14:solidFill>
                </w14:textFill>
              </w:rPr>
              <w:t>|||</w:t>
            </w:r>
            <w:r w:rsidRPr="00614E4F">
              <w:rPr>
                <w:color w:val="000000"/>
                <w:spacing w:val="287"/>
                <w:shd w:val="solid" w:color="000000" w:fill="000000"/>
                <w:fitText w:val="330" w:id="-694461183"/>
                <w14:textFill>
                  <w14:solidFill>
                    <w14:srgbClr w14:val="000000">
                      <w14:alpha w14:val="100000"/>
                    </w14:srgbClr>
                  </w14:solidFill>
                </w14:textFill>
              </w:rPr>
              <w:t>|</w:t>
            </w:r>
            <w:r w:rsidR="006A6756" w:rsidRPr="00276BCA">
              <w:t xml:space="preserve">% each year until it reached a cap of </w:t>
            </w:r>
            <w:r w:rsidRPr="00614E4F">
              <w:rPr>
                <w:color w:val="000000"/>
                <w:spacing w:val="53"/>
                <w:shd w:val="solid" w:color="000000" w:fill="000000"/>
                <w14:textFill>
                  <w14:solidFill>
                    <w14:srgbClr w14:val="000000">
                      <w14:alpha w14:val="100000"/>
                    </w14:srgbClr>
                  </w14:solidFill>
                </w14:textFill>
              </w:rPr>
              <w:t>|||</w:t>
            </w:r>
            <w:r w:rsidRPr="00614E4F">
              <w:rPr>
                <w:color w:val="000000"/>
                <w:spacing w:val="287"/>
                <w:shd w:val="solid" w:color="000000" w:fill="000000"/>
                <w:fitText w:val="330" w:id="-694461182"/>
                <w14:textFill>
                  <w14:solidFill>
                    <w14:srgbClr w14:val="000000">
                      <w14:alpha w14:val="100000"/>
                    </w14:srgbClr>
                  </w14:solidFill>
                </w14:textFill>
              </w:rPr>
              <w:t>|</w:t>
            </w:r>
            <w:r w:rsidR="006A6756" w:rsidRPr="00276BCA">
              <w:t>%; based on Sponsor’s assumption.</w:t>
            </w:r>
          </w:p>
        </w:tc>
        <w:tc>
          <w:tcPr>
            <w:tcW w:w="2723" w:type="pct"/>
            <w:vAlign w:val="center"/>
          </w:tcPr>
          <w:p w14:paraId="1A9F511C" w14:textId="7D7D803F" w:rsidR="00C747B5" w:rsidRPr="00276BCA" w:rsidRDefault="006A6756" w:rsidP="006A6756">
            <w:pPr>
              <w:pStyle w:val="TableText"/>
              <w:keepNext/>
              <w:keepLines/>
            </w:pPr>
            <w:r w:rsidRPr="00276BCA">
              <w:t xml:space="preserve">This </w:t>
            </w:r>
            <w:r w:rsidR="00DF1480" w:rsidRPr="00276BCA">
              <w:t xml:space="preserve">is likely </w:t>
            </w:r>
            <w:r w:rsidRPr="00276BCA">
              <w:t xml:space="preserve">overestimated </w:t>
            </w:r>
            <w:r w:rsidR="00F266F3" w:rsidRPr="00276BCA">
              <w:rPr>
                <w:szCs w:val="20"/>
              </w:rPr>
              <w:t>given the modest clinical benefit</w:t>
            </w:r>
            <w:r w:rsidR="00DD26F5" w:rsidRPr="00276BCA">
              <w:rPr>
                <w:szCs w:val="20"/>
              </w:rPr>
              <w:t>, gastrointestinal AEs,</w:t>
            </w:r>
            <w:r w:rsidR="00F266F3" w:rsidRPr="00276BCA">
              <w:rPr>
                <w:szCs w:val="20"/>
              </w:rPr>
              <w:t xml:space="preserve"> </w:t>
            </w:r>
            <w:r w:rsidR="00AD6542" w:rsidRPr="00276BCA">
              <w:rPr>
                <w:szCs w:val="20"/>
              </w:rPr>
              <w:t xml:space="preserve">and </w:t>
            </w:r>
            <w:r w:rsidRPr="00276BCA">
              <w:t xml:space="preserve">insufficient justification provided to </w:t>
            </w:r>
            <w:r w:rsidR="00F53844" w:rsidRPr="00276BCA">
              <w:t xml:space="preserve">support </w:t>
            </w:r>
            <w:r w:rsidRPr="00276BCA">
              <w:t xml:space="preserve">why clinicians would prefer </w:t>
            </w:r>
            <w:proofErr w:type="spellStart"/>
            <w:r w:rsidRPr="00276BCA">
              <w:t>zolbetuximab</w:t>
            </w:r>
            <w:proofErr w:type="spellEnd"/>
            <w:r w:rsidR="001B09A9" w:rsidRPr="00276BCA">
              <w:t xml:space="preserve"> over nivolumab</w:t>
            </w:r>
            <w:r w:rsidRPr="00276BCA">
              <w:t>, given the claim of noninferiority.</w:t>
            </w:r>
            <w:r w:rsidR="004C7BE9" w:rsidRPr="00276BCA">
              <w:t xml:space="preserve"> DUSC noted that the </w:t>
            </w:r>
            <w:r w:rsidR="009D0560" w:rsidRPr="00276BCA">
              <w:t>preference</w:t>
            </w:r>
            <w:r w:rsidR="004C7BE9" w:rsidRPr="00276BCA">
              <w:t xml:space="preserve"> for </w:t>
            </w:r>
            <w:proofErr w:type="spellStart"/>
            <w:r w:rsidR="004C7BE9" w:rsidRPr="00276BCA">
              <w:t>zolbetuximab</w:t>
            </w:r>
            <w:proofErr w:type="spellEnd"/>
            <w:r w:rsidR="004C7BE9" w:rsidRPr="00276BCA">
              <w:t xml:space="preserve"> may increase </w:t>
            </w:r>
            <w:r w:rsidR="00DD5817" w:rsidRPr="00276BCA">
              <w:t xml:space="preserve">for </w:t>
            </w:r>
            <w:r w:rsidR="0088339F" w:rsidRPr="00276BCA">
              <w:t>patients</w:t>
            </w:r>
            <w:r w:rsidR="00DD5817" w:rsidRPr="00276BCA">
              <w:t xml:space="preserve"> with low PD-L1 </w:t>
            </w:r>
            <w:r w:rsidR="007C4795" w:rsidRPr="00276BCA">
              <w:t xml:space="preserve">expression </w:t>
            </w:r>
            <w:r w:rsidR="004C7BE9" w:rsidRPr="00276BCA">
              <w:t xml:space="preserve">if PD-L1 </w:t>
            </w:r>
            <w:r w:rsidR="002669ED" w:rsidRPr="00276BCA">
              <w:t>CPS</w:t>
            </w:r>
            <w:r w:rsidR="004C7BE9" w:rsidRPr="00276BCA">
              <w:t xml:space="preserve"> testing became routine practice in Australia as patients with low CPS values and high CLDN18.2 expression would be the optimum cohort for initiating </w:t>
            </w:r>
            <w:proofErr w:type="spellStart"/>
            <w:r w:rsidR="004C7BE9" w:rsidRPr="00276BCA">
              <w:t>zolbetuximab</w:t>
            </w:r>
            <w:proofErr w:type="spellEnd"/>
            <w:r w:rsidR="004C7BE9" w:rsidRPr="00276BCA">
              <w:t xml:space="preserve">. </w:t>
            </w:r>
            <w:r w:rsidR="003E3FE0" w:rsidRPr="00276BCA">
              <w:t xml:space="preserve">However, </w:t>
            </w:r>
            <w:r w:rsidR="00B37339" w:rsidRPr="00276BCA">
              <w:t>the likely use of</w:t>
            </w:r>
            <w:r w:rsidR="003E3FE0" w:rsidRPr="00276BCA">
              <w:t xml:space="preserve"> </w:t>
            </w:r>
            <w:proofErr w:type="spellStart"/>
            <w:r w:rsidR="003E3FE0" w:rsidRPr="00276BCA">
              <w:t>zolbetuximab</w:t>
            </w:r>
            <w:proofErr w:type="spellEnd"/>
            <w:r w:rsidR="003E3FE0" w:rsidRPr="00276BCA">
              <w:t xml:space="preserve"> would be lower for</w:t>
            </w:r>
            <w:r w:rsidR="004C7BE9" w:rsidRPr="00276BCA">
              <w:t xml:space="preserve"> those with higher or unknown CPS scores.</w:t>
            </w:r>
          </w:p>
        </w:tc>
      </w:tr>
      <w:tr w:rsidR="006A6756" w:rsidRPr="00276BCA" w14:paraId="140C3623" w14:textId="77777777">
        <w:tc>
          <w:tcPr>
            <w:tcW w:w="862" w:type="pct"/>
            <w:vAlign w:val="center"/>
          </w:tcPr>
          <w:p w14:paraId="69B9DE7D" w14:textId="77777777" w:rsidR="006A6756" w:rsidRPr="00276BCA" w:rsidRDefault="006A6756" w:rsidP="00102FE8">
            <w:pPr>
              <w:pStyle w:val="TableText"/>
            </w:pPr>
            <w:r w:rsidRPr="00276BCA">
              <w:t xml:space="preserve">Mean treatment duration for </w:t>
            </w:r>
            <w:proofErr w:type="spellStart"/>
            <w:r w:rsidRPr="00276BCA">
              <w:t>zolbetuximab</w:t>
            </w:r>
            <w:proofErr w:type="spellEnd"/>
          </w:p>
        </w:tc>
        <w:tc>
          <w:tcPr>
            <w:tcW w:w="1415" w:type="pct"/>
            <w:vAlign w:val="center"/>
          </w:tcPr>
          <w:p w14:paraId="1A994E6F" w14:textId="77777777" w:rsidR="006A6756" w:rsidRPr="00276BCA" w:rsidRDefault="006A6756" w:rsidP="00102FE8">
            <w:pPr>
              <w:pStyle w:val="TableText"/>
            </w:pPr>
            <w:r w:rsidRPr="00276BCA">
              <w:t xml:space="preserve">10.07 months with mFOLFOX6 in SPOTLIGHT trial and 7.34 months with CAPOX in the GLOW </w:t>
            </w:r>
            <w:r w:rsidRPr="00276BCA">
              <w:lastRenderedPageBreak/>
              <w:t>trial.</w:t>
            </w:r>
          </w:p>
        </w:tc>
        <w:tc>
          <w:tcPr>
            <w:tcW w:w="2723" w:type="pct"/>
            <w:vAlign w:val="center"/>
          </w:tcPr>
          <w:p w14:paraId="0662B6D1" w14:textId="14603CAB" w:rsidR="006A6756" w:rsidRPr="00276BCA" w:rsidRDefault="006A6756" w:rsidP="00102FE8">
            <w:pPr>
              <w:pStyle w:val="TableText"/>
            </w:pPr>
          </w:p>
        </w:tc>
      </w:tr>
      <w:tr w:rsidR="006A6756" w:rsidRPr="00276BCA" w14:paraId="21EDF90A" w14:textId="77777777" w:rsidTr="00BF1257">
        <w:trPr>
          <w:cantSplit/>
        </w:trPr>
        <w:tc>
          <w:tcPr>
            <w:tcW w:w="862" w:type="pct"/>
            <w:vAlign w:val="center"/>
          </w:tcPr>
          <w:p w14:paraId="338597C2" w14:textId="77777777" w:rsidR="006A6756" w:rsidRPr="00276BCA" w:rsidRDefault="006A6756" w:rsidP="00102FE8">
            <w:pPr>
              <w:pStyle w:val="TableText"/>
            </w:pPr>
            <w:r w:rsidRPr="00276BCA">
              <w:t>Mean treatment duration for nivolumab</w:t>
            </w:r>
          </w:p>
        </w:tc>
        <w:tc>
          <w:tcPr>
            <w:tcW w:w="1415" w:type="pct"/>
            <w:vAlign w:val="center"/>
          </w:tcPr>
          <w:p w14:paraId="271BCC6A" w14:textId="77777777" w:rsidR="006A6756" w:rsidRPr="00276BCA" w:rsidRDefault="006A6756" w:rsidP="00102FE8">
            <w:pPr>
              <w:pStyle w:val="TableText"/>
            </w:pPr>
            <w:r w:rsidRPr="00276BCA">
              <w:t xml:space="preserve">9.8 months with both mFOLFOX6 and CAPOX based on duration of treatment in three-year follow-up of </w:t>
            </w:r>
            <w:proofErr w:type="spellStart"/>
            <w:r w:rsidRPr="00276BCA">
              <w:t>CheckMate</w:t>
            </w:r>
            <w:proofErr w:type="spellEnd"/>
            <w:r w:rsidRPr="00276BCA">
              <w:t xml:space="preserve"> 649 trial reported by </w:t>
            </w:r>
            <w:proofErr w:type="spellStart"/>
            <w:r w:rsidRPr="00276BCA">
              <w:t>Janjigian</w:t>
            </w:r>
            <w:proofErr w:type="spellEnd"/>
            <w:r w:rsidRPr="00276BCA">
              <w:t xml:space="preserve"> et al. (2024)</w:t>
            </w:r>
          </w:p>
        </w:tc>
        <w:tc>
          <w:tcPr>
            <w:tcW w:w="2723" w:type="pct"/>
            <w:vAlign w:val="center"/>
          </w:tcPr>
          <w:p w14:paraId="707DB74D" w14:textId="49D0A373" w:rsidR="00830D7E" w:rsidRPr="00276BCA" w:rsidRDefault="006A6756" w:rsidP="00102FE8">
            <w:pPr>
              <w:pStyle w:val="TableText"/>
            </w:pPr>
            <w:r w:rsidRPr="00276BCA">
              <w:t xml:space="preserve">This was uncertain; </w:t>
            </w:r>
            <w:r w:rsidR="00AA31AA" w:rsidRPr="00276BCA">
              <w:t xml:space="preserve">the </w:t>
            </w:r>
            <w:r w:rsidRPr="00276BCA">
              <w:t>median duration of treatment (6.8 months) for nivolumab + chemotherapy arm was converted to mean using an exponential distribution and then applied to nivolumab.</w:t>
            </w:r>
          </w:p>
        </w:tc>
      </w:tr>
      <w:tr w:rsidR="00485E1E" w:rsidRPr="00276BCA" w14:paraId="61FEA28F" w14:textId="77777777" w:rsidTr="00614E4F">
        <w:tc>
          <w:tcPr>
            <w:tcW w:w="862" w:type="pct"/>
            <w:vAlign w:val="center"/>
          </w:tcPr>
          <w:p w14:paraId="7DA74363" w14:textId="7D0A4711" w:rsidR="00485E1E" w:rsidRPr="00276BCA" w:rsidRDefault="00485E1E" w:rsidP="00485E1E">
            <w:pPr>
              <w:pStyle w:val="TableText"/>
            </w:pPr>
            <w:r w:rsidRPr="00276BCA">
              <w:rPr>
                <w:szCs w:val="20"/>
              </w:rPr>
              <w:t xml:space="preserve">Treatment compliance for </w:t>
            </w:r>
            <w:proofErr w:type="spellStart"/>
            <w:r w:rsidRPr="00276BCA">
              <w:rPr>
                <w:szCs w:val="20"/>
              </w:rPr>
              <w:t>zolbetuximab</w:t>
            </w:r>
            <w:proofErr w:type="spellEnd"/>
            <w:r w:rsidRPr="00276BCA">
              <w:rPr>
                <w:szCs w:val="20"/>
              </w:rPr>
              <w:t>/ nivolumab + chemotherapy</w:t>
            </w:r>
          </w:p>
        </w:tc>
        <w:tc>
          <w:tcPr>
            <w:tcW w:w="1415" w:type="pct"/>
          </w:tcPr>
          <w:p w14:paraId="45D369CB" w14:textId="77777777" w:rsidR="00485E1E" w:rsidRPr="00276BCA" w:rsidRDefault="00485E1E" w:rsidP="00485E1E">
            <w:pPr>
              <w:pStyle w:val="TableText"/>
              <w:rPr>
                <w:szCs w:val="20"/>
              </w:rPr>
            </w:pPr>
            <w:r w:rsidRPr="00276BCA">
              <w:rPr>
                <w:szCs w:val="20"/>
              </w:rPr>
              <w:t>92.45% with mFOLFOX6 (based on RDI reported in SPOTLIGHT.</w:t>
            </w:r>
          </w:p>
          <w:p w14:paraId="14D11CB0" w14:textId="5343835A" w:rsidR="00485E1E" w:rsidRPr="00276BCA" w:rsidRDefault="00AF20A9" w:rsidP="00485E1E">
            <w:pPr>
              <w:pStyle w:val="TableText"/>
            </w:pPr>
            <w:r w:rsidRPr="00276BCA">
              <w:rPr>
                <w:szCs w:val="20"/>
              </w:rPr>
              <w:t>96.08% with CAPOX (</w:t>
            </w:r>
            <w:r w:rsidR="009410A9" w:rsidRPr="00276BCA">
              <w:rPr>
                <w:szCs w:val="20"/>
              </w:rPr>
              <w:t xml:space="preserve">Based on RDI reported in GLOW). </w:t>
            </w:r>
          </w:p>
        </w:tc>
        <w:tc>
          <w:tcPr>
            <w:tcW w:w="2723" w:type="pct"/>
          </w:tcPr>
          <w:p w14:paraId="7063EFA9" w14:textId="628F8A09" w:rsidR="00485E1E" w:rsidRPr="00276BCA" w:rsidRDefault="00485E1E" w:rsidP="00485E1E">
            <w:pPr>
              <w:pStyle w:val="TableText"/>
              <w:rPr>
                <w:szCs w:val="20"/>
              </w:rPr>
            </w:pPr>
            <w:r w:rsidRPr="00276BCA">
              <w:rPr>
                <w:szCs w:val="20"/>
              </w:rPr>
              <w:t>The RDI for nivolumab was assumed to be same as</w:t>
            </w:r>
            <w:r w:rsidR="00282F99" w:rsidRPr="00276BCA">
              <w:rPr>
                <w:szCs w:val="20"/>
              </w:rPr>
              <w:t xml:space="preserve"> for</w:t>
            </w:r>
            <w:r w:rsidRPr="00276BCA">
              <w:rPr>
                <w:szCs w:val="20"/>
              </w:rPr>
              <w:t xml:space="preserve"> </w:t>
            </w:r>
            <w:proofErr w:type="spellStart"/>
            <w:r w:rsidRPr="00276BCA">
              <w:rPr>
                <w:szCs w:val="20"/>
              </w:rPr>
              <w:t>zolbetuximab</w:t>
            </w:r>
            <w:proofErr w:type="spellEnd"/>
            <w:r w:rsidRPr="00276BCA">
              <w:rPr>
                <w:szCs w:val="20"/>
              </w:rPr>
              <w:t xml:space="preserve">. </w:t>
            </w:r>
          </w:p>
          <w:p w14:paraId="354638D2" w14:textId="0C3CD03B" w:rsidR="009F4477" w:rsidRPr="00276BCA" w:rsidRDefault="009F4477" w:rsidP="00485E1E">
            <w:pPr>
              <w:pStyle w:val="TableText"/>
            </w:pPr>
            <w:r w:rsidRPr="00276BCA">
              <w:t>DUSC considered that the Australian population would likely be frailer than those in the trial resulting in a</w:t>
            </w:r>
            <w:r w:rsidR="001742AE" w:rsidRPr="00276BCA">
              <w:t xml:space="preserve"> lower</w:t>
            </w:r>
            <w:r w:rsidRPr="00276BCA">
              <w:t xml:space="preserve"> RDI</w:t>
            </w:r>
            <w:r w:rsidR="001742AE" w:rsidRPr="00276BCA">
              <w:t>.</w:t>
            </w:r>
          </w:p>
        </w:tc>
      </w:tr>
      <w:tr w:rsidR="003D21CD" w:rsidRPr="00276BCA" w14:paraId="0869E245" w14:textId="77777777" w:rsidTr="00102FE8">
        <w:tc>
          <w:tcPr>
            <w:tcW w:w="862" w:type="pct"/>
          </w:tcPr>
          <w:p w14:paraId="0D2000CA" w14:textId="3B75EC83" w:rsidR="003D21CD" w:rsidRPr="00276BCA" w:rsidRDefault="003D21CD" w:rsidP="003D21CD">
            <w:pPr>
              <w:pStyle w:val="TableText"/>
              <w:rPr>
                <w:szCs w:val="20"/>
              </w:rPr>
            </w:pPr>
            <w:r w:rsidRPr="00276BCA">
              <w:rPr>
                <w:szCs w:val="20"/>
              </w:rPr>
              <w:t xml:space="preserve">Split of CAPOX between mFOLFOX6 with </w:t>
            </w:r>
            <w:proofErr w:type="spellStart"/>
            <w:r w:rsidRPr="00276BCA">
              <w:rPr>
                <w:szCs w:val="20"/>
              </w:rPr>
              <w:t>zolbetuximab</w:t>
            </w:r>
            <w:proofErr w:type="spellEnd"/>
          </w:p>
        </w:tc>
        <w:tc>
          <w:tcPr>
            <w:tcW w:w="1415" w:type="pct"/>
          </w:tcPr>
          <w:p w14:paraId="1FCAF869" w14:textId="2EB2869E" w:rsidR="003D21CD" w:rsidRPr="00276BCA" w:rsidRDefault="003D21CD" w:rsidP="003D21CD">
            <w:pPr>
              <w:pStyle w:val="TableText"/>
              <w:rPr>
                <w:szCs w:val="20"/>
              </w:rPr>
            </w:pPr>
            <w:r w:rsidRPr="00276BCA">
              <w:rPr>
                <w:szCs w:val="20"/>
              </w:rPr>
              <w:t xml:space="preserve">50%/50% based on sponsor’s assumption. </w:t>
            </w:r>
          </w:p>
        </w:tc>
        <w:tc>
          <w:tcPr>
            <w:tcW w:w="2723" w:type="pct"/>
          </w:tcPr>
          <w:p w14:paraId="48A8A25F" w14:textId="7B3655B2" w:rsidR="003D21CD" w:rsidRPr="00276BCA" w:rsidRDefault="009F119D" w:rsidP="003D21CD">
            <w:pPr>
              <w:pStyle w:val="TableText"/>
              <w:rPr>
                <w:szCs w:val="20"/>
              </w:rPr>
            </w:pPr>
            <w:r w:rsidRPr="00276BCA">
              <w:rPr>
                <w:szCs w:val="20"/>
              </w:rPr>
              <w:t xml:space="preserve">DUSC noted that the estimates were sensitive to this input due to the cost offsets associated with the different treatment durations of the two protocols. DUSC noted the sensitivity analysis in the commentary which indicates a split of 20%/80% </w:t>
            </w:r>
            <w:r w:rsidR="000317A5" w:rsidRPr="00276BCA">
              <w:rPr>
                <w:szCs w:val="20"/>
              </w:rPr>
              <w:t>resulted in</w:t>
            </w:r>
            <w:r w:rsidRPr="00276BCA">
              <w:rPr>
                <w:szCs w:val="20"/>
              </w:rPr>
              <w:t xml:space="preserve"> a doubling </w:t>
            </w:r>
            <w:r w:rsidR="000317A5" w:rsidRPr="00276BCA">
              <w:rPr>
                <w:szCs w:val="20"/>
              </w:rPr>
              <w:t>of</w:t>
            </w:r>
            <w:r w:rsidRPr="00276BCA">
              <w:rPr>
                <w:szCs w:val="20"/>
              </w:rPr>
              <w:t xml:space="preserve"> the overall estimates.</w:t>
            </w:r>
          </w:p>
        </w:tc>
      </w:tr>
      <w:tr w:rsidR="003D21CD" w:rsidRPr="00276BCA" w14:paraId="288FB3CA" w14:textId="77777777" w:rsidTr="00614E4F">
        <w:tc>
          <w:tcPr>
            <w:tcW w:w="5000" w:type="pct"/>
            <w:gridSpan w:val="3"/>
            <w:vAlign w:val="center"/>
          </w:tcPr>
          <w:p w14:paraId="4177B60C" w14:textId="77777777" w:rsidR="003D21CD" w:rsidRPr="00276BCA" w:rsidRDefault="003D21CD" w:rsidP="003D21CD">
            <w:pPr>
              <w:pStyle w:val="TableText"/>
              <w:keepNext/>
              <w:keepLines/>
              <w:rPr>
                <w:b/>
                <w:bCs/>
                <w:iCs/>
              </w:rPr>
            </w:pPr>
            <w:r w:rsidRPr="00276BCA">
              <w:rPr>
                <w:b/>
                <w:bCs/>
                <w:iCs/>
              </w:rPr>
              <w:t>Costs</w:t>
            </w:r>
          </w:p>
        </w:tc>
      </w:tr>
      <w:tr w:rsidR="003D21CD" w:rsidRPr="00276BCA" w14:paraId="5CB8CFB5" w14:textId="77777777">
        <w:tc>
          <w:tcPr>
            <w:tcW w:w="862" w:type="pct"/>
          </w:tcPr>
          <w:p w14:paraId="2BF12686" w14:textId="77777777" w:rsidR="003D21CD" w:rsidRPr="00276BCA" w:rsidRDefault="003D21CD" w:rsidP="003D21CD">
            <w:pPr>
              <w:pStyle w:val="TableText"/>
              <w:keepNext/>
              <w:keepLines/>
            </w:pPr>
            <w:proofErr w:type="spellStart"/>
            <w:r w:rsidRPr="00276BCA">
              <w:t>Zolbetuximab</w:t>
            </w:r>
            <w:proofErr w:type="spellEnd"/>
            <w:r w:rsidRPr="00276BCA">
              <w:t xml:space="preserve"> </w:t>
            </w:r>
          </w:p>
          <w:p w14:paraId="5D5FA9DC" w14:textId="77777777" w:rsidR="003D21CD" w:rsidRPr="00276BCA" w:rsidRDefault="003D21CD" w:rsidP="003D21CD">
            <w:pPr>
              <w:pStyle w:val="TableText"/>
              <w:keepNext/>
              <w:keepLines/>
            </w:pPr>
            <w:r w:rsidRPr="00276BCA">
              <w:t>(cost-minimised published AEMP)</w:t>
            </w:r>
          </w:p>
        </w:tc>
        <w:tc>
          <w:tcPr>
            <w:tcW w:w="1415" w:type="pct"/>
          </w:tcPr>
          <w:p w14:paraId="3A044C31" w14:textId="77777777" w:rsidR="003D21CD" w:rsidRPr="00276BCA" w:rsidRDefault="003D21CD" w:rsidP="003D21CD">
            <w:pPr>
              <w:pStyle w:val="TableText"/>
              <w:keepNext/>
              <w:keepLines/>
            </w:pPr>
            <w:r w:rsidRPr="00276BCA">
              <w:t>$773.27 per 100 mg vial</w:t>
            </w:r>
          </w:p>
        </w:tc>
        <w:tc>
          <w:tcPr>
            <w:tcW w:w="2723" w:type="pct"/>
          </w:tcPr>
          <w:p w14:paraId="51EBC386" w14:textId="2E6D2B14" w:rsidR="003D21CD" w:rsidRPr="00276BCA" w:rsidRDefault="003D21CD" w:rsidP="003D21CD">
            <w:pPr>
              <w:pStyle w:val="TableText"/>
              <w:keepNext/>
              <w:keepLines/>
            </w:pPr>
            <w:r w:rsidRPr="00276BCA">
              <w:t xml:space="preserve">The cost-minimised AEMP for </w:t>
            </w:r>
            <w:proofErr w:type="spellStart"/>
            <w:r w:rsidRPr="00276BCA">
              <w:t>zolbetuximab</w:t>
            </w:r>
            <w:proofErr w:type="spellEnd"/>
            <w:r w:rsidRPr="00276BCA">
              <w:t xml:space="preserve"> was calculated using a zero difference between the DPMA prices, rather than the recommended </w:t>
            </w:r>
            <w:proofErr w:type="spellStart"/>
            <w:r w:rsidRPr="00276BCA">
              <w:t>AEMP.</w:t>
            </w:r>
            <w:r w:rsidR="00A91A5A" w:rsidRPr="00276BCA">
              <w:t>T</w:t>
            </w:r>
            <w:r w:rsidRPr="00276BCA">
              <w:t>he</w:t>
            </w:r>
            <w:proofErr w:type="spellEnd"/>
            <w:r w:rsidRPr="00276BCA">
              <w:t xml:space="preserve"> corrected cost-minimised AEMP changed negligibly to $773.93. </w:t>
            </w:r>
          </w:p>
        </w:tc>
      </w:tr>
      <w:tr w:rsidR="003D21CD" w:rsidRPr="00276BCA" w14:paraId="5779773D" w14:textId="77777777">
        <w:tc>
          <w:tcPr>
            <w:tcW w:w="862" w:type="pct"/>
            <w:vAlign w:val="center"/>
          </w:tcPr>
          <w:p w14:paraId="39053F67" w14:textId="77777777" w:rsidR="003D21CD" w:rsidRPr="00276BCA" w:rsidRDefault="003D21CD" w:rsidP="003D21CD">
            <w:pPr>
              <w:pStyle w:val="TableText"/>
              <w:keepNext/>
              <w:keepLines/>
            </w:pPr>
            <w:r w:rsidRPr="00276BCA">
              <w:t xml:space="preserve">Nivolumab </w:t>
            </w:r>
          </w:p>
          <w:p w14:paraId="195E146F" w14:textId="77777777" w:rsidR="003D21CD" w:rsidRPr="00276BCA" w:rsidRDefault="003D21CD" w:rsidP="003D21CD">
            <w:pPr>
              <w:pStyle w:val="TableText"/>
              <w:keepNext/>
              <w:keepLines/>
            </w:pPr>
            <w:r w:rsidRPr="00276BCA">
              <w:t>(published AEMP)</w:t>
            </w:r>
          </w:p>
        </w:tc>
        <w:tc>
          <w:tcPr>
            <w:tcW w:w="1415" w:type="pct"/>
          </w:tcPr>
          <w:p w14:paraId="49429AC6" w14:textId="77777777" w:rsidR="003D21CD" w:rsidRPr="00276BCA" w:rsidRDefault="003D21CD" w:rsidP="003D21CD">
            <w:pPr>
              <w:pStyle w:val="TableText"/>
              <w:keepNext/>
              <w:keepLines/>
            </w:pPr>
            <w:r w:rsidRPr="00276BCA">
              <w:t>$789.13 per 40 mg vial</w:t>
            </w:r>
          </w:p>
          <w:p w14:paraId="1B387D77" w14:textId="77777777" w:rsidR="003D21CD" w:rsidRPr="00276BCA" w:rsidRDefault="003D21CD" w:rsidP="003D21CD">
            <w:pPr>
              <w:pStyle w:val="TableText"/>
              <w:keepNext/>
              <w:keepLines/>
            </w:pPr>
            <w:r w:rsidRPr="00276BCA">
              <w:t>$1,972.83 per 100 mg vial</w:t>
            </w:r>
          </w:p>
        </w:tc>
        <w:tc>
          <w:tcPr>
            <w:tcW w:w="2723" w:type="pct"/>
          </w:tcPr>
          <w:p w14:paraId="61320868" w14:textId="77777777" w:rsidR="003D21CD" w:rsidRPr="00276BCA" w:rsidRDefault="003D21CD" w:rsidP="003D21CD">
            <w:pPr>
              <w:pStyle w:val="TableText"/>
              <w:keepNext/>
              <w:keepLines/>
            </w:pPr>
            <w:r w:rsidRPr="00276BCA">
              <w:t>The effective price of nivolumab was unknown to sponsor.</w:t>
            </w:r>
          </w:p>
        </w:tc>
      </w:tr>
      <w:tr w:rsidR="003D21CD" w:rsidRPr="00276BCA" w14:paraId="3AAF21CC" w14:textId="77777777">
        <w:tc>
          <w:tcPr>
            <w:tcW w:w="862" w:type="pct"/>
            <w:vAlign w:val="center"/>
          </w:tcPr>
          <w:p w14:paraId="69E049DB" w14:textId="77777777" w:rsidR="003D21CD" w:rsidRPr="00276BCA" w:rsidRDefault="003D21CD" w:rsidP="003D21CD">
            <w:pPr>
              <w:pStyle w:val="TableText"/>
              <w:keepNext/>
              <w:keepLines/>
            </w:pPr>
            <w:r w:rsidRPr="00276BCA">
              <w:t xml:space="preserve">CLDN18 test </w:t>
            </w:r>
          </w:p>
          <w:p w14:paraId="5C7E4992" w14:textId="77777777" w:rsidR="003D21CD" w:rsidRPr="00276BCA" w:rsidRDefault="003D21CD" w:rsidP="003D21CD">
            <w:pPr>
              <w:pStyle w:val="TableText"/>
              <w:keepNext/>
              <w:keepLines/>
            </w:pPr>
            <w:r w:rsidRPr="00276BCA">
              <w:t>(MBS fee)</w:t>
            </w:r>
          </w:p>
        </w:tc>
        <w:tc>
          <w:tcPr>
            <w:tcW w:w="1415" w:type="pct"/>
          </w:tcPr>
          <w:p w14:paraId="73D95F45" w14:textId="77777777" w:rsidR="003D21CD" w:rsidRPr="00276BCA" w:rsidRDefault="003D21CD" w:rsidP="003D21CD">
            <w:pPr>
              <w:pStyle w:val="TableText"/>
              <w:keepNext/>
              <w:keepLines/>
            </w:pPr>
            <w:r w:rsidRPr="00276BCA">
              <w:t>$112 per test</w:t>
            </w:r>
          </w:p>
        </w:tc>
        <w:tc>
          <w:tcPr>
            <w:tcW w:w="2723" w:type="pct"/>
          </w:tcPr>
          <w:p w14:paraId="7528D638" w14:textId="3CF9C9AC" w:rsidR="003D21CD" w:rsidRPr="00276BCA" w:rsidRDefault="003D21CD" w:rsidP="003D21CD">
            <w:pPr>
              <w:pStyle w:val="TableText"/>
              <w:keepNext/>
              <w:keepLines/>
            </w:pPr>
          </w:p>
        </w:tc>
      </w:tr>
    </w:tbl>
    <w:p w14:paraId="6BB067E6" w14:textId="77777777" w:rsidR="008969E8" w:rsidRPr="00276BCA" w:rsidRDefault="008969E8" w:rsidP="008969E8">
      <w:pPr>
        <w:pStyle w:val="TableFigureFooter"/>
        <w:keepNext/>
        <w:keepLines/>
        <w:rPr>
          <w:szCs w:val="20"/>
          <w:lang w:eastAsia="en-US"/>
        </w:rPr>
      </w:pPr>
      <w:r w:rsidRPr="00276BCA">
        <w:rPr>
          <w:szCs w:val="20"/>
          <w:lang w:eastAsia="en-US"/>
        </w:rPr>
        <w:t>Source: Table 4-1, p158-159; Table 4-2, p164; Table 4-3, p165 and Table 4-8, p170 of the submission.</w:t>
      </w:r>
    </w:p>
    <w:p w14:paraId="320BECF6" w14:textId="02B97735" w:rsidR="006F0299" w:rsidRPr="00276BCA" w:rsidRDefault="008969E8" w:rsidP="006F0299">
      <w:pPr>
        <w:pStyle w:val="TableFigureFooter"/>
        <w:keepNext/>
        <w:keepLines/>
      </w:pPr>
      <w:r w:rsidRPr="00276BCA">
        <w:t xml:space="preserve">2L = second line; AC = adenocarcinoma; AEMP = Approved Ex-Manufacturer Price; AIHW = Australian Institute of Health and Welfare; CAPOX = capecitabine and oxaliplatin; CLDN18.2 = Claudin 18.2; </w:t>
      </w:r>
      <w:r w:rsidR="002669ED" w:rsidRPr="00276BCA">
        <w:t xml:space="preserve">CPS = combined positive score; </w:t>
      </w:r>
      <w:r w:rsidRPr="00276BCA">
        <w:t>DPMA = Dispensed Price For Maximum Amount; ECOG PS = Eastern Cooperative Oncology Group Performance Status; mFOLFOX6 = fluorouracil, leucovorin, and oxaliplatin; GC = gastric cancer; GOJ = Gastric/Gastroesophageal Junction; HER2 = Human Epidermal Growth Factor Receptor 2; IHC = immunohistochemistry; MBS = Medicare Benefits Schedule; MSAC = Medical Services Advisory Committee; PASC = PICO Advisory Sub-committee; PBAC = Pharmaceutical Benefits Advisory Committee; PBS = Pharmaceutical Benefits Scheme; PD-L1 = Programmed Death-Ligand 1; PSD = Public Summary Document</w:t>
      </w:r>
      <w:r w:rsidR="002669ED" w:rsidRPr="00276BCA">
        <w:t>; RDI = relative dose intensity</w:t>
      </w:r>
      <w:r w:rsidR="006F0299" w:rsidRPr="00276BCA">
        <w:t xml:space="preserve"> </w:t>
      </w:r>
    </w:p>
    <w:p w14:paraId="406F9753" w14:textId="13C2C4FD" w:rsidR="006F0299" w:rsidRPr="00276BCA" w:rsidRDefault="006F0299" w:rsidP="006F0299">
      <w:pPr>
        <w:pStyle w:val="TableFigureFooter"/>
        <w:keepNext/>
        <w:keepLines/>
        <w:rPr>
          <w:i/>
          <w:iCs/>
        </w:rPr>
      </w:pPr>
      <w:r w:rsidRPr="00276BCA">
        <w:rPr>
          <w:i/>
          <w:iCs/>
        </w:rPr>
        <w:t xml:space="preserve">The redacted values correspond to the following ranges: </w:t>
      </w:r>
    </w:p>
    <w:p w14:paraId="698EC5C2" w14:textId="6321445B" w:rsidR="008969E8" w:rsidRPr="00276BCA" w:rsidRDefault="006F0299" w:rsidP="006F0299">
      <w:pPr>
        <w:pStyle w:val="TableFigureFooter"/>
        <w:keepNext/>
        <w:keepLines/>
        <w:rPr>
          <w:rFonts w:ascii="Calibri" w:eastAsia="Calibri" w:hAnsi="Calibri" w:cs="Calibri"/>
          <w:i/>
          <w:iCs/>
        </w:rPr>
      </w:pPr>
      <w:r w:rsidRPr="00276BCA">
        <w:rPr>
          <w:i/>
          <w:iCs/>
          <w:vertAlign w:val="superscript"/>
        </w:rPr>
        <w:t xml:space="preserve">1 </w:t>
      </w:r>
      <w:r w:rsidR="00EB24E2" w:rsidRPr="00276BCA">
        <w:rPr>
          <w:i/>
          <w:iCs/>
        </w:rPr>
        <w:t>500 to &lt; 5,000</w:t>
      </w:r>
    </w:p>
    <w:p w14:paraId="25459033" w14:textId="085C1681" w:rsidR="008969E8" w:rsidRPr="00276BCA" w:rsidRDefault="008969E8" w:rsidP="008969E8">
      <w:pPr>
        <w:pStyle w:val="ListParagraph"/>
        <w:numPr>
          <w:ilvl w:val="4"/>
          <w:numId w:val="8"/>
        </w:numPr>
        <w:rPr>
          <w:color w:val="auto"/>
        </w:rPr>
      </w:pPr>
      <w:r w:rsidRPr="00276BCA">
        <w:rPr>
          <w:color w:val="auto"/>
        </w:rPr>
        <w:fldChar w:fldCharType="begin"/>
      </w:r>
      <w:r w:rsidRPr="00276BCA">
        <w:rPr>
          <w:color w:val="auto"/>
        </w:rPr>
        <w:instrText xml:space="preserve"> REF _Ref183436587 \h </w:instrText>
      </w:r>
      <w:r w:rsidR="00867969" w:rsidRPr="00276BCA">
        <w:rPr>
          <w:color w:val="auto"/>
        </w:rPr>
        <w:instrText xml:space="preserve"> \* MERGEFORMAT </w:instrText>
      </w:r>
      <w:r w:rsidRPr="00276BCA">
        <w:rPr>
          <w:color w:val="auto"/>
        </w:rPr>
      </w:r>
      <w:r w:rsidRPr="00276BCA">
        <w:rPr>
          <w:color w:val="auto"/>
        </w:rPr>
        <w:fldChar w:fldCharType="separate"/>
      </w:r>
      <w:r w:rsidR="0011458F" w:rsidRPr="00276BCA">
        <w:t xml:space="preserve">Table </w:t>
      </w:r>
      <w:r w:rsidR="0011458F">
        <w:rPr>
          <w:noProof/>
        </w:rPr>
        <w:t>16</w:t>
      </w:r>
      <w:r w:rsidRPr="00276BCA">
        <w:rPr>
          <w:color w:val="auto"/>
        </w:rPr>
        <w:fldChar w:fldCharType="end"/>
      </w:r>
      <w:r w:rsidRPr="00276BCA">
        <w:rPr>
          <w:color w:val="auto"/>
        </w:rPr>
        <w:t xml:space="preserve"> presents the estimated use and financial implications in the submission. </w:t>
      </w:r>
    </w:p>
    <w:p w14:paraId="08A7FAEC" w14:textId="71F407DA" w:rsidR="008969E8" w:rsidRPr="00276BCA" w:rsidRDefault="008969E8" w:rsidP="00204461">
      <w:pPr>
        <w:pStyle w:val="Caption"/>
      </w:pPr>
      <w:bookmarkStart w:id="76" w:name="_Ref183436587"/>
      <w:r w:rsidRPr="00276BCA">
        <w:lastRenderedPageBreak/>
        <w:t>Table</w:t>
      </w:r>
      <w:r w:rsidR="00875259" w:rsidRPr="00276BCA">
        <w:t xml:space="preserve"> </w:t>
      </w:r>
      <w:r w:rsidR="005E7C50">
        <w:fldChar w:fldCharType="begin"/>
      </w:r>
      <w:r w:rsidR="005E7C50">
        <w:instrText xml:space="preserve"> SEQ Table_PBAC. \* ARABIC </w:instrText>
      </w:r>
      <w:r w:rsidR="005E7C50">
        <w:fldChar w:fldCharType="separate"/>
      </w:r>
      <w:r w:rsidR="0011458F">
        <w:rPr>
          <w:noProof/>
        </w:rPr>
        <w:t>16</w:t>
      </w:r>
      <w:r w:rsidR="005E7C50">
        <w:rPr>
          <w:noProof/>
        </w:rPr>
        <w:fldChar w:fldCharType="end"/>
      </w:r>
      <w:bookmarkEnd w:id="76"/>
      <w:r w:rsidR="006D475B" w:rsidRPr="00276BCA">
        <w:t xml:space="preserve">: </w:t>
      </w:r>
      <w:r w:rsidRPr="00276BCA">
        <w:t>Estimated use and financial implications</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6: Estimated use and financial implications"/>
      </w:tblPr>
      <w:tblGrid>
        <w:gridCol w:w="2262"/>
        <w:gridCol w:w="1111"/>
        <w:gridCol w:w="1112"/>
        <w:gridCol w:w="1114"/>
        <w:gridCol w:w="1112"/>
        <w:gridCol w:w="1112"/>
        <w:gridCol w:w="1114"/>
      </w:tblGrid>
      <w:tr w:rsidR="008969E8" w:rsidRPr="00276BCA" w14:paraId="536BB5E6" w14:textId="77777777">
        <w:trPr>
          <w:tblHeader/>
        </w:trPr>
        <w:tc>
          <w:tcPr>
            <w:tcW w:w="1266" w:type="pct"/>
            <w:vAlign w:val="center"/>
          </w:tcPr>
          <w:p w14:paraId="2F51E95B" w14:textId="77777777" w:rsidR="008969E8" w:rsidRPr="00276BCA" w:rsidRDefault="008969E8">
            <w:pPr>
              <w:pStyle w:val="TableText"/>
              <w:keepNext/>
              <w:keepLines/>
              <w:jc w:val="center"/>
              <w:rPr>
                <w:b/>
              </w:rPr>
            </w:pPr>
          </w:p>
        </w:tc>
        <w:tc>
          <w:tcPr>
            <w:tcW w:w="622" w:type="pct"/>
            <w:vAlign w:val="center"/>
          </w:tcPr>
          <w:p w14:paraId="747215AE" w14:textId="77777777" w:rsidR="008969E8" w:rsidRPr="00276BCA" w:rsidRDefault="008969E8">
            <w:pPr>
              <w:pStyle w:val="TableText"/>
              <w:keepNext/>
              <w:keepLines/>
              <w:jc w:val="center"/>
              <w:rPr>
                <w:b/>
              </w:rPr>
            </w:pPr>
            <w:r w:rsidRPr="00276BCA">
              <w:rPr>
                <w:b/>
              </w:rPr>
              <w:t>Year 1</w:t>
            </w:r>
          </w:p>
        </w:tc>
        <w:tc>
          <w:tcPr>
            <w:tcW w:w="622" w:type="pct"/>
            <w:vAlign w:val="center"/>
          </w:tcPr>
          <w:p w14:paraId="57B6BB4E" w14:textId="77777777" w:rsidR="008969E8" w:rsidRPr="00276BCA" w:rsidRDefault="008969E8">
            <w:pPr>
              <w:pStyle w:val="TableText"/>
              <w:keepNext/>
              <w:keepLines/>
              <w:jc w:val="center"/>
              <w:rPr>
                <w:b/>
              </w:rPr>
            </w:pPr>
            <w:r w:rsidRPr="00276BCA">
              <w:rPr>
                <w:b/>
              </w:rPr>
              <w:t>Year 2</w:t>
            </w:r>
          </w:p>
        </w:tc>
        <w:tc>
          <w:tcPr>
            <w:tcW w:w="623" w:type="pct"/>
            <w:vAlign w:val="center"/>
          </w:tcPr>
          <w:p w14:paraId="183C8C5C" w14:textId="77777777" w:rsidR="008969E8" w:rsidRPr="00276BCA" w:rsidRDefault="008969E8">
            <w:pPr>
              <w:pStyle w:val="TableText"/>
              <w:keepNext/>
              <w:keepLines/>
              <w:jc w:val="center"/>
              <w:rPr>
                <w:b/>
              </w:rPr>
            </w:pPr>
            <w:r w:rsidRPr="00276BCA">
              <w:rPr>
                <w:b/>
              </w:rPr>
              <w:t>Year 3</w:t>
            </w:r>
          </w:p>
        </w:tc>
        <w:tc>
          <w:tcPr>
            <w:tcW w:w="622" w:type="pct"/>
            <w:vAlign w:val="center"/>
          </w:tcPr>
          <w:p w14:paraId="65E163E9" w14:textId="77777777" w:rsidR="008969E8" w:rsidRPr="00276BCA" w:rsidRDefault="008969E8">
            <w:pPr>
              <w:pStyle w:val="TableText"/>
              <w:keepNext/>
              <w:keepLines/>
              <w:jc w:val="center"/>
              <w:rPr>
                <w:b/>
              </w:rPr>
            </w:pPr>
            <w:r w:rsidRPr="00276BCA">
              <w:rPr>
                <w:b/>
              </w:rPr>
              <w:t>Year 4</w:t>
            </w:r>
          </w:p>
        </w:tc>
        <w:tc>
          <w:tcPr>
            <w:tcW w:w="622" w:type="pct"/>
            <w:vAlign w:val="center"/>
          </w:tcPr>
          <w:p w14:paraId="12C2CE38" w14:textId="77777777" w:rsidR="008969E8" w:rsidRPr="00276BCA" w:rsidRDefault="008969E8">
            <w:pPr>
              <w:pStyle w:val="TableText"/>
              <w:keepNext/>
              <w:keepLines/>
              <w:jc w:val="center"/>
              <w:rPr>
                <w:b/>
              </w:rPr>
            </w:pPr>
            <w:r w:rsidRPr="00276BCA">
              <w:rPr>
                <w:b/>
              </w:rPr>
              <w:t>Year 5</w:t>
            </w:r>
          </w:p>
        </w:tc>
        <w:tc>
          <w:tcPr>
            <w:tcW w:w="623" w:type="pct"/>
          </w:tcPr>
          <w:p w14:paraId="566DF563" w14:textId="77777777" w:rsidR="008969E8" w:rsidRPr="00276BCA" w:rsidRDefault="008969E8">
            <w:pPr>
              <w:pStyle w:val="TableText"/>
              <w:keepNext/>
              <w:keepLines/>
              <w:jc w:val="center"/>
              <w:rPr>
                <w:b/>
              </w:rPr>
            </w:pPr>
            <w:r w:rsidRPr="00276BCA">
              <w:rPr>
                <w:b/>
              </w:rPr>
              <w:t>Year 6</w:t>
            </w:r>
          </w:p>
        </w:tc>
      </w:tr>
      <w:tr w:rsidR="008969E8" w:rsidRPr="00276BCA" w14:paraId="1150952F" w14:textId="77777777">
        <w:tc>
          <w:tcPr>
            <w:tcW w:w="5000" w:type="pct"/>
            <w:gridSpan w:val="7"/>
            <w:vAlign w:val="center"/>
          </w:tcPr>
          <w:p w14:paraId="662E17B6" w14:textId="77777777" w:rsidR="008969E8" w:rsidRPr="00276BCA" w:rsidRDefault="008969E8">
            <w:pPr>
              <w:pStyle w:val="TableText"/>
              <w:keepNext/>
              <w:keepLines/>
              <w:rPr>
                <w:b/>
              </w:rPr>
            </w:pPr>
            <w:r w:rsidRPr="00276BCA">
              <w:rPr>
                <w:b/>
              </w:rPr>
              <w:t>Estimated extent of use of CLDN18 test</w:t>
            </w:r>
          </w:p>
        </w:tc>
      </w:tr>
      <w:tr w:rsidR="008969E8" w:rsidRPr="00276BCA" w14:paraId="7295FDBE" w14:textId="77777777">
        <w:tc>
          <w:tcPr>
            <w:tcW w:w="1266" w:type="pct"/>
            <w:vAlign w:val="center"/>
          </w:tcPr>
          <w:p w14:paraId="5B77ED69" w14:textId="77777777" w:rsidR="008969E8" w:rsidRPr="00276BCA" w:rsidRDefault="008969E8">
            <w:pPr>
              <w:pStyle w:val="TableText"/>
              <w:keepNext/>
              <w:keepLines/>
            </w:pPr>
            <w:r w:rsidRPr="00276BCA">
              <w:t>Number of patients tested</w:t>
            </w:r>
          </w:p>
        </w:tc>
        <w:tc>
          <w:tcPr>
            <w:tcW w:w="622" w:type="pct"/>
            <w:vAlign w:val="center"/>
          </w:tcPr>
          <w:p w14:paraId="22DBBDF9" w14:textId="1B4B225D" w:rsidR="008969E8" w:rsidRPr="00614E4F" w:rsidRDefault="00E36329">
            <w:pPr>
              <w:pStyle w:val="TableNumber"/>
              <w:keepNext/>
              <w:keepLines/>
              <w:rPr>
                <w:highlight w:val="darkGray"/>
              </w:rPr>
            </w:pPr>
            <w:r w:rsidRPr="00276BCA">
              <w:rPr>
                <w:rFonts w:hint="eastAsia"/>
                <w:color w:val="000000"/>
                <w:w w:val="15"/>
                <w:shd w:val="solid" w:color="000000" w:fill="000000"/>
                <w:fitText w:val="50" w:id="-694461181"/>
                <w14:textFill>
                  <w14:solidFill>
                    <w14:srgbClr w14:val="000000">
                      <w14:alpha w14:val="100000"/>
                    </w14:srgbClr>
                  </w14:solidFill>
                </w14:textFill>
              </w:rPr>
              <w:t xml:space="preserve">　</w:t>
            </w:r>
            <w:r w:rsidRPr="00276BCA">
              <w:rPr>
                <w:color w:val="000000"/>
                <w:w w:val="15"/>
                <w:shd w:val="solid" w:color="000000" w:fill="000000"/>
                <w:fitText w:val="50" w:id="-694461181"/>
                <w14:textFill>
                  <w14:solidFill>
                    <w14:srgbClr w14:val="000000">
                      <w14:alpha w14:val="100000"/>
                    </w14:srgbClr>
                  </w14:solidFill>
                </w14:textFill>
              </w:rPr>
              <w:t>|</w:t>
            </w:r>
            <w:r w:rsidRPr="00276BCA">
              <w:rPr>
                <w:rFonts w:hint="eastAsia"/>
                <w:color w:val="000000"/>
                <w:spacing w:val="-15"/>
                <w:w w:val="15"/>
                <w:shd w:val="solid" w:color="000000" w:fill="000000"/>
                <w:fitText w:val="50" w:id="-694461181"/>
                <w14:textFill>
                  <w14:solidFill>
                    <w14:srgbClr w14:val="000000">
                      <w14:alpha w14:val="100000"/>
                    </w14:srgbClr>
                  </w14:solidFill>
                </w14:textFill>
              </w:rPr>
              <w:t xml:space="preserve">　</w:t>
            </w:r>
            <w:r w:rsidR="009B438D" w:rsidRPr="00276BCA">
              <w:rPr>
                <w:vertAlign w:val="superscript"/>
              </w:rPr>
              <w:t>1</w:t>
            </w:r>
          </w:p>
        </w:tc>
        <w:tc>
          <w:tcPr>
            <w:tcW w:w="622" w:type="pct"/>
            <w:vAlign w:val="center"/>
          </w:tcPr>
          <w:p w14:paraId="6313B15A" w14:textId="35E258E8" w:rsidR="008969E8" w:rsidRPr="00614E4F" w:rsidRDefault="00E36329">
            <w:pPr>
              <w:pStyle w:val="TableText"/>
              <w:keepNext/>
              <w:keepLines/>
              <w:tabs>
                <w:tab w:val="decimal" w:pos="396"/>
              </w:tabs>
              <w:jc w:val="center"/>
              <w:rPr>
                <w:highlight w:val="darkGray"/>
              </w:rPr>
            </w:pPr>
            <w:r w:rsidRPr="00276BCA">
              <w:rPr>
                <w:rFonts w:hint="eastAsia"/>
                <w:color w:val="000000"/>
                <w:w w:val="15"/>
                <w:shd w:val="solid" w:color="000000" w:fill="000000"/>
                <w:fitText w:val="50" w:id="-694461180"/>
                <w14:textFill>
                  <w14:solidFill>
                    <w14:srgbClr w14:val="000000">
                      <w14:alpha w14:val="100000"/>
                    </w14:srgbClr>
                  </w14:solidFill>
                </w14:textFill>
              </w:rPr>
              <w:t xml:space="preserve">　</w:t>
            </w:r>
            <w:r w:rsidRPr="00276BCA">
              <w:rPr>
                <w:color w:val="000000"/>
                <w:w w:val="15"/>
                <w:shd w:val="solid" w:color="000000" w:fill="000000"/>
                <w:fitText w:val="50" w:id="-694461180"/>
                <w14:textFill>
                  <w14:solidFill>
                    <w14:srgbClr w14:val="000000">
                      <w14:alpha w14:val="100000"/>
                    </w14:srgbClr>
                  </w14:solidFill>
                </w14:textFill>
              </w:rPr>
              <w:t>|</w:t>
            </w:r>
            <w:r w:rsidRPr="00276BCA">
              <w:rPr>
                <w:rFonts w:hint="eastAsia"/>
                <w:color w:val="000000"/>
                <w:spacing w:val="-15"/>
                <w:w w:val="15"/>
                <w:shd w:val="solid" w:color="000000" w:fill="000000"/>
                <w:fitText w:val="50" w:id="-694461180"/>
                <w14:textFill>
                  <w14:solidFill>
                    <w14:srgbClr w14:val="000000">
                      <w14:alpha w14:val="100000"/>
                    </w14:srgbClr>
                  </w14:solidFill>
                </w14:textFill>
              </w:rPr>
              <w:t xml:space="preserve">　</w:t>
            </w:r>
            <w:r w:rsidR="009B438D" w:rsidRPr="00276BCA">
              <w:rPr>
                <w:vertAlign w:val="superscript"/>
              </w:rPr>
              <w:t>1</w:t>
            </w:r>
          </w:p>
        </w:tc>
        <w:tc>
          <w:tcPr>
            <w:tcW w:w="623" w:type="pct"/>
            <w:vAlign w:val="center"/>
          </w:tcPr>
          <w:p w14:paraId="0587B6DF" w14:textId="2596A600" w:rsidR="008969E8" w:rsidRPr="00614E4F" w:rsidRDefault="00E36329">
            <w:pPr>
              <w:pStyle w:val="TableText"/>
              <w:keepNext/>
              <w:keepLines/>
              <w:tabs>
                <w:tab w:val="decimal" w:pos="396"/>
              </w:tabs>
              <w:jc w:val="center"/>
              <w:rPr>
                <w:highlight w:val="darkGray"/>
              </w:rPr>
            </w:pPr>
            <w:r w:rsidRPr="00276BCA">
              <w:rPr>
                <w:rFonts w:hint="eastAsia"/>
                <w:color w:val="000000"/>
                <w:w w:val="15"/>
                <w:shd w:val="solid" w:color="000000" w:fill="000000"/>
                <w:fitText w:val="50" w:id="-694461179"/>
                <w14:textFill>
                  <w14:solidFill>
                    <w14:srgbClr w14:val="000000">
                      <w14:alpha w14:val="100000"/>
                    </w14:srgbClr>
                  </w14:solidFill>
                </w14:textFill>
              </w:rPr>
              <w:t xml:space="preserve">　</w:t>
            </w:r>
            <w:r w:rsidRPr="00276BCA">
              <w:rPr>
                <w:color w:val="000000"/>
                <w:w w:val="15"/>
                <w:shd w:val="solid" w:color="000000" w:fill="000000"/>
                <w:fitText w:val="50" w:id="-694461179"/>
                <w14:textFill>
                  <w14:solidFill>
                    <w14:srgbClr w14:val="000000">
                      <w14:alpha w14:val="100000"/>
                    </w14:srgbClr>
                  </w14:solidFill>
                </w14:textFill>
              </w:rPr>
              <w:t>|</w:t>
            </w:r>
            <w:r w:rsidRPr="00276BCA">
              <w:rPr>
                <w:rFonts w:hint="eastAsia"/>
                <w:color w:val="000000"/>
                <w:spacing w:val="-15"/>
                <w:w w:val="15"/>
                <w:shd w:val="solid" w:color="000000" w:fill="000000"/>
                <w:fitText w:val="50" w:id="-694461179"/>
                <w14:textFill>
                  <w14:solidFill>
                    <w14:srgbClr w14:val="000000">
                      <w14:alpha w14:val="100000"/>
                    </w14:srgbClr>
                  </w14:solidFill>
                </w14:textFill>
              </w:rPr>
              <w:t xml:space="preserve">　</w:t>
            </w:r>
            <w:r w:rsidR="009B438D" w:rsidRPr="00276BCA">
              <w:rPr>
                <w:vertAlign w:val="superscript"/>
              </w:rPr>
              <w:t>1</w:t>
            </w:r>
          </w:p>
        </w:tc>
        <w:tc>
          <w:tcPr>
            <w:tcW w:w="622" w:type="pct"/>
            <w:vAlign w:val="center"/>
          </w:tcPr>
          <w:p w14:paraId="427F2F13" w14:textId="72BBF5E3" w:rsidR="008969E8" w:rsidRPr="00614E4F" w:rsidRDefault="00E36329">
            <w:pPr>
              <w:pStyle w:val="TableText"/>
              <w:keepNext/>
              <w:keepLines/>
              <w:tabs>
                <w:tab w:val="decimal" w:pos="396"/>
              </w:tabs>
              <w:jc w:val="center"/>
              <w:rPr>
                <w:highlight w:val="darkGray"/>
              </w:rPr>
            </w:pPr>
            <w:r w:rsidRPr="00276BCA">
              <w:rPr>
                <w:rFonts w:hint="eastAsia"/>
                <w:color w:val="000000"/>
                <w:w w:val="15"/>
                <w:shd w:val="solid" w:color="000000" w:fill="000000"/>
                <w:fitText w:val="50" w:id="-694461178"/>
                <w14:textFill>
                  <w14:solidFill>
                    <w14:srgbClr w14:val="000000">
                      <w14:alpha w14:val="100000"/>
                    </w14:srgbClr>
                  </w14:solidFill>
                </w14:textFill>
              </w:rPr>
              <w:t xml:space="preserve">　</w:t>
            </w:r>
            <w:r w:rsidRPr="00276BCA">
              <w:rPr>
                <w:color w:val="000000"/>
                <w:w w:val="15"/>
                <w:shd w:val="solid" w:color="000000" w:fill="000000"/>
                <w:fitText w:val="50" w:id="-694461178"/>
                <w14:textFill>
                  <w14:solidFill>
                    <w14:srgbClr w14:val="000000">
                      <w14:alpha w14:val="100000"/>
                    </w14:srgbClr>
                  </w14:solidFill>
                </w14:textFill>
              </w:rPr>
              <w:t>|</w:t>
            </w:r>
            <w:r w:rsidRPr="00276BCA">
              <w:rPr>
                <w:rFonts w:hint="eastAsia"/>
                <w:color w:val="000000"/>
                <w:spacing w:val="-15"/>
                <w:w w:val="15"/>
                <w:shd w:val="solid" w:color="000000" w:fill="000000"/>
                <w:fitText w:val="50" w:id="-694461178"/>
                <w14:textFill>
                  <w14:solidFill>
                    <w14:srgbClr w14:val="000000">
                      <w14:alpha w14:val="100000"/>
                    </w14:srgbClr>
                  </w14:solidFill>
                </w14:textFill>
              </w:rPr>
              <w:t xml:space="preserve">　</w:t>
            </w:r>
            <w:r w:rsidR="009B438D" w:rsidRPr="00276BCA">
              <w:rPr>
                <w:vertAlign w:val="superscript"/>
              </w:rPr>
              <w:t>1</w:t>
            </w:r>
          </w:p>
        </w:tc>
        <w:tc>
          <w:tcPr>
            <w:tcW w:w="622" w:type="pct"/>
            <w:vAlign w:val="center"/>
          </w:tcPr>
          <w:p w14:paraId="243DD03C" w14:textId="3B8ED71F" w:rsidR="008969E8" w:rsidRPr="00503571" w:rsidRDefault="00E36329">
            <w:pPr>
              <w:pStyle w:val="TableText"/>
              <w:keepNext/>
              <w:keepLines/>
              <w:tabs>
                <w:tab w:val="decimal" w:pos="396"/>
              </w:tabs>
              <w:jc w:val="center"/>
              <w:rPr>
                <w:highlight w:val="darkGray"/>
              </w:rPr>
            </w:pPr>
            <w:r w:rsidRPr="00276BCA">
              <w:rPr>
                <w:rFonts w:hint="eastAsia"/>
                <w:color w:val="000000"/>
                <w:w w:val="15"/>
                <w:shd w:val="solid" w:color="000000" w:fill="000000"/>
                <w:fitText w:val="50" w:id="-694461177"/>
                <w14:textFill>
                  <w14:solidFill>
                    <w14:srgbClr w14:val="000000">
                      <w14:alpha w14:val="100000"/>
                    </w14:srgbClr>
                  </w14:solidFill>
                </w14:textFill>
              </w:rPr>
              <w:t xml:space="preserve">　</w:t>
            </w:r>
            <w:r w:rsidRPr="00276BCA">
              <w:rPr>
                <w:color w:val="000000"/>
                <w:w w:val="15"/>
                <w:shd w:val="solid" w:color="000000" w:fill="000000"/>
                <w:fitText w:val="50" w:id="-694461177"/>
                <w14:textFill>
                  <w14:solidFill>
                    <w14:srgbClr w14:val="000000">
                      <w14:alpha w14:val="100000"/>
                    </w14:srgbClr>
                  </w14:solidFill>
                </w14:textFill>
              </w:rPr>
              <w:t>|</w:t>
            </w:r>
            <w:r w:rsidRPr="00276BCA">
              <w:rPr>
                <w:rFonts w:hint="eastAsia"/>
                <w:color w:val="000000"/>
                <w:spacing w:val="-15"/>
                <w:w w:val="15"/>
                <w:shd w:val="solid" w:color="000000" w:fill="000000"/>
                <w:fitText w:val="50" w:id="-694461177"/>
                <w14:textFill>
                  <w14:solidFill>
                    <w14:srgbClr w14:val="000000">
                      <w14:alpha w14:val="100000"/>
                    </w14:srgbClr>
                  </w14:solidFill>
                </w14:textFill>
              </w:rPr>
              <w:t xml:space="preserve">　</w:t>
            </w:r>
            <w:r w:rsidR="009B438D" w:rsidRPr="00276BCA">
              <w:rPr>
                <w:vertAlign w:val="superscript"/>
              </w:rPr>
              <w:t>1</w:t>
            </w:r>
          </w:p>
        </w:tc>
        <w:tc>
          <w:tcPr>
            <w:tcW w:w="623" w:type="pct"/>
            <w:vAlign w:val="center"/>
          </w:tcPr>
          <w:p w14:paraId="726A4996" w14:textId="46804B10" w:rsidR="008969E8" w:rsidRPr="00503571" w:rsidRDefault="00E36329">
            <w:pPr>
              <w:pStyle w:val="TableText"/>
              <w:keepNext/>
              <w:keepLines/>
              <w:tabs>
                <w:tab w:val="decimal" w:pos="396"/>
              </w:tabs>
              <w:jc w:val="center"/>
              <w:rPr>
                <w:highlight w:val="darkGray"/>
              </w:rPr>
            </w:pPr>
            <w:r w:rsidRPr="00276BCA">
              <w:rPr>
                <w:rFonts w:hint="eastAsia"/>
                <w:color w:val="000000"/>
                <w:w w:val="15"/>
                <w:shd w:val="solid" w:color="000000" w:fill="000000"/>
                <w:fitText w:val="50" w:id="-694461176"/>
                <w14:textFill>
                  <w14:solidFill>
                    <w14:srgbClr w14:val="000000">
                      <w14:alpha w14:val="100000"/>
                    </w14:srgbClr>
                  </w14:solidFill>
                </w14:textFill>
              </w:rPr>
              <w:t xml:space="preserve">　</w:t>
            </w:r>
            <w:r w:rsidRPr="00276BCA">
              <w:rPr>
                <w:color w:val="000000"/>
                <w:w w:val="15"/>
                <w:shd w:val="solid" w:color="000000" w:fill="000000"/>
                <w:fitText w:val="50" w:id="-694461176"/>
                <w14:textFill>
                  <w14:solidFill>
                    <w14:srgbClr w14:val="000000">
                      <w14:alpha w14:val="100000"/>
                    </w14:srgbClr>
                  </w14:solidFill>
                </w14:textFill>
              </w:rPr>
              <w:t>|</w:t>
            </w:r>
            <w:r w:rsidRPr="00276BCA">
              <w:rPr>
                <w:rFonts w:hint="eastAsia"/>
                <w:color w:val="000000"/>
                <w:spacing w:val="-15"/>
                <w:w w:val="15"/>
                <w:shd w:val="solid" w:color="000000" w:fill="000000"/>
                <w:fitText w:val="50" w:id="-694461176"/>
                <w14:textFill>
                  <w14:solidFill>
                    <w14:srgbClr w14:val="000000">
                      <w14:alpha w14:val="100000"/>
                    </w14:srgbClr>
                  </w14:solidFill>
                </w14:textFill>
              </w:rPr>
              <w:t xml:space="preserve">　</w:t>
            </w:r>
            <w:r w:rsidR="009B438D" w:rsidRPr="00276BCA">
              <w:rPr>
                <w:vertAlign w:val="superscript"/>
              </w:rPr>
              <w:t>1</w:t>
            </w:r>
          </w:p>
        </w:tc>
      </w:tr>
      <w:tr w:rsidR="008969E8" w:rsidRPr="00276BCA" w14:paraId="27287463" w14:textId="77777777">
        <w:tc>
          <w:tcPr>
            <w:tcW w:w="1266" w:type="pct"/>
            <w:vAlign w:val="center"/>
          </w:tcPr>
          <w:p w14:paraId="4F826D1B" w14:textId="77777777" w:rsidR="008969E8" w:rsidRPr="00276BCA" w:rsidRDefault="008969E8">
            <w:pPr>
              <w:pStyle w:val="TableText"/>
              <w:keepNext/>
              <w:keepLines/>
            </w:pPr>
            <w:r w:rsidRPr="00276BCA">
              <w:t>Number of patients likely to receive a positive test result (38.38% positivity rate)</w:t>
            </w:r>
          </w:p>
        </w:tc>
        <w:tc>
          <w:tcPr>
            <w:tcW w:w="622" w:type="pct"/>
            <w:vAlign w:val="center"/>
          </w:tcPr>
          <w:p w14:paraId="59A075E1" w14:textId="2690F28B"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5"/>
                <w14:textFill>
                  <w14:solidFill>
                    <w14:srgbClr w14:val="000000">
                      <w14:alpha w14:val="100000"/>
                    </w14:srgbClr>
                  </w14:solidFill>
                </w14:textFill>
              </w:rPr>
              <w:t xml:space="preserve">　</w:t>
            </w:r>
            <w:r w:rsidRPr="00276BCA">
              <w:rPr>
                <w:color w:val="000000"/>
                <w:w w:val="15"/>
                <w:shd w:val="solid" w:color="000000" w:fill="000000"/>
                <w:fitText w:val="50" w:id="-694461175"/>
                <w14:textFill>
                  <w14:solidFill>
                    <w14:srgbClr w14:val="000000">
                      <w14:alpha w14:val="100000"/>
                    </w14:srgbClr>
                  </w14:solidFill>
                </w14:textFill>
              </w:rPr>
              <w:t>|</w:t>
            </w:r>
            <w:r w:rsidRPr="00276BCA">
              <w:rPr>
                <w:rFonts w:hint="eastAsia"/>
                <w:color w:val="000000"/>
                <w:spacing w:val="-15"/>
                <w:w w:val="15"/>
                <w:shd w:val="solid" w:color="000000" w:fill="000000"/>
                <w:fitText w:val="50" w:id="-694461175"/>
                <w14:textFill>
                  <w14:solidFill>
                    <w14:srgbClr w14:val="000000">
                      <w14:alpha w14:val="100000"/>
                    </w14:srgbClr>
                  </w14:solidFill>
                </w14:textFill>
              </w:rPr>
              <w:t xml:space="preserve">　</w:t>
            </w:r>
            <w:r w:rsidR="009B438D" w:rsidRPr="00276BCA">
              <w:rPr>
                <w:vertAlign w:val="superscript"/>
              </w:rPr>
              <w:t>2</w:t>
            </w:r>
          </w:p>
        </w:tc>
        <w:tc>
          <w:tcPr>
            <w:tcW w:w="622" w:type="pct"/>
            <w:vAlign w:val="center"/>
          </w:tcPr>
          <w:p w14:paraId="7BD7271B" w14:textId="45F21361"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4"/>
                <w14:textFill>
                  <w14:solidFill>
                    <w14:srgbClr w14:val="000000">
                      <w14:alpha w14:val="100000"/>
                    </w14:srgbClr>
                  </w14:solidFill>
                </w14:textFill>
              </w:rPr>
              <w:t xml:space="preserve">　</w:t>
            </w:r>
            <w:r w:rsidRPr="00276BCA">
              <w:rPr>
                <w:color w:val="000000"/>
                <w:w w:val="15"/>
                <w:shd w:val="solid" w:color="000000" w:fill="000000"/>
                <w:fitText w:val="50" w:id="-694461174"/>
                <w14:textFill>
                  <w14:solidFill>
                    <w14:srgbClr w14:val="000000">
                      <w14:alpha w14:val="100000"/>
                    </w14:srgbClr>
                  </w14:solidFill>
                </w14:textFill>
              </w:rPr>
              <w:t>|</w:t>
            </w:r>
            <w:r w:rsidRPr="00276BCA">
              <w:rPr>
                <w:rFonts w:hint="eastAsia"/>
                <w:color w:val="000000"/>
                <w:spacing w:val="-15"/>
                <w:w w:val="15"/>
                <w:shd w:val="solid" w:color="000000" w:fill="000000"/>
                <w:fitText w:val="50" w:id="-694461174"/>
                <w14:textFill>
                  <w14:solidFill>
                    <w14:srgbClr w14:val="000000">
                      <w14:alpha w14:val="100000"/>
                    </w14:srgbClr>
                  </w14:solidFill>
                </w14:textFill>
              </w:rPr>
              <w:t xml:space="preserve">　</w:t>
            </w:r>
            <w:r w:rsidR="007500DC" w:rsidRPr="00276BCA">
              <w:rPr>
                <w:vertAlign w:val="superscript"/>
              </w:rPr>
              <w:t>2</w:t>
            </w:r>
          </w:p>
        </w:tc>
        <w:tc>
          <w:tcPr>
            <w:tcW w:w="623" w:type="pct"/>
            <w:vAlign w:val="center"/>
          </w:tcPr>
          <w:p w14:paraId="08042602" w14:textId="5CA87E1C"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3"/>
                <w14:textFill>
                  <w14:solidFill>
                    <w14:srgbClr w14:val="000000">
                      <w14:alpha w14:val="100000"/>
                    </w14:srgbClr>
                  </w14:solidFill>
                </w14:textFill>
              </w:rPr>
              <w:t xml:space="preserve">　</w:t>
            </w:r>
            <w:r w:rsidRPr="00276BCA">
              <w:rPr>
                <w:color w:val="000000"/>
                <w:w w:val="15"/>
                <w:shd w:val="solid" w:color="000000" w:fill="000000"/>
                <w:fitText w:val="50" w:id="-694461173"/>
                <w14:textFill>
                  <w14:solidFill>
                    <w14:srgbClr w14:val="000000">
                      <w14:alpha w14:val="100000"/>
                    </w14:srgbClr>
                  </w14:solidFill>
                </w14:textFill>
              </w:rPr>
              <w:t>|</w:t>
            </w:r>
            <w:r w:rsidRPr="00276BCA">
              <w:rPr>
                <w:rFonts w:hint="eastAsia"/>
                <w:color w:val="000000"/>
                <w:spacing w:val="-15"/>
                <w:w w:val="15"/>
                <w:shd w:val="solid" w:color="000000" w:fill="000000"/>
                <w:fitText w:val="50" w:id="-694461173"/>
                <w14:textFill>
                  <w14:solidFill>
                    <w14:srgbClr w14:val="000000">
                      <w14:alpha w14:val="100000"/>
                    </w14:srgbClr>
                  </w14:solidFill>
                </w14:textFill>
              </w:rPr>
              <w:t xml:space="preserve">　</w:t>
            </w:r>
            <w:r w:rsidR="007500DC" w:rsidRPr="00276BCA">
              <w:rPr>
                <w:vertAlign w:val="superscript"/>
              </w:rPr>
              <w:t>2</w:t>
            </w:r>
          </w:p>
        </w:tc>
        <w:tc>
          <w:tcPr>
            <w:tcW w:w="622" w:type="pct"/>
            <w:vAlign w:val="center"/>
          </w:tcPr>
          <w:p w14:paraId="2232BD1F" w14:textId="16070AD1"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2"/>
                <w14:textFill>
                  <w14:solidFill>
                    <w14:srgbClr w14:val="000000">
                      <w14:alpha w14:val="100000"/>
                    </w14:srgbClr>
                  </w14:solidFill>
                </w14:textFill>
              </w:rPr>
              <w:t xml:space="preserve">　</w:t>
            </w:r>
            <w:r w:rsidRPr="00276BCA">
              <w:rPr>
                <w:color w:val="000000"/>
                <w:w w:val="15"/>
                <w:shd w:val="solid" w:color="000000" w:fill="000000"/>
                <w:fitText w:val="50" w:id="-694461172"/>
                <w14:textFill>
                  <w14:solidFill>
                    <w14:srgbClr w14:val="000000">
                      <w14:alpha w14:val="100000"/>
                    </w14:srgbClr>
                  </w14:solidFill>
                </w14:textFill>
              </w:rPr>
              <w:t>|</w:t>
            </w:r>
            <w:r w:rsidRPr="00276BCA">
              <w:rPr>
                <w:rFonts w:hint="eastAsia"/>
                <w:color w:val="000000"/>
                <w:spacing w:val="-15"/>
                <w:w w:val="15"/>
                <w:shd w:val="solid" w:color="000000" w:fill="000000"/>
                <w:fitText w:val="50" w:id="-694461172"/>
                <w14:textFill>
                  <w14:solidFill>
                    <w14:srgbClr w14:val="000000">
                      <w14:alpha w14:val="100000"/>
                    </w14:srgbClr>
                  </w14:solidFill>
                </w14:textFill>
              </w:rPr>
              <w:t xml:space="preserve">　</w:t>
            </w:r>
            <w:r w:rsidR="007500DC" w:rsidRPr="00276BCA">
              <w:rPr>
                <w:vertAlign w:val="superscript"/>
              </w:rPr>
              <w:t>2</w:t>
            </w:r>
          </w:p>
        </w:tc>
        <w:tc>
          <w:tcPr>
            <w:tcW w:w="622" w:type="pct"/>
            <w:vAlign w:val="center"/>
          </w:tcPr>
          <w:p w14:paraId="0F8E100D" w14:textId="369BCF94"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1"/>
                <w14:textFill>
                  <w14:solidFill>
                    <w14:srgbClr w14:val="000000">
                      <w14:alpha w14:val="100000"/>
                    </w14:srgbClr>
                  </w14:solidFill>
                </w14:textFill>
              </w:rPr>
              <w:t xml:space="preserve">　</w:t>
            </w:r>
            <w:r w:rsidRPr="00276BCA">
              <w:rPr>
                <w:color w:val="000000"/>
                <w:w w:val="15"/>
                <w:shd w:val="solid" w:color="000000" w:fill="000000"/>
                <w:fitText w:val="50" w:id="-694461171"/>
                <w14:textFill>
                  <w14:solidFill>
                    <w14:srgbClr w14:val="000000">
                      <w14:alpha w14:val="100000"/>
                    </w14:srgbClr>
                  </w14:solidFill>
                </w14:textFill>
              </w:rPr>
              <w:t>|</w:t>
            </w:r>
            <w:r w:rsidRPr="00276BCA">
              <w:rPr>
                <w:rFonts w:hint="eastAsia"/>
                <w:color w:val="000000"/>
                <w:spacing w:val="-15"/>
                <w:w w:val="15"/>
                <w:shd w:val="solid" w:color="000000" w:fill="000000"/>
                <w:fitText w:val="50" w:id="-694461171"/>
                <w14:textFill>
                  <w14:solidFill>
                    <w14:srgbClr w14:val="000000">
                      <w14:alpha w14:val="100000"/>
                    </w14:srgbClr>
                  </w14:solidFill>
                </w14:textFill>
              </w:rPr>
              <w:t xml:space="preserve">　</w:t>
            </w:r>
            <w:r w:rsidR="009B438D" w:rsidRPr="00276BCA">
              <w:rPr>
                <w:vertAlign w:val="superscript"/>
              </w:rPr>
              <w:t>1</w:t>
            </w:r>
          </w:p>
        </w:tc>
        <w:tc>
          <w:tcPr>
            <w:tcW w:w="623" w:type="pct"/>
            <w:vAlign w:val="center"/>
          </w:tcPr>
          <w:p w14:paraId="580A88A1" w14:textId="34BBA4D1"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0"/>
                <w14:textFill>
                  <w14:solidFill>
                    <w14:srgbClr w14:val="000000">
                      <w14:alpha w14:val="100000"/>
                    </w14:srgbClr>
                  </w14:solidFill>
                </w14:textFill>
              </w:rPr>
              <w:t xml:space="preserve">　</w:t>
            </w:r>
            <w:r w:rsidRPr="00276BCA">
              <w:rPr>
                <w:color w:val="000000"/>
                <w:w w:val="15"/>
                <w:shd w:val="solid" w:color="000000" w:fill="000000"/>
                <w:fitText w:val="50" w:id="-694461170"/>
                <w14:textFill>
                  <w14:solidFill>
                    <w14:srgbClr w14:val="000000">
                      <w14:alpha w14:val="100000"/>
                    </w14:srgbClr>
                  </w14:solidFill>
                </w14:textFill>
              </w:rPr>
              <w:t>|</w:t>
            </w:r>
            <w:r w:rsidRPr="00276BCA">
              <w:rPr>
                <w:rFonts w:hint="eastAsia"/>
                <w:color w:val="000000"/>
                <w:spacing w:val="-15"/>
                <w:w w:val="15"/>
                <w:shd w:val="solid" w:color="000000" w:fill="000000"/>
                <w:fitText w:val="50" w:id="-694461170"/>
                <w14:textFill>
                  <w14:solidFill>
                    <w14:srgbClr w14:val="000000">
                      <w14:alpha w14:val="100000"/>
                    </w14:srgbClr>
                  </w14:solidFill>
                </w14:textFill>
              </w:rPr>
              <w:t xml:space="preserve">　</w:t>
            </w:r>
            <w:r w:rsidR="009B438D" w:rsidRPr="00276BCA">
              <w:rPr>
                <w:vertAlign w:val="superscript"/>
              </w:rPr>
              <w:t>1</w:t>
            </w:r>
          </w:p>
        </w:tc>
      </w:tr>
      <w:tr w:rsidR="008969E8" w:rsidRPr="00276BCA" w14:paraId="3617747A" w14:textId="77777777">
        <w:tc>
          <w:tcPr>
            <w:tcW w:w="5000" w:type="pct"/>
            <w:gridSpan w:val="7"/>
            <w:vAlign w:val="center"/>
          </w:tcPr>
          <w:p w14:paraId="5605C305" w14:textId="77777777" w:rsidR="008969E8" w:rsidRPr="00276BCA" w:rsidRDefault="008969E8">
            <w:pPr>
              <w:pStyle w:val="TableText"/>
              <w:keepNext/>
              <w:keepLines/>
              <w:rPr>
                <w:b/>
              </w:rPr>
            </w:pPr>
            <w:r w:rsidRPr="00276BCA">
              <w:rPr>
                <w:b/>
              </w:rPr>
              <w:t xml:space="preserve">Estimated extent of use of </w:t>
            </w:r>
            <w:proofErr w:type="spellStart"/>
            <w:r w:rsidRPr="00276BCA">
              <w:rPr>
                <w:b/>
              </w:rPr>
              <w:t>zolbetuximab</w:t>
            </w:r>
            <w:proofErr w:type="spellEnd"/>
          </w:p>
        </w:tc>
      </w:tr>
      <w:tr w:rsidR="008969E8" w:rsidRPr="00276BCA" w14:paraId="16C025D9" w14:textId="77777777">
        <w:tc>
          <w:tcPr>
            <w:tcW w:w="1266" w:type="pct"/>
            <w:vAlign w:val="center"/>
          </w:tcPr>
          <w:p w14:paraId="3CDC481C" w14:textId="77777777" w:rsidR="008969E8" w:rsidRPr="00276BCA" w:rsidRDefault="008969E8">
            <w:pPr>
              <w:pStyle w:val="TableText"/>
              <w:keepNext/>
              <w:keepLines/>
              <w:rPr>
                <w:rFonts w:ascii="Times" w:eastAsia="Times New Roman" w:hAnsi="Times" w:cs="Times New Roman"/>
              </w:rPr>
            </w:pPr>
            <w:r w:rsidRPr="00276BCA">
              <w:t>Number of patients likely to be treated with proposed drug</w:t>
            </w:r>
          </w:p>
        </w:tc>
        <w:tc>
          <w:tcPr>
            <w:tcW w:w="622" w:type="pct"/>
            <w:vAlign w:val="center"/>
          </w:tcPr>
          <w:p w14:paraId="69C72134" w14:textId="6CC6782B" w:rsidR="008969E8" w:rsidRPr="00276BCA" w:rsidRDefault="00E36329">
            <w:pPr>
              <w:pStyle w:val="TableText"/>
              <w:keepNext/>
              <w:keepLines/>
              <w:jc w:val="center"/>
            </w:pPr>
            <w:r w:rsidRPr="00276BCA">
              <w:rPr>
                <w:rFonts w:hint="eastAsia"/>
                <w:color w:val="000000"/>
                <w:w w:val="18"/>
                <w:shd w:val="solid" w:color="000000" w:fill="000000"/>
                <w:fitText w:val="80" w:id="-694461169"/>
                <w14:textFill>
                  <w14:solidFill>
                    <w14:srgbClr w14:val="000000">
                      <w14:alpha w14:val="100000"/>
                    </w14:srgbClr>
                  </w14:solidFill>
                </w14:textFill>
              </w:rPr>
              <w:t xml:space="preserve">　</w:t>
            </w:r>
            <w:r w:rsidRPr="00276BCA">
              <w:rPr>
                <w:color w:val="000000"/>
                <w:w w:val="18"/>
                <w:shd w:val="solid" w:color="000000" w:fill="000000"/>
                <w:fitText w:val="80" w:id="-694461169"/>
                <w14:textFill>
                  <w14:solidFill>
                    <w14:srgbClr w14:val="000000">
                      <w14:alpha w14:val="100000"/>
                    </w14:srgbClr>
                  </w14:solidFill>
                </w14:textFill>
              </w:rPr>
              <w:t>|</w:t>
            </w:r>
            <w:r w:rsidRPr="00276BCA">
              <w:rPr>
                <w:rFonts w:hint="eastAsia"/>
                <w:color w:val="000000"/>
                <w:w w:val="18"/>
                <w:shd w:val="solid" w:color="000000" w:fill="000000"/>
                <w:fitText w:val="80" w:id="-694461169"/>
                <w14:textFill>
                  <w14:solidFill>
                    <w14:srgbClr w14:val="000000">
                      <w14:alpha w14:val="100000"/>
                    </w14:srgbClr>
                  </w14:solidFill>
                </w14:textFill>
              </w:rPr>
              <w:t xml:space="preserve">　</w:t>
            </w:r>
            <w:r w:rsidR="00093FD9" w:rsidRPr="00276BCA">
              <w:rPr>
                <w:vertAlign w:val="superscript"/>
              </w:rPr>
              <w:t>2</w:t>
            </w:r>
            <w:r w:rsidR="00836332" w:rsidRPr="00276BCA">
              <w:rPr>
                <w:vertAlign w:val="superscript"/>
              </w:rPr>
              <w:t>a</w:t>
            </w:r>
          </w:p>
        </w:tc>
        <w:tc>
          <w:tcPr>
            <w:tcW w:w="622" w:type="pct"/>
            <w:vAlign w:val="center"/>
          </w:tcPr>
          <w:p w14:paraId="1751A93A" w14:textId="5D36F8BB"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68"/>
                <w14:textFill>
                  <w14:solidFill>
                    <w14:srgbClr w14:val="000000">
                      <w14:alpha w14:val="100000"/>
                    </w14:srgbClr>
                  </w14:solidFill>
                </w14:textFill>
              </w:rPr>
              <w:t xml:space="preserve">　</w:t>
            </w:r>
            <w:r w:rsidRPr="00276BCA">
              <w:rPr>
                <w:color w:val="000000"/>
                <w:w w:val="15"/>
                <w:shd w:val="solid" w:color="000000" w:fill="000000"/>
                <w:fitText w:val="50" w:id="-694461168"/>
                <w14:textFill>
                  <w14:solidFill>
                    <w14:srgbClr w14:val="000000">
                      <w14:alpha w14:val="100000"/>
                    </w14:srgbClr>
                  </w14:solidFill>
                </w14:textFill>
              </w:rPr>
              <w:t>|</w:t>
            </w:r>
            <w:r w:rsidRPr="00276BCA">
              <w:rPr>
                <w:rFonts w:hint="eastAsia"/>
                <w:color w:val="000000"/>
                <w:spacing w:val="-15"/>
                <w:w w:val="15"/>
                <w:shd w:val="solid" w:color="000000" w:fill="000000"/>
                <w:fitText w:val="50" w:id="-694461168"/>
                <w14:textFill>
                  <w14:solidFill>
                    <w14:srgbClr w14:val="000000">
                      <w14:alpha w14:val="100000"/>
                    </w14:srgbClr>
                  </w14:solidFill>
                </w14:textFill>
              </w:rPr>
              <w:t xml:space="preserve">　</w:t>
            </w:r>
            <w:r w:rsidR="00093FD9" w:rsidRPr="00276BCA">
              <w:rPr>
                <w:vertAlign w:val="superscript"/>
              </w:rPr>
              <w:t>2</w:t>
            </w:r>
          </w:p>
        </w:tc>
        <w:tc>
          <w:tcPr>
            <w:tcW w:w="623" w:type="pct"/>
            <w:vAlign w:val="center"/>
          </w:tcPr>
          <w:p w14:paraId="32D5C7AD" w14:textId="43E6E831"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84"/>
                <w14:textFill>
                  <w14:solidFill>
                    <w14:srgbClr w14:val="000000">
                      <w14:alpha w14:val="100000"/>
                    </w14:srgbClr>
                  </w14:solidFill>
                </w14:textFill>
              </w:rPr>
              <w:t xml:space="preserve">　</w:t>
            </w:r>
            <w:r w:rsidRPr="00276BCA">
              <w:rPr>
                <w:color w:val="000000"/>
                <w:w w:val="15"/>
                <w:shd w:val="solid" w:color="000000" w:fill="000000"/>
                <w:fitText w:val="50" w:id="-694461184"/>
                <w14:textFill>
                  <w14:solidFill>
                    <w14:srgbClr w14:val="000000">
                      <w14:alpha w14:val="100000"/>
                    </w14:srgbClr>
                  </w14:solidFill>
                </w14:textFill>
              </w:rPr>
              <w:t>|</w:t>
            </w:r>
            <w:r w:rsidRPr="00276BCA">
              <w:rPr>
                <w:rFonts w:hint="eastAsia"/>
                <w:color w:val="000000"/>
                <w:spacing w:val="-15"/>
                <w:w w:val="15"/>
                <w:shd w:val="solid" w:color="000000" w:fill="000000"/>
                <w:fitText w:val="50" w:id="-694461184"/>
                <w14:textFill>
                  <w14:solidFill>
                    <w14:srgbClr w14:val="000000">
                      <w14:alpha w14:val="100000"/>
                    </w14:srgbClr>
                  </w14:solidFill>
                </w14:textFill>
              </w:rPr>
              <w:t xml:space="preserve">　</w:t>
            </w:r>
            <w:r w:rsidR="00093FD9" w:rsidRPr="00276BCA">
              <w:rPr>
                <w:vertAlign w:val="superscript"/>
              </w:rPr>
              <w:t>2</w:t>
            </w:r>
          </w:p>
        </w:tc>
        <w:tc>
          <w:tcPr>
            <w:tcW w:w="622" w:type="pct"/>
            <w:vAlign w:val="center"/>
          </w:tcPr>
          <w:p w14:paraId="4E59F4C4" w14:textId="15981651"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83"/>
                <w14:textFill>
                  <w14:solidFill>
                    <w14:srgbClr w14:val="000000">
                      <w14:alpha w14:val="100000"/>
                    </w14:srgbClr>
                  </w14:solidFill>
                </w14:textFill>
              </w:rPr>
              <w:t xml:space="preserve">　</w:t>
            </w:r>
            <w:r w:rsidRPr="00276BCA">
              <w:rPr>
                <w:color w:val="000000"/>
                <w:w w:val="15"/>
                <w:shd w:val="solid" w:color="000000" w:fill="000000"/>
                <w:fitText w:val="50" w:id="-694461183"/>
                <w14:textFill>
                  <w14:solidFill>
                    <w14:srgbClr w14:val="000000">
                      <w14:alpha w14:val="100000"/>
                    </w14:srgbClr>
                  </w14:solidFill>
                </w14:textFill>
              </w:rPr>
              <w:t>|</w:t>
            </w:r>
            <w:r w:rsidRPr="00276BCA">
              <w:rPr>
                <w:rFonts w:hint="eastAsia"/>
                <w:color w:val="000000"/>
                <w:spacing w:val="-15"/>
                <w:w w:val="15"/>
                <w:shd w:val="solid" w:color="000000" w:fill="000000"/>
                <w:fitText w:val="50" w:id="-694461183"/>
                <w14:textFill>
                  <w14:solidFill>
                    <w14:srgbClr w14:val="000000">
                      <w14:alpha w14:val="100000"/>
                    </w14:srgbClr>
                  </w14:solidFill>
                </w14:textFill>
              </w:rPr>
              <w:t xml:space="preserve">　</w:t>
            </w:r>
            <w:r w:rsidR="00093FD9" w:rsidRPr="00276BCA">
              <w:rPr>
                <w:vertAlign w:val="superscript"/>
              </w:rPr>
              <w:t>2</w:t>
            </w:r>
          </w:p>
        </w:tc>
        <w:tc>
          <w:tcPr>
            <w:tcW w:w="622" w:type="pct"/>
            <w:vAlign w:val="center"/>
          </w:tcPr>
          <w:p w14:paraId="6C0FD087" w14:textId="239713F7"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82"/>
                <w14:textFill>
                  <w14:solidFill>
                    <w14:srgbClr w14:val="000000">
                      <w14:alpha w14:val="100000"/>
                    </w14:srgbClr>
                  </w14:solidFill>
                </w14:textFill>
              </w:rPr>
              <w:t xml:space="preserve">　</w:t>
            </w:r>
            <w:r w:rsidRPr="00276BCA">
              <w:rPr>
                <w:color w:val="000000"/>
                <w:w w:val="15"/>
                <w:shd w:val="solid" w:color="000000" w:fill="000000"/>
                <w:fitText w:val="50" w:id="-694461182"/>
                <w14:textFill>
                  <w14:solidFill>
                    <w14:srgbClr w14:val="000000">
                      <w14:alpha w14:val="100000"/>
                    </w14:srgbClr>
                  </w14:solidFill>
                </w14:textFill>
              </w:rPr>
              <w:t>|</w:t>
            </w:r>
            <w:r w:rsidRPr="00276BCA">
              <w:rPr>
                <w:rFonts w:hint="eastAsia"/>
                <w:color w:val="000000"/>
                <w:spacing w:val="-15"/>
                <w:w w:val="15"/>
                <w:shd w:val="solid" w:color="000000" w:fill="000000"/>
                <w:fitText w:val="50" w:id="-694461182"/>
                <w14:textFill>
                  <w14:solidFill>
                    <w14:srgbClr w14:val="000000">
                      <w14:alpha w14:val="100000"/>
                    </w14:srgbClr>
                  </w14:solidFill>
                </w14:textFill>
              </w:rPr>
              <w:t xml:space="preserve">　</w:t>
            </w:r>
            <w:r w:rsidR="00093FD9" w:rsidRPr="00276BCA">
              <w:rPr>
                <w:vertAlign w:val="superscript"/>
              </w:rPr>
              <w:t>2</w:t>
            </w:r>
          </w:p>
        </w:tc>
        <w:tc>
          <w:tcPr>
            <w:tcW w:w="623" w:type="pct"/>
            <w:vAlign w:val="center"/>
          </w:tcPr>
          <w:p w14:paraId="35BFB644" w14:textId="7B16A15B"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81"/>
                <w14:textFill>
                  <w14:solidFill>
                    <w14:srgbClr w14:val="000000">
                      <w14:alpha w14:val="100000"/>
                    </w14:srgbClr>
                  </w14:solidFill>
                </w14:textFill>
              </w:rPr>
              <w:t xml:space="preserve">　</w:t>
            </w:r>
            <w:r w:rsidRPr="00276BCA">
              <w:rPr>
                <w:color w:val="000000"/>
                <w:w w:val="15"/>
                <w:shd w:val="solid" w:color="000000" w:fill="000000"/>
                <w:fitText w:val="50" w:id="-694461181"/>
                <w14:textFill>
                  <w14:solidFill>
                    <w14:srgbClr w14:val="000000">
                      <w14:alpha w14:val="100000"/>
                    </w14:srgbClr>
                  </w14:solidFill>
                </w14:textFill>
              </w:rPr>
              <w:t>|</w:t>
            </w:r>
            <w:r w:rsidRPr="00276BCA">
              <w:rPr>
                <w:rFonts w:hint="eastAsia"/>
                <w:color w:val="000000"/>
                <w:spacing w:val="-15"/>
                <w:w w:val="15"/>
                <w:shd w:val="solid" w:color="000000" w:fill="000000"/>
                <w:fitText w:val="50" w:id="-694461181"/>
                <w14:textFill>
                  <w14:solidFill>
                    <w14:srgbClr w14:val="000000">
                      <w14:alpha w14:val="100000"/>
                    </w14:srgbClr>
                  </w14:solidFill>
                </w14:textFill>
              </w:rPr>
              <w:t xml:space="preserve">　</w:t>
            </w:r>
            <w:r w:rsidR="009B438D" w:rsidRPr="00276BCA">
              <w:rPr>
                <w:vertAlign w:val="superscript"/>
              </w:rPr>
              <w:t>1</w:t>
            </w:r>
          </w:p>
        </w:tc>
      </w:tr>
      <w:tr w:rsidR="008969E8" w:rsidRPr="00276BCA" w14:paraId="3BE90EE7" w14:textId="77777777">
        <w:tc>
          <w:tcPr>
            <w:tcW w:w="1266" w:type="pct"/>
            <w:vAlign w:val="center"/>
          </w:tcPr>
          <w:p w14:paraId="6478B2D2" w14:textId="14451173" w:rsidR="008969E8" w:rsidRPr="00276BCA" w:rsidRDefault="008969E8">
            <w:pPr>
              <w:pStyle w:val="TableText"/>
              <w:keepNext/>
              <w:keepLines/>
              <w:rPr>
                <w:rFonts w:ascii="Times" w:eastAsia="Times New Roman" w:hAnsi="Times" w:cs="Times New Roman"/>
              </w:rPr>
            </w:pPr>
            <w:r w:rsidRPr="00276BCA">
              <w:t xml:space="preserve">Number of scripts </w:t>
            </w:r>
            <w:proofErr w:type="spellStart"/>
            <w:r w:rsidRPr="00276BCA">
              <w:t>dispensed</w:t>
            </w:r>
            <w:r w:rsidR="00D0031D" w:rsidRPr="00276BCA">
              <w:rPr>
                <w:vertAlign w:val="superscript"/>
              </w:rPr>
              <w:t>b</w:t>
            </w:r>
            <w:proofErr w:type="spellEnd"/>
          </w:p>
        </w:tc>
        <w:tc>
          <w:tcPr>
            <w:tcW w:w="622" w:type="pct"/>
            <w:vAlign w:val="center"/>
          </w:tcPr>
          <w:p w14:paraId="05711CF3" w14:textId="0276F00D"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80"/>
                <w14:textFill>
                  <w14:solidFill>
                    <w14:srgbClr w14:val="000000">
                      <w14:alpha w14:val="100000"/>
                    </w14:srgbClr>
                  </w14:solidFill>
                </w14:textFill>
              </w:rPr>
              <w:t xml:space="preserve">　</w:t>
            </w:r>
            <w:r w:rsidRPr="00276BCA">
              <w:rPr>
                <w:color w:val="000000"/>
                <w:w w:val="15"/>
                <w:shd w:val="solid" w:color="000000" w:fill="000000"/>
                <w:fitText w:val="50" w:id="-694461180"/>
                <w14:textFill>
                  <w14:solidFill>
                    <w14:srgbClr w14:val="000000">
                      <w14:alpha w14:val="100000"/>
                    </w14:srgbClr>
                  </w14:solidFill>
                </w14:textFill>
              </w:rPr>
              <w:t>|</w:t>
            </w:r>
            <w:r w:rsidRPr="00276BCA">
              <w:rPr>
                <w:rFonts w:hint="eastAsia"/>
                <w:color w:val="000000"/>
                <w:spacing w:val="-15"/>
                <w:w w:val="15"/>
                <w:shd w:val="solid" w:color="000000" w:fill="000000"/>
                <w:fitText w:val="50" w:id="-694461180"/>
                <w14:textFill>
                  <w14:solidFill>
                    <w14:srgbClr w14:val="000000">
                      <w14:alpha w14:val="100000"/>
                    </w14:srgbClr>
                  </w14:solidFill>
                </w14:textFill>
              </w:rPr>
              <w:t xml:space="preserve">　</w:t>
            </w:r>
            <w:r w:rsidR="00CF62CC" w:rsidRPr="00276BCA">
              <w:rPr>
                <w:vertAlign w:val="superscript"/>
              </w:rPr>
              <w:t>3</w:t>
            </w:r>
          </w:p>
        </w:tc>
        <w:tc>
          <w:tcPr>
            <w:tcW w:w="622" w:type="pct"/>
            <w:vAlign w:val="center"/>
          </w:tcPr>
          <w:p w14:paraId="5F705704" w14:textId="0D6189AD"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9"/>
                <w14:textFill>
                  <w14:solidFill>
                    <w14:srgbClr w14:val="000000">
                      <w14:alpha w14:val="100000"/>
                    </w14:srgbClr>
                  </w14:solidFill>
                </w14:textFill>
              </w:rPr>
              <w:t xml:space="preserve">　</w:t>
            </w:r>
            <w:r w:rsidRPr="00276BCA">
              <w:rPr>
                <w:color w:val="000000"/>
                <w:w w:val="15"/>
                <w:shd w:val="solid" w:color="000000" w:fill="000000"/>
                <w:fitText w:val="50" w:id="-694461179"/>
                <w14:textFill>
                  <w14:solidFill>
                    <w14:srgbClr w14:val="000000">
                      <w14:alpha w14:val="100000"/>
                    </w14:srgbClr>
                  </w14:solidFill>
                </w14:textFill>
              </w:rPr>
              <w:t>|</w:t>
            </w:r>
            <w:r w:rsidRPr="00276BCA">
              <w:rPr>
                <w:rFonts w:hint="eastAsia"/>
                <w:color w:val="000000"/>
                <w:spacing w:val="-15"/>
                <w:w w:val="15"/>
                <w:shd w:val="solid" w:color="000000" w:fill="000000"/>
                <w:fitText w:val="50" w:id="-694461179"/>
                <w14:textFill>
                  <w14:solidFill>
                    <w14:srgbClr w14:val="000000">
                      <w14:alpha w14:val="100000"/>
                    </w14:srgbClr>
                  </w14:solidFill>
                </w14:textFill>
              </w:rPr>
              <w:t xml:space="preserve">　</w:t>
            </w:r>
            <w:r w:rsidR="00CF62CC" w:rsidRPr="00276BCA">
              <w:rPr>
                <w:vertAlign w:val="superscript"/>
              </w:rPr>
              <w:t>3</w:t>
            </w:r>
          </w:p>
        </w:tc>
        <w:tc>
          <w:tcPr>
            <w:tcW w:w="623" w:type="pct"/>
            <w:vAlign w:val="center"/>
          </w:tcPr>
          <w:p w14:paraId="73C70BE4" w14:textId="414CB9DB"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8"/>
                <w14:textFill>
                  <w14:solidFill>
                    <w14:srgbClr w14:val="000000">
                      <w14:alpha w14:val="100000"/>
                    </w14:srgbClr>
                  </w14:solidFill>
                </w14:textFill>
              </w:rPr>
              <w:t xml:space="preserve">　</w:t>
            </w:r>
            <w:r w:rsidRPr="00276BCA">
              <w:rPr>
                <w:color w:val="000000"/>
                <w:w w:val="15"/>
                <w:shd w:val="solid" w:color="000000" w:fill="000000"/>
                <w:fitText w:val="50" w:id="-694461178"/>
                <w14:textFill>
                  <w14:solidFill>
                    <w14:srgbClr w14:val="000000">
                      <w14:alpha w14:val="100000"/>
                    </w14:srgbClr>
                  </w14:solidFill>
                </w14:textFill>
              </w:rPr>
              <w:t>|</w:t>
            </w:r>
            <w:r w:rsidRPr="00276BCA">
              <w:rPr>
                <w:rFonts w:hint="eastAsia"/>
                <w:color w:val="000000"/>
                <w:spacing w:val="-15"/>
                <w:w w:val="15"/>
                <w:shd w:val="solid" w:color="000000" w:fill="000000"/>
                <w:fitText w:val="50" w:id="-694461178"/>
                <w14:textFill>
                  <w14:solidFill>
                    <w14:srgbClr w14:val="000000">
                      <w14:alpha w14:val="100000"/>
                    </w14:srgbClr>
                  </w14:solidFill>
                </w14:textFill>
              </w:rPr>
              <w:t xml:space="preserve">　</w:t>
            </w:r>
            <w:r w:rsidR="00CF62CC" w:rsidRPr="00276BCA">
              <w:rPr>
                <w:vertAlign w:val="superscript"/>
              </w:rPr>
              <w:t>3</w:t>
            </w:r>
          </w:p>
        </w:tc>
        <w:tc>
          <w:tcPr>
            <w:tcW w:w="622" w:type="pct"/>
            <w:vAlign w:val="center"/>
          </w:tcPr>
          <w:p w14:paraId="3620290F" w14:textId="6615E54F"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7"/>
                <w14:textFill>
                  <w14:solidFill>
                    <w14:srgbClr w14:val="000000">
                      <w14:alpha w14:val="100000"/>
                    </w14:srgbClr>
                  </w14:solidFill>
                </w14:textFill>
              </w:rPr>
              <w:t xml:space="preserve">　</w:t>
            </w:r>
            <w:r w:rsidRPr="00276BCA">
              <w:rPr>
                <w:color w:val="000000"/>
                <w:w w:val="15"/>
                <w:shd w:val="solid" w:color="000000" w:fill="000000"/>
                <w:fitText w:val="50" w:id="-694461177"/>
                <w14:textFill>
                  <w14:solidFill>
                    <w14:srgbClr w14:val="000000">
                      <w14:alpha w14:val="100000"/>
                    </w14:srgbClr>
                  </w14:solidFill>
                </w14:textFill>
              </w:rPr>
              <w:t>|</w:t>
            </w:r>
            <w:r w:rsidRPr="00276BCA">
              <w:rPr>
                <w:rFonts w:hint="eastAsia"/>
                <w:color w:val="000000"/>
                <w:spacing w:val="-15"/>
                <w:w w:val="15"/>
                <w:shd w:val="solid" w:color="000000" w:fill="000000"/>
                <w:fitText w:val="50" w:id="-694461177"/>
                <w14:textFill>
                  <w14:solidFill>
                    <w14:srgbClr w14:val="000000">
                      <w14:alpha w14:val="100000"/>
                    </w14:srgbClr>
                  </w14:solidFill>
                </w14:textFill>
              </w:rPr>
              <w:t xml:space="preserve">　</w:t>
            </w:r>
            <w:r w:rsidR="00CF62CC" w:rsidRPr="00276BCA">
              <w:rPr>
                <w:vertAlign w:val="superscript"/>
              </w:rPr>
              <w:t>3</w:t>
            </w:r>
          </w:p>
        </w:tc>
        <w:tc>
          <w:tcPr>
            <w:tcW w:w="622" w:type="pct"/>
            <w:vAlign w:val="center"/>
          </w:tcPr>
          <w:p w14:paraId="0AD3E86A" w14:textId="1A6AB379"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6"/>
                <w14:textFill>
                  <w14:solidFill>
                    <w14:srgbClr w14:val="000000">
                      <w14:alpha w14:val="100000"/>
                    </w14:srgbClr>
                  </w14:solidFill>
                </w14:textFill>
              </w:rPr>
              <w:t xml:space="preserve">　</w:t>
            </w:r>
            <w:r w:rsidRPr="00276BCA">
              <w:rPr>
                <w:color w:val="000000"/>
                <w:w w:val="15"/>
                <w:shd w:val="solid" w:color="000000" w:fill="000000"/>
                <w:fitText w:val="50" w:id="-694461176"/>
                <w14:textFill>
                  <w14:solidFill>
                    <w14:srgbClr w14:val="000000">
                      <w14:alpha w14:val="100000"/>
                    </w14:srgbClr>
                  </w14:solidFill>
                </w14:textFill>
              </w:rPr>
              <w:t>|</w:t>
            </w:r>
            <w:r w:rsidRPr="00276BCA">
              <w:rPr>
                <w:rFonts w:hint="eastAsia"/>
                <w:color w:val="000000"/>
                <w:spacing w:val="-15"/>
                <w:w w:val="15"/>
                <w:shd w:val="solid" w:color="000000" w:fill="000000"/>
                <w:fitText w:val="50" w:id="-694461176"/>
                <w14:textFill>
                  <w14:solidFill>
                    <w14:srgbClr w14:val="000000">
                      <w14:alpha w14:val="100000"/>
                    </w14:srgbClr>
                  </w14:solidFill>
                </w14:textFill>
              </w:rPr>
              <w:t xml:space="preserve">　</w:t>
            </w:r>
            <w:r w:rsidR="00CF62CC" w:rsidRPr="00276BCA">
              <w:rPr>
                <w:vertAlign w:val="superscript"/>
              </w:rPr>
              <w:t>3</w:t>
            </w:r>
          </w:p>
        </w:tc>
        <w:tc>
          <w:tcPr>
            <w:tcW w:w="623" w:type="pct"/>
            <w:vAlign w:val="center"/>
          </w:tcPr>
          <w:p w14:paraId="7E87D450" w14:textId="1EA4BB86"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5"/>
                <w14:textFill>
                  <w14:solidFill>
                    <w14:srgbClr w14:val="000000">
                      <w14:alpha w14:val="100000"/>
                    </w14:srgbClr>
                  </w14:solidFill>
                </w14:textFill>
              </w:rPr>
              <w:t xml:space="preserve">　</w:t>
            </w:r>
            <w:r w:rsidRPr="00276BCA">
              <w:rPr>
                <w:color w:val="000000"/>
                <w:w w:val="15"/>
                <w:shd w:val="solid" w:color="000000" w:fill="000000"/>
                <w:fitText w:val="50" w:id="-694461175"/>
                <w14:textFill>
                  <w14:solidFill>
                    <w14:srgbClr w14:val="000000">
                      <w14:alpha w14:val="100000"/>
                    </w14:srgbClr>
                  </w14:solidFill>
                </w14:textFill>
              </w:rPr>
              <w:t>|</w:t>
            </w:r>
            <w:r w:rsidRPr="00276BCA">
              <w:rPr>
                <w:rFonts w:hint="eastAsia"/>
                <w:color w:val="000000"/>
                <w:spacing w:val="-15"/>
                <w:w w:val="15"/>
                <w:shd w:val="solid" w:color="000000" w:fill="000000"/>
                <w:fitText w:val="50" w:id="-694461175"/>
                <w14:textFill>
                  <w14:solidFill>
                    <w14:srgbClr w14:val="000000">
                      <w14:alpha w14:val="100000"/>
                    </w14:srgbClr>
                  </w14:solidFill>
                </w14:textFill>
              </w:rPr>
              <w:t xml:space="preserve">　</w:t>
            </w:r>
            <w:r w:rsidR="00CF62CC" w:rsidRPr="00276BCA">
              <w:rPr>
                <w:vertAlign w:val="superscript"/>
              </w:rPr>
              <w:t>3</w:t>
            </w:r>
          </w:p>
        </w:tc>
      </w:tr>
      <w:tr w:rsidR="008969E8" w:rsidRPr="00276BCA" w14:paraId="2322B46B" w14:textId="77777777">
        <w:tc>
          <w:tcPr>
            <w:tcW w:w="5000" w:type="pct"/>
            <w:gridSpan w:val="7"/>
            <w:vAlign w:val="center"/>
          </w:tcPr>
          <w:p w14:paraId="7D899B96" w14:textId="77777777" w:rsidR="008969E8" w:rsidRPr="00276BCA" w:rsidRDefault="008969E8">
            <w:pPr>
              <w:pStyle w:val="TableText"/>
              <w:keepNext/>
              <w:keepLines/>
              <w:rPr>
                <w:b/>
              </w:rPr>
            </w:pPr>
            <w:r w:rsidRPr="00276BCA">
              <w:rPr>
                <w:b/>
              </w:rPr>
              <w:t xml:space="preserve">Estimated financial implications of </w:t>
            </w:r>
            <w:proofErr w:type="spellStart"/>
            <w:r w:rsidRPr="00276BCA">
              <w:rPr>
                <w:b/>
              </w:rPr>
              <w:t>zolbetuximab</w:t>
            </w:r>
            <w:proofErr w:type="spellEnd"/>
            <w:r w:rsidRPr="00276BCA">
              <w:rPr>
                <w:b/>
              </w:rPr>
              <w:t xml:space="preserve"> to the PBS/RPBS</w:t>
            </w:r>
          </w:p>
        </w:tc>
      </w:tr>
      <w:tr w:rsidR="008969E8" w:rsidRPr="00276BCA" w14:paraId="52024B73" w14:textId="77777777">
        <w:tc>
          <w:tcPr>
            <w:tcW w:w="1266" w:type="pct"/>
            <w:vAlign w:val="center"/>
          </w:tcPr>
          <w:p w14:paraId="05702825" w14:textId="77777777" w:rsidR="008969E8" w:rsidRPr="00276BCA" w:rsidRDefault="008969E8">
            <w:pPr>
              <w:pStyle w:val="TableText"/>
              <w:keepNext/>
              <w:keepLines/>
            </w:pPr>
            <w:r w:rsidRPr="00276BCA">
              <w:t>Cost to PBS/RPBS less copayments</w:t>
            </w:r>
          </w:p>
        </w:tc>
        <w:tc>
          <w:tcPr>
            <w:tcW w:w="622" w:type="pct"/>
            <w:vAlign w:val="center"/>
          </w:tcPr>
          <w:p w14:paraId="3AC0BA8E" w14:textId="50105277"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4"/>
                <w14:textFill>
                  <w14:solidFill>
                    <w14:srgbClr w14:val="000000">
                      <w14:alpha w14:val="100000"/>
                    </w14:srgbClr>
                  </w14:solidFill>
                </w14:textFill>
              </w:rPr>
              <w:t xml:space="preserve">　</w:t>
            </w:r>
            <w:r w:rsidRPr="00276BCA">
              <w:rPr>
                <w:color w:val="000000"/>
                <w:w w:val="15"/>
                <w:shd w:val="solid" w:color="000000" w:fill="000000"/>
                <w:fitText w:val="50" w:id="-694461174"/>
                <w14:textFill>
                  <w14:solidFill>
                    <w14:srgbClr w14:val="000000">
                      <w14:alpha w14:val="100000"/>
                    </w14:srgbClr>
                  </w14:solidFill>
                </w14:textFill>
              </w:rPr>
              <w:t>|</w:t>
            </w:r>
            <w:r w:rsidRPr="00276BCA">
              <w:rPr>
                <w:rFonts w:hint="eastAsia"/>
                <w:color w:val="000000"/>
                <w:spacing w:val="-15"/>
                <w:w w:val="15"/>
                <w:shd w:val="solid" w:color="000000" w:fill="000000"/>
                <w:fitText w:val="50" w:id="-694461174"/>
                <w14:textFill>
                  <w14:solidFill>
                    <w14:srgbClr w14:val="000000">
                      <w14:alpha w14:val="100000"/>
                    </w14:srgbClr>
                  </w14:solidFill>
                </w14:textFill>
              </w:rPr>
              <w:t xml:space="preserve">　</w:t>
            </w:r>
            <w:r w:rsidR="00DE26C7" w:rsidRPr="00276BCA">
              <w:rPr>
                <w:vertAlign w:val="superscript"/>
              </w:rPr>
              <w:t>4</w:t>
            </w:r>
          </w:p>
        </w:tc>
        <w:tc>
          <w:tcPr>
            <w:tcW w:w="622" w:type="pct"/>
            <w:vAlign w:val="center"/>
          </w:tcPr>
          <w:p w14:paraId="0EC1AC63" w14:textId="1728131D"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3"/>
                <w14:textFill>
                  <w14:solidFill>
                    <w14:srgbClr w14:val="000000">
                      <w14:alpha w14:val="100000"/>
                    </w14:srgbClr>
                  </w14:solidFill>
                </w14:textFill>
              </w:rPr>
              <w:t xml:space="preserve">　</w:t>
            </w:r>
            <w:r w:rsidRPr="00276BCA">
              <w:rPr>
                <w:color w:val="000000"/>
                <w:w w:val="15"/>
                <w:shd w:val="solid" w:color="000000" w:fill="000000"/>
                <w:fitText w:val="50" w:id="-694461173"/>
                <w14:textFill>
                  <w14:solidFill>
                    <w14:srgbClr w14:val="000000">
                      <w14:alpha w14:val="100000"/>
                    </w14:srgbClr>
                  </w14:solidFill>
                </w14:textFill>
              </w:rPr>
              <w:t>|</w:t>
            </w:r>
            <w:r w:rsidRPr="00276BCA">
              <w:rPr>
                <w:rFonts w:hint="eastAsia"/>
                <w:color w:val="000000"/>
                <w:spacing w:val="-15"/>
                <w:w w:val="15"/>
                <w:shd w:val="solid" w:color="000000" w:fill="000000"/>
                <w:fitText w:val="50" w:id="-694461173"/>
                <w14:textFill>
                  <w14:solidFill>
                    <w14:srgbClr w14:val="000000">
                      <w14:alpha w14:val="100000"/>
                    </w14:srgbClr>
                  </w14:solidFill>
                </w14:textFill>
              </w:rPr>
              <w:t xml:space="preserve">　</w:t>
            </w:r>
            <w:r w:rsidR="00DE26C7" w:rsidRPr="00276BCA">
              <w:rPr>
                <w:vertAlign w:val="superscript"/>
              </w:rPr>
              <w:t>4</w:t>
            </w:r>
          </w:p>
        </w:tc>
        <w:tc>
          <w:tcPr>
            <w:tcW w:w="623" w:type="pct"/>
            <w:vAlign w:val="center"/>
          </w:tcPr>
          <w:p w14:paraId="36FEFA6D" w14:textId="6CFDF48D"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2"/>
                <w14:textFill>
                  <w14:solidFill>
                    <w14:srgbClr w14:val="000000">
                      <w14:alpha w14:val="100000"/>
                    </w14:srgbClr>
                  </w14:solidFill>
                </w14:textFill>
              </w:rPr>
              <w:t xml:space="preserve">　</w:t>
            </w:r>
            <w:r w:rsidRPr="00276BCA">
              <w:rPr>
                <w:color w:val="000000"/>
                <w:w w:val="15"/>
                <w:shd w:val="solid" w:color="000000" w:fill="000000"/>
                <w:fitText w:val="50" w:id="-694461172"/>
                <w14:textFill>
                  <w14:solidFill>
                    <w14:srgbClr w14:val="000000">
                      <w14:alpha w14:val="100000"/>
                    </w14:srgbClr>
                  </w14:solidFill>
                </w14:textFill>
              </w:rPr>
              <w:t>|</w:t>
            </w:r>
            <w:r w:rsidRPr="00276BCA">
              <w:rPr>
                <w:rFonts w:hint="eastAsia"/>
                <w:color w:val="000000"/>
                <w:spacing w:val="-15"/>
                <w:w w:val="15"/>
                <w:shd w:val="solid" w:color="000000" w:fill="000000"/>
                <w:fitText w:val="50" w:id="-694461172"/>
                <w14:textFill>
                  <w14:solidFill>
                    <w14:srgbClr w14:val="000000">
                      <w14:alpha w14:val="100000"/>
                    </w14:srgbClr>
                  </w14:solidFill>
                </w14:textFill>
              </w:rPr>
              <w:t xml:space="preserve">　</w:t>
            </w:r>
            <w:r w:rsidR="00FA6953" w:rsidRPr="00276BCA">
              <w:rPr>
                <w:vertAlign w:val="superscript"/>
              </w:rPr>
              <w:t>4</w:t>
            </w:r>
          </w:p>
        </w:tc>
        <w:tc>
          <w:tcPr>
            <w:tcW w:w="622" w:type="pct"/>
            <w:vAlign w:val="center"/>
          </w:tcPr>
          <w:p w14:paraId="6EDA04BB" w14:textId="28EBC639"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1"/>
                <w14:textFill>
                  <w14:solidFill>
                    <w14:srgbClr w14:val="000000">
                      <w14:alpha w14:val="100000"/>
                    </w14:srgbClr>
                  </w14:solidFill>
                </w14:textFill>
              </w:rPr>
              <w:t xml:space="preserve">　</w:t>
            </w:r>
            <w:r w:rsidRPr="00276BCA">
              <w:rPr>
                <w:color w:val="000000"/>
                <w:w w:val="15"/>
                <w:shd w:val="solid" w:color="000000" w:fill="000000"/>
                <w:fitText w:val="50" w:id="-694461171"/>
                <w14:textFill>
                  <w14:solidFill>
                    <w14:srgbClr w14:val="000000">
                      <w14:alpha w14:val="100000"/>
                    </w14:srgbClr>
                  </w14:solidFill>
                </w14:textFill>
              </w:rPr>
              <w:t>|</w:t>
            </w:r>
            <w:r w:rsidRPr="00276BCA">
              <w:rPr>
                <w:rFonts w:hint="eastAsia"/>
                <w:color w:val="000000"/>
                <w:spacing w:val="-15"/>
                <w:w w:val="15"/>
                <w:shd w:val="solid" w:color="000000" w:fill="000000"/>
                <w:fitText w:val="50" w:id="-694461171"/>
                <w14:textFill>
                  <w14:solidFill>
                    <w14:srgbClr w14:val="000000">
                      <w14:alpha w14:val="100000"/>
                    </w14:srgbClr>
                  </w14:solidFill>
                </w14:textFill>
              </w:rPr>
              <w:t xml:space="preserve">　</w:t>
            </w:r>
            <w:r w:rsidR="00FA6953" w:rsidRPr="00276BCA">
              <w:rPr>
                <w:vertAlign w:val="superscript"/>
              </w:rPr>
              <w:t>5</w:t>
            </w:r>
          </w:p>
        </w:tc>
        <w:tc>
          <w:tcPr>
            <w:tcW w:w="622" w:type="pct"/>
            <w:vAlign w:val="center"/>
          </w:tcPr>
          <w:p w14:paraId="3CF471AB" w14:textId="3DCF2CE0"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0"/>
                <w14:textFill>
                  <w14:solidFill>
                    <w14:srgbClr w14:val="000000">
                      <w14:alpha w14:val="100000"/>
                    </w14:srgbClr>
                  </w14:solidFill>
                </w14:textFill>
              </w:rPr>
              <w:t xml:space="preserve">　</w:t>
            </w:r>
            <w:r w:rsidRPr="00276BCA">
              <w:rPr>
                <w:color w:val="000000"/>
                <w:w w:val="15"/>
                <w:shd w:val="solid" w:color="000000" w:fill="000000"/>
                <w:fitText w:val="50" w:id="-694461170"/>
                <w14:textFill>
                  <w14:solidFill>
                    <w14:srgbClr w14:val="000000">
                      <w14:alpha w14:val="100000"/>
                    </w14:srgbClr>
                  </w14:solidFill>
                </w14:textFill>
              </w:rPr>
              <w:t>|</w:t>
            </w:r>
            <w:r w:rsidRPr="00276BCA">
              <w:rPr>
                <w:rFonts w:hint="eastAsia"/>
                <w:color w:val="000000"/>
                <w:spacing w:val="-15"/>
                <w:w w:val="15"/>
                <w:shd w:val="solid" w:color="000000" w:fill="000000"/>
                <w:fitText w:val="50" w:id="-694461170"/>
                <w14:textFill>
                  <w14:solidFill>
                    <w14:srgbClr w14:val="000000">
                      <w14:alpha w14:val="100000"/>
                    </w14:srgbClr>
                  </w14:solidFill>
                </w14:textFill>
              </w:rPr>
              <w:t xml:space="preserve">　</w:t>
            </w:r>
            <w:r w:rsidR="00FA6953" w:rsidRPr="00276BCA">
              <w:rPr>
                <w:vertAlign w:val="superscript"/>
              </w:rPr>
              <w:t>5</w:t>
            </w:r>
          </w:p>
        </w:tc>
        <w:tc>
          <w:tcPr>
            <w:tcW w:w="623" w:type="pct"/>
            <w:vAlign w:val="center"/>
          </w:tcPr>
          <w:p w14:paraId="08B99127" w14:textId="1B7B21AE"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69"/>
                <w14:textFill>
                  <w14:solidFill>
                    <w14:srgbClr w14:val="000000">
                      <w14:alpha w14:val="100000"/>
                    </w14:srgbClr>
                  </w14:solidFill>
                </w14:textFill>
              </w:rPr>
              <w:t xml:space="preserve">　</w:t>
            </w:r>
            <w:r w:rsidRPr="00276BCA">
              <w:rPr>
                <w:color w:val="000000"/>
                <w:w w:val="15"/>
                <w:shd w:val="solid" w:color="000000" w:fill="000000"/>
                <w:fitText w:val="50" w:id="-694461169"/>
                <w14:textFill>
                  <w14:solidFill>
                    <w14:srgbClr w14:val="000000">
                      <w14:alpha w14:val="100000"/>
                    </w14:srgbClr>
                  </w14:solidFill>
                </w14:textFill>
              </w:rPr>
              <w:t>|</w:t>
            </w:r>
            <w:r w:rsidRPr="00276BCA">
              <w:rPr>
                <w:rFonts w:hint="eastAsia"/>
                <w:color w:val="000000"/>
                <w:spacing w:val="-15"/>
                <w:w w:val="15"/>
                <w:shd w:val="solid" w:color="000000" w:fill="000000"/>
                <w:fitText w:val="50" w:id="-694461169"/>
                <w14:textFill>
                  <w14:solidFill>
                    <w14:srgbClr w14:val="000000">
                      <w14:alpha w14:val="100000"/>
                    </w14:srgbClr>
                  </w14:solidFill>
                </w14:textFill>
              </w:rPr>
              <w:t xml:space="preserve">　</w:t>
            </w:r>
            <w:r w:rsidR="00FA6953" w:rsidRPr="00276BCA">
              <w:rPr>
                <w:vertAlign w:val="superscript"/>
              </w:rPr>
              <w:t>5</w:t>
            </w:r>
          </w:p>
        </w:tc>
      </w:tr>
      <w:tr w:rsidR="008969E8" w:rsidRPr="00276BCA" w14:paraId="4714399B" w14:textId="77777777">
        <w:tc>
          <w:tcPr>
            <w:tcW w:w="5000" w:type="pct"/>
            <w:gridSpan w:val="7"/>
            <w:vAlign w:val="center"/>
          </w:tcPr>
          <w:p w14:paraId="78B807E8" w14:textId="77777777" w:rsidR="008969E8" w:rsidRPr="00276BCA" w:rsidRDefault="008969E8">
            <w:pPr>
              <w:pStyle w:val="TableText"/>
              <w:keepNext/>
              <w:keepLines/>
              <w:rPr>
                <w:b/>
              </w:rPr>
            </w:pPr>
            <w:r w:rsidRPr="00276BCA">
              <w:rPr>
                <w:b/>
              </w:rPr>
              <w:t>Estimated financial implications for nivolumab</w:t>
            </w:r>
          </w:p>
        </w:tc>
      </w:tr>
      <w:tr w:rsidR="008969E8" w:rsidRPr="00276BCA" w14:paraId="7CE3772D" w14:textId="77777777">
        <w:tc>
          <w:tcPr>
            <w:tcW w:w="1266" w:type="pct"/>
            <w:vAlign w:val="center"/>
          </w:tcPr>
          <w:p w14:paraId="6DF2BF8E" w14:textId="77777777" w:rsidR="008969E8" w:rsidRPr="00276BCA" w:rsidRDefault="008969E8">
            <w:pPr>
              <w:pStyle w:val="TableText"/>
              <w:keepNext/>
              <w:keepLines/>
            </w:pPr>
            <w:r w:rsidRPr="00276BCA">
              <w:t>Cost to PBS/RPBS less copayments</w:t>
            </w:r>
          </w:p>
        </w:tc>
        <w:tc>
          <w:tcPr>
            <w:tcW w:w="622" w:type="pct"/>
            <w:vAlign w:val="center"/>
          </w:tcPr>
          <w:p w14:paraId="14AB9909" w14:textId="09345729"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68"/>
                <w14:textFill>
                  <w14:solidFill>
                    <w14:srgbClr w14:val="000000">
                      <w14:alpha w14:val="100000"/>
                    </w14:srgbClr>
                  </w14:solidFill>
                </w14:textFill>
              </w:rPr>
              <w:t xml:space="preserve">　</w:t>
            </w:r>
            <w:r w:rsidRPr="00276BCA">
              <w:rPr>
                <w:color w:val="000000"/>
                <w:w w:val="15"/>
                <w:shd w:val="solid" w:color="000000" w:fill="000000"/>
                <w:fitText w:val="50" w:id="-694461168"/>
                <w14:textFill>
                  <w14:solidFill>
                    <w14:srgbClr w14:val="000000">
                      <w14:alpha w14:val="100000"/>
                    </w14:srgbClr>
                  </w14:solidFill>
                </w14:textFill>
              </w:rPr>
              <w:t>|</w:t>
            </w:r>
            <w:r w:rsidRPr="00276BCA">
              <w:rPr>
                <w:rFonts w:hint="eastAsia"/>
                <w:color w:val="000000"/>
                <w:spacing w:val="-15"/>
                <w:w w:val="15"/>
                <w:shd w:val="solid" w:color="000000" w:fill="000000"/>
                <w:fitText w:val="50" w:id="-694461168"/>
                <w14:textFill>
                  <w14:solidFill>
                    <w14:srgbClr w14:val="000000">
                      <w14:alpha w14:val="100000"/>
                    </w14:srgbClr>
                  </w14:solidFill>
                </w14:textFill>
              </w:rPr>
              <w:t xml:space="preserve">　</w:t>
            </w:r>
            <w:r w:rsidR="00F832CA" w:rsidRPr="00276BCA">
              <w:rPr>
                <w:vertAlign w:val="superscript"/>
              </w:rPr>
              <w:t>6</w:t>
            </w:r>
          </w:p>
        </w:tc>
        <w:tc>
          <w:tcPr>
            <w:tcW w:w="622" w:type="pct"/>
            <w:vAlign w:val="center"/>
          </w:tcPr>
          <w:p w14:paraId="161A97DC" w14:textId="594D77A9"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84"/>
                <w14:textFill>
                  <w14:solidFill>
                    <w14:srgbClr w14:val="000000">
                      <w14:alpha w14:val="100000"/>
                    </w14:srgbClr>
                  </w14:solidFill>
                </w14:textFill>
              </w:rPr>
              <w:t xml:space="preserve">　</w:t>
            </w:r>
            <w:r w:rsidRPr="00276BCA">
              <w:rPr>
                <w:color w:val="000000"/>
                <w:w w:val="15"/>
                <w:shd w:val="solid" w:color="000000" w:fill="000000"/>
                <w:fitText w:val="50" w:id="-694461184"/>
                <w14:textFill>
                  <w14:solidFill>
                    <w14:srgbClr w14:val="000000">
                      <w14:alpha w14:val="100000"/>
                    </w14:srgbClr>
                  </w14:solidFill>
                </w14:textFill>
              </w:rPr>
              <w:t>|</w:t>
            </w:r>
            <w:r w:rsidRPr="00276BCA">
              <w:rPr>
                <w:rFonts w:hint="eastAsia"/>
                <w:color w:val="000000"/>
                <w:spacing w:val="-15"/>
                <w:w w:val="15"/>
                <w:shd w:val="solid" w:color="000000" w:fill="000000"/>
                <w:fitText w:val="50" w:id="-694461184"/>
                <w14:textFill>
                  <w14:solidFill>
                    <w14:srgbClr w14:val="000000">
                      <w14:alpha w14:val="100000"/>
                    </w14:srgbClr>
                  </w14:solidFill>
                </w14:textFill>
              </w:rPr>
              <w:t xml:space="preserve">　</w:t>
            </w:r>
            <w:r w:rsidR="00F832CA" w:rsidRPr="00276BCA">
              <w:rPr>
                <w:vertAlign w:val="superscript"/>
              </w:rPr>
              <w:t>6</w:t>
            </w:r>
          </w:p>
        </w:tc>
        <w:tc>
          <w:tcPr>
            <w:tcW w:w="623" w:type="pct"/>
            <w:vAlign w:val="center"/>
          </w:tcPr>
          <w:p w14:paraId="15407F22" w14:textId="630FCD24"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83"/>
                <w14:textFill>
                  <w14:solidFill>
                    <w14:srgbClr w14:val="000000">
                      <w14:alpha w14:val="100000"/>
                    </w14:srgbClr>
                  </w14:solidFill>
                </w14:textFill>
              </w:rPr>
              <w:t xml:space="preserve">　</w:t>
            </w:r>
            <w:r w:rsidRPr="00276BCA">
              <w:rPr>
                <w:color w:val="000000"/>
                <w:w w:val="15"/>
                <w:shd w:val="solid" w:color="000000" w:fill="000000"/>
                <w:fitText w:val="50" w:id="-694461183"/>
                <w14:textFill>
                  <w14:solidFill>
                    <w14:srgbClr w14:val="000000">
                      <w14:alpha w14:val="100000"/>
                    </w14:srgbClr>
                  </w14:solidFill>
                </w14:textFill>
              </w:rPr>
              <w:t>|</w:t>
            </w:r>
            <w:r w:rsidRPr="00276BCA">
              <w:rPr>
                <w:rFonts w:hint="eastAsia"/>
                <w:color w:val="000000"/>
                <w:spacing w:val="-15"/>
                <w:w w:val="15"/>
                <w:shd w:val="solid" w:color="000000" w:fill="000000"/>
                <w:fitText w:val="50" w:id="-694461183"/>
                <w14:textFill>
                  <w14:solidFill>
                    <w14:srgbClr w14:val="000000">
                      <w14:alpha w14:val="100000"/>
                    </w14:srgbClr>
                  </w14:solidFill>
                </w14:textFill>
              </w:rPr>
              <w:t xml:space="preserve">　</w:t>
            </w:r>
            <w:r w:rsidR="00F832CA" w:rsidRPr="00276BCA">
              <w:rPr>
                <w:vertAlign w:val="superscript"/>
              </w:rPr>
              <w:t>6</w:t>
            </w:r>
          </w:p>
        </w:tc>
        <w:tc>
          <w:tcPr>
            <w:tcW w:w="622" w:type="pct"/>
            <w:vAlign w:val="center"/>
          </w:tcPr>
          <w:p w14:paraId="6659F545" w14:textId="18AE36EA"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82"/>
                <w14:textFill>
                  <w14:solidFill>
                    <w14:srgbClr w14:val="000000">
                      <w14:alpha w14:val="100000"/>
                    </w14:srgbClr>
                  </w14:solidFill>
                </w14:textFill>
              </w:rPr>
              <w:t xml:space="preserve">　</w:t>
            </w:r>
            <w:r w:rsidRPr="00276BCA">
              <w:rPr>
                <w:color w:val="000000"/>
                <w:w w:val="15"/>
                <w:shd w:val="solid" w:color="000000" w:fill="000000"/>
                <w:fitText w:val="50" w:id="-694461182"/>
                <w14:textFill>
                  <w14:solidFill>
                    <w14:srgbClr w14:val="000000">
                      <w14:alpha w14:val="100000"/>
                    </w14:srgbClr>
                  </w14:solidFill>
                </w14:textFill>
              </w:rPr>
              <w:t>|</w:t>
            </w:r>
            <w:r w:rsidRPr="00276BCA">
              <w:rPr>
                <w:rFonts w:hint="eastAsia"/>
                <w:color w:val="000000"/>
                <w:spacing w:val="-15"/>
                <w:w w:val="15"/>
                <w:shd w:val="solid" w:color="000000" w:fill="000000"/>
                <w:fitText w:val="50" w:id="-694461182"/>
                <w14:textFill>
                  <w14:solidFill>
                    <w14:srgbClr w14:val="000000">
                      <w14:alpha w14:val="100000"/>
                    </w14:srgbClr>
                  </w14:solidFill>
                </w14:textFill>
              </w:rPr>
              <w:t xml:space="preserve">　</w:t>
            </w:r>
            <w:r w:rsidR="00F832CA" w:rsidRPr="00276BCA">
              <w:rPr>
                <w:vertAlign w:val="superscript"/>
              </w:rPr>
              <w:t>6</w:t>
            </w:r>
          </w:p>
        </w:tc>
        <w:tc>
          <w:tcPr>
            <w:tcW w:w="622" w:type="pct"/>
            <w:vAlign w:val="center"/>
          </w:tcPr>
          <w:p w14:paraId="24234191" w14:textId="6683C1F7"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81"/>
                <w14:textFill>
                  <w14:solidFill>
                    <w14:srgbClr w14:val="000000">
                      <w14:alpha w14:val="100000"/>
                    </w14:srgbClr>
                  </w14:solidFill>
                </w14:textFill>
              </w:rPr>
              <w:t xml:space="preserve">　</w:t>
            </w:r>
            <w:r w:rsidRPr="00276BCA">
              <w:rPr>
                <w:color w:val="000000"/>
                <w:w w:val="15"/>
                <w:shd w:val="solid" w:color="000000" w:fill="000000"/>
                <w:fitText w:val="50" w:id="-694461181"/>
                <w14:textFill>
                  <w14:solidFill>
                    <w14:srgbClr w14:val="000000">
                      <w14:alpha w14:val="100000"/>
                    </w14:srgbClr>
                  </w14:solidFill>
                </w14:textFill>
              </w:rPr>
              <w:t>|</w:t>
            </w:r>
            <w:r w:rsidRPr="00276BCA">
              <w:rPr>
                <w:rFonts w:hint="eastAsia"/>
                <w:color w:val="000000"/>
                <w:spacing w:val="-15"/>
                <w:w w:val="15"/>
                <w:shd w:val="solid" w:color="000000" w:fill="000000"/>
                <w:fitText w:val="50" w:id="-694461181"/>
                <w14:textFill>
                  <w14:solidFill>
                    <w14:srgbClr w14:val="000000">
                      <w14:alpha w14:val="100000"/>
                    </w14:srgbClr>
                  </w14:solidFill>
                </w14:textFill>
              </w:rPr>
              <w:t xml:space="preserve">　</w:t>
            </w:r>
            <w:r w:rsidR="00F832CA" w:rsidRPr="00276BCA">
              <w:rPr>
                <w:vertAlign w:val="superscript"/>
              </w:rPr>
              <w:t>6</w:t>
            </w:r>
          </w:p>
        </w:tc>
        <w:tc>
          <w:tcPr>
            <w:tcW w:w="623" w:type="pct"/>
            <w:vAlign w:val="center"/>
          </w:tcPr>
          <w:p w14:paraId="779727EC" w14:textId="1E87327D"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80"/>
                <w14:textFill>
                  <w14:solidFill>
                    <w14:srgbClr w14:val="000000">
                      <w14:alpha w14:val="100000"/>
                    </w14:srgbClr>
                  </w14:solidFill>
                </w14:textFill>
              </w:rPr>
              <w:t xml:space="preserve">　</w:t>
            </w:r>
            <w:r w:rsidRPr="00276BCA">
              <w:rPr>
                <w:color w:val="000000"/>
                <w:w w:val="15"/>
                <w:shd w:val="solid" w:color="000000" w:fill="000000"/>
                <w:fitText w:val="50" w:id="-694461180"/>
                <w14:textFill>
                  <w14:solidFill>
                    <w14:srgbClr w14:val="000000">
                      <w14:alpha w14:val="100000"/>
                    </w14:srgbClr>
                  </w14:solidFill>
                </w14:textFill>
              </w:rPr>
              <w:t>|</w:t>
            </w:r>
            <w:r w:rsidRPr="00276BCA">
              <w:rPr>
                <w:rFonts w:hint="eastAsia"/>
                <w:color w:val="000000"/>
                <w:spacing w:val="-15"/>
                <w:w w:val="15"/>
                <w:shd w:val="solid" w:color="000000" w:fill="000000"/>
                <w:fitText w:val="50" w:id="-694461180"/>
                <w14:textFill>
                  <w14:solidFill>
                    <w14:srgbClr w14:val="000000">
                      <w14:alpha w14:val="100000"/>
                    </w14:srgbClr>
                  </w14:solidFill>
                </w14:textFill>
              </w:rPr>
              <w:t xml:space="preserve">　</w:t>
            </w:r>
            <w:r w:rsidR="00F832CA" w:rsidRPr="00276BCA">
              <w:rPr>
                <w:vertAlign w:val="superscript"/>
              </w:rPr>
              <w:t>6</w:t>
            </w:r>
          </w:p>
        </w:tc>
      </w:tr>
      <w:tr w:rsidR="008969E8" w:rsidRPr="00276BCA" w14:paraId="2479F90B" w14:textId="77777777">
        <w:tc>
          <w:tcPr>
            <w:tcW w:w="5000" w:type="pct"/>
            <w:gridSpan w:val="7"/>
            <w:vAlign w:val="center"/>
          </w:tcPr>
          <w:p w14:paraId="3D5FEFA9" w14:textId="77777777" w:rsidR="008969E8" w:rsidRPr="00276BCA" w:rsidRDefault="008969E8">
            <w:pPr>
              <w:pStyle w:val="TableText"/>
              <w:keepNext/>
              <w:keepLines/>
              <w:rPr>
                <w:b/>
              </w:rPr>
            </w:pPr>
            <w:r w:rsidRPr="00276BCA">
              <w:rPr>
                <w:b/>
              </w:rPr>
              <w:t xml:space="preserve">Net financial implications </w:t>
            </w:r>
          </w:p>
        </w:tc>
      </w:tr>
      <w:tr w:rsidR="008969E8" w:rsidRPr="00276BCA" w14:paraId="4D63A079" w14:textId="77777777">
        <w:tc>
          <w:tcPr>
            <w:tcW w:w="1266" w:type="pct"/>
            <w:vAlign w:val="center"/>
          </w:tcPr>
          <w:p w14:paraId="7653DBE2" w14:textId="77777777" w:rsidR="008969E8" w:rsidRPr="00276BCA" w:rsidRDefault="008969E8">
            <w:pPr>
              <w:pStyle w:val="TableText"/>
              <w:keepNext/>
              <w:keepLines/>
            </w:pPr>
            <w:r w:rsidRPr="00276BCA">
              <w:t>Net cost to PBS/RPBS</w:t>
            </w:r>
          </w:p>
        </w:tc>
        <w:tc>
          <w:tcPr>
            <w:tcW w:w="622" w:type="pct"/>
          </w:tcPr>
          <w:p w14:paraId="0A27527C" w14:textId="12F02C6A"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9"/>
                <w14:textFill>
                  <w14:solidFill>
                    <w14:srgbClr w14:val="000000">
                      <w14:alpha w14:val="100000"/>
                    </w14:srgbClr>
                  </w14:solidFill>
                </w14:textFill>
              </w:rPr>
              <w:t xml:space="preserve">　</w:t>
            </w:r>
            <w:r w:rsidRPr="00276BCA">
              <w:rPr>
                <w:color w:val="000000"/>
                <w:w w:val="15"/>
                <w:shd w:val="solid" w:color="000000" w:fill="000000"/>
                <w:fitText w:val="50" w:id="-694461179"/>
                <w14:textFill>
                  <w14:solidFill>
                    <w14:srgbClr w14:val="000000">
                      <w14:alpha w14:val="100000"/>
                    </w14:srgbClr>
                  </w14:solidFill>
                </w14:textFill>
              </w:rPr>
              <w:t>|</w:t>
            </w:r>
            <w:r w:rsidRPr="00276BCA">
              <w:rPr>
                <w:rFonts w:hint="eastAsia"/>
                <w:color w:val="000000"/>
                <w:spacing w:val="-15"/>
                <w:w w:val="15"/>
                <w:shd w:val="solid" w:color="000000" w:fill="000000"/>
                <w:fitText w:val="50" w:id="-694461179"/>
                <w14:textFill>
                  <w14:solidFill>
                    <w14:srgbClr w14:val="000000">
                      <w14:alpha w14:val="100000"/>
                    </w14:srgbClr>
                  </w14:solidFill>
                </w14:textFill>
              </w:rPr>
              <w:t xml:space="preserve">　</w:t>
            </w:r>
            <w:r w:rsidR="00762C7A" w:rsidRPr="00276BCA">
              <w:rPr>
                <w:vertAlign w:val="superscript"/>
              </w:rPr>
              <w:t>7</w:t>
            </w:r>
          </w:p>
        </w:tc>
        <w:tc>
          <w:tcPr>
            <w:tcW w:w="622" w:type="pct"/>
          </w:tcPr>
          <w:p w14:paraId="21940962" w14:textId="16796B16"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8"/>
                <w14:textFill>
                  <w14:solidFill>
                    <w14:srgbClr w14:val="000000">
                      <w14:alpha w14:val="100000"/>
                    </w14:srgbClr>
                  </w14:solidFill>
                </w14:textFill>
              </w:rPr>
              <w:t xml:space="preserve">　</w:t>
            </w:r>
            <w:r w:rsidRPr="00276BCA">
              <w:rPr>
                <w:color w:val="000000"/>
                <w:w w:val="15"/>
                <w:shd w:val="solid" w:color="000000" w:fill="000000"/>
                <w:fitText w:val="50" w:id="-694461178"/>
                <w14:textFill>
                  <w14:solidFill>
                    <w14:srgbClr w14:val="000000">
                      <w14:alpha w14:val="100000"/>
                    </w14:srgbClr>
                  </w14:solidFill>
                </w14:textFill>
              </w:rPr>
              <w:t>|</w:t>
            </w:r>
            <w:r w:rsidRPr="00276BCA">
              <w:rPr>
                <w:rFonts w:hint="eastAsia"/>
                <w:color w:val="000000"/>
                <w:spacing w:val="-15"/>
                <w:w w:val="15"/>
                <w:shd w:val="solid" w:color="000000" w:fill="000000"/>
                <w:fitText w:val="50" w:id="-694461178"/>
                <w14:textFill>
                  <w14:solidFill>
                    <w14:srgbClr w14:val="000000">
                      <w14:alpha w14:val="100000"/>
                    </w14:srgbClr>
                  </w14:solidFill>
                </w14:textFill>
              </w:rPr>
              <w:t xml:space="preserve">　</w:t>
            </w:r>
            <w:r w:rsidR="00762C7A" w:rsidRPr="00276BCA">
              <w:rPr>
                <w:vertAlign w:val="superscript"/>
              </w:rPr>
              <w:t>7</w:t>
            </w:r>
          </w:p>
        </w:tc>
        <w:tc>
          <w:tcPr>
            <w:tcW w:w="623" w:type="pct"/>
          </w:tcPr>
          <w:p w14:paraId="4738C021" w14:textId="55A9F8EE"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7"/>
                <w14:textFill>
                  <w14:solidFill>
                    <w14:srgbClr w14:val="000000">
                      <w14:alpha w14:val="100000"/>
                    </w14:srgbClr>
                  </w14:solidFill>
                </w14:textFill>
              </w:rPr>
              <w:t xml:space="preserve">　</w:t>
            </w:r>
            <w:r w:rsidRPr="00276BCA">
              <w:rPr>
                <w:color w:val="000000"/>
                <w:w w:val="15"/>
                <w:shd w:val="solid" w:color="000000" w:fill="000000"/>
                <w:fitText w:val="50" w:id="-694461177"/>
                <w14:textFill>
                  <w14:solidFill>
                    <w14:srgbClr w14:val="000000">
                      <w14:alpha w14:val="100000"/>
                    </w14:srgbClr>
                  </w14:solidFill>
                </w14:textFill>
              </w:rPr>
              <w:t>|</w:t>
            </w:r>
            <w:r w:rsidRPr="00276BCA">
              <w:rPr>
                <w:rFonts w:hint="eastAsia"/>
                <w:color w:val="000000"/>
                <w:spacing w:val="-15"/>
                <w:w w:val="15"/>
                <w:shd w:val="solid" w:color="000000" w:fill="000000"/>
                <w:fitText w:val="50" w:id="-694461177"/>
                <w14:textFill>
                  <w14:solidFill>
                    <w14:srgbClr w14:val="000000">
                      <w14:alpha w14:val="100000"/>
                    </w14:srgbClr>
                  </w14:solidFill>
                </w14:textFill>
              </w:rPr>
              <w:t xml:space="preserve">　</w:t>
            </w:r>
            <w:r w:rsidR="00762C7A" w:rsidRPr="00276BCA">
              <w:rPr>
                <w:vertAlign w:val="superscript"/>
              </w:rPr>
              <w:t>7</w:t>
            </w:r>
          </w:p>
        </w:tc>
        <w:tc>
          <w:tcPr>
            <w:tcW w:w="622" w:type="pct"/>
          </w:tcPr>
          <w:p w14:paraId="672F8F6C" w14:textId="6D21E013"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6"/>
                <w14:textFill>
                  <w14:solidFill>
                    <w14:srgbClr w14:val="000000">
                      <w14:alpha w14:val="100000"/>
                    </w14:srgbClr>
                  </w14:solidFill>
                </w14:textFill>
              </w:rPr>
              <w:t xml:space="preserve">　</w:t>
            </w:r>
            <w:r w:rsidRPr="00276BCA">
              <w:rPr>
                <w:color w:val="000000"/>
                <w:w w:val="15"/>
                <w:shd w:val="solid" w:color="000000" w:fill="000000"/>
                <w:fitText w:val="50" w:id="-694461176"/>
                <w14:textFill>
                  <w14:solidFill>
                    <w14:srgbClr w14:val="000000">
                      <w14:alpha w14:val="100000"/>
                    </w14:srgbClr>
                  </w14:solidFill>
                </w14:textFill>
              </w:rPr>
              <w:t>|</w:t>
            </w:r>
            <w:r w:rsidRPr="00276BCA">
              <w:rPr>
                <w:rFonts w:hint="eastAsia"/>
                <w:color w:val="000000"/>
                <w:spacing w:val="-15"/>
                <w:w w:val="15"/>
                <w:shd w:val="solid" w:color="000000" w:fill="000000"/>
                <w:fitText w:val="50" w:id="-694461176"/>
                <w14:textFill>
                  <w14:solidFill>
                    <w14:srgbClr w14:val="000000">
                      <w14:alpha w14:val="100000"/>
                    </w14:srgbClr>
                  </w14:solidFill>
                </w14:textFill>
              </w:rPr>
              <w:t xml:space="preserve">　</w:t>
            </w:r>
            <w:r w:rsidR="00762C7A" w:rsidRPr="00276BCA">
              <w:rPr>
                <w:vertAlign w:val="superscript"/>
              </w:rPr>
              <w:t>7</w:t>
            </w:r>
          </w:p>
        </w:tc>
        <w:tc>
          <w:tcPr>
            <w:tcW w:w="622" w:type="pct"/>
          </w:tcPr>
          <w:p w14:paraId="269E0F7B" w14:textId="22DB6C4B"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5"/>
                <w14:textFill>
                  <w14:solidFill>
                    <w14:srgbClr w14:val="000000">
                      <w14:alpha w14:val="100000"/>
                    </w14:srgbClr>
                  </w14:solidFill>
                </w14:textFill>
              </w:rPr>
              <w:t xml:space="preserve">　</w:t>
            </w:r>
            <w:r w:rsidRPr="00276BCA">
              <w:rPr>
                <w:color w:val="000000"/>
                <w:w w:val="15"/>
                <w:shd w:val="solid" w:color="000000" w:fill="000000"/>
                <w:fitText w:val="50" w:id="-694461175"/>
                <w14:textFill>
                  <w14:solidFill>
                    <w14:srgbClr w14:val="000000">
                      <w14:alpha w14:val="100000"/>
                    </w14:srgbClr>
                  </w14:solidFill>
                </w14:textFill>
              </w:rPr>
              <w:t>|</w:t>
            </w:r>
            <w:r w:rsidRPr="00276BCA">
              <w:rPr>
                <w:rFonts w:hint="eastAsia"/>
                <w:color w:val="000000"/>
                <w:spacing w:val="-15"/>
                <w:w w:val="15"/>
                <w:shd w:val="solid" w:color="000000" w:fill="000000"/>
                <w:fitText w:val="50" w:id="-694461175"/>
                <w14:textFill>
                  <w14:solidFill>
                    <w14:srgbClr w14:val="000000">
                      <w14:alpha w14:val="100000"/>
                    </w14:srgbClr>
                  </w14:solidFill>
                </w14:textFill>
              </w:rPr>
              <w:t xml:space="preserve">　</w:t>
            </w:r>
            <w:r w:rsidR="00762C7A" w:rsidRPr="00276BCA">
              <w:rPr>
                <w:vertAlign w:val="superscript"/>
              </w:rPr>
              <w:t>7</w:t>
            </w:r>
          </w:p>
        </w:tc>
        <w:tc>
          <w:tcPr>
            <w:tcW w:w="623" w:type="pct"/>
          </w:tcPr>
          <w:p w14:paraId="18C4B515" w14:textId="21EDC5BB"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4"/>
                <w14:textFill>
                  <w14:solidFill>
                    <w14:srgbClr w14:val="000000">
                      <w14:alpha w14:val="100000"/>
                    </w14:srgbClr>
                  </w14:solidFill>
                </w14:textFill>
              </w:rPr>
              <w:t xml:space="preserve">　</w:t>
            </w:r>
            <w:r w:rsidRPr="00276BCA">
              <w:rPr>
                <w:color w:val="000000"/>
                <w:w w:val="15"/>
                <w:shd w:val="solid" w:color="000000" w:fill="000000"/>
                <w:fitText w:val="50" w:id="-694461174"/>
                <w14:textFill>
                  <w14:solidFill>
                    <w14:srgbClr w14:val="000000">
                      <w14:alpha w14:val="100000"/>
                    </w14:srgbClr>
                  </w14:solidFill>
                </w14:textFill>
              </w:rPr>
              <w:t>|</w:t>
            </w:r>
            <w:r w:rsidRPr="00276BCA">
              <w:rPr>
                <w:rFonts w:hint="eastAsia"/>
                <w:color w:val="000000"/>
                <w:spacing w:val="-15"/>
                <w:w w:val="15"/>
                <w:shd w:val="solid" w:color="000000" w:fill="000000"/>
                <w:fitText w:val="50" w:id="-694461174"/>
                <w14:textFill>
                  <w14:solidFill>
                    <w14:srgbClr w14:val="000000">
                      <w14:alpha w14:val="100000"/>
                    </w14:srgbClr>
                  </w14:solidFill>
                </w14:textFill>
              </w:rPr>
              <w:t xml:space="preserve">　</w:t>
            </w:r>
            <w:r w:rsidR="00762C7A" w:rsidRPr="00276BCA">
              <w:rPr>
                <w:vertAlign w:val="superscript"/>
              </w:rPr>
              <w:t>7</w:t>
            </w:r>
          </w:p>
        </w:tc>
      </w:tr>
      <w:tr w:rsidR="008969E8" w:rsidRPr="00276BCA" w14:paraId="625FDE48" w14:textId="77777777">
        <w:tc>
          <w:tcPr>
            <w:tcW w:w="1266" w:type="pct"/>
            <w:vAlign w:val="center"/>
          </w:tcPr>
          <w:p w14:paraId="0210247E" w14:textId="59FEB8DD" w:rsidR="008969E8" w:rsidRPr="00276BCA" w:rsidRDefault="008969E8">
            <w:pPr>
              <w:pStyle w:val="TableText"/>
              <w:keepNext/>
              <w:keepLines/>
              <w:rPr>
                <w:rFonts w:ascii="Times" w:eastAsia="Times New Roman" w:hAnsi="Times" w:cs="Times New Roman"/>
              </w:rPr>
            </w:pPr>
            <w:r w:rsidRPr="00276BCA">
              <w:t>Net cost to MBS</w:t>
            </w:r>
            <w:r w:rsidR="0051247E" w:rsidRPr="00276BCA">
              <w:t xml:space="preserve"> for CLDN18 test</w:t>
            </w:r>
          </w:p>
        </w:tc>
        <w:tc>
          <w:tcPr>
            <w:tcW w:w="622" w:type="pct"/>
          </w:tcPr>
          <w:p w14:paraId="4054A3C8" w14:textId="67BAC97C"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3"/>
                <w14:textFill>
                  <w14:solidFill>
                    <w14:srgbClr w14:val="000000">
                      <w14:alpha w14:val="100000"/>
                    </w14:srgbClr>
                  </w14:solidFill>
                </w14:textFill>
              </w:rPr>
              <w:t xml:space="preserve">　</w:t>
            </w:r>
            <w:r w:rsidRPr="00276BCA">
              <w:rPr>
                <w:color w:val="000000"/>
                <w:w w:val="15"/>
                <w:shd w:val="solid" w:color="000000" w:fill="000000"/>
                <w:fitText w:val="50" w:id="-694461173"/>
                <w14:textFill>
                  <w14:solidFill>
                    <w14:srgbClr w14:val="000000">
                      <w14:alpha w14:val="100000"/>
                    </w14:srgbClr>
                  </w14:solidFill>
                </w14:textFill>
              </w:rPr>
              <w:t>|</w:t>
            </w:r>
            <w:r w:rsidRPr="00276BCA">
              <w:rPr>
                <w:rFonts w:hint="eastAsia"/>
                <w:color w:val="000000"/>
                <w:spacing w:val="-15"/>
                <w:w w:val="15"/>
                <w:shd w:val="solid" w:color="000000" w:fill="000000"/>
                <w:fitText w:val="50" w:id="-694461173"/>
                <w14:textFill>
                  <w14:solidFill>
                    <w14:srgbClr w14:val="000000">
                      <w14:alpha w14:val="100000"/>
                    </w14:srgbClr>
                  </w14:solidFill>
                </w14:textFill>
              </w:rPr>
              <w:t xml:space="preserve">　</w:t>
            </w:r>
            <w:r w:rsidR="00762C7A" w:rsidRPr="00276BCA">
              <w:rPr>
                <w:vertAlign w:val="superscript"/>
              </w:rPr>
              <w:t>7</w:t>
            </w:r>
          </w:p>
        </w:tc>
        <w:tc>
          <w:tcPr>
            <w:tcW w:w="622" w:type="pct"/>
          </w:tcPr>
          <w:p w14:paraId="0A1BF75E" w14:textId="1994E98E"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2"/>
                <w14:textFill>
                  <w14:solidFill>
                    <w14:srgbClr w14:val="000000">
                      <w14:alpha w14:val="100000"/>
                    </w14:srgbClr>
                  </w14:solidFill>
                </w14:textFill>
              </w:rPr>
              <w:t xml:space="preserve">　</w:t>
            </w:r>
            <w:r w:rsidRPr="00276BCA">
              <w:rPr>
                <w:color w:val="000000"/>
                <w:w w:val="15"/>
                <w:shd w:val="solid" w:color="000000" w:fill="000000"/>
                <w:fitText w:val="50" w:id="-694461172"/>
                <w14:textFill>
                  <w14:solidFill>
                    <w14:srgbClr w14:val="000000">
                      <w14:alpha w14:val="100000"/>
                    </w14:srgbClr>
                  </w14:solidFill>
                </w14:textFill>
              </w:rPr>
              <w:t>|</w:t>
            </w:r>
            <w:r w:rsidRPr="00276BCA">
              <w:rPr>
                <w:rFonts w:hint="eastAsia"/>
                <w:color w:val="000000"/>
                <w:spacing w:val="-15"/>
                <w:w w:val="15"/>
                <w:shd w:val="solid" w:color="000000" w:fill="000000"/>
                <w:fitText w:val="50" w:id="-694461172"/>
                <w14:textFill>
                  <w14:solidFill>
                    <w14:srgbClr w14:val="000000">
                      <w14:alpha w14:val="100000"/>
                    </w14:srgbClr>
                  </w14:solidFill>
                </w14:textFill>
              </w:rPr>
              <w:t xml:space="preserve">　</w:t>
            </w:r>
            <w:r w:rsidR="00762C7A" w:rsidRPr="00276BCA">
              <w:rPr>
                <w:vertAlign w:val="superscript"/>
              </w:rPr>
              <w:t>7</w:t>
            </w:r>
          </w:p>
        </w:tc>
        <w:tc>
          <w:tcPr>
            <w:tcW w:w="623" w:type="pct"/>
          </w:tcPr>
          <w:p w14:paraId="6DED951B" w14:textId="2D791942"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1"/>
                <w14:textFill>
                  <w14:solidFill>
                    <w14:srgbClr w14:val="000000">
                      <w14:alpha w14:val="100000"/>
                    </w14:srgbClr>
                  </w14:solidFill>
                </w14:textFill>
              </w:rPr>
              <w:t xml:space="preserve">　</w:t>
            </w:r>
            <w:r w:rsidRPr="00276BCA">
              <w:rPr>
                <w:color w:val="000000"/>
                <w:w w:val="15"/>
                <w:shd w:val="solid" w:color="000000" w:fill="000000"/>
                <w:fitText w:val="50" w:id="-694461171"/>
                <w14:textFill>
                  <w14:solidFill>
                    <w14:srgbClr w14:val="000000">
                      <w14:alpha w14:val="100000"/>
                    </w14:srgbClr>
                  </w14:solidFill>
                </w14:textFill>
              </w:rPr>
              <w:t>|</w:t>
            </w:r>
            <w:r w:rsidRPr="00276BCA">
              <w:rPr>
                <w:rFonts w:hint="eastAsia"/>
                <w:color w:val="000000"/>
                <w:spacing w:val="-15"/>
                <w:w w:val="15"/>
                <w:shd w:val="solid" w:color="000000" w:fill="000000"/>
                <w:fitText w:val="50" w:id="-694461171"/>
                <w14:textFill>
                  <w14:solidFill>
                    <w14:srgbClr w14:val="000000">
                      <w14:alpha w14:val="100000"/>
                    </w14:srgbClr>
                  </w14:solidFill>
                </w14:textFill>
              </w:rPr>
              <w:t xml:space="preserve">　</w:t>
            </w:r>
            <w:r w:rsidR="00762C7A" w:rsidRPr="00276BCA">
              <w:rPr>
                <w:vertAlign w:val="superscript"/>
              </w:rPr>
              <w:t>7</w:t>
            </w:r>
          </w:p>
        </w:tc>
        <w:tc>
          <w:tcPr>
            <w:tcW w:w="622" w:type="pct"/>
          </w:tcPr>
          <w:p w14:paraId="4E7E2358" w14:textId="737A0A00"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0"/>
                <w14:textFill>
                  <w14:solidFill>
                    <w14:srgbClr w14:val="000000">
                      <w14:alpha w14:val="100000"/>
                    </w14:srgbClr>
                  </w14:solidFill>
                </w14:textFill>
              </w:rPr>
              <w:t xml:space="preserve">　</w:t>
            </w:r>
            <w:r w:rsidRPr="00276BCA">
              <w:rPr>
                <w:color w:val="000000"/>
                <w:w w:val="15"/>
                <w:shd w:val="solid" w:color="000000" w:fill="000000"/>
                <w:fitText w:val="50" w:id="-694461170"/>
                <w14:textFill>
                  <w14:solidFill>
                    <w14:srgbClr w14:val="000000">
                      <w14:alpha w14:val="100000"/>
                    </w14:srgbClr>
                  </w14:solidFill>
                </w14:textFill>
              </w:rPr>
              <w:t>|</w:t>
            </w:r>
            <w:r w:rsidRPr="00276BCA">
              <w:rPr>
                <w:rFonts w:hint="eastAsia"/>
                <w:color w:val="000000"/>
                <w:spacing w:val="-15"/>
                <w:w w:val="15"/>
                <w:shd w:val="solid" w:color="000000" w:fill="000000"/>
                <w:fitText w:val="50" w:id="-694461170"/>
                <w14:textFill>
                  <w14:solidFill>
                    <w14:srgbClr w14:val="000000">
                      <w14:alpha w14:val="100000"/>
                    </w14:srgbClr>
                  </w14:solidFill>
                </w14:textFill>
              </w:rPr>
              <w:t xml:space="preserve">　</w:t>
            </w:r>
            <w:r w:rsidR="00762C7A" w:rsidRPr="00276BCA">
              <w:rPr>
                <w:vertAlign w:val="superscript"/>
              </w:rPr>
              <w:t>7</w:t>
            </w:r>
          </w:p>
        </w:tc>
        <w:tc>
          <w:tcPr>
            <w:tcW w:w="622" w:type="pct"/>
          </w:tcPr>
          <w:p w14:paraId="581ECE98" w14:textId="740237D1"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69"/>
                <w14:textFill>
                  <w14:solidFill>
                    <w14:srgbClr w14:val="000000">
                      <w14:alpha w14:val="100000"/>
                    </w14:srgbClr>
                  </w14:solidFill>
                </w14:textFill>
              </w:rPr>
              <w:t xml:space="preserve">　</w:t>
            </w:r>
            <w:r w:rsidRPr="00276BCA">
              <w:rPr>
                <w:color w:val="000000"/>
                <w:w w:val="15"/>
                <w:shd w:val="solid" w:color="000000" w:fill="000000"/>
                <w:fitText w:val="50" w:id="-694461169"/>
                <w14:textFill>
                  <w14:solidFill>
                    <w14:srgbClr w14:val="000000">
                      <w14:alpha w14:val="100000"/>
                    </w14:srgbClr>
                  </w14:solidFill>
                </w14:textFill>
              </w:rPr>
              <w:t>|</w:t>
            </w:r>
            <w:r w:rsidRPr="00276BCA">
              <w:rPr>
                <w:rFonts w:hint="eastAsia"/>
                <w:color w:val="000000"/>
                <w:spacing w:val="-15"/>
                <w:w w:val="15"/>
                <w:shd w:val="solid" w:color="000000" w:fill="000000"/>
                <w:fitText w:val="50" w:id="-694461169"/>
                <w14:textFill>
                  <w14:solidFill>
                    <w14:srgbClr w14:val="000000">
                      <w14:alpha w14:val="100000"/>
                    </w14:srgbClr>
                  </w14:solidFill>
                </w14:textFill>
              </w:rPr>
              <w:t xml:space="preserve">　</w:t>
            </w:r>
            <w:r w:rsidR="00762C7A" w:rsidRPr="00276BCA">
              <w:rPr>
                <w:vertAlign w:val="superscript"/>
              </w:rPr>
              <w:t>7</w:t>
            </w:r>
          </w:p>
        </w:tc>
        <w:tc>
          <w:tcPr>
            <w:tcW w:w="623" w:type="pct"/>
          </w:tcPr>
          <w:p w14:paraId="30E87F14" w14:textId="73F6948C"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68"/>
                <w14:textFill>
                  <w14:solidFill>
                    <w14:srgbClr w14:val="000000">
                      <w14:alpha w14:val="100000"/>
                    </w14:srgbClr>
                  </w14:solidFill>
                </w14:textFill>
              </w:rPr>
              <w:t xml:space="preserve">　</w:t>
            </w:r>
            <w:r w:rsidRPr="00276BCA">
              <w:rPr>
                <w:color w:val="000000"/>
                <w:w w:val="15"/>
                <w:shd w:val="solid" w:color="000000" w:fill="000000"/>
                <w:fitText w:val="50" w:id="-694461168"/>
                <w14:textFill>
                  <w14:solidFill>
                    <w14:srgbClr w14:val="000000">
                      <w14:alpha w14:val="100000"/>
                    </w14:srgbClr>
                  </w14:solidFill>
                </w14:textFill>
              </w:rPr>
              <w:t>|</w:t>
            </w:r>
            <w:r w:rsidRPr="00276BCA">
              <w:rPr>
                <w:rFonts w:hint="eastAsia"/>
                <w:color w:val="000000"/>
                <w:spacing w:val="-15"/>
                <w:w w:val="15"/>
                <w:shd w:val="solid" w:color="000000" w:fill="000000"/>
                <w:fitText w:val="50" w:id="-694461168"/>
                <w14:textFill>
                  <w14:solidFill>
                    <w14:srgbClr w14:val="000000">
                      <w14:alpha w14:val="100000"/>
                    </w14:srgbClr>
                  </w14:solidFill>
                </w14:textFill>
              </w:rPr>
              <w:t xml:space="preserve">　</w:t>
            </w:r>
            <w:r w:rsidR="00762C7A" w:rsidRPr="00276BCA">
              <w:rPr>
                <w:vertAlign w:val="superscript"/>
              </w:rPr>
              <w:t>7</w:t>
            </w:r>
          </w:p>
        </w:tc>
      </w:tr>
      <w:tr w:rsidR="008969E8" w:rsidRPr="00276BCA" w14:paraId="2A67F724" w14:textId="77777777">
        <w:tc>
          <w:tcPr>
            <w:tcW w:w="1266" w:type="pct"/>
            <w:vAlign w:val="center"/>
          </w:tcPr>
          <w:p w14:paraId="4DF7F9BD" w14:textId="77777777" w:rsidR="008969E8" w:rsidRPr="00276BCA" w:rsidRDefault="008969E8">
            <w:pPr>
              <w:pStyle w:val="TableText"/>
              <w:keepNext/>
              <w:keepLines/>
            </w:pPr>
            <w:r w:rsidRPr="00276BCA">
              <w:t>Net cost to PBS/RPBS/MBS</w:t>
            </w:r>
          </w:p>
        </w:tc>
        <w:tc>
          <w:tcPr>
            <w:tcW w:w="622" w:type="pct"/>
            <w:vAlign w:val="center"/>
          </w:tcPr>
          <w:p w14:paraId="3D34B595" w14:textId="7EFDD46B"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84"/>
                <w14:textFill>
                  <w14:solidFill>
                    <w14:srgbClr w14:val="000000">
                      <w14:alpha w14:val="100000"/>
                    </w14:srgbClr>
                  </w14:solidFill>
                </w14:textFill>
              </w:rPr>
              <w:t xml:space="preserve">　</w:t>
            </w:r>
            <w:r w:rsidRPr="00276BCA">
              <w:rPr>
                <w:color w:val="000000"/>
                <w:w w:val="15"/>
                <w:shd w:val="solid" w:color="000000" w:fill="000000"/>
                <w:fitText w:val="50" w:id="-694461184"/>
                <w14:textFill>
                  <w14:solidFill>
                    <w14:srgbClr w14:val="000000">
                      <w14:alpha w14:val="100000"/>
                    </w14:srgbClr>
                  </w14:solidFill>
                </w14:textFill>
              </w:rPr>
              <w:t>|</w:t>
            </w:r>
            <w:r w:rsidRPr="00276BCA">
              <w:rPr>
                <w:rFonts w:hint="eastAsia"/>
                <w:color w:val="000000"/>
                <w:spacing w:val="-15"/>
                <w:w w:val="15"/>
                <w:shd w:val="solid" w:color="000000" w:fill="000000"/>
                <w:fitText w:val="50" w:id="-694461184"/>
                <w14:textFill>
                  <w14:solidFill>
                    <w14:srgbClr w14:val="000000">
                      <w14:alpha w14:val="100000"/>
                    </w14:srgbClr>
                  </w14:solidFill>
                </w14:textFill>
              </w:rPr>
              <w:t xml:space="preserve">　</w:t>
            </w:r>
            <w:r w:rsidR="00762C7A" w:rsidRPr="00276BCA">
              <w:rPr>
                <w:vertAlign w:val="superscript"/>
              </w:rPr>
              <w:t>7</w:t>
            </w:r>
          </w:p>
        </w:tc>
        <w:tc>
          <w:tcPr>
            <w:tcW w:w="622" w:type="pct"/>
            <w:vAlign w:val="center"/>
          </w:tcPr>
          <w:p w14:paraId="2A26DA84" w14:textId="697263B7"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83"/>
                <w14:textFill>
                  <w14:solidFill>
                    <w14:srgbClr w14:val="000000">
                      <w14:alpha w14:val="100000"/>
                    </w14:srgbClr>
                  </w14:solidFill>
                </w14:textFill>
              </w:rPr>
              <w:t xml:space="preserve">　</w:t>
            </w:r>
            <w:r w:rsidRPr="00276BCA">
              <w:rPr>
                <w:color w:val="000000"/>
                <w:w w:val="15"/>
                <w:shd w:val="solid" w:color="000000" w:fill="000000"/>
                <w:fitText w:val="50" w:id="-694461183"/>
                <w14:textFill>
                  <w14:solidFill>
                    <w14:srgbClr w14:val="000000">
                      <w14:alpha w14:val="100000"/>
                    </w14:srgbClr>
                  </w14:solidFill>
                </w14:textFill>
              </w:rPr>
              <w:t>|</w:t>
            </w:r>
            <w:r w:rsidRPr="00276BCA">
              <w:rPr>
                <w:rFonts w:hint="eastAsia"/>
                <w:color w:val="000000"/>
                <w:spacing w:val="-15"/>
                <w:w w:val="15"/>
                <w:shd w:val="solid" w:color="000000" w:fill="000000"/>
                <w:fitText w:val="50" w:id="-694461183"/>
                <w14:textFill>
                  <w14:solidFill>
                    <w14:srgbClr w14:val="000000">
                      <w14:alpha w14:val="100000"/>
                    </w14:srgbClr>
                  </w14:solidFill>
                </w14:textFill>
              </w:rPr>
              <w:t xml:space="preserve">　</w:t>
            </w:r>
            <w:r w:rsidR="00762C7A" w:rsidRPr="00276BCA">
              <w:rPr>
                <w:vertAlign w:val="superscript"/>
              </w:rPr>
              <w:t>7</w:t>
            </w:r>
          </w:p>
        </w:tc>
        <w:tc>
          <w:tcPr>
            <w:tcW w:w="623" w:type="pct"/>
            <w:vAlign w:val="center"/>
          </w:tcPr>
          <w:p w14:paraId="2F99B513" w14:textId="4511A325"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82"/>
                <w14:textFill>
                  <w14:solidFill>
                    <w14:srgbClr w14:val="000000">
                      <w14:alpha w14:val="100000"/>
                    </w14:srgbClr>
                  </w14:solidFill>
                </w14:textFill>
              </w:rPr>
              <w:t xml:space="preserve">　</w:t>
            </w:r>
            <w:r w:rsidRPr="00276BCA">
              <w:rPr>
                <w:color w:val="000000"/>
                <w:w w:val="15"/>
                <w:shd w:val="solid" w:color="000000" w:fill="000000"/>
                <w:fitText w:val="50" w:id="-694461182"/>
                <w14:textFill>
                  <w14:solidFill>
                    <w14:srgbClr w14:val="000000">
                      <w14:alpha w14:val="100000"/>
                    </w14:srgbClr>
                  </w14:solidFill>
                </w14:textFill>
              </w:rPr>
              <w:t>|</w:t>
            </w:r>
            <w:r w:rsidRPr="00276BCA">
              <w:rPr>
                <w:rFonts w:hint="eastAsia"/>
                <w:color w:val="000000"/>
                <w:spacing w:val="-15"/>
                <w:w w:val="15"/>
                <w:shd w:val="solid" w:color="000000" w:fill="000000"/>
                <w:fitText w:val="50" w:id="-694461182"/>
                <w14:textFill>
                  <w14:solidFill>
                    <w14:srgbClr w14:val="000000">
                      <w14:alpha w14:val="100000"/>
                    </w14:srgbClr>
                  </w14:solidFill>
                </w14:textFill>
              </w:rPr>
              <w:t xml:space="preserve">　</w:t>
            </w:r>
            <w:r w:rsidR="00762C7A" w:rsidRPr="00276BCA">
              <w:rPr>
                <w:vertAlign w:val="superscript"/>
              </w:rPr>
              <w:t>7</w:t>
            </w:r>
          </w:p>
        </w:tc>
        <w:tc>
          <w:tcPr>
            <w:tcW w:w="622" w:type="pct"/>
            <w:vAlign w:val="center"/>
          </w:tcPr>
          <w:p w14:paraId="36C45971" w14:textId="1E0A2129"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81"/>
                <w14:textFill>
                  <w14:solidFill>
                    <w14:srgbClr w14:val="000000">
                      <w14:alpha w14:val="100000"/>
                    </w14:srgbClr>
                  </w14:solidFill>
                </w14:textFill>
              </w:rPr>
              <w:t xml:space="preserve">　</w:t>
            </w:r>
            <w:r w:rsidRPr="00276BCA">
              <w:rPr>
                <w:color w:val="000000"/>
                <w:w w:val="15"/>
                <w:shd w:val="solid" w:color="000000" w:fill="000000"/>
                <w:fitText w:val="50" w:id="-694461181"/>
                <w14:textFill>
                  <w14:solidFill>
                    <w14:srgbClr w14:val="000000">
                      <w14:alpha w14:val="100000"/>
                    </w14:srgbClr>
                  </w14:solidFill>
                </w14:textFill>
              </w:rPr>
              <w:t>|</w:t>
            </w:r>
            <w:r w:rsidRPr="00276BCA">
              <w:rPr>
                <w:rFonts w:hint="eastAsia"/>
                <w:color w:val="000000"/>
                <w:spacing w:val="-15"/>
                <w:w w:val="15"/>
                <w:shd w:val="solid" w:color="000000" w:fill="000000"/>
                <w:fitText w:val="50" w:id="-694461181"/>
                <w14:textFill>
                  <w14:solidFill>
                    <w14:srgbClr w14:val="000000">
                      <w14:alpha w14:val="100000"/>
                    </w14:srgbClr>
                  </w14:solidFill>
                </w14:textFill>
              </w:rPr>
              <w:t xml:space="preserve">　</w:t>
            </w:r>
            <w:r w:rsidR="00762C7A" w:rsidRPr="00276BCA">
              <w:rPr>
                <w:vertAlign w:val="superscript"/>
              </w:rPr>
              <w:t>7</w:t>
            </w:r>
          </w:p>
        </w:tc>
        <w:tc>
          <w:tcPr>
            <w:tcW w:w="622" w:type="pct"/>
            <w:vAlign w:val="center"/>
          </w:tcPr>
          <w:p w14:paraId="25A81F17" w14:textId="1B654F32"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80"/>
                <w14:textFill>
                  <w14:solidFill>
                    <w14:srgbClr w14:val="000000">
                      <w14:alpha w14:val="100000"/>
                    </w14:srgbClr>
                  </w14:solidFill>
                </w14:textFill>
              </w:rPr>
              <w:t xml:space="preserve">　</w:t>
            </w:r>
            <w:r w:rsidRPr="00276BCA">
              <w:rPr>
                <w:color w:val="000000"/>
                <w:w w:val="15"/>
                <w:shd w:val="solid" w:color="000000" w:fill="000000"/>
                <w:fitText w:val="50" w:id="-694461180"/>
                <w14:textFill>
                  <w14:solidFill>
                    <w14:srgbClr w14:val="000000">
                      <w14:alpha w14:val="100000"/>
                    </w14:srgbClr>
                  </w14:solidFill>
                </w14:textFill>
              </w:rPr>
              <w:t>|</w:t>
            </w:r>
            <w:r w:rsidRPr="00276BCA">
              <w:rPr>
                <w:rFonts w:hint="eastAsia"/>
                <w:color w:val="000000"/>
                <w:spacing w:val="-15"/>
                <w:w w:val="15"/>
                <w:shd w:val="solid" w:color="000000" w:fill="000000"/>
                <w:fitText w:val="50" w:id="-694461180"/>
                <w14:textFill>
                  <w14:solidFill>
                    <w14:srgbClr w14:val="000000">
                      <w14:alpha w14:val="100000"/>
                    </w14:srgbClr>
                  </w14:solidFill>
                </w14:textFill>
              </w:rPr>
              <w:t xml:space="preserve">　</w:t>
            </w:r>
            <w:r w:rsidR="00762C7A" w:rsidRPr="00276BCA">
              <w:rPr>
                <w:vertAlign w:val="superscript"/>
              </w:rPr>
              <w:t>7</w:t>
            </w:r>
          </w:p>
        </w:tc>
        <w:tc>
          <w:tcPr>
            <w:tcW w:w="623" w:type="pct"/>
            <w:vAlign w:val="center"/>
          </w:tcPr>
          <w:p w14:paraId="3DBD836E" w14:textId="7E8A942E" w:rsidR="008969E8" w:rsidRPr="00503571" w:rsidRDefault="00E36329">
            <w:pPr>
              <w:pStyle w:val="TableText"/>
              <w:keepNext/>
              <w:keepLines/>
              <w:jc w:val="center"/>
              <w:rPr>
                <w:highlight w:val="darkGray"/>
              </w:rPr>
            </w:pPr>
            <w:r w:rsidRPr="00276BCA">
              <w:rPr>
                <w:rFonts w:hint="eastAsia"/>
                <w:color w:val="000000"/>
                <w:w w:val="15"/>
                <w:shd w:val="solid" w:color="000000" w:fill="000000"/>
                <w:fitText w:val="50" w:id="-694461179"/>
                <w14:textFill>
                  <w14:solidFill>
                    <w14:srgbClr w14:val="000000">
                      <w14:alpha w14:val="100000"/>
                    </w14:srgbClr>
                  </w14:solidFill>
                </w14:textFill>
              </w:rPr>
              <w:t xml:space="preserve">　</w:t>
            </w:r>
            <w:r w:rsidRPr="00276BCA">
              <w:rPr>
                <w:color w:val="000000"/>
                <w:w w:val="15"/>
                <w:shd w:val="solid" w:color="000000" w:fill="000000"/>
                <w:fitText w:val="50" w:id="-694461179"/>
                <w14:textFill>
                  <w14:solidFill>
                    <w14:srgbClr w14:val="000000">
                      <w14:alpha w14:val="100000"/>
                    </w14:srgbClr>
                  </w14:solidFill>
                </w14:textFill>
              </w:rPr>
              <w:t>|</w:t>
            </w:r>
            <w:r w:rsidRPr="00276BCA">
              <w:rPr>
                <w:rFonts w:hint="eastAsia"/>
                <w:color w:val="000000"/>
                <w:spacing w:val="-15"/>
                <w:w w:val="15"/>
                <w:shd w:val="solid" w:color="000000" w:fill="000000"/>
                <w:fitText w:val="50" w:id="-694461179"/>
                <w14:textFill>
                  <w14:solidFill>
                    <w14:srgbClr w14:val="000000">
                      <w14:alpha w14:val="100000"/>
                    </w14:srgbClr>
                  </w14:solidFill>
                </w14:textFill>
              </w:rPr>
              <w:t xml:space="preserve">　</w:t>
            </w:r>
            <w:r w:rsidR="00762C7A" w:rsidRPr="00276BCA">
              <w:rPr>
                <w:vertAlign w:val="superscript"/>
              </w:rPr>
              <w:t>7</w:t>
            </w:r>
          </w:p>
        </w:tc>
      </w:tr>
    </w:tbl>
    <w:p w14:paraId="75ED0263" w14:textId="77777777" w:rsidR="008969E8" w:rsidRPr="00276BCA" w:rsidRDefault="008969E8" w:rsidP="008969E8">
      <w:pPr>
        <w:pStyle w:val="FooterTableFigure"/>
        <w:keepNext/>
        <w:keepLines/>
      </w:pPr>
      <w:r w:rsidRPr="00276BCA">
        <w:t xml:space="preserve">Source: Table 4-2, p164, Table 4-3, p165, Table 4-3, p165, Table 4-11, p173, Table 4-16, p176, Table 4-17, p176; and Attachment 11 – VYLOY CoDep Submission S4 </w:t>
      </w:r>
      <w:proofErr w:type="spellStart"/>
      <w:r w:rsidRPr="00276BCA">
        <w:t>model_Final</w:t>
      </w:r>
      <w:proofErr w:type="spellEnd"/>
      <w:r w:rsidRPr="00276BCA">
        <w:t>’ workbook to the submission.</w:t>
      </w:r>
    </w:p>
    <w:p w14:paraId="25C3D086" w14:textId="4FD961D5" w:rsidR="008969E8" w:rsidRPr="00276BCA" w:rsidRDefault="008969E8" w:rsidP="008969E8">
      <w:pPr>
        <w:pStyle w:val="FooterTableFigure"/>
        <w:keepNext/>
        <w:keepLines/>
      </w:pPr>
      <w:r w:rsidRPr="00276BCA">
        <w:rPr>
          <w:vertAlign w:val="superscript"/>
        </w:rPr>
        <w:t>a</w:t>
      </w:r>
      <w:r w:rsidRPr="00276BCA">
        <w:t xml:space="preserve"> Includes </w:t>
      </w:r>
      <w:r w:rsidR="00D46DD7" w:rsidRPr="00276BCA">
        <w:t xml:space="preserve">&lt;500 </w:t>
      </w:r>
      <w:r w:rsidRPr="00276BCA">
        <w:t>grandfather patients as estimated by the Sponsor’s internal database.</w:t>
      </w:r>
    </w:p>
    <w:p w14:paraId="4D731609" w14:textId="77777777" w:rsidR="00775858" w:rsidRPr="00276BCA" w:rsidRDefault="00D0031D" w:rsidP="00775858">
      <w:pPr>
        <w:pStyle w:val="FooterTableFigure"/>
        <w:keepNext/>
        <w:keepLines/>
      </w:pPr>
      <w:r w:rsidRPr="00276BCA">
        <w:rPr>
          <w:vertAlign w:val="superscript"/>
        </w:rPr>
        <w:t>b</w:t>
      </w:r>
      <w:r w:rsidR="008969E8" w:rsidRPr="00276BCA">
        <w:t xml:space="preserve"> Assuming 10.22 prescriptions for </w:t>
      </w:r>
      <w:proofErr w:type="spellStart"/>
      <w:r w:rsidR="008969E8" w:rsidRPr="00276BCA">
        <w:t>zolbetuximab</w:t>
      </w:r>
      <w:proofErr w:type="spellEnd"/>
      <w:r w:rsidR="008969E8" w:rsidRPr="00276BCA">
        <w:t xml:space="preserve"> per year with CAPOX and 20.24 prescriptions with </w:t>
      </w:r>
      <w:proofErr w:type="spellStart"/>
      <w:r w:rsidR="008969E8" w:rsidRPr="00276BCA">
        <w:t>zolbetuximab</w:t>
      </w:r>
      <w:proofErr w:type="spellEnd"/>
      <w:r w:rsidR="008969E8" w:rsidRPr="00276BCA">
        <w:t xml:space="preserve"> per year with mFOFLOX6 as estimated by the submission.</w:t>
      </w:r>
      <w:r w:rsidR="00775858" w:rsidRPr="00276BCA">
        <w:t xml:space="preserve"> </w:t>
      </w:r>
    </w:p>
    <w:p w14:paraId="1DADAEC9" w14:textId="12E3EFCC" w:rsidR="00775858" w:rsidRPr="00276BCA" w:rsidRDefault="00775858" w:rsidP="00775858">
      <w:pPr>
        <w:pStyle w:val="FooterTableFigure"/>
        <w:keepNext/>
        <w:keepLines/>
        <w:rPr>
          <w:i/>
          <w:iCs/>
        </w:rPr>
      </w:pPr>
      <w:r w:rsidRPr="00276BCA">
        <w:rPr>
          <w:i/>
          <w:iCs/>
        </w:rPr>
        <w:t xml:space="preserve">The redacted values correspond to the following ranges: </w:t>
      </w:r>
    </w:p>
    <w:p w14:paraId="37244520" w14:textId="77777777" w:rsidR="00231C90" w:rsidRPr="00276BCA" w:rsidRDefault="00775858" w:rsidP="00775858">
      <w:pPr>
        <w:pStyle w:val="FooterTableFigure"/>
        <w:keepNext/>
        <w:keepLines/>
        <w:rPr>
          <w:i/>
          <w:iCs/>
        </w:rPr>
      </w:pPr>
      <w:r w:rsidRPr="00276BCA">
        <w:rPr>
          <w:i/>
          <w:iCs/>
          <w:vertAlign w:val="superscript"/>
        </w:rPr>
        <w:t>1</w:t>
      </w:r>
      <w:r w:rsidRPr="00276BCA">
        <w:rPr>
          <w:i/>
          <w:iCs/>
        </w:rPr>
        <w:t xml:space="preserve"> 500 to &lt; 5,000</w:t>
      </w:r>
      <w:r w:rsidR="00E1776D" w:rsidRPr="00276BCA">
        <w:rPr>
          <w:i/>
          <w:iCs/>
        </w:rPr>
        <w:t xml:space="preserve"> </w:t>
      </w:r>
    </w:p>
    <w:p w14:paraId="6202DDFD" w14:textId="77777777" w:rsidR="009459D6" w:rsidRPr="00276BCA" w:rsidRDefault="00E1776D" w:rsidP="00775858">
      <w:pPr>
        <w:pStyle w:val="FooterTableFigure"/>
        <w:keepNext/>
        <w:keepLines/>
        <w:rPr>
          <w:i/>
          <w:iCs/>
        </w:rPr>
      </w:pPr>
      <w:r w:rsidRPr="00276BCA">
        <w:rPr>
          <w:i/>
          <w:iCs/>
          <w:vertAlign w:val="superscript"/>
        </w:rPr>
        <w:t>2</w:t>
      </w:r>
      <w:r w:rsidRPr="00276BCA">
        <w:rPr>
          <w:i/>
          <w:iCs/>
        </w:rPr>
        <w:t xml:space="preserve"> </w:t>
      </w:r>
      <w:r w:rsidR="00231C90" w:rsidRPr="00276BCA">
        <w:rPr>
          <w:i/>
          <w:iCs/>
        </w:rPr>
        <w:t>&lt;500</w:t>
      </w:r>
      <w:r w:rsidR="009459D6" w:rsidRPr="00276BCA">
        <w:rPr>
          <w:i/>
          <w:iCs/>
        </w:rPr>
        <w:t xml:space="preserve"> </w:t>
      </w:r>
    </w:p>
    <w:p w14:paraId="7E8E4309" w14:textId="77777777" w:rsidR="00065075" w:rsidRPr="00276BCA" w:rsidRDefault="009459D6" w:rsidP="00065075">
      <w:pPr>
        <w:pStyle w:val="FooterTableFigure"/>
        <w:keepNext/>
        <w:keepLines/>
        <w:rPr>
          <w:i/>
          <w:iCs/>
        </w:rPr>
      </w:pPr>
      <w:r w:rsidRPr="00276BCA">
        <w:rPr>
          <w:i/>
          <w:iCs/>
          <w:vertAlign w:val="superscript"/>
        </w:rPr>
        <w:t xml:space="preserve">3 </w:t>
      </w:r>
      <w:r w:rsidRPr="00276BCA">
        <w:rPr>
          <w:i/>
          <w:iCs/>
        </w:rPr>
        <w:t>5,000 to &lt; 10,000</w:t>
      </w:r>
      <w:r w:rsidR="00065075" w:rsidRPr="00276BCA">
        <w:rPr>
          <w:i/>
          <w:iCs/>
        </w:rPr>
        <w:t xml:space="preserve"> </w:t>
      </w:r>
    </w:p>
    <w:p w14:paraId="75DB4FAA" w14:textId="06762C4D" w:rsidR="00065075" w:rsidRPr="00276BCA" w:rsidRDefault="00065075" w:rsidP="00065075">
      <w:pPr>
        <w:pStyle w:val="FooterTableFigure"/>
        <w:keepNext/>
        <w:keepLines/>
        <w:rPr>
          <w:i/>
          <w:iCs/>
        </w:rPr>
      </w:pPr>
      <w:r w:rsidRPr="00276BCA">
        <w:rPr>
          <w:i/>
          <w:iCs/>
          <w:vertAlign w:val="superscript"/>
        </w:rPr>
        <w:t>4</w:t>
      </w:r>
      <w:r w:rsidRPr="00276BCA">
        <w:rPr>
          <w:i/>
          <w:iCs/>
        </w:rPr>
        <w:t xml:space="preserve"> $40 million to &lt; $50 million</w:t>
      </w:r>
    </w:p>
    <w:p w14:paraId="37C1E7EF" w14:textId="77777777" w:rsidR="000E1AC6" w:rsidRPr="00276BCA" w:rsidRDefault="00C9166C" w:rsidP="000E1AC6">
      <w:pPr>
        <w:pStyle w:val="FooterTableFigure"/>
        <w:keepNext/>
        <w:keepLines/>
        <w:rPr>
          <w:i/>
          <w:iCs/>
        </w:rPr>
      </w:pPr>
      <w:r w:rsidRPr="00276BCA">
        <w:rPr>
          <w:i/>
          <w:iCs/>
          <w:vertAlign w:val="superscript"/>
        </w:rPr>
        <w:t xml:space="preserve">5 </w:t>
      </w:r>
      <w:r w:rsidR="00065075" w:rsidRPr="00276BCA">
        <w:rPr>
          <w:i/>
          <w:iCs/>
        </w:rPr>
        <w:t>$50 million to &lt; $60 million</w:t>
      </w:r>
      <w:r w:rsidR="000E1AC6" w:rsidRPr="00276BCA">
        <w:rPr>
          <w:i/>
          <w:iCs/>
        </w:rPr>
        <w:t xml:space="preserve"> </w:t>
      </w:r>
    </w:p>
    <w:p w14:paraId="4912D3C5" w14:textId="14E1DC02" w:rsidR="000E1AC6" w:rsidRPr="00276BCA" w:rsidRDefault="000E1AC6" w:rsidP="000E1AC6">
      <w:pPr>
        <w:pStyle w:val="FooterTableFigure"/>
        <w:keepNext/>
        <w:keepLines/>
        <w:rPr>
          <w:i/>
          <w:iCs/>
        </w:rPr>
      </w:pPr>
      <w:r w:rsidRPr="00276BCA">
        <w:rPr>
          <w:i/>
          <w:iCs/>
          <w:vertAlign w:val="superscript"/>
        </w:rPr>
        <w:t xml:space="preserve">6 </w:t>
      </w:r>
      <w:r w:rsidRPr="00276BCA">
        <w:rPr>
          <w:i/>
          <w:iCs/>
        </w:rPr>
        <w:t>net cost saving</w:t>
      </w:r>
    </w:p>
    <w:p w14:paraId="54C4C741" w14:textId="66363DA2" w:rsidR="00E1776D" w:rsidRPr="00276BCA" w:rsidRDefault="000E1AC6" w:rsidP="00775858">
      <w:pPr>
        <w:pStyle w:val="FooterTableFigure"/>
        <w:keepNext/>
        <w:keepLines/>
      </w:pPr>
      <w:r w:rsidRPr="00276BCA">
        <w:rPr>
          <w:i/>
          <w:iCs/>
          <w:vertAlign w:val="superscript"/>
        </w:rPr>
        <w:t>7</w:t>
      </w:r>
      <w:r w:rsidRPr="00276BCA">
        <w:rPr>
          <w:i/>
          <w:iCs/>
        </w:rPr>
        <w:t xml:space="preserve"> $0 to &lt; $10 million</w:t>
      </w:r>
    </w:p>
    <w:p w14:paraId="66FBF966" w14:textId="2ACFEDA5" w:rsidR="008969E8" w:rsidRPr="00276BCA" w:rsidRDefault="00341373" w:rsidP="008969E8">
      <w:pPr>
        <w:pStyle w:val="ListParagraph"/>
        <w:numPr>
          <w:ilvl w:val="4"/>
          <w:numId w:val="8"/>
        </w:numPr>
        <w:rPr>
          <w:color w:val="auto"/>
        </w:rPr>
      </w:pPr>
      <w:r w:rsidRPr="00276BCA">
        <w:rPr>
          <w:color w:val="auto"/>
        </w:rPr>
        <w:t>T</w:t>
      </w:r>
      <w:r w:rsidR="008969E8" w:rsidRPr="00276BCA">
        <w:rPr>
          <w:color w:val="auto"/>
        </w:rPr>
        <w:t xml:space="preserve">he total </w:t>
      </w:r>
      <w:r w:rsidR="00C60563" w:rsidRPr="00276BCA">
        <w:rPr>
          <w:color w:val="auto"/>
        </w:rPr>
        <w:t xml:space="preserve">net </w:t>
      </w:r>
      <w:r w:rsidR="008969E8" w:rsidRPr="00276BCA">
        <w:rPr>
          <w:color w:val="auto"/>
        </w:rPr>
        <w:t xml:space="preserve">cost to the PBS/RPBS of listing </w:t>
      </w:r>
      <w:proofErr w:type="spellStart"/>
      <w:r w:rsidR="008969E8" w:rsidRPr="00276BCA">
        <w:rPr>
          <w:color w:val="auto"/>
        </w:rPr>
        <w:t>zolbetuximab</w:t>
      </w:r>
      <w:proofErr w:type="spellEnd"/>
      <w:r w:rsidR="008969E8" w:rsidRPr="00276BCA">
        <w:rPr>
          <w:color w:val="auto"/>
        </w:rPr>
        <w:t xml:space="preserve"> was estimated </w:t>
      </w:r>
      <w:r w:rsidRPr="00276BCA">
        <w:rPr>
          <w:color w:val="auto"/>
        </w:rPr>
        <w:t xml:space="preserve">in the submission </w:t>
      </w:r>
      <w:r w:rsidR="008969E8" w:rsidRPr="00276BCA">
        <w:rPr>
          <w:color w:val="auto"/>
        </w:rPr>
        <w:t xml:space="preserve">to be </w:t>
      </w:r>
      <w:r w:rsidR="00AF5D51" w:rsidRPr="00276BCA">
        <w:rPr>
          <w:color w:val="auto"/>
        </w:rPr>
        <w:t>$0 to &lt; $10 million</w:t>
      </w:r>
      <w:r w:rsidR="00AF5D51" w:rsidRPr="00276BCA" w:rsidDel="00AF5D51">
        <w:rPr>
          <w:color w:val="auto"/>
        </w:rPr>
        <w:t xml:space="preserve"> </w:t>
      </w:r>
      <w:r w:rsidR="008969E8" w:rsidRPr="00276BCA">
        <w:rPr>
          <w:color w:val="auto"/>
        </w:rPr>
        <w:t xml:space="preserve">in Year 6, and a total of </w:t>
      </w:r>
      <w:r w:rsidR="00AF5D51" w:rsidRPr="00276BCA">
        <w:rPr>
          <w:color w:val="auto"/>
        </w:rPr>
        <w:t>$10 million to &lt;</w:t>
      </w:r>
      <w:r w:rsidR="00866CFB" w:rsidRPr="00276BCA">
        <w:rPr>
          <w:color w:val="auto"/>
        </w:rPr>
        <w:t> </w:t>
      </w:r>
      <w:r w:rsidR="00AF5D51" w:rsidRPr="00276BCA">
        <w:rPr>
          <w:color w:val="auto"/>
        </w:rPr>
        <w:t>$20</w:t>
      </w:r>
      <w:r w:rsidR="00866CFB" w:rsidRPr="00276BCA">
        <w:rPr>
          <w:color w:val="auto"/>
        </w:rPr>
        <w:t> </w:t>
      </w:r>
      <w:r w:rsidR="00AF5D51" w:rsidRPr="00276BCA">
        <w:rPr>
          <w:color w:val="auto"/>
        </w:rPr>
        <w:t>million</w:t>
      </w:r>
      <w:r w:rsidR="00866CFB" w:rsidRPr="00276BCA">
        <w:rPr>
          <w:color w:val="auto"/>
        </w:rPr>
        <w:t xml:space="preserve"> </w:t>
      </w:r>
      <w:r w:rsidR="008969E8" w:rsidRPr="00276BCA">
        <w:rPr>
          <w:color w:val="auto"/>
        </w:rPr>
        <w:t xml:space="preserve">in the first 6 years of listing. </w:t>
      </w:r>
    </w:p>
    <w:p w14:paraId="6B9B9C3D" w14:textId="725D5785" w:rsidR="008969E8" w:rsidRPr="00276BCA" w:rsidRDefault="00552417" w:rsidP="008969E8">
      <w:pPr>
        <w:pStyle w:val="ListParagraph"/>
        <w:numPr>
          <w:ilvl w:val="4"/>
          <w:numId w:val="8"/>
        </w:numPr>
        <w:rPr>
          <w:iCs/>
          <w:color w:val="auto"/>
        </w:rPr>
      </w:pPr>
      <w:r w:rsidRPr="00276BCA">
        <w:rPr>
          <w:iCs/>
          <w:color w:val="auto"/>
        </w:rPr>
        <w:t>The evaluation noted that a</w:t>
      </w:r>
      <w:r w:rsidR="008969E8" w:rsidRPr="00276BCA">
        <w:rPr>
          <w:iCs/>
          <w:color w:val="auto"/>
        </w:rPr>
        <w:t xml:space="preserve">lthough </w:t>
      </w:r>
      <w:proofErr w:type="spellStart"/>
      <w:r w:rsidR="008969E8" w:rsidRPr="00276BCA">
        <w:rPr>
          <w:iCs/>
          <w:color w:val="auto"/>
        </w:rPr>
        <w:t>zolbetuximab</w:t>
      </w:r>
      <w:proofErr w:type="spellEnd"/>
      <w:r w:rsidR="008969E8" w:rsidRPr="00276BCA">
        <w:rPr>
          <w:iCs/>
          <w:color w:val="auto"/>
        </w:rPr>
        <w:t xml:space="preserve"> + chemotherapy with the CLDN18 test was cost-minimised to nivolumab + chemotherapy, it resulted in a net cost to the PBS/RPBS due to difference in number of vials used (the CMA did not account for wastage) and the effect of patient co-payments (the CMA did not include co-payments). </w:t>
      </w:r>
    </w:p>
    <w:p w14:paraId="4BC5B65D" w14:textId="79D8EB62" w:rsidR="008969E8" w:rsidRPr="00276BCA" w:rsidRDefault="008969E8" w:rsidP="008969E8">
      <w:pPr>
        <w:pStyle w:val="ListParagraph"/>
        <w:numPr>
          <w:ilvl w:val="4"/>
          <w:numId w:val="8"/>
        </w:numPr>
        <w:rPr>
          <w:color w:val="auto"/>
        </w:rPr>
      </w:pPr>
      <w:bookmarkStart w:id="77" w:name="_Ref217295553"/>
      <w:r w:rsidRPr="00276BCA">
        <w:rPr>
          <w:color w:val="auto"/>
        </w:rPr>
        <w:t xml:space="preserve">The </w:t>
      </w:r>
      <w:r w:rsidR="00732C63" w:rsidRPr="00276BCA">
        <w:rPr>
          <w:color w:val="auto"/>
        </w:rPr>
        <w:t>evaluation</w:t>
      </w:r>
      <w:r w:rsidR="0013592C" w:rsidRPr="00276BCA">
        <w:rPr>
          <w:color w:val="auto"/>
        </w:rPr>
        <w:t xml:space="preserve"> considered that the </w:t>
      </w:r>
      <w:r w:rsidRPr="00276BCA">
        <w:rPr>
          <w:color w:val="auto"/>
        </w:rPr>
        <w:t>utilisation/financial estimates were uncertain due to the following issues:</w:t>
      </w:r>
      <w:bookmarkEnd w:id="77"/>
    </w:p>
    <w:p w14:paraId="7AF1DE54" w14:textId="6ECDD578" w:rsidR="008969E8" w:rsidRPr="00276BCA" w:rsidRDefault="008969E8" w:rsidP="008969E8">
      <w:pPr>
        <w:pStyle w:val="PBACESParagraphBulletPoint"/>
        <w:ind w:left="1491" w:hanging="357"/>
        <w:rPr>
          <w:color w:val="auto"/>
        </w:rPr>
      </w:pPr>
      <w:bookmarkStart w:id="78" w:name="_Hlk183791568"/>
      <w:r w:rsidRPr="00276BCA">
        <w:rPr>
          <w:color w:val="auto"/>
        </w:rPr>
        <w:t xml:space="preserve">The submission estimated the cost to the MBS using $291.78 cost per eligible patient for </w:t>
      </w:r>
      <w:proofErr w:type="spellStart"/>
      <w:r w:rsidRPr="00276BCA">
        <w:rPr>
          <w:color w:val="auto"/>
        </w:rPr>
        <w:t>zolbetuximab</w:t>
      </w:r>
      <w:proofErr w:type="spellEnd"/>
      <w:r w:rsidRPr="00276BCA">
        <w:rPr>
          <w:color w:val="auto"/>
        </w:rPr>
        <w:t xml:space="preserve">, based on proposed MBS item fee for CLDN18 test ($112) and the weighted proportion of CLDN18.2+ patients from key clinical </w:t>
      </w:r>
      <w:r w:rsidRPr="00276BCA">
        <w:rPr>
          <w:color w:val="auto"/>
        </w:rPr>
        <w:lastRenderedPageBreak/>
        <w:t xml:space="preserve">trials (38.38%). However, </w:t>
      </w:r>
      <w:r w:rsidR="00B117AC" w:rsidRPr="00276BCA">
        <w:rPr>
          <w:color w:val="auto"/>
        </w:rPr>
        <w:t xml:space="preserve">the </w:t>
      </w:r>
      <w:r w:rsidR="00247CC1" w:rsidRPr="00276BCA">
        <w:rPr>
          <w:color w:val="auto"/>
        </w:rPr>
        <w:t>evaluation</w:t>
      </w:r>
      <w:r w:rsidR="00B117AC" w:rsidRPr="00276BCA">
        <w:rPr>
          <w:color w:val="auto"/>
        </w:rPr>
        <w:t xml:space="preserve"> </w:t>
      </w:r>
      <w:r w:rsidR="004A5560" w:rsidRPr="00276BCA">
        <w:rPr>
          <w:color w:val="auto"/>
        </w:rPr>
        <w:t>considered</w:t>
      </w:r>
      <w:r w:rsidR="00B117AC" w:rsidRPr="00276BCA">
        <w:rPr>
          <w:color w:val="auto"/>
        </w:rPr>
        <w:t xml:space="preserve"> that </w:t>
      </w:r>
      <w:r w:rsidRPr="00276BCA">
        <w:rPr>
          <w:color w:val="auto"/>
        </w:rPr>
        <w:t>this approach underestimate</w:t>
      </w:r>
      <w:r w:rsidR="00AD4194" w:rsidRPr="00276BCA">
        <w:rPr>
          <w:color w:val="auto"/>
        </w:rPr>
        <w:t>d</w:t>
      </w:r>
      <w:r w:rsidRPr="00276BCA">
        <w:rPr>
          <w:color w:val="auto"/>
        </w:rPr>
        <w:t xml:space="preserve"> the actual number of patients undergoing CLDN18 testing </w:t>
      </w:r>
      <w:r w:rsidRPr="00276BCA">
        <w:rPr>
          <w:rFonts w:cstheme="minorHAnsi"/>
          <w:color w:val="auto"/>
        </w:rPr>
        <w:t>if HER2 and CLDN18 are tested together</w:t>
      </w:r>
      <w:r w:rsidRPr="00276BCA">
        <w:rPr>
          <w:color w:val="auto"/>
        </w:rPr>
        <w:t xml:space="preserve">. Instead, the MBS item fee of $112 per test should be applied to all patients with advanced or metastatic GC/GOJ who have ECOG PS of 0-1. Using this approach, the total cost to the MBS increases by 35% (assuming </w:t>
      </w:r>
      <w:proofErr w:type="gramStart"/>
      <w:r w:rsidR="00E36329" w:rsidRPr="00276BCA">
        <w:rPr>
          <w:color w:val="000000"/>
          <w:w w:val="15"/>
          <w:shd w:val="solid" w:color="000000" w:fill="000000"/>
          <w14:textFill>
            <w14:solidFill>
              <w14:srgbClr w14:val="000000">
                <w14:alpha w14:val="100000"/>
              </w14:srgbClr>
            </w14:solidFill>
          </w14:textFill>
        </w:rPr>
        <w:t xml:space="preserve">| </w:t>
      </w:r>
      <w:r w:rsidR="00E36329" w:rsidRPr="00503571">
        <w:rPr>
          <w:color w:val="000000"/>
          <w:shd w:val="solid" w:color="000000" w:fill="000000"/>
          <w14:textFill>
            <w14:solidFill>
              <w14:srgbClr w14:val="000000">
                <w14:alpha w14:val="100000"/>
              </w14:srgbClr>
            </w14:solidFill>
          </w14:textFill>
        </w:rPr>
        <w:t xml:space="preserve"> |</w:t>
      </w:r>
      <w:proofErr w:type="gramEnd"/>
      <w:r w:rsidRPr="00276BCA">
        <w:rPr>
          <w:color w:val="auto"/>
        </w:rPr>
        <w:t xml:space="preserve">% uptake rate) and 21% (assuming </w:t>
      </w:r>
      <w:proofErr w:type="gramStart"/>
      <w:r w:rsidR="00E36329" w:rsidRPr="00276BCA">
        <w:rPr>
          <w:color w:val="000000"/>
          <w:w w:val="15"/>
          <w:shd w:val="solid" w:color="000000" w:fill="000000"/>
          <w14:textFill>
            <w14:solidFill>
              <w14:srgbClr w14:val="000000">
                <w14:alpha w14:val="100000"/>
              </w14:srgbClr>
            </w14:solidFill>
          </w14:textFill>
        </w:rPr>
        <w:t xml:space="preserve">| </w:t>
      </w:r>
      <w:r w:rsidR="00E36329" w:rsidRPr="00503571">
        <w:rPr>
          <w:color w:val="000000"/>
          <w:shd w:val="solid" w:color="000000" w:fill="000000"/>
          <w14:textFill>
            <w14:solidFill>
              <w14:srgbClr w14:val="000000">
                <w14:alpha w14:val="100000"/>
              </w14:srgbClr>
            </w14:solidFill>
          </w14:textFill>
        </w:rPr>
        <w:t xml:space="preserve"> |</w:t>
      </w:r>
      <w:proofErr w:type="gramEnd"/>
      <w:r w:rsidRPr="00276BCA">
        <w:rPr>
          <w:color w:val="auto"/>
        </w:rPr>
        <w:t>% uptake rate).</w:t>
      </w:r>
    </w:p>
    <w:p w14:paraId="2BEB46D6" w14:textId="1300303E" w:rsidR="008969E8" w:rsidRPr="00276BCA" w:rsidRDefault="008969E8" w:rsidP="008969E8">
      <w:pPr>
        <w:pStyle w:val="PBACESParagraphBulletPoint"/>
        <w:ind w:left="1491" w:hanging="357"/>
        <w:rPr>
          <w:color w:val="auto"/>
        </w:rPr>
      </w:pPr>
      <w:r w:rsidRPr="00276BCA">
        <w:rPr>
          <w:rFonts w:cstheme="minorHAnsi"/>
          <w:color w:val="auto"/>
        </w:rPr>
        <w:t>According to the updated MBS item descriptor, which include</w:t>
      </w:r>
      <w:r w:rsidR="00A51B23" w:rsidRPr="00276BCA">
        <w:rPr>
          <w:rFonts w:cstheme="minorHAnsi"/>
          <w:color w:val="auto"/>
        </w:rPr>
        <w:t>d</w:t>
      </w:r>
      <w:r w:rsidRPr="00276BCA">
        <w:rPr>
          <w:rFonts w:cstheme="minorHAnsi"/>
          <w:color w:val="auto"/>
        </w:rPr>
        <w:t xml:space="preserve"> a practice note specifying that CLDN18 testing is pathologist determinable, CLDN18 testing may be performed following a negative HER2 test. The </w:t>
      </w:r>
      <w:r w:rsidR="00160457" w:rsidRPr="00276BCA">
        <w:rPr>
          <w:rFonts w:cstheme="minorHAnsi"/>
          <w:color w:val="auto"/>
        </w:rPr>
        <w:t xml:space="preserve">evaluation noted that </w:t>
      </w:r>
      <w:r w:rsidRPr="00276BCA">
        <w:rPr>
          <w:rFonts w:cstheme="minorHAnsi"/>
          <w:color w:val="auto"/>
        </w:rPr>
        <w:t xml:space="preserve">financial impact to the MBS estimated during evaluation </w:t>
      </w:r>
      <w:r w:rsidR="00160457" w:rsidRPr="00276BCA">
        <w:rPr>
          <w:rFonts w:cstheme="minorHAnsi"/>
          <w:color w:val="auto"/>
        </w:rPr>
        <w:t>would be lower</w:t>
      </w:r>
      <w:r w:rsidRPr="00276BCA">
        <w:rPr>
          <w:rFonts w:cstheme="minorHAnsi"/>
          <w:color w:val="auto"/>
        </w:rPr>
        <w:t xml:space="preserve"> if CLDN18 tests are</w:t>
      </w:r>
      <w:r w:rsidR="00CF40C2" w:rsidRPr="00276BCA">
        <w:rPr>
          <w:rFonts w:cstheme="minorHAnsi"/>
          <w:color w:val="auto"/>
        </w:rPr>
        <w:t xml:space="preserve"> performed only</w:t>
      </w:r>
      <w:r w:rsidRPr="00276BCA">
        <w:rPr>
          <w:rFonts w:cstheme="minorHAnsi"/>
          <w:color w:val="auto"/>
        </w:rPr>
        <w:t xml:space="preserve"> following a negative HER2 test, resulting in a cost of </w:t>
      </w:r>
      <w:r w:rsidR="005F651F" w:rsidRPr="00276BCA">
        <w:t>$0 to &lt; $10 million</w:t>
      </w:r>
      <w:r w:rsidR="005F651F" w:rsidRPr="00276BCA">
        <w:rPr>
          <w:rFonts w:cstheme="minorHAnsi"/>
          <w:color w:val="auto"/>
        </w:rPr>
        <w:t xml:space="preserve"> </w:t>
      </w:r>
      <w:r w:rsidRPr="00276BCA">
        <w:rPr>
          <w:rFonts w:cstheme="minorHAnsi"/>
          <w:color w:val="auto"/>
        </w:rPr>
        <w:t xml:space="preserve">to the MBS over six years of listing, compared to </w:t>
      </w:r>
      <w:r w:rsidR="005F651F" w:rsidRPr="00276BCA">
        <w:t>$0 to &lt; $10 million</w:t>
      </w:r>
      <w:r w:rsidR="005F651F" w:rsidRPr="00276BCA">
        <w:rPr>
          <w:rFonts w:cstheme="minorHAnsi"/>
          <w:color w:val="auto"/>
        </w:rPr>
        <w:t xml:space="preserve"> </w:t>
      </w:r>
      <w:r w:rsidRPr="00276BCA">
        <w:rPr>
          <w:rFonts w:cstheme="minorHAnsi"/>
          <w:color w:val="auto"/>
        </w:rPr>
        <w:t xml:space="preserve">if all eligible patients with advanced G/GOJ are tested for both HER2 and CLDN18. </w:t>
      </w:r>
    </w:p>
    <w:p w14:paraId="7C093F34" w14:textId="773E73C6" w:rsidR="008969E8" w:rsidRPr="00276BCA" w:rsidRDefault="008969E8" w:rsidP="008969E8">
      <w:pPr>
        <w:pStyle w:val="PBACESParagraphBulletPoint"/>
        <w:ind w:left="1491" w:hanging="357"/>
        <w:rPr>
          <w:color w:val="auto"/>
        </w:rPr>
      </w:pPr>
      <w:r w:rsidRPr="00276BCA">
        <w:rPr>
          <w:color w:val="auto"/>
        </w:rPr>
        <w:t xml:space="preserve">The </w:t>
      </w:r>
      <w:r w:rsidR="00490580" w:rsidRPr="00276BCA">
        <w:rPr>
          <w:color w:val="auto"/>
        </w:rPr>
        <w:t>evaluation noted the</w:t>
      </w:r>
      <w:r w:rsidR="001E5F55" w:rsidRPr="00276BCA">
        <w:rPr>
          <w:color w:val="auto"/>
        </w:rPr>
        <w:t xml:space="preserve"> </w:t>
      </w:r>
      <w:r w:rsidRPr="00276BCA">
        <w:rPr>
          <w:color w:val="auto"/>
        </w:rPr>
        <w:t xml:space="preserve">inherent uncertainty about the proportion of patients testing positive for CLDN18.2 expression in Australia, as the trials were conducted internationally. </w:t>
      </w:r>
    </w:p>
    <w:p w14:paraId="09CAA854" w14:textId="401FA1D0" w:rsidR="008969E8" w:rsidRPr="00276BCA" w:rsidRDefault="003D01BB" w:rsidP="008969E8">
      <w:pPr>
        <w:pStyle w:val="PBACESParagraphBulletPoint"/>
        <w:ind w:left="1491" w:hanging="357"/>
        <w:rPr>
          <w:color w:val="auto"/>
        </w:rPr>
      </w:pPr>
      <w:r w:rsidRPr="00276BCA">
        <w:rPr>
          <w:color w:val="auto"/>
        </w:rPr>
        <w:t>The</w:t>
      </w:r>
      <w:r w:rsidR="00DB046A" w:rsidRPr="00276BCA">
        <w:rPr>
          <w:color w:val="auto"/>
        </w:rPr>
        <w:t xml:space="preserve"> evaluation</w:t>
      </w:r>
      <w:r w:rsidR="00FA2D26" w:rsidRPr="00276BCA">
        <w:rPr>
          <w:color w:val="auto"/>
        </w:rPr>
        <w:t>, the ESCs and DUSC</w:t>
      </w:r>
      <w:r w:rsidR="00DB046A" w:rsidRPr="00276BCA">
        <w:rPr>
          <w:color w:val="auto"/>
        </w:rPr>
        <w:t xml:space="preserve"> considered that </w:t>
      </w:r>
      <w:r w:rsidR="008969E8" w:rsidRPr="00276BCA">
        <w:rPr>
          <w:color w:val="auto"/>
        </w:rPr>
        <w:t xml:space="preserve">chemotherapy alone is a relevant comparator for patients who received nivolumab therapy for Stage II/III disease and subsequently relapsed. Since the cost of chemotherapy alone is lower than the combination of nivolumab and chemotherapy, the </w:t>
      </w:r>
      <w:r w:rsidR="00FA2D26" w:rsidRPr="00276BCA">
        <w:rPr>
          <w:color w:val="auto"/>
        </w:rPr>
        <w:t xml:space="preserve">evaluation considered that </w:t>
      </w:r>
      <w:r w:rsidR="008969E8" w:rsidRPr="00276BCA">
        <w:rPr>
          <w:color w:val="auto"/>
        </w:rPr>
        <w:t>cost-offsets presented in the submission may be overestimated</w:t>
      </w:r>
      <w:r w:rsidR="00651DAE" w:rsidRPr="00276BCA">
        <w:rPr>
          <w:color w:val="auto"/>
        </w:rPr>
        <w:t>, however noted that this cohort is likely to be smal</w:t>
      </w:r>
      <w:r w:rsidR="001E1573" w:rsidRPr="00276BCA">
        <w:rPr>
          <w:color w:val="auto"/>
        </w:rPr>
        <w:t>l</w:t>
      </w:r>
      <w:r w:rsidR="008969E8" w:rsidRPr="00276BCA">
        <w:rPr>
          <w:color w:val="auto"/>
        </w:rPr>
        <w:t xml:space="preserve">. </w:t>
      </w:r>
    </w:p>
    <w:p w14:paraId="3EA84A80" w14:textId="48ABBA62" w:rsidR="008969E8" w:rsidRPr="00276BCA" w:rsidRDefault="008969E8" w:rsidP="008969E8">
      <w:pPr>
        <w:pStyle w:val="PBACESParagraphBulletPoint"/>
        <w:ind w:left="1491" w:hanging="357"/>
        <w:rPr>
          <w:iCs/>
          <w:color w:val="auto"/>
        </w:rPr>
      </w:pPr>
      <w:proofErr w:type="gramStart"/>
      <w:r w:rsidRPr="00276BCA">
        <w:rPr>
          <w:iCs/>
          <w:color w:val="auto"/>
        </w:rPr>
        <w:t>Similar to</w:t>
      </w:r>
      <w:proofErr w:type="gramEnd"/>
      <w:r w:rsidRPr="00276BCA">
        <w:rPr>
          <w:iCs/>
          <w:color w:val="auto"/>
        </w:rPr>
        <w:t xml:space="preserve"> </w:t>
      </w:r>
      <w:r w:rsidR="00AF42A8" w:rsidRPr="00276BCA">
        <w:rPr>
          <w:iCs/>
          <w:color w:val="auto"/>
        </w:rPr>
        <w:t xml:space="preserve">the </w:t>
      </w:r>
      <w:r w:rsidRPr="00276BCA">
        <w:rPr>
          <w:iCs/>
          <w:color w:val="auto"/>
        </w:rPr>
        <w:t xml:space="preserve">CMA, the submission estimated the mean duration of treatment for nivolumab using an exponential distribution based on the median duration observed in the nivolumab + chemotherapy arm. </w:t>
      </w:r>
    </w:p>
    <w:p w14:paraId="133F4BD7" w14:textId="04C1C4E9" w:rsidR="00A03237" w:rsidRPr="00276BCA" w:rsidRDefault="008969E8" w:rsidP="005441C6">
      <w:pPr>
        <w:pStyle w:val="PBACESParagraphBulletPoint"/>
        <w:ind w:left="1491" w:hanging="357"/>
        <w:rPr>
          <w:iCs/>
          <w:color w:val="auto"/>
        </w:rPr>
      </w:pPr>
      <w:r w:rsidRPr="00276BCA">
        <w:rPr>
          <w:iCs/>
          <w:color w:val="auto"/>
        </w:rPr>
        <w:t xml:space="preserve">The submission </w:t>
      </w:r>
      <w:r w:rsidR="000E004F" w:rsidRPr="00276BCA">
        <w:rPr>
          <w:iCs/>
          <w:color w:val="auto"/>
        </w:rPr>
        <w:t>claim</w:t>
      </w:r>
      <w:r w:rsidRPr="00276BCA">
        <w:rPr>
          <w:iCs/>
          <w:color w:val="auto"/>
        </w:rPr>
        <w:t xml:space="preserve">ed that use of CLDN18 testing would result in the majority of those with CLDN18.2+ expression receiving </w:t>
      </w:r>
      <w:proofErr w:type="spellStart"/>
      <w:r w:rsidRPr="00276BCA">
        <w:rPr>
          <w:iCs/>
          <w:color w:val="auto"/>
        </w:rPr>
        <w:t>zolbetuximab</w:t>
      </w:r>
      <w:proofErr w:type="spellEnd"/>
      <w:r w:rsidRPr="00276BCA">
        <w:rPr>
          <w:iCs/>
          <w:color w:val="auto"/>
        </w:rPr>
        <w:t xml:space="preserve"> + chemotherapy</w:t>
      </w:r>
      <w:r w:rsidR="00E16DC6" w:rsidRPr="00276BCA">
        <w:rPr>
          <w:iCs/>
          <w:color w:val="auto"/>
        </w:rPr>
        <w:t xml:space="preserve">, but did not present sufficient justification to support the assumption of </w:t>
      </w:r>
      <w:r w:rsidR="00E36329" w:rsidRPr="00276BCA">
        <w:rPr>
          <w:color w:val="000000"/>
          <w:shd w:val="solid" w:color="000000" w:fill="000000"/>
          <w14:textFill>
            <w14:solidFill>
              <w14:srgbClr w14:val="000000">
                <w14:alpha w14:val="100000"/>
              </w14:srgbClr>
            </w14:solidFill>
          </w14:textFill>
        </w:rPr>
        <w:t>|</w:t>
      </w:r>
      <w:r w:rsidR="00E36329" w:rsidRPr="00276BCA">
        <w:rPr>
          <w:color w:val="000000"/>
          <w:w w:val="15"/>
          <w:shd w:val="solid" w:color="000000" w:fill="000000"/>
          <w14:textFill>
            <w14:solidFill>
              <w14:srgbClr w14:val="000000">
                <w14:alpha w14:val="100000"/>
              </w14:srgbClr>
            </w14:solidFill>
          </w14:textFill>
        </w:rPr>
        <w:t xml:space="preserve">  </w:t>
      </w:r>
      <w:r w:rsidR="00E36329" w:rsidRPr="00503571">
        <w:rPr>
          <w:color w:val="000000"/>
          <w:spacing w:val="-69"/>
          <w:w w:val="15"/>
          <w:shd w:val="solid" w:color="000000" w:fill="000000"/>
          <w14:textFill>
            <w14:solidFill>
              <w14:srgbClr w14:val="000000">
                <w14:alpha w14:val="100000"/>
              </w14:srgbClr>
            </w14:solidFill>
          </w14:textFill>
        </w:rPr>
        <w:t>|</w:t>
      </w:r>
      <w:r w:rsidR="00E16DC6" w:rsidRPr="00276BCA">
        <w:rPr>
          <w:iCs/>
          <w:color w:val="auto"/>
        </w:rPr>
        <w:t xml:space="preserve">% uptake rate for </w:t>
      </w:r>
      <w:proofErr w:type="spellStart"/>
      <w:r w:rsidR="00E16DC6" w:rsidRPr="00276BCA">
        <w:rPr>
          <w:iCs/>
          <w:color w:val="auto"/>
        </w:rPr>
        <w:t>zolbetuximab</w:t>
      </w:r>
      <w:proofErr w:type="spellEnd"/>
      <w:r w:rsidR="00E16DC6" w:rsidRPr="00276BCA">
        <w:rPr>
          <w:iCs/>
          <w:color w:val="auto"/>
        </w:rPr>
        <w:t xml:space="preserve"> in the first year, with an absolute annual increase of </w:t>
      </w:r>
      <w:r w:rsidR="00E36329" w:rsidRPr="00276BCA">
        <w:rPr>
          <w:color w:val="000000"/>
          <w:shd w:val="solid" w:color="000000" w:fill="000000"/>
          <w14:textFill>
            <w14:solidFill>
              <w14:srgbClr w14:val="000000">
                <w14:alpha w14:val="100000"/>
              </w14:srgbClr>
            </w14:solidFill>
          </w14:textFill>
        </w:rPr>
        <w:t>|</w:t>
      </w:r>
      <w:r w:rsidR="00E36329" w:rsidRPr="00276BCA">
        <w:rPr>
          <w:color w:val="000000"/>
          <w:w w:val="15"/>
          <w:shd w:val="solid" w:color="000000" w:fill="000000"/>
          <w14:textFill>
            <w14:solidFill>
              <w14:srgbClr w14:val="000000">
                <w14:alpha w14:val="100000"/>
              </w14:srgbClr>
            </w14:solidFill>
          </w14:textFill>
        </w:rPr>
        <w:t xml:space="preserve">  </w:t>
      </w:r>
      <w:r w:rsidR="00E36329" w:rsidRPr="00503571">
        <w:rPr>
          <w:color w:val="000000"/>
          <w:spacing w:val="-69"/>
          <w:w w:val="15"/>
          <w:shd w:val="solid" w:color="000000" w:fill="000000"/>
          <w14:textFill>
            <w14:solidFill>
              <w14:srgbClr w14:val="000000">
                <w14:alpha w14:val="100000"/>
              </w14:srgbClr>
            </w14:solidFill>
          </w14:textFill>
        </w:rPr>
        <w:t>|</w:t>
      </w:r>
      <w:r w:rsidR="00E16DC6" w:rsidRPr="00276BCA">
        <w:rPr>
          <w:iCs/>
          <w:color w:val="auto"/>
        </w:rPr>
        <w:t xml:space="preserve">% each year until it reaches a cap of </w:t>
      </w:r>
      <w:r w:rsidR="00E36329" w:rsidRPr="00276BCA">
        <w:rPr>
          <w:color w:val="000000"/>
          <w:shd w:val="solid" w:color="000000" w:fill="000000"/>
          <w14:textFill>
            <w14:solidFill>
              <w14:srgbClr w14:val="000000">
                <w14:alpha w14:val="100000"/>
              </w14:srgbClr>
            </w14:solidFill>
          </w14:textFill>
        </w:rPr>
        <w:t>|</w:t>
      </w:r>
      <w:r w:rsidR="00E36329" w:rsidRPr="00276BCA">
        <w:rPr>
          <w:color w:val="000000"/>
          <w:w w:val="15"/>
          <w:shd w:val="solid" w:color="000000" w:fill="000000"/>
          <w14:textFill>
            <w14:solidFill>
              <w14:srgbClr w14:val="000000">
                <w14:alpha w14:val="100000"/>
              </w14:srgbClr>
            </w14:solidFill>
          </w14:textFill>
        </w:rPr>
        <w:t xml:space="preserve">  </w:t>
      </w:r>
      <w:r w:rsidR="00E36329" w:rsidRPr="00503571">
        <w:rPr>
          <w:color w:val="000000"/>
          <w:spacing w:val="-69"/>
          <w:w w:val="15"/>
          <w:shd w:val="solid" w:color="000000" w:fill="000000"/>
          <w14:textFill>
            <w14:solidFill>
              <w14:srgbClr w14:val="000000">
                <w14:alpha w14:val="100000"/>
              </w14:srgbClr>
            </w14:solidFill>
          </w14:textFill>
        </w:rPr>
        <w:t>|</w:t>
      </w:r>
      <w:r w:rsidR="00E16DC6" w:rsidRPr="00276BCA">
        <w:rPr>
          <w:iCs/>
          <w:color w:val="auto"/>
        </w:rPr>
        <w:t>%.</w:t>
      </w:r>
      <w:r w:rsidR="00423EA5" w:rsidRPr="00276BCA">
        <w:rPr>
          <w:iCs/>
          <w:color w:val="auto"/>
        </w:rPr>
        <w:t xml:space="preserve"> T</w:t>
      </w:r>
      <w:r w:rsidR="00A03237" w:rsidRPr="00276BCA">
        <w:rPr>
          <w:iCs/>
          <w:color w:val="auto"/>
        </w:rPr>
        <w:t>he DUSC and the ESCs considered this to be overestimated given the modest clinical benefit</w:t>
      </w:r>
      <w:r w:rsidR="00E16DC6" w:rsidRPr="00276BCA">
        <w:rPr>
          <w:iCs/>
          <w:color w:val="auto"/>
        </w:rPr>
        <w:t xml:space="preserve"> and gastrointestinal AEs </w:t>
      </w:r>
      <w:r w:rsidR="000A2A7D" w:rsidRPr="00276BCA">
        <w:rPr>
          <w:iCs/>
          <w:color w:val="auto"/>
        </w:rPr>
        <w:t>associated</w:t>
      </w:r>
      <w:r w:rsidR="00E16DC6" w:rsidRPr="00276BCA">
        <w:rPr>
          <w:iCs/>
          <w:color w:val="auto"/>
        </w:rPr>
        <w:t xml:space="preserve"> with </w:t>
      </w:r>
      <w:proofErr w:type="spellStart"/>
      <w:r w:rsidR="00E16DC6" w:rsidRPr="00276BCA">
        <w:rPr>
          <w:iCs/>
          <w:color w:val="auto"/>
        </w:rPr>
        <w:t>zolbetuximab</w:t>
      </w:r>
      <w:proofErr w:type="spellEnd"/>
      <w:r w:rsidR="00E16DC6" w:rsidRPr="00276BCA">
        <w:rPr>
          <w:iCs/>
          <w:color w:val="auto"/>
        </w:rPr>
        <w:t xml:space="preserve"> compared to nivolumab. </w:t>
      </w:r>
      <w:r w:rsidR="00B53D37" w:rsidRPr="00276BCA">
        <w:rPr>
          <w:iCs/>
          <w:color w:val="auto"/>
        </w:rPr>
        <w:t xml:space="preserve">DUSC considered that clinical </w:t>
      </w:r>
      <w:r w:rsidR="0015244D" w:rsidRPr="00276BCA">
        <w:rPr>
          <w:iCs/>
          <w:color w:val="auto"/>
        </w:rPr>
        <w:t xml:space="preserve">preference </w:t>
      </w:r>
      <w:r w:rsidR="00B53D37" w:rsidRPr="00276BCA">
        <w:rPr>
          <w:iCs/>
          <w:color w:val="auto"/>
        </w:rPr>
        <w:t xml:space="preserve">for </w:t>
      </w:r>
      <w:proofErr w:type="spellStart"/>
      <w:r w:rsidR="00B53D37" w:rsidRPr="00276BCA">
        <w:rPr>
          <w:iCs/>
          <w:color w:val="auto"/>
        </w:rPr>
        <w:t>zolbetuximab</w:t>
      </w:r>
      <w:proofErr w:type="spellEnd"/>
      <w:r w:rsidR="00B53D37" w:rsidRPr="00276BCA">
        <w:rPr>
          <w:iCs/>
          <w:color w:val="auto"/>
        </w:rPr>
        <w:t xml:space="preserve"> may increase</w:t>
      </w:r>
      <w:r w:rsidR="00551613" w:rsidRPr="00276BCA">
        <w:rPr>
          <w:iCs/>
          <w:color w:val="auto"/>
        </w:rPr>
        <w:t xml:space="preserve"> for patients with low PD-L1 expression</w:t>
      </w:r>
      <w:r w:rsidR="00B53D37" w:rsidRPr="00276BCA">
        <w:rPr>
          <w:iCs/>
          <w:color w:val="auto"/>
        </w:rPr>
        <w:t xml:space="preserve"> if PD-L1 CPS testing became routine practice in </w:t>
      </w:r>
      <w:proofErr w:type="gramStart"/>
      <w:r w:rsidR="00B53D37" w:rsidRPr="00276BCA">
        <w:rPr>
          <w:iCs/>
          <w:color w:val="auto"/>
        </w:rPr>
        <w:t>Australia</w:t>
      </w:r>
      <w:r w:rsidR="003F0863" w:rsidRPr="00276BCA">
        <w:rPr>
          <w:iCs/>
          <w:color w:val="auto"/>
        </w:rPr>
        <w:t>,</w:t>
      </w:r>
      <w:r w:rsidR="00B53D37" w:rsidRPr="00276BCA">
        <w:rPr>
          <w:iCs/>
          <w:color w:val="auto"/>
        </w:rPr>
        <w:t xml:space="preserve"> </w:t>
      </w:r>
      <w:r w:rsidR="00551613" w:rsidRPr="00276BCA">
        <w:rPr>
          <w:iCs/>
          <w:color w:val="auto"/>
        </w:rPr>
        <w:t>but</w:t>
      </w:r>
      <w:proofErr w:type="gramEnd"/>
      <w:r w:rsidR="00551613" w:rsidRPr="00276BCA">
        <w:rPr>
          <w:iCs/>
          <w:color w:val="auto"/>
        </w:rPr>
        <w:t xml:space="preserve"> would be </w:t>
      </w:r>
      <w:r w:rsidR="00B53D37" w:rsidRPr="00276BCA">
        <w:rPr>
          <w:iCs/>
          <w:color w:val="auto"/>
        </w:rPr>
        <w:t xml:space="preserve">lower </w:t>
      </w:r>
      <w:r w:rsidR="00551613" w:rsidRPr="00276BCA">
        <w:rPr>
          <w:iCs/>
          <w:color w:val="auto"/>
        </w:rPr>
        <w:t>for patients with high or unknown CPS scores.</w:t>
      </w:r>
      <w:r w:rsidR="00551613" w:rsidRPr="00276BCA">
        <w:rPr>
          <w:rFonts w:ascii="Arial Narrow" w:hAnsi="Arial Narrow"/>
          <w:iCs/>
          <w:szCs w:val="20"/>
        </w:rPr>
        <w:t xml:space="preserve"> </w:t>
      </w:r>
    </w:p>
    <w:p w14:paraId="78A8502A" w14:textId="05DC9C00" w:rsidR="008969E8" w:rsidRPr="00276BCA" w:rsidRDefault="008969E8" w:rsidP="008969E8">
      <w:pPr>
        <w:pStyle w:val="PBACESParagraphBulletPoint"/>
        <w:ind w:left="1491" w:hanging="357"/>
        <w:rPr>
          <w:color w:val="auto"/>
        </w:rPr>
      </w:pPr>
      <w:r w:rsidRPr="00276BCA">
        <w:rPr>
          <w:color w:val="auto"/>
        </w:rPr>
        <w:lastRenderedPageBreak/>
        <w:t xml:space="preserve">The submission estimated </w:t>
      </w:r>
      <w:r w:rsidR="00593A92" w:rsidRPr="00276BCA">
        <w:rPr>
          <w:color w:val="auto"/>
        </w:rPr>
        <w:t>&lt;</w:t>
      </w:r>
      <w:r w:rsidR="00392E96" w:rsidRPr="00276BCA">
        <w:rPr>
          <w:color w:val="auto"/>
        </w:rPr>
        <w:t> </w:t>
      </w:r>
      <w:r w:rsidR="00593A92" w:rsidRPr="00276BCA">
        <w:rPr>
          <w:color w:val="auto"/>
        </w:rPr>
        <w:t xml:space="preserve">500 </w:t>
      </w:r>
      <w:r w:rsidRPr="00276BCA">
        <w:rPr>
          <w:color w:val="auto"/>
        </w:rPr>
        <w:t xml:space="preserve">patients, based on Sponsor’s internal forecast, would transition from non-PBS to PBS-subsidised supply for </w:t>
      </w:r>
      <w:proofErr w:type="spellStart"/>
      <w:r w:rsidRPr="00276BCA">
        <w:rPr>
          <w:color w:val="auto"/>
        </w:rPr>
        <w:t>zolbetuximab</w:t>
      </w:r>
      <w:proofErr w:type="spellEnd"/>
      <w:r w:rsidRPr="00276BCA">
        <w:rPr>
          <w:color w:val="auto"/>
        </w:rPr>
        <w:t xml:space="preserve">. </w:t>
      </w:r>
    </w:p>
    <w:p w14:paraId="3544F6BC" w14:textId="0B36D7E1" w:rsidR="001D44AC" w:rsidRPr="00276BCA" w:rsidRDefault="00583057">
      <w:pPr>
        <w:pStyle w:val="ListParagraph"/>
        <w:numPr>
          <w:ilvl w:val="4"/>
          <w:numId w:val="8"/>
        </w:numPr>
        <w:rPr>
          <w:iCs/>
          <w:color w:val="auto"/>
        </w:rPr>
      </w:pPr>
      <w:r w:rsidRPr="00276BCA">
        <w:rPr>
          <w:iCs/>
          <w:color w:val="auto"/>
        </w:rPr>
        <w:t xml:space="preserve">Overall, </w:t>
      </w:r>
      <w:r w:rsidR="001F5123" w:rsidRPr="00276BCA">
        <w:rPr>
          <w:iCs/>
          <w:color w:val="auto"/>
        </w:rPr>
        <w:t>DUSC</w:t>
      </w:r>
      <w:r w:rsidR="00C53677" w:rsidRPr="00276BCA">
        <w:rPr>
          <w:iCs/>
          <w:color w:val="auto"/>
        </w:rPr>
        <w:t xml:space="preserve"> considered</w:t>
      </w:r>
      <w:r w:rsidR="001F5123" w:rsidRPr="00276BCA">
        <w:rPr>
          <w:iCs/>
          <w:color w:val="auto"/>
        </w:rPr>
        <w:t xml:space="preserve"> that the financial estimates for </w:t>
      </w:r>
      <w:proofErr w:type="spellStart"/>
      <w:r w:rsidR="001F5123" w:rsidRPr="00276BCA">
        <w:rPr>
          <w:iCs/>
          <w:color w:val="auto"/>
        </w:rPr>
        <w:t>zolbetuximab</w:t>
      </w:r>
      <w:proofErr w:type="spellEnd"/>
      <w:r w:rsidR="001F5123" w:rsidRPr="00276BCA">
        <w:rPr>
          <w:iCs/>
          <w:color w:val="auto"/>
        </w:rPr>
        <w:t xml:space="preserve"> were likely to be underestimated</w:t>
      </w:r>
      <w:r w:rsidRPr="00276BCA">
        <w:rPr>
          <w:iCs/>
          <w:color w:val="auto"/>
        </w:rPr>
        <w:t>,</w:t>
      </w:r>
      <w:r w:rsidR="00F55680" w:rsidRPr="00276BCA">
        <w:rPr>
          <w:iCs/>
          <w:color w:val="auto"/>
        </w:rPr>
        <w:t xml:space="preserve"> which was</w:t>
      </w:r>
      <w:r w:rsidRPr="00276BCA">
        <w:rPr>
          <w:iCs/>
          <w:color w:val="auto"/>
        </w:rPr>
        <w:t xml:space="preserve"> </w:t>
      </w:r>
      <w:r w:rsidR="001F5123" w:rsidRPr="00276BCA">
        <w:rPr>
          <w:iCs/>
          <w:color w:val="auto"/>
        </w:rPr>
        <w:t>largely attributed to the lack of a prevalent population and an overestimation of cost offsets.</w:t>
      </w:r>
      <w:r w:rsidR="00F55680" w:rsidRPr="00276BCA">
        <w:rPr>
          <w:iCs/>
          <w:color w:val="auto"/>
        </w:rPr>
        <w:t xml:space="preserve"> </w:t>
      </w:r>
    </w:p>
    <w:p w14:paraId="72C2BCCB" w14:textId="4D5E49E0" w:rsidR="001F5123" w:rsidRPr="00276BCA" w:rsidRDefault="001F5123" w:rsidP="001D44AC">
      <w:pPr>
        <w:pStyle w:val="PBACESParagraphBulletPoint"/>
        <w:ind w:left="1491" w:hanging="357"/>
        <w:rPr>
          <w:iCs/>
          <w:color w:val="auto"/>
        </w:rPr>
      </w:pPr>
      <w:r w:rsidRPr="00276BCA">
        <w:rPr>
          <w:iCs/>
          <w:color w:val="auto"/>
        </w:rPr>
        <w:t xml:space="preserve">DUSC considered that the poor prognosis of advanced gastric or gastroesophageal junction cancers does not preclude the proposed epidemiological model from including a prevalent population. </w:t>
      </w:r>
    </w:p>
    <w:p w14:paraId="72160EED" w14:textId="11D160E5" w:rsidR="00E65AA5" w:rsidRPr="00276BCA" w:rsidRDefault="00E65AA5" w:rsidP="00313627">
      <w:pPr>
        <w:pStyle w:val="PBACESParagraphBulletPoint"/>
        <w:ind w:left="1491" w:hanging="357"/>
        <w:rPr>
          <w:iCs/>
        </w:rPr>
      </w:pPr>
      <w:r w:rsidRPr="00276BCA">
        <w:rPr>
          <w:color w:val="auto"/>
        </w:rPr>
        <w:t xml:space="preserve">DUSC considered that the larger uncertainty with regards to inappropriately applied cost offsets was due to the split between CAPOX and FOLFOX at 50%/50%. DUSC noted the sensitivity analysis in the commentary which indicates a split of 20%/80% </w:t>
      </w:r>
      <w:r w:rsidR="00113067" w:rsidRPr="00276BCA">
        <w:rPr>
          <w:color w:val="auto"/>
        </w:rPr>
        <w:t xml:space="preserve">resulted in </w:t>
      </w:r>
      <w:r w:rsidRPr="00276BCA">
        <w:rPr>
          <w:color w:val="auto"/>
        </w:rPr>
        <w:t>a doubling in the overall estimates.</w:t>
      </w:r>
      <w:r w:rsidR="00FB3080" w:rsidRPr="00276BCA">
        <w:rPr>
          <w:color w:val="auto"/>
        </w:rPr>
        <w:t xml:space="preserve"> The PBAC noted that </w:t>
      </w:r>
      <w:r w:rsidR="0016554C" w:rsidRPr="00276BCA">
        <w:rPr>
          <w:color w:val="auto"/>
        </w:rPr>
        <w:t xml:space="preserve">this was in part due to </w:t>
      </w:r>
      <w:r w:rsidR="00C427EF" w:rsidRPr="00276BCA">
        <w:rPr>
          <w:color w:val="auto"/>
        </w:rPr>
        <w:t xml:space="preserve">the different treatment durations </w:t>
      </w:r>
      <w:r w:rsidR="0016554C" w:rsidRPr="00276BCA">
        <w:rPr>
          <w:color w:val="auto"/>
        </w:rPr>
        <w:t xml:space="preserve">assumed </w:t>
      </w:r>
      <w:r w:rsidR="00C427EF" w:rsidRPr="00276BCA">
        <w:rPr>
          <w:color w:val="auto"/>
        </w:rPr>
        <w:t xml:space="preserve">for </w:t>
      </w:r>
      <w:proofErr w:type="spellStart"/>
      <w:r w:rsidR="00C427EF" w:rsidRPr="00276BCA">
        <w:rPr>
          <w:color w:val="auto"/>
        </w:rPr>
        <w:t>zolbetuximab</w:t>
      </w:r>
      <w:proofErr w:type="spellEnd"/>
      <w:r w:rsidR="00C427EF" w:rsidRPr="00276BCA">
        <w:rPr>
          <w:color w:val="auto"/>
        </w:rPr>
        <w:t xml:space="preserve"> and </w:t>
      </w:r>
      <w:r w:rsidR="0016554C" w:rsidRPr="00276BCA">
        <w:rPr>
          <w:color w:val="auto"/>
        </w:rPr>
        <w:t>nivolumab</w:t>
      </w:r>
      <w:r w:rsidR="00AA29C9" w:rsidRPr="00276BCA">
        <w:rPr>
          <w:color w:val="auto"/>
        </w:rPr>
        <w:t>.</w:t>
      </w:r>
    </w:p>
    <w:p w14:paraId="6C184282" w14:textId="77777777" w:rsidR="008969E8" w:rsidRPr="00276BCA" w:rsidRDefault="008969E8" w:rsidP="008969E8">
      <w:pPr>
        <w:pStyle w:val="OutlineHeading2"/>
        <w:rPr>
          <w:rFonts w:ascii="Calibri" w:hAnsi="Calibri" w:cs="Calibri"/>
        </w:rPr>
      </w:pPr>
      <w:bookmarkStart w:id="79" w:name="_Toc413139285"/>
      <w:bookmarkEnd w:id="78"/>
      <w:r w:rsidRPr="00276BCA">
        <w:rPr>
          <w:rFonts w:ascii="Calibri" w:hAnsi="Calibri" w:cs="Calibri"/>
        </w:rPr>
        <w:t>Quality use of medicines</w:t>
      </w:r>
      <w:bookmarkEnd w:id="79"/>
    </w:p>
    <w:p w14:paraId="17626ECF" w14:textId="3CDF0604" w:rsidR="006C06B9" w:rsidRPr="00276BCA" w:rsidRDefault="008969E8" w:rsidP="004202B3">
      <w:pPr>
        <w:pStyle w:val="ListParagraph"/>
        <w:numPr>
          <w:ilvl w:val="4"/>
          <w:numId w:val="8"/>
        </w:numPr>
        <w:rPr>
          <w:b/>
          <w:iCs/>
        </w:rPr>
      </w:pPr>
      <w:bookmarkStart w:id="80" w:name="_Ref187945741"/>
      <w:r w:rsidRPr="00276BCA">
        <w:rPr>
          <w:color w:val="auto"/>
        </w:rPr>
        <w:t>The submission did not present any information regarding the quality use of medicines</w:t>
      </w:r>
      <w:r w:rsidR="00887F38" w:rsidRPr="00276BCA">
        <w:rPr>
          <w:color w:val="auto"/>
        </w:rPr>
        <w:t xml:space="preserve"> (QUM)</w:t>
      </w:r>
      <w:r w:rsidRPr="00276BCA">
        <w:rPr>
          <w:color w:val="auto"/>
        </w:rPr>
        <w:t>.</w:t>
      </w:r>
      <w:bookmarkEnd w:id="80"/>
      <w:r w:rsidR="006C06B9" w:rsidRPr="00276BCA">
        <w:rPr>
          <w:color w:val="auto"/>
        </w:rPr>
        <w:t xml:space="preserve"> DUSC considered it was inappropriate for a submission with complex dosing regimens and the potential for severe adverse events such as hypersensitivity reactions, and increased rates of nausea and vomiting relative to nivolumab, to not have planned training programs for patients, carers or practitioners </w:t>
      </w:r>
      <w:r w:rsidR="00271894" w:rsidRPr="00276BCA">
        <w:rPr>
          <w:color w:val="auto"/>
        </w:rPr>
        <w:t>or</w:t>
      </w:r>
      <w:r w:rsidR="006C06B9" w:rsidRPr="00276BCA">
        <w:rPr>
          <w:color w:val="auto"/>
        </w:rPr>
        <w:t xml:space="preserve"> planned surveillance programs.</w:t>
      </w:r>
      <w:r w:rsidR="00EE5C7A" w:rsidRPr="00276BCA">
        <w:rPr>
          <w:color w:val="auto"/>
        </w:rPr>
        <w:t xml:space="preserve"> </w:t>
      </w:r>
      <w:r w:rsidR="00DC134B" w:rsidRPr="00276BCA">
        <w:rPr>
          <w:color w:val="auto"/>
        </w:rPr>
        <w:t xml:space="preserve">In the Pre-PBAC </w:t>
      </w:r>
      <w:r w:rsidR="005F2AAB" w:rsidRPr="00276BCA">
        <w:rPr>
          <w:color w:val="auto"/>
        </w:rPr>
        <w:t>response</w:t>
      </w:r>
      <w:r w:rsidR="00C22298" w:rsidRPr="00276BCA">
        <w:rPr>
          <w:color w:val="auto"/>
        </w:rPr>
        <w:t xml:space="preserve"> </w:t>
      </w:r>
      <w:r w:rsidR="005F2AAB" w:rsidRPr="00276BCA">
        <w:rPr>
          <w:color w:val="auto"/>
        </w:rPr>
        <w:t>the sponsor</w:t>
      </w:r>
      <w:r w:rsidR="00DA4F39" w:rsidRPr="00276BCA">
        <w:rPr>
          <w:color w:val="auto"/>
        </w:rPr>
        <w:t xml:space="preserve"> noted that a </w:t>
      </w:r>
      <w:r w:rsidR="008C6421" w:rsidRPr="00276BCA">
        <w:rPr>
          <w:color w:val="auto"/>
        </w:rPr>
        <w:t>Consumer Medicines Information</w:t>
      </w:r>
      <w:r w:rsidR="00DA4F39" w:rsidRPr="00276BCA">
        <w:rPr>
          <w:color w:val="auto"/>
        </w:rPr>
        <w:t xml:space="preserve"> has been developed </w:t>
      </w:r>
      <w:r w:rsidR="00A6412D" w:rsidRPr="00276BCA">
        <w:rPr>
          <w:color w:val="auto"/>
        </w:rPr>
        <w:t>to help patients understand the treatment and recognise when to seek medical attention (e</w:t>
      </w:r>
      <w:r w:rsidR="004B177B" w:rsidRPr="00276BCA">
        <w:rPr>
          <w:color w:val="auto"/>
        </w:rPr>
        <w:t>.</w:t>
      </w:r>
      <w:r w:rsidR="00A6412D" w:rsidRPr="00276BCA">
        <w:rPr>
          <w:color w:val="auto"/>
        </w:rPr>
        <w:t>g</w:t>
      </w:r>
      <w:r w:rsidR="004B177B" w:rsidRPr="00276BCA">
        <w:rPr>
          <w:color w:val="auto"/>
        </w:rPr>
        <w:t>.</w:t>
      </w:r>
      <w:r w:rsidR="00A6412D" w:rsidRPr="00276BCA">
        <w:rPr>
          <w:color w:val="auto"/>
        </w:rPr>
        <w:t xml:space="preserve"> due to hypersensitivity reactions), and </w:t>
      </w:r>
      <w:r w:rsidR="00AD444C" w:rsidRPr="00276BCA">
        <w:rPr>
          <w:color w:val="auto"/>
        </w:rPr>
        <w:t xml:space="preserve">identified a range of initiatives that could be </w:t>
      </w:r>
      <w:r w:rsidR="00B85072" w:rsidRPr="00276BCA">
        <w:rPr>
          <w:color w:val="auto"/>
        </w:rPr>
        <w:t>undertaken</w:t>
      </w:r>
      <w:r w:rsidR="00AD444C" w:rsidRPr="00276BCA">
        <w:rPr>
          <w:color w:val="auto"/>
        </w:rPr>
        <w:t xml:space="preserve"> </w:t>
      </w:r>
      <w:r w:rsidR="00B85072" w:rsidRPr="00276BCA">
        <w:rPr>
          <w:color w:val="auto"/>
        </w:rPr>
        <w:t xml:space="preserve">to </w:t>
      </w:r>
      <w:r w:rsidR="00AD444C" w:rsidRPr="00276BCA">
        <w:rPr>
          <w:color w:val="auto"/>
        </w:rPr>
        <w:t xml:space="preserve">educate key stakeholders </w:t>
      </w:r>
      <w:r w:rsidR="00B85072" w:rsidRPr="00276BCA">
        <w:rPr>
          <w:color w:val="auto"/>
        </w:rPr>
        <w:t xml:space="preserve">support the safe use of </w:t>
      </w:r>
      <w:proofErr w:type="spellStart"/>
      <w:r w:rsidR="00B85072" w:rsidRPr="00276BCA">
        <w:rPr>
          <w:color w:val="auto"/>
        </w:rPr>
        <w:t>zolbetuximab</w:t>
      </w:r>
      <w:proofErr w:type="spellEnd"/>
      <w:r w:rsidR="00B85072" w:rsidRPr="00276BCA">
        <w:rPr>
          <w:color w:val="auto"/>
        </w:rPr>
        <w:t xml:space="preserve"> in Australian clinical practice, including </w:t>
      </w:r>
      <w:r w:rsidR="00861E0F" w:rsidRPr="00276BCA">
        <w:rPr>
          <w:color w:val="auto"/>
        </w:rPr>
        <w:t>embedding information into local guidelines (e</w:t>
      </w:r>
      <w:r w:rsidR="004B177B" w:rsidRPr="00276BCA">
        <w:rPr>
          <w:color w:val="auto"/>
        </w:rPr>
        <w:t>.</w:t>
      </w:r>
      <w:r w:rsidR="00861E0F" w:rsidRPr="00276BCA">
        <w:rPr>
          <w:color w:val="auto"/>
        </w:rPr>
        <w:t>g</w:t>
      </w:r>
      <w:r w:rsidR="004B177B" w:rsidRPr="00276BCA">
        <w:rPr>
          <w:color w:val="auto"/>
        </w:rPr>
        <w:t>.</w:t>
      </w:r>
      <w:r w:rsidR="00861E0F" w:rsidRPr="00276BCA">
        <w:rPr>
          <w:color w:val="auto"/>
        </w:rPr>
        <w:t xml:space="preserve"> </w:t>
      </w:r>
      <w:proofErr w:type="spellStart"/>
      <w:r w:rsidR="00861E0F" w:rsidRPr="00276BCA">
        <w:rPr>
          <w:color w:val="auto"/>
        </w:rPr>
        <w:t>EviQ</w:t>
      </w:r>
      <w:proofErr w:type="spellEnd"/>
      <w:r w:rsidR="00861E0F" w:rsidRPr="00276BCA">
        <w:rPr>
          <w:color w:val="auto"/>
        </w:rPr>
        <w:t xml:space="preserve">), educational events, </w:t>
      </w:r>
      <w:r w:rsidR="00C22298" w:rsidRPr="00276BCA">
        <w:rPr>
          <w:color w:val="auto"/>
        </w:rPr>
        <w:t>hospital</w:t>
      </w:r>
      <w:r w:rsidR="00861E0F" w:rsidRPr="00276BCA">
        <w:rPr>
          <w:color w:val="auto"/>
        </w:rPr>
        <w:t xml:space="preserve"> in-services, </w:t>
      </w:r>
      <w:r w:rsidR="00C22298" w:rsidRPr="00276BCA">
        <w:rPr>
          <w:color w:val="auto"/>
        </w:rPr>
        <w:t xml:space="preserve">presentations, and printed materials. </w:t>
      </w:r>
    </w:p>
    <w:p w14:paraId="49F27CBF" w14:textId="77777777" w:rsidR="008969E8" w:rsidRPr="00276BCA" w:rsidRDefault="008969E8">
      <w:pPr>
        <w:pStyle w:val="OutlineHeading2"/>
        <w:rPr>
          <w:rFonts w:ascii="Calibri" w:hAnsi="Calibri" w:cs="Calibri"/>
        </w:rPr>
      </w:pPr>
      <w:r w:rsidRPr="00276BCA">
        <w:rPr>
          <w:rFonts w:ascii="Calibri" w:hAnsi="Calibri" w:cs="Calibri"/>
        </w:rPr>
        <w:t>Financial management – risk sharing arrangements</w:t>
      </w:r>
    </w:p>
    <w:p w14:paraId="45958EAB" w14:textId="3515496F" w:rsidR="009C33B1" w:rsidRPr="00276BCA" w:rsidRDefault="008969E8">
      <w:pPr>
        <w:pStyle w:val="ListParagraph"/>
        <w:numPr>
          <w:ilvl w:val="4"/>
          <w:numId w:val="8"/>
        </w:numPr>
      </w:pPr>
      <w:r w:rsidRPr="00276BCA">
        <w:rPr>
          <w:color w:val="auto"/>
        </w:rPr>
        <w:t xml:space="preserve">No risk-sharing arrangements </w:t>
      </w:r>
      <w:r w:rsidR="00EE5C7A" w:rsidRPr="00276BCA">
        <w:rPr>
          <w:color w:val="auto"/>
        </w:rPr>
        <w:t xml:space="preserve">were </w:t>
      </w:r>
      <w:r w:rsidRPr="00276BCA">
        <w:rPr>
          <w:color w:val="auto"/>
        </w:rPr>
        <w:t>proposed in the submission. The submission stated that only small number of patients (&lt;</w:t>
      </w:r>
      <w:r w:rsidR="00392E96" w:rsidRPr="00276BCA">
        <w:rPr>
          <w:color w:val="auto"/>
        </w:rPr>
        <w:t> </w:t>
      </w:r>
      <w:r w:rsidRPr="00276BCA">
        <w:rPr>
          <w:color w:val="auto"/>
        </w:rPr>
        <w:t xml:space="preserve">500 annually) are expected to initiate treatment with </w:t>
      </w:r>
      <w:proofErr w:type="spellStart"/>
      <w:r w:rsidRPr="00276BCA">
        <w:rPr>
          <w:color w:val="auto"/>
        </w:rPr>
        <w:t>zolbetuximab</w:t>
      </w:r>
      <w:proofErr w:type="spellEnd"/>
      <w:r w:rsidRPr="00276BCA">
        <w:rPr>
          <w:color w:val="auto"/>
        </w:rPr>
        <w:t>, with all eligible patients confirmed by CLDN18 test, providing certainty in the financial forecast.</w:t>
      </w:r>
    </w:p>
    <w:p w14:paraId="1EE5A140" w14:textId="3BE57128" w:rsidR="00E04E80" w:rsidRPr="00276BCA" w:rsidRDefault="001F3EC2" w:rsidP="00632F90">
      <w:pPr>
        <w:ind w:firstLine="720"/>
        <w:rPr>
          <w:i/>
        </w:rPr>
      </w:pPr>
      <w:r w:rsidRPr="00276BCA">
        <w:rPr>
          <w:i/>
        </w:rPr>
        <w:t>For more detail on PBAC’s view, see section 7 PBAC outcome.</w:t>
      </w:r>
    </w:p>
    <w:p w14:paraId="6C32D0EA" w14:textId="77777777" w:rsidR="00E04E80" w:rsidRPr="00276BCA" w:rsidRDefault="00E04E80">
      <w:pPr>
        <w:spacing w:before="0" w:line="259" w:lineRule="auto"/>
        <w:jc w:val="left"/>
        <w:rPr>
          <w:i/>
        </w:rPr>
      </w:pPr>
      <w:r w:rsidRPr="00276BCA">
        <w:rPr>
          <w:i/>
        </w:rPr>
        <w:br w:type="page"/>
      </w:r>
    </w:p>
    <w:p w14:paraId="74BA7C47" w14:textId="5094A99C" w:rsidR="001D59C1" w:rsidRPr="00276BCA" w:rsidRDefault="001D59C1" w:rsidP="001D59C1">
      <w:pPr>
        <w:pStyle w:val="2-SectionHeading"/>
        <w:numPr>
          <w:ilvl w:val="0"/>
          <w:numId w:val="8"/>
        </w:numPr>
      </w:pPr>
      <w:bookmarkStart w:id="81" w:name="_Hlk76381249"/>
      <w:bookmarkStart w:id="82" w:name="_Hlk76377955"/>
      <w:bookmarkStart w:id="83" w:name="_Toc107927639"/>
      <w:bookmarkStart w:id="84" w:name="_Toc187863746"/>
      <w:bookmarkStart w:id="85" w:name="_Toc188441230"/>
      <w:bookmarkEnd w:id="74"/>
      <w:r w:rsidRPr="00276BCA">
        <w:lastRenderedPageBreak/>
        <w:t>PBAC Outcome</w:t>
      </w:r>
    </w:p>
    <w:p w14:paraId="698FEE84" w14:textId="32AF61DE" w:rsidR="00782DD6" w:rsidRPr="00276BCA" w:rsidRDefault="00211DD5" w:rsidP="00605490">
      <w:pPr>
        <w:pStyle w:val="ListParagraph"/>
        <w:numPr>
          <w:ilvl w:val="4"/>
          <w:numId w:val="8"/>
        </w:numPr>
      </w:pPr>
      <w:bookmarkStart w:id="86" w:name="_Ref217295215"/>
      <w:r w:rsidRPr="00276BCA">
        <w:t xml:space="preserve">The PBAC deferred </w:t>
      </w:r>
      <w:r w:rsidR="00DD7B54" w:rsidRPr="00276BCA">
        <w:t>making a</w:t>
      </w:r>
      <w:r w:rsidRPr="00276BCA">
        <w:t xml:space="preserve"> recommend</w:t>
      </w:r>
      <w:r w:rsidR="005817F6" w:rsidRPr="00276BCA">
        <w:t>ation for the listing of</w:t>
      </w:r>
      <w:r w:rsidR="00F715DE" w:rsidRPr="00276BCA">
        <w:t xml:space="preserve"> </w:t>
      </w:r>
      <w:proofErr w:type="spellStart"/>
      <w:r w:rsidR="00F715DE" w:rsidRPr="00276BCA">
        <w:t>zolbetuximab</w:t>
      </w:r>
      <w:proofErr w:type="spellEnd"/>
      <w:r w:rsidR="00F715DE" w:rsidRPr="00276BCA">
        <w:t xml:space="preserve"> with fluoropyrimidine- and platinum-containing chemotherapy</w:t>
      </w:r>
      <w:r w:rsidR="008C4CBB" w:rsidRPr="00276BCA">
        <w:t>,</w:t>
      </w:r>
      <w:r w:rsidR="00F715DE" w:rsidRPr="00276BCA">
        <w:t xml:space="preserve"> for the first-line treatment of patients with locally advanced unresectable or metastatic human epidermal growth factor receptor 2 (HER2)-negative gastric or gastroesophageal junction (G/GOJ) adenocarcinoma whose tumours are CLDN18.2- positive (CLDN18.2+)</w:t>
      </w:r>
      <w:r w:rsidR="008110BF" w:rsidRPr="00276BCA">
        <w:t>.</w:t>
      </w:r>
      <w:r w:rsidR="00250D14" w:rsidRPr="00276BCA">
        <w:t xml:space="preserve"> </w:t>
      </w:r>
      <w:r w:rsidRPr="00276BCA">
        <w:t xml:space="preserve">The PBAC was of a mind to recommend </w:t>
      </w:r>
      <w:proofErr w:type="spellStart"/>
      <w:r w:rsidR="008110BF" w:rsidRPr="00276BCA">
        <w:t>zolbetuximab</w:t>
      </w:r>
      <w:proofErr w:type="spellEnd"/>
      <w:r w:rsidR="008110BF" w:rsidRPr="00276BCA">
        <w:t xml:space="preserve"> </w:t>
      </w:r>
      <w:r w:rsidRPr="00276BCA">
        <w:t xml:space="preserve">pending MSAC consideration of </w:t>
      </w:r>
      <w:r w:rsidR="00522A1F" w:rsidRPr="00276BCA">
        <w:t>immunohistochemistry (IHC) testing for Claudin 18.2 (CLDN18.2) expression</w:t>
      </w:r>
      <w:r w:rsidR="009508BD" w:rsidRPr="00276BCA">
        <w:t xml:space="preserve"> and </w:t>
      </w:r>
      <w:r w:rsidR="003C5E21" w:rsidRPr="00276BCA">
        <w:t xml:space="preserve">presentation of revised </w:t>
      </w:r>
      <w:r w:rsidR="00CE290F" w:rsidRPr="00276BCA">
        <w:t xml:space="preserve">restriction criteria and </w:t>
      </w:r>
      <w:r w:rsidR="003C5E21" w:rsidRPr="00276BCA">
        <w:t>cost-minimisation approach</w:t>
      </w:r>
      <w:r w:rsidR="00FE0C68" w:rsidRPr="00276BCA">
        <w:t xml:space="preserve"> (CMA)</w:t>
      </w:r>
      <w:r w:rsidRPr="00276BCA">
        <w:t xml:space="preserve">. </w:t>
      </w:r>
      <w:r w:rsidR="00C02418" w:rsidRPr="00276BCA">
        <w:t xml:space="preserve">The PBAC considered that the efficacy of </w:t>
      </w:r>
      <w:proofErr w:type="spellStart"/>
      <w:r w:rsidR="00C02418" w:rsidRPr="00276BCA">
        <w:t>zolbetuximab</w:t>
      </w:r>
      <w:proofErr w:type="spellEnd"/>
      <w:r w:rsidR="00C02418" w:rsidRPr="00276BCA">
        <w:t xml:space="preserve"> was non-inferior</w:t>
      </w:r>
      <w:r w:rsidR="00A45A2E" w:rsidRPr="00276BCA">
        <w:t xml:space="preserve"> compared to nivolumab</w:t>
      </w:r>
      <w:r w:rsidR="00C02418" w:rsidRPr="00276BCA">
        <w:t xml:space="preserve">, but </w:t>
      </w:r>
      <w:r w:rsidR="006848F7" w:rsidRPr="00276BCA">
        <w:t>due to the additional gastrointe</w:t>
      </w:r>
      <w:r w:rsidR="00A45A2E" w:rsidRPr="00276BCA">
        <w:t xml:space="preserve">stinal toxicity, </w:t>
      </w:r>
      <w:r w:rsidR="00C02418" w:rsidRPr="00276BCA">
        <w:t>safety was inferior</w:t>
      </w:r>
      <w:r w:rsidR="00FE0C68" w:rsidRPr="00276BCA">
        <w:t>,</w:t>
      </w:r>
      <w:r w:rsidR="00C02418" w:rsidRPr="00276BCA">
        <w:t xml:space="preserve"> and </w:t>
      </w:r>
      <w:r w:rsidR="00155877" w:rsidRPr="00276BCA">
        <w:t xml:space="preserve">that </w:t>
      </w:r>
      <w:r w:rsidR="00C02418" w:rsidRPr="00276BCA">
        <w:t xml:space="preserve">this should be reflected in the </w:t>
      </w:r>
      <w:r w:rsidR="006D4AB3" w:rsidRPr="00276BCA">
        <w:t>CMA</w:t>
      </w:r>
      <w:r w:rsidR="00C02418" w:rsidRPr="00276BCA">
        <w:t>.</w:t>
      </w:r>
      <w:bookmarkEnd w:id="86"/>
      <w:r w:rsidR="00C02418" w:rsidRPr="00276BCA">
        <w:t xml:space="preserve"> </w:t>
      </w:r>
    </w:p>
    <w:p w14:paraId="3F906A65" w14:textId="2CD9F064" w:rsidR="00BC588D" w:rsidRPr="00276BCA" w:rsidRDefault="006A1C69" w:rsidP="00605490">
      <w:pPr>
        <w:pStyle w:val="ListParagraph"/>
        <w:numPr>
          <w:ilvl w:val="4"/>
          <w:numId w:val="8"/>
        </w:numPr>
      </w:pPr>
      <w:r w:rsidRPr="00276BCA">
        <w:t xml:space="preserve">The PBAC considered that there is a moderate clinical need for new treatments for advanced G/GOJ as there are few </w:t>
      </w:r>
      <w:r w:rsidR="00C1383C" w:rsidRPr="00276BCA">
        <w:t xml:space="preserve">effective </w:t>
      </w:r>
      <w:r w:rsidRPr="00276BCA">
        <w:t xml:space="preserve">treatment options for this population and the associated prognosis is poor. </w:t>
      </w:r>
      <w:r w:rsidR="00BC588D" w:rsidRPr="00276BCA">
        <w:t xml:space="preserve">The PBAC accepted the sponsor’s proposed clinical place for </w:t>
      </w:r>
      <w:proofErr w:type="spellStart"/>
      <w:r w:rsidR="00BC588D" w:rsidRPr="00276BCA">
        <w:t>zolbetuximab</w:t>
      </w:r>
      <w:proofErr w:type="spellEnd"/>
      <w:r w:rsidR="00BC588D" w:rsidRPr="00276BCA">
        <w:t xml:space="preserve">, as first line treatment </w:t>
      </w:r>
      <w:r w:rsidR="00897046" w:rsidRPr="00276BCA">
        <w:t xml:space="preserve">of </w:t>
      </w:r>
      <w:r w:rsidR="00BC588D" w:rsidRPr="00276BCA">
        <w:t xml:space="preserve">locally advanced unresectable or metastatic human epidermal growth factor receptor 2 (HER2)-negative gastric or gastroesophageal junction (G/GOJ) adenocarcinoma whose tumours are CLDN18.2- positive (CLDN18.2+). </w:t>
      </w:r>
      <w:r w:rsidR="004B0E36" w:rsidRPr="00276BCA">
        <w:t>However, t</w:t>
      </w:r>
      <w:r w:rsidR="00525417" w:rsidRPr="00276BCA">
        <w:t xml:space="preserve">he PBAC considered that the main place of therapy was </w:t>
      </w:r>
      <w:r w:rsidR="0089360C" w:rsidRPr="00276BCA">
        <w:t xml:space="preserve">likely to be </w:t>
      </w:r>
      <w:r w:rsidR="00525417" w:rsidRPr="00276BCA">
        <w:t xml:space="preserve">for </w:t>
      </w:r>
      <w:r w:rsidR="00062836" w:rsidRPr="00276BCA">
        <w:t xml:space="preserve">patients with tumours with PD-L1 CPS &lt; 5% and contraindications to </w:t>
      </w:r>
      <w:r w:rsidR="00111B8B" w:rsidRPr="00276BCA">
        <w:t>immunotherapy, g</w:t>
      </w:r>
      <w:r w:rsidR="0052798B" w:rsidRPr="00276BCA">
        <w:t xml:space="preserve">iven the non-inferior efficacy but </w:t>
      </w:r>
      <w:r w:rsidR="001729E1" w:rsidRPr="00276BCA">
        <w:t xml:space="preserve">inferior safety of </w:t>
      </w:r>
      <w:proofErr w:type="spellStart"/>
      <w:r w:rsidR="001729E1" w:rsidRPr="00276BCA">
        <w:t>zolbetuximab</w:t>
      </w:r>
      <w:proofErr w:type="spellEnd"/>
      <w:r w:rsidR="001729E1" w:rsidRPr="00276BCA">
        <w:t xml:space="preserve"> compared to nivolumab </w:t>
      </w:r>
      <w:r w:rsidR="00525417" w:rsidRPr="00276BCA">
        <w:t>in combination with chemotherapy</w:t>
      </w:r>
      <w:r w:rsidR="00020901" w:rsidRPr="00276BCA">
        <w:t>.</w:t>
      </w:r>
      <w:r w:rsidR="00921234" w:rsidRPr="00276BCA">
        <w:t xml:space="preserve"> </w:t>
      </w:r>
      <w:r w:rsidR="00BC588D" w:rsidRPr="00276BCA">
        <w:t>The</w:t>
      </w:r>
      <w:r w:rsidR="00EF2CFF" w:rsidRPr="00276BCA">
        <w:t xml:space="preserve"> PBAC</w:t>
      </w:r>
      <w:r w:rsidR="00BC588D" w:rsidRPr="00276BCA">
        <w:t xml:space="preserve"> considered that while no evidence </w:t>
      </w:r>
      <w:r w:rsidR="000E1263" w:rsidRPr="00276BCA">
        <w:t xml:space="preserve">was presented in the submission to support </w:t>
      </w:r>
      <w:r w:rsidR="00BC588D" w:rsidRPr="00276BCA">
        <w:t xml:space="preserve">treatment effect modification of </w:t>
      </w:r>
      <w:r w:rsidR="00FD1CE2" w:rsidRPr="00276BCA">
        <w:t>CLDN18.2</w:t>
      </w:r>
      <w:r w:rsidR="00BC588D" w:rsidRPr="00276BCA">
        <w:t xml:space="preserve"> expression, it would be reasonable to accept the claim for </w:t>
      </w:r>
      <w:proofErr w:type="spellStart"/>
      <w:r w:rsidR="00BC588D" w:rsidRPr="00276BCA">
        <w:t>codependence</w:t>
      </w:r>
      <w:proofErr w:type="spellEnd"/>
      <w:r w:rsidR="00BC588D" w:rsidRPr="00276BCA">
        <w:t xml:space="preserve"> due to the strong biological rationale</w:t>
      </w:r>
      <w:r w:rsidR="00736E4A" w:rsidRPr="00276BCA">
        <w:t xml:space="preserve"> and the</w:t>
      </w:r>
      <w:r w:rsidR="00BC588D" w:rsidRPr="00276BCA">
        <w:t xml:space="preserve"> results of the FAST trial</w:t>
      </w:r>
      <w:r w:rsidR="00E51D79" w:rsidRPr="00276BCA">
        <w:t xml:space="preserve"> (see paragraph </w:t>
      </w:r>
      <w:r w:rsidR="00132775" w:rsidRPr="00276BCA">
        <w:fldChar w:fldCharType="begin"/>
      </w:r>
      <w:r w:rsidR="00132775" w:rsidRPr="00276BCA">
        <w:instrText xml:space="preserve"> REF _Ref195692004 \r \h </w:instrText>
      </w:r>
      <w:r w:rsidR="00867969" w:rsidRPr="00276BCA">
        <w:instrText xml:space="preserve"> \* MERGEFORMAT </w:instrText>
      </w:r>
      <w:r w:rsidR="00132775" w:rsidRPr="00276BCA">
        <w:fldChar w:fldCharType="separate"/>
      </w:r>
      <w:r w:rsidR="0011458F">
        <w:t>6.52</w:t>
      </w:r>
      <w:r w:rsidR="00132775" w:rsidRPr="00276BCA">
        <w:fldChar w:fldCharType="end"/>
      </w:r>
      <w:r w:rsidR="00E51D79" w:rsidRPr="00276BCA">
        <w:t>)</w:t>
      </w:r>
      <w:r w:rsidR="00BC588D" w:rsidRPr="00276BCA">
        <w:t xml:space="preserve">, and </w:t>
      </w:r>
      <w:r w:rsidR="00736E4A" w:rsidRPr="00276BCA">
        <w:t>noted the issues with generating data where it</w:t>
      </w:r>
      <w:r w:rsidR="00BC588D" w:rsidRPr="00276BCA">
        <w:t xml:space="preserve"> may not be ethical to expose patients to</w:t>
      </w:r>
      <w:r w:rsidR="00736E4A" w:rsidRPr="00276BCA">
        <w:t xml:space="preserve"> an active</w:t>
      </w:r>
      <w:r w:rsidR="00BC588D" w:rsidRPr="00276BCA">
        <w:t xml:space="preserve"> treatment where they are not likely to experience benefit.</w:t>
      </w:r>
      <w:r w:rsidR="00EB7E00" w:rsidRPr="00276BCA">
        <w:t xml:space="preserve"> The PBAC considered that a requirement for at least 75% of tumour cells demonstrating moderate to strong membranous CLDN18.2 IHC staining should be included in the restriction to ensure that only patients who are likely to benefit from the addition of </w:t>
      </w:r>
      <w:proofErr w:type="spellStart"/>
      <w:r w:rsidR="00EB7E00" w:rsidRPr="00276BCA">
        <w:t>zolbetuximab</w:t>
      </w:r>
      <w:proofErr w:type="spellEnd"/>
      <w:r w:rsidR="00EB7E00" w:rsidRPr="00276BCA">
        <w:t xml:space="preserve"> to chemotherapy, receive </w:t>
      </w:r>
      <w:proofErr w:type="spellStart"/>
      <w:r w:rsidR="00EB7E00" w:rsidRPr="00276BCA">
        <w:t>zolbetuximab</w:t>
      </w:r>
      <w:proofErr w:type="spellEnd"/>
      <w:r w:rsidR="00EB7E00" w:rsidRPr="00276BCA">
        <w:t>.</w:t>
      </w:r>
    </w:p>
    <w:p w14:paraId="3C7911B7" w14:textId="452B57B2" w:rsidR="00D33F82" w:rsidRPr="00276BCA" w:rsidRDefault="00430AE2" w:rsidP="00BB01A8">
      <w:pPr>
        <w:pStyle w:val="ListParagraph"/>
        <w:numPr>
          <w:ilvl w:val="4"/>
          <w:numId w:val="8"/>
        </w:numPr>
      </w:pPr>
      <w:bookmarkStart w:id="87" w:name="_Ref217295362"/>
      <w:r w:rsidRPr="00276BCA">
        <w:t xml:space="preserve">In addition to the changes to the criteria noted in paragraphs </w:t>
      </w:r>
      <w:r w:rsidRPr="00276BCA">
        <w:fldChar w:fldCharType="begin"/>
      </w:r>
      <w:r w:rsidRPr="00276BCA">
        <w:instrText xml:space="preserve"> REF _Ref195621401 \r \h </w:instrText>
      </w:r>
      <w:r w:rsidR="00867969" w:rsidRPr="00276BCA">
        <w:instrText xml:space="preserve"> \* MERGEFORMAT </w:instrText>
      </w:r>
      <w:r w:rsidRPr="00276BCA">
        <w:fldChar w:fldCharType="separate"/>
      </w:r>
      <w:r w:rsidR="0011458F">
        <w:t>3.6</w:t>
      </w:r>
      <w:r w:rsidRPr="00276BCA">
        <w:fldChar w:fldCharType="end"/>
      </w:r>
      <w:r w:rsidRPr="00276BCA">
        <w:t xml:space="preserve"> to </w:t>
      </w:r>
      <w:r w:rsidRPr="00276BCA">
        <w:fldChar w:fldCharType="begin"/>
      </w:r>
      <w:r w:rsidRPr="00276BCA">
        <w:instrText xml:space="preserve"> REF _Ref195621640 \r \h </w:instrText>
      </w:r>
      <w:r w:rsidR="00867969" w:rsidRPr="00276BCA">
        <w:instrText xml:space="preserve"> \* MERGEFORMAT </w:instrText>
      </w:r>
      <w:r w:rsidRPr="00276BCA">
        <w:fldChar w:fldCharType="separate"/>
      </w:r>
      <w:r w:rsidR="0011458F">
        <w:t>3.8</w:t>
      </w:r>
      <w:r w:rsidRPr="00276BCA">
        <w:fldChar w:fldCharType="end"/>
      </w:r>
      <w:r w:rsidRPr="00276BCA">
        <w:t>, t</w:t>
      </w:r>
      <w:r w:rsidR="004F39FA" w:rsidRPr="00276BCA">
        <w:t xml:space="preserve">he PBAC </w:t>
      </w:r>
      <w:r w:rsidR="006F0A55" w:rsidRPr="00276BCA">
        <w:t xml:space="preserve">advised the </w:t>
      </w:r>
      <w:r w:rsidR="00D33F82" w:rsidRPr="00276BCA">
        <w:t xml:space="preserve">following </w:t>
      </w:r>
      <w:r w:rsidR="004A18D3" w:rsidRPr="00276BCA">
        <w:t>amendments</w:t>
      </w:r>
      <w:r w:rsidR="00D33F82" w:rsidRPr="00276BCA">
        <w:t xml:space="preserve"> to the proposed restriction criteria</w:t>
      </w:r>
      <w:r w:rsidR="005579D6" w:rsidRPr="00276BCA">
        <w:t xml:space="preserve"> and requested a revised criteria be provided</w:t>
      </w:r>
      <w:r w:rsidR="00D33F82" w:rsidRPr="00276BCA">
        <w:t>:</w:t>
      </w:r>
      <w:bookmarkEnd w:id="87"/>
    </w:p>
    <w:p w14:paraId="0F292FAD" w14:textId="40F7347D" w:rsidR="00134C76" w:rsidRPr="00276BCA" w:rsidRDefault="00134C76" w:rsidP="00134C76">
      <w:pPr>
        <w:pStyle w:val="ListParagraph"/>
        <w:numPr>
          <w:ilvl w:val="0"/>
          <w:numId w:val="116"/>
        </w:numPr>
      </w:pPr>
      <w:r w:rsidRPr="00276BCA">
        <w:t>the indication be revised to: ‘Locally advanced, unresectable, or metastatic gastric or gastro-oesophageal junction cancers – first line treatment’</w:t>
      </w:r>
    </w:p>
    <w:p w14:paraId="2A57D9F1" w14:textId="7732487D" w:rsidR="00B81829" w:rsidRPr="00276BCA" w:rsidRDefault="004745A4" w:rsidP="00D33F82">
      <w:pPr>
        <w:pStyle w:val="ListParagraph"/>
        <w:numPr>
          <w:ilvl w:val="0"/>
          <w:numId w:val="116"/>
        </w:numPr>
      </w:pPr>
      <w:r w:rsidRPr="00276BCA">
        <w:t xml:space="preserve">it was appropriate </w:t>
      </w:r>
      <w:r w:rsidR="007E466E" w:rsidRPr="00276BCA">
        <w:t xml:space="preserve">to have an </w:t>
      </w:r>
      <w:proofErr w:type="gramStart"/>
      <w:r w:rsidR="007E466E" w:rsidRPr="00276BCA">
        <w:t>initial criteria</w:t>
      </w:r>
      <w:proofErr w:type="gramEnd"/>
      <w:r w:rsidR="007E466E" w:rsidRPr="00276BCA">
        <w:t xml:space="preserve">, two separate continuing criteria (one for Q2W dosing and one for Q3W dosing) and a grandfathering </w:t>
      </w:r>
      <w:proofErr w:type="gramStart"/>
      <w:r w:rsidR="007E466E" w:rsidRPr="00276BCA">
        <w:t>criteria;</w:t>
      </w:r>
      <w:proofErr w:type="gramEnd"/>
    </w:p>
    <w:p w14:paraId="3E92C9A7" w14:textId="2FD0B885" w:rsidR="00173A55" w:rsidRPr="00276BCA" w:rsidRDefault="00173A55" w:rsidP="00173A55">
      <w:pPr>
        <w:pStyle w:val="ListParagraph"/>
        <w:numPr>
          <w:ilvl w:val="0"/>
          <w:numId w:val="116"/>
        </w:numPr>
      </w:pPr>
      <w:r w:rsidRPr="00276BCA">
        <w:lastRenderedPageBreak/>
        <w:t xml:space="preserve">a requirement for at least 75% CLDN18.2 expression should be specified in the relevant clinical </w:t>
      </w:r>
      <w:proofErr w:type="gramStart"/>
      <w:r w:rsidRPr="00276BCA">
        <w:t>criterion;</w:t>
      </w:r>
      <w:proofErr w:type="gramEnd"/>
    </w:p>
    <w:p w14:paraId="4F01EDFE" w14:textId="0AC244A5" w:rsidR="006961B5" w:rsidRPr="00276BCA" w:rsidRDefault="006961B5" w:rsidP="006961B5">
      <w:pPr>
        <w:pStyle w:val="ListParagraph"/>
        <w:numPr>
          <w:ilvl w:val="0"/>
          <w:numId w:val="116"/>
        </w:numPr>
      </w:pPr>
      <w:r w:rsidRPr="00276BCA">
        <w:t xml:space="preserve">with the removal of the Conditions population criteria (as discussed in paragraph </w:t>
      </w:r>
      <w:r w:rsidRPr="00276BCA">
        <w:fldChar w:fldCharType="begin"/>
      </w:r>
      <w:r w:rsidRPr="00276BCA">
        <w:instrText xml:space="preserve"> REF _Ref195621401 \r \h </w:instrText>
      </w:r>
      <w:r w:rsidR="00867969" w:rsidRPr="00276BCA">
        <w:instrText xml:space="preserve"> \* MERGEFORMAT </w:instrText>
      </w:r>
      <w:r w:rsidRPr="00276BCA">
        <w:fldChar w:fldCharType="separate"/>
      </w:r>
      <w:r w:rsidR="0011458F">
        <w:t>3.6</w:t>
      </w:r>
      <w:r w:rsidRPr="00276BCA">
        <w:fldChar w:fldCharType="end"/>
      </w:r>
      <w:r w:rsidRPr="00276BCA">
        <w:t>) the following clinical criteria should be added: ‘</w:t>
      </w:r>
      <w:r w:rsidR="0093116D" w:rsidRPr="00276BCA">
        <w:t>‘</w:t>
      </w:r>
      <w:r w:rsidRPr="00276BCA">
        <w:t>The treatment must be in combination with platinum-based chemotherapy plus a fluoropyrimidine drug’; and ‘The condition must be human epidermal growth factor receptor 2 (HER2) negative’</w:t>
      </w:r>
      <w:r w:rsidR="00650FF9" w:rsidRPr="00276BCA">
        <w:t xml:space="preserve">; </w:t>
      </w:r>
      <w:r w:rsidR="00173A55" w:rsidRPr="00276BCA">
        <w:t>and</w:t>
      </w:r>
    </w:p>
    <w:p w14:paraId="1A008646" w14:textId="544DB916" w:rsidR="00EA66C4" w:rsidRPr="00276BCA" w:rsidRDefault="00F7636F" w:rsidP="00EA66C4">
      <w:pPr>
        <w:pStyle w:val="ListParagraph"/>
        <w:numPr>
          <w:ilvl w:val="0"/>
          <w:numId w:val="116"/>
        </w:numPr>
      </w:pPr>
      <w:r w:rsidRPr="00276BCA">
        <w:t xml:space="preserve">addition of the clinical criterion: </w:t>
      </w:r>
      <w:r w:rsidR="00B57AE6" w:rsidRPr="00276BCA">
        <w:t>‘Patient must be untreated for this indication’</w:t>
      </w:r>
      <w:r w:rsidRPr="00276BCA">
        <w:t xml:space="preserve"> to ensure use in the first line treatment setting</w:t>
      </w:r>
      <w:r w:rsidR="00B57AE6" w:rsidRPr="00276BCA">
        <w:t>.</w:t>
      </w:r>
      <w:r w:rsidR="00EA66C4" w:rsidRPr="00276BCA">
        <w:t xml:space="preserve"> With this inclusion, the criterion: ‘Patient must be undergoing treatment with this drug for the first time’ can be removed.</w:t>
      </w:r>
    </w:p>
    <w:p w14:paraId="183092F1" w14:textId="3D4FFF7A" w:rsidR="00AE2598" w:rsidRPr="00276BCA" w:rsidRDefault="009303E7" w:rsidP="001C1E03">
      <w:pPr>
        <w:pStyle w:val="ListParagraph"/>
        <w:numPr>
          <w:ilvl w:val="4"/>
          <w:numId w:val="8"/>
        </w:numPr>
      </w:pPr>
      <w:r w:rsidRPr="00276BCA">
        <w:t>T</w:t>
      </w:r>
      <w:r w:rsidR="00AE2598" w:rsidRPr="00276BCA">
        <w:t>he submission nominat</w:t>
      </w:r>
      <w:r w:rsidRPr="00276BCA">
        <w:t>ed</w:t>
      </w:r>
      <w:r w:rsidR="00AE2598" w:rsidRPr="00276BCA">
        <w:t xml:space="preserve"> nivolumab + chemotherapy as the main comparator, and chemotherapy alone for the subgroup of patients who relapsed after early-stage nivolumab treatment or have contraindications to PD-1/PD-L1 inhibitors</w:t>
      </w:r>
      <w:r w:rsidRPr="00276BCA">
        <w:t xml:space="preserve">. The PBAC considered the nominated comparators were </w:t>
      </w:r>
      <w:r w:rsidR="00224F66" w:rsidRPr="00276BCA">
        <w:t>appropriate</w:t>
      </w:r>
      <w:r w:rsidR="0037656E" w:rsidRPr="00276BCA">
        <w:t>, noting that</w:t>
      </w:r>
      <w:r w:rsidR="00BA1415" w:rsidRPr="00276BCA">
        <w:t xml:space="preserve"> the lat</w:t>
      </w:r>
      <w:r w:rsidR="00CB7E4D" w:rsidRPr="00276BCA">
        <w:t>t</w:t>
      </w:r>
      <w:r w:rsidR="00BA1415" w:rsidRPr="00276BCA">
        <w:t xml:space="preserve">er subgroup of patients was </w:t>
      </w:r>
      <w:r w:rsidR="0037656E" w:rsidRPr="00276BCA">
        <w:rPr>
          <w:color w:val="auto"/>
        </w:rPr>
        <w:t>likely to be small.</w:t>
      </w:r>
      <w:r w:rsidR="00D42750" w:rsidRPr="00276BCA">
        <w:rPr>
          <w:color w:val="auto"/>
        </w:rPr>
        <w:t xml:space="preserve"> The</w:t>
      </w:r>
      <w:r w:rsidR="001C1E03" w:rsidRPr="00276BCA">
        <w:rPr>
          <w:color w:val="auto"/>
        </w:rPr>
        <w:t xml:space="preserve"> PBAC also</w:t>
      </w:r>
      <w:r w:rsidR="008149C0" w:rsidRPr="00276BCA">
        <w:t xml:space="preserve"> noted that </w:t>
      </w:r>
      <w:r w:rsidR="00BA5669" w:rsidRPr="00276BCA">
        <w:t>tislelizumab</w:t>
      </w:r>
      <w:r w:rsidR="003845AB" w:rsidRPr="00276BCA">
        <w:t xml:space="preserve"> (</w:t>
      </w:r>
      <w:r w:rsidR="00E0337D" w:rsidRPr="00276BCA">
        <w:t>recommended by the PBAC in November 2024</w:t>
      </w:r>
      <w:r w:rsidR="003845AB" w:rsidRPr="00276BCA">
        <w:t>) and pembrolizumab (</w:t>
      </w:r>
      <w:r w:rsidR="00045243" w:rsidRPr="00276BCA">
        <w:t>recommended</w:t>
      </w:r>
      <w:r w:rsidR="003845AB" w:rsidRPr="00276BCA">
        <w:t xml:space="preserve"> by PBAC in </w:t>
      </w:r>
      <w:r w:rsidR="00045243" w:rsidRPr="00276BCA">
        <w:t>May 2022) are</w:t>
      </w:r>
      <w:r w:rsidR="001E1DF5" w:rsidRPr="00276BCA">
        <w:t xml:space="preserve"> near market comparator</w:t>
      </w:r>
      <w:r w:rsidR="00045243" w:rsidRPr="00276BCA">
        <w:t>s</w:t>
      </w:r>
      <w:r w:rsidR="002F2565" w:rsidRPr="00276BCA">
        <w:t>, recommended on a cost-minimisation basis to nivolumab but not yet PBS-listed at the time of PBAC consideration</w:t>
      </w:r>
      <w:r w:rsidR="00AE2598" w:rsidRPr="00276BCA">
        <w:t>.</w:t>
      </w:r>
      <w:r w:rsidR="001E1DF5" w:rsidRPr="00276BCA">
        <w:t xml:space="preserve"> </w:t>
      </w:r>
    </w:p>
    <w:p w14:paraId="7FF5F58C" w14:textId="236D7737" w:rsidR="00D234E9" w:rsidRPr="00276BCA" w:rsidRDefault="00E0598C" w:rsidP="008E50FB">
      <w:pPr>
        <w:pStyle w:val="ListParagraph"/>
        <w:numPr>
          <w:ilvl w:val="4"/>
          <w:numId w:val="8"/>
        </w:numPr>
        <w:rPr>
          <w:color w:val="auto"/>
        </w:rPr>
      </w:pPr>
      <w:r w:rsidRPr="00276BCA">
        <w:rPr>
          <w:color w:val="auto"/>
        </w:rPr>
        <w:t>The submission was based on</w:t>
      </w:r>
      <w:r w:rsidR="001B1DF3" w:rsidRPr="00276BCA">
        <w:rPr>
          <w:color w:val="auto"/>
        </w:rPr>
        <w:t xml:space="preserve"> </w:t>
      </w:r>
      <w:r w:rsidRPr="00276BCA">
        <w:rPr>
          <w:color w:val="auto"/>
        </w:rPr>
        <w:t xml:space="preserve">an indirect treatment comparison (ITC) of </w:t>
      </w:r>
      <w:proofErr w:type="spellStart"/>
      <w:r w:rsidRPr="00276BCA">
        <w:rPr>
          <w:color w:val="auto"/>
        </w:rPr>
        <w:t>zolbetuximab</w:t>
      </w:r>
      <w:proofErr w:type="spellEnd"/>
      <w:r w:rsidRPr="00276BCA">
        <w:rPr>
          <w:color w:val="auto"/>
        </w:rPr>
        <w:t xml:space="preserve"> + chemotherapy and nivolumab + chemotherapy via network-meta-analysis (NMA)</w:t>
      </w:r>
      <w:r w:rsidR="00F06D3E" w:rsidRPr="00276BCA">
        <w:rPr>
          <w:color w:val="auto"/>
        </w:rPr>
        <w:t xml:space="preserve">, from which it focussed on two </w:t>
      </w:r>
      <w:r w:rsidR="00F06D3E" w:rsidRPr="00276BCA">
        <w:rPr>
          <w:snapToGrid w:val="0"/>
          <w:lang w:val="en-GB"/>
        </w:rPr>
        <w:t>randomised, double-blind trials (</w:t>
      </w:r>
      <w:r w:rsidR="00F06D3E" w:rsidRPr="00276BCA">
        <w:rPr>
          <w:color w:val="auto"/>
        </w:rPr>
        <w:t>SPOTLIGHT, N=</w:t>
      </w:r>
      <w:r w:rsidR="00B251B7" w:rsidRPr="00276BCA">
        <w:t>565</w:t>
      </w:r>
      <w:r w:rsidR="00F06D3E" w:rsidRPr="00276BCA">
        <w:rPr>
          <w:color w:val="auto"/>
        </w:rPr>
        <w:t>; and GLOW, N=</w:t>
      </w:r>
      <w:r w:rsidR="00C70C98" w:rsidRPr="00276BCA">
        <w:t>507</w:t>
      </w:r>
      <w:r w:rsidR="00F06D3E" w:rsidRPr="00276BCA">
        <w:rPr>
          <w:color w:val="auto"/>
        </w:rPr>
        <w:t xml:space="preserve">) comparing </w:t>
      </w:r>
      <w:proofErr w:type="spellStart"/>
      <w:r w:rsidR="00395BE3" w:rsidRPr="00276BCA">
        <w:rPr>
          <w:color w:val="auto"/>
        </w:rPr>
        <w:t>zolbetuximab</w:t>
      </w:r>
      <w:proofErr w:type="spellEnd"/>
      <w:r w:rsidR="00395BE3" w:rsidRPr="00276BCA">
        <w:rPr>
          <w:color w:val="auto"/>
        </w:rPr>
        <w:t xml:space="preserve"> with chemotherapy (mFOLFOX6, and CAPOX, respectively), and two </w:t>
      </w:r>
      <w:r w:rsidR="00395BE3" w:rsidRPr="00276BCA">
        <w:rPr>
          <w:snapToGrid w:val="0"/>
          <w:lang w:val="en-GB"/>
        </w:rPr>
        <w:t>randomised, double-blind trials (</w:t>
      </w:r>
      <w:proofErr w:type="spellStart"/>
      <w:r w:rsidR="00395BE3" w:rsidRPr="00276BCA">
        <w:rPr>
          <w:color w:val="auto"/>
        </w:rPr>
        <w:t>CheckMate</w:t>
      </w:r>
      <w:proofErr w:type="spellEnd"/>
      <w:r w:rsidR="00515920" w:rsidRPr="00276BCA">
        <w:rPr>
          <w:color w:val="auto"/>
        </w:rPr>
        <w:t xml:space="preserve"> </w:t>
      </w:r>
      <w:r w:rsidR="00395BE3" w:rsidRPr="00276BCA">
        <w:rPr>
          <w:color w:val="auto"/>
        </w:rPr>
        <w:t>649, N</w:t>
      </w:r>
      <w:r w:rsidR="00F864CD" w:rsidRPr="00276BCA">
        <w:rPr>
          <w:color w:val="auto"/>
        </w:rPr>
        <w:t>= </w:t>
      </w:r>
      <w:r w:rsidR="000B3C9C" w:rsidRPr="00276BCA">
        <w:rPr>
          <w:color w:val="auto"/>
        </w:rPr>
        <w:t>1,581</w:t>
      </w:r>
      <w:r w:rsidR="00395BE3" w:rsidRPr="00276BCA">
        <w:rPr>
          <w:color w:val="auto"/>
        </w:rPr>
        <w:t>; and ATTRACTION-4, N=</w:t>
      </w:r>
      <w:r w:rsidR="00A15F85" w:rsidRPr="00276BCA">
        <w:t>724</w:t>
      </w:r>
      <w:r w:rsidR="00395BE3" w:rsidRPr="00276BCA">
        <w:rPr>
          <w:color w:val="auto"/>
        </w:rPr>
        <w:t>) comparing nivolumab with chemotherapy (</w:t>
      </w:r>
      <w:r w:rsidR="00AF29FD" w:rsidRPr="00276BCA">
        <w:rPr>
          <w:color w:val="auto"/>
        </w:rPr>
        <w:t xml:space="preserve">FOLFOX or </w:t>
      </w:r>
      <w:r w:rsidR="00395BE3" w:rsidRPr="00276BCA">
        <w:rPr>
          <w:color w:val="auto"/>
        </w:rPr>
        <w:t xml:space="preserve">CAPOX, and </w:t>
      </w:r>
      <w:r w:rsidR="004B019F" w:rsidRPr="00276BCA">
        <w:rPr>
          <w:color w:val="auto"/>
        </w:rPr>
        <w:t xml:space="preserve">SOX or </w:t>
      </w:r>
      <w:r w:rsidR="00395BE3" w:rsidRPr="00276BCA">
        <w:rPr>
          <w:color w:val="auto"/>
        </w:rPr>
        <w:t>CAPOX, respectively)</w:t>
      </w:r>
      <w:r w:rsidR="004B019F" w:rsidRPr="00276BCA">
        <w:rPr>
          <w:color w:val="auto"/>
        </w:rPr>
        <w:t xml:space="preserve">. </w:t>
      </w:r>
      <w:r w:rsidR="00D234E9" w:rsidRPr="00276BCA">
        <w:rPr>
          <w:color w:val="auto"/>
        </w:rPr>
        <w:t xml:space="preserve">The PBAC noted potential transitivity issues between </w:t>
      </w:r>
      <w:r w:rsidR="007A08FD" w:rsidRPr="00276BCA">
        <w:rPr>
          <w:color w:val="auto"/>
        </w:rPr>
        <w:t xml:space="preserve">the </w:t>
      </w:r>
      <w:r w:rsidR="00D234E9" w:rsidRPr="00276BCA">
        <w:rPr>
          <w:color w:val="auto"/>
        </w:rPr>
        <w:t xml:space="preserve">included trials leading to uncertainty in the </w:t>
      </w:r>
      <w:r w:rsidR="00985A83" w:rsidRPr="00276BCA">
        <w:rPr>
          <w:color w:val="auto"/>
        </w:rPr>
        <w:t>ITC</w:t>
      </w:r>
      <w:r w:rsidR="00D234E9" w:rsidRPr="00276BCA">
        <w:rPr>
          <w:color w:val="auto"/>
        </w:rPr>
        <w:t xml:space="preserve">, including differences in </w:t>
      </w:r>
      <w:r w:rsidR="00985A83" w:rsidRPr="00276BCA">
        <w:rPr>
          <w:color w:val="auto"/>
        </w:rPr>
        <w:t xml:space="preserve">the </w:t>
      </w:r>
      <w:r w:rsidR="00D234E9" w:rsidRPr="00276BCA">
        <w:rPr>
          <w:color w:val="auto"/>
        </w:rPr>
        <w:t>primary tumour site, inclusion of patients with recurrent disease, HER2 status (negative vs unknown), CLDN18.2 expression (</w:t>
      </w:r>
      <w:r w:rsidR="00D234E9" w:rsidRPr="00276BCA">
        <w:rPr>
          <w:rFonts w:cstheme="minorHAnsi"/>
          <w:color w:val="auto"/>
        </w:rPr>
        <w:t>≥</w:t>
      </w:r>
      <w:r w:rsidR="00D234E9" w:rsidRPr="00276BCA">
        <w:rPr>
          <w:color w:val="auto"/>
        </w:rPr>
        <w:t>75% expression vs unknown), ancestry, follow-up duration, and subsequent anti-cancer therapies.</w:t>
      </w:r>
      <w:r w:rsidR="00551CF6" w:rsidRPr="00276BCA">
        <w:rPr>
          <w:color w:val="auto"/>
        </w:rPr>
        <w:t xml:space="preserve"> T</w:t>
      </w:r>
      <w:r w:rsidR="001A4E04" w:rsidRPr="00276BCA">
        <w:rPr>
          <w:color w:val="auto"/>
        </w:rPr>
        <w:t xml:space="preserve">he </w:t>
      </w:r>
      <w:r w:rsidR="00551CF6" w:rsidRPr="00276BCA">
        <w:rPr>
          <w:color w:val="auto"/>
        </w:rPr>
        <w:t xml:space="preserve">PBAC </w:t>
      </w:r>
      <w:r w:rsidR="000B30C9" w:rsidRPr="00276BCA">
        <w:rPr>
          <w:color w:val="auto"/>
        </w:rPr>
        <w:t xml:space="preserve">considered the </w:t>
      </w:r>
      <w:proofErr w:type="spellStart"/>
      <w:r w:rsidR="000B30C9" w:rsidRPr="00276BCA">
        <w:rPr>
          <w:color w:val="auto"/>
        </w:rPr>
        <w:t>CheckMate</w:t>
      </w:r>
      <w:proofErr w:type="spellEnd"/>
      <w:r w:rsidR="000B30C9" w:rsidRPr="00276BCA">
        <w:rPr>
          <w:color w:val="auto"/>
        </w:rPr>
        <w:t xml:space="preserve"> 649 </w:t>
      </w:r>
      <w:r w:rsidR="00EE159D" w:rsidRPr="00276BCA">
        <w:rPr>
          <w:color w:val="auto"/>
        </w:rPr>
        <w:t xml:space="preserve">nivolumab </w:t>
      </w:r>
      <w:r w:rsidR="000B30C9" w:rsidRPr="00276BCA">
        <w:rPr>
          <w:color w:val="auto"/>
        </w:rPr>
        <w:t xml:space="preserve">trial to be </w:t>
      </w:r>
      <w:r w:rsidR="002869BA" w:rsidRPr="00276BCA">
        <w:rPr>
          <w:color w:val="auto"/>
        </w:rPr>
        <w:t xml:space="preserve">more </w:t>
      </w:r>
      <w:r w:rsidR="00EE159D" w:rsidRPr="00276BCA">
        <w:rPr>
          <w:color w:val="auto"/>
        </w:rPr>
        <w:t>applicable</w:t>
      </w:r>
      <w:r w:rsidR="002869BA" w:rsidRPr="00276BCA">
        <w:rPr>
          <w:color w:val="auto"/>
        </w:rPr>
        <w:t>, notin</w:t>
      </w:r>
      <w:r w:rsidR="00EE159D" w:rsidRPr="00276BCA">
        <w:rPr>
          <w:color w:val="auto"/>
        </w:rPr>
        <w:t>g</w:t>
      </w:r>
      <w:r w:rsidR="00551CF6" w:rsidRPr="00276BCA">
        <w:rPr>
          <w:color w:val="auto"/>
        </w:rPr>
        <w:t xml:space="preserve"> the </w:t>
      </w:r>
      <w:r w:rsidR="001A4E04" w:rsidRPr="00276BCA">
        <w:rPr>
          <w:color w:val="auto"/>
        </w:rPr>
        <w:t xml:space="preserve">ATTRACTION-4 trial was excluded </w:t>
      </w:r>
      <w:r w:rsidR="0026527F" w:rsidRPr="00276BCA">
        <w:rPr>
          <w:color w:val="auto"/>
        </w:rPr>
        <w:t xml:space="preserve">from the nivolumab </w:t>
      </w:r>
      <w:r w:rsidR="009667A9" w:rsidRPr="00276BCA">
        <w:rPr>
          <w:color w:val="auto"/>
        </w:rPr>
        <w:t xml:space="preserve">PBAC </w:t>
      </w:r>
      <w:r w:rsidR="0026527F" w:rsidRPr="00276BCA">
        <w:rPr>
          <w:color w:val="auto"/>
        </w:rPr>
        <w:t xml:space="preserve">submission </w:t>
      </w:r>
      <w:r w:rsidR="001A4E04" w:rsidRPr="00276BCA">
        <w:rPr>
          <w:color w:val="auto"/>
        </w:rPr>
        <w:t>due to concerns regarding its applicability to Australian setting</w:t>
      </w:r>
      <w:r w:rsidR="009667A9" w:rsidRPr="00276BCA">
        <w:rPr>
          <w:color w:val="auto"/>
        </w:rPr>
        <w:t xml:space="preserve"> (see paragraph </w:t>
      </w:r>
      <w:r w:rsidR="00014729" w:rsidRPr="00276BCA">
        <w:rPr>
          <w:color w:val="auto"/>
        </w:rPr>
        <w:fldChar w:fldCharType="begin"/>
      </w:r>
      <w:r w:rsidR="00014729" w:rsidRPr="00276BCA">
        <w:rPr>
          <w:color w:val="auto"/>
        </w:rPr>
        <w:instrText xml:space="preserve"> REF _Ref195692239 \r \h </w:instrText>
      </w:r>
      <w:r w:rsidR="00867969" w:rsidRPr="00276BCA">
        <w:rPr>
          <w:color w:val="auto"/>
        </w:rPr>
        <w:instrText xml:space="preserve"> \* MERGEFORMAT </w:instrText>
      </w:r>
      <w:r w:rsidR="00014729" w:rsidRPr="00276BCA">
        <w:rPr>
          <w:color w:val="auto"/>
        </w:rPr>
      </w:r>
      <w:r w:rsidR="00014729" w:rsidRPr="00276BCA">
        <w:rPr>
          <w:color w:val="auto"/>
        </w:rPr>
        <w:fldChar w:fldCharType="separate"/>
      </w:r>
      <w:r w:rsidR="0011458F">
        <w:rPr>
          <w:color w:val="auto"/>
        </w:rPr>
        <w:t>6.10</w:t>
      </w:r>
      <w:r w:rsidR="00014729" w:rsidRPr="00276BCA">
        <w:rPr>
          <w:color w:val="auto"/>
        </w:rPr>
        <w:fldChar w:fldCharType="end"/>
      </w:r>
      <w:r w:rsidR="009667A9" w:rsidRPr="00276BCA">
        <w:rPr>
          <w:color w:val="auto"/>
        </w:rPr>
        <w:t>)</w:t>
      </w:r>
      <w:r w:rsidR="005E6582" w:rsidRPr="00276BCA">
        <w:rPr>
          <w:color w:val="auto"/>
        </w:rPr>
        <w:t>.</w:t>
      </w:r>
    </w:p>
    <w:p w14:paraId="4DEA4BA0" w14:textId="0869C936" w:rsidR="0008567B" w:rsidRPr="00276BCA" w:rsidRDefault="00B92FE5" w:rsidP="008C2F31">
      <w:pPr>
        <w:pStyle w:val="ListParagraph"/>
        <w:numPr>
          <w:ilvl w:val="4"/>
          <w:numId w:val="8"/>
        </w:numPr>
        <w:rPr>
          <w:color w:val="auto"/>
        </w:rPr>
      </w:pPr>
      <w:r w:rsidRPr="00276BCA">
        <w:rPr>
          <w:color w:val="auto"/>
        </w:rPr>
        <w:t xml:space="preserve">The PBAC noted similarly modest OS improvements with </w:t>
      </w:r>
      <w:proofErr w:type="spellStart"/>
      <w:r w:rsidRPr="00276BCA">
        <w:rPr>
          <w:color w:val="auto"/>
        </w:rPr>
        <w:t>zolbetuximab</w:t>
      </w:r>
      <w:proofErr w:type="spellEnd"/>
      <w:r w:rsidRPr="00276BCA">
        <w:rPr>
          <w:color w:val="auto"/>
        </w:rPr>
        <w:t xml:space="preserve"> + chemotherapy compared to chemotherapy alone</w:t>
      </w:r>
      <w:r w:rsidR="00547EDC" w:rsidRPr="00276BCA">
        <w:rPr>
          <w:color w:val="auto"/>
        </w:rPr>
        <w:t xml:space="preserve"> (</w:t>
      </w:r>
      <w:r w:rsidR="00A00B77" w:rsidRPr="00276BCA">
        <w:rPr>
          <w:color w:val="auto"/>
        </w:rPr>
        <w:t xml:space="preserve">SPOTLIGHT </w:t>
      </w:r>
      <w:r w:rsidR="00547EDC" w:rsidRPr="00276BCA">
        <w:rPr>
          <w:color w:val="auto"/>
        </w:rPr>
        <w:t>HR</w:t>
      </w:r>
      <w:r w:rsidR="00A00B77" w:rsidRPr="00276BCA">
        <w:rPr>
          <w:color w:val="auto"/>
        </w:rPr>
        <w:t xml:space="preserve"> 0.78, 95% CI 0.64, 0.95; GLOW HR 0.76, 95% CI 0.62, 0.94)</w:t>
      </w:r>
      <w:r w:rsidRPr="00276BCA">
        <w:rPr>
          <w:color w:val="auto"/>
        </w:rPr>
        <w:t xml:space="preserve"> and nivolumab + chemotherapy compared to chemotherapy alone (CHECKMATE 649</w:t>
      </w:r>
      <w:r w:rsidR="008E1FFF" w:rsidRPr="00276BCA">
        <w:rPr>
          <w:color w:val="auto"/>
        </w:rPr>
        <w:t xml:space="preserve"> HR</w:t>
      </w:r>
      <w:r w:rsidR="00DB4BF4" w:rsidRPr="00276BCA">
        <w:rPr>
          <w:color w:val="auto"/>
        </w:rPr>
        <w:t xml:space="preserve"> 0.80, 95% CI 0.68, 0.94;</w:t>
      </w:r>
      <w:r w:rsidRPr="00276BCA">
        <w:rPr>
          <w:color w:val="auto"/>
        </w:rPr>
        <w:t xml:space="preserve"> ATTRACTION-4</w:t>
      </w:r>
      <w:r w:rsidR="00DB4BF4" w:rsidRPr="00276BCA">
        <w:rPr>
          <w:color w:val="auto"/>
        </w:rPr>
        <w:t xml:space="preserve"> HR 0.90, 95% CI 0.75, 1.08</w:t>
      </w:r>
      <w:r w:rsidRPr="00276BCA">
        <w:rPr>
          <w:color w:val="auto"/>
        </w:rPr>
        <w:t xml:space="preserve">). </w:t>
      </w:r>
      <w:r w:rsidR="0000511F" w:rsidRPr="00276BCA">
        <w:rPr>
          <w:color w:val="auto"/>
        </w:rPr>
        <w:t>The PBAC noted based on the NMA analysis included in the submission</w:t>
      </w:r>
      <w:r w:rsidR="00133834" w:rsidRPr="00276BCA">
        <w:rPr>
          <w:color w:val="auto"/>
        </w:rPr>
        <w:t>, and two additional NMA</w:t>
      </w:r>
      <w:r w:rsidR="00BE6297" w:rsidRPr="00276BCA">
        <w:rPr>
          <w:color w:val="auto"/>
        </w:rPr>
        <w:t>s</w:t>
      </w:r>
      <w:r w:rsidR="00133834" w:rsidRPr="00276BCA">
        <w:rPr>
          <w:color w:val="auto"/>
        </w:rPr>
        <w:t xml:space="preserve"> identified during the evaluation</w:t>
      </w:r>
      <w:r w:rsidR="000714FF" w:rsidRPr="00276BCA">
        <w:rPr>
          <w:color w:val="auto"/>
        </w:rPr>
        <w:t>,</w:t>
      </w:r>
      <w:r w:rsidR="00133834" w:rsidRPr="00276BCA">
        <w:rPr>
          <w:color w:val="auto"/>
        </w:rPr>
        <w:t xml:space="preserve"> that the </w:t>
      </w:r>
      <w:r w:rsidR="00133834" w:rsidRPr="00276BCA">
        <w:rPr>
          <w:color w:val="auto"/>
        </w:rPr>
        <w:lastRenderedPageBreak/>
        <w:t>difference</w:t>
      </w:r>
      <w:r w:rsidR="00450B25" w:rsidRPr="00276BCA">
        <w:rPr>
          <w:color w:val="auto"/>
        </w:rPr>
        <w:t xml:space="preserve">s in PFS and OS </w:t>
      </w:r>
      <w:r w:rsidR="000714FF" w:rsidRPr="00276BCA">
        <w:rPr>
          <w:color w:val="auto"/>
        </w:rPr>
        <w:t xml:space="preserve">for </w:t>
      </w:r>
      <w:proofErr w:type="spellStart"/>
      <w:r w:rsidR="000714FF" w:rsidRPr="00276BCA">
        <w:rPr>
          <w:color w:val="auto"/>
        </w:rPr>
        <w:t>zolbetuximab</w:t>
      </w:r>
      <w:proofErr w:type="spellEnd"/>
      <w:r w:rsidR="000714FF" w:rsidRPr="00276BCA">
        <w:rPr>
          <w:color w:val="auto"/>
        </w:rPr>
        <w:t xml:space="preserve"> and nivolumab when used in combination with chemotherapy were not </w:t>
      </w:r>
      <w:r w:rsidR="00DB72C6" w:rsidRPr="00276BCA">
        <w:rPr>
          <w:color w:val="auto"/>
        </w:rPr>
        <w:t>statistically</w:t>
      </w:r>
      <w:r w:rsidR="000714FF" w:rsidRPr="00276BCA">
        <w:rPr>
          <w:color w:val="auto"/>
        </w:rPr>
        <w:t xml:space="preserve"> significantly different.</w:t>
      </w:r>
      <w:r w:rsidR="001E17F5" w:rsidRPr="00276BCA">
        <w:rPr>
          <w:color w:val="auto"/>
        </w:rPr>
        <w:t xml:space="preserve"> Although </w:t>
      </w:r>
      <w:r w:rsidR="00EF5089" w:rsidRPr="00276BCA">
        <w:rPr>
          <w:color w:val="auto"/>
        </w:rPr>
        <w:t xml:space="preserve">not strongly supported due to transitivity issues, </w:t>
      </w:r>
      <w:r w:rsidR="001E17F5" w:rsidRPr="00276BCA">
        <w:rPr>
          <w:color w:val="auto"/>
        </w:rPr>
        <w:t>the PBAC considered</w:t>
      </w:r>
      <w:r w:rsidR="0008567B" w:rsidRPr="00276BCA">
        <w:rPr>
          <w:color w:val="auto"/>
        </w:rPr>
        <w:t xml:space="preserve"> that the claim of noninferior effectiveness was overall reasonable.</w:t>
      </w:r>
    </w:p>
    <w:p w14:paraId="5283557B" w14:textId="6FA4BAD1" w:rsidR="00E94F2C" w:rsidRPr="00276BCA" w:rsidRDefault="00E94F2C" w:rsidP="002D79D7">
      <w:pPr>
        <w:pStyle w:val="ListParagraph"/>
        <w:numPr>
          <w:ilvl w:val="4"/>
          <w:numId w:val="8"/>
        </w:numPr>
        <w:rPr>
          <w:color w:val="auto"/>
        </w:rPr>
      </w:pPr>
      <w:r w:rsidRPr="00276BCA">
        <w:rPr>
          <w:color w:val="auto"/>
        </w:rPr>
        <w:t xml:space="preserve">The submission described </w:t>
      </w:r>
      <w:proofErr w:type="spellStart"/>
      <w:r w:rsidRPr="00276BCA">
        <w:rPr>
          <w:color w:val="auto"/>
        </w:rPr>
        <w:t>zolbetuximab</w:t>
      </w:r>
      <w:proofErr w:type="spellEnd"/>
      <w:r w:rsidRPr="00276BCA">
        <w:rPr>
          <w:color w:val="auto"/>
        </w:rPr>
        <w:t xml:space="preserve"> as noninferior in terms of safety compared to nivolumab, with a different but manageable safety profile. The </w:t>
      </w:r>
      <w:r w:rsidR="002B2CE7" w:rsidRPr="00276BCA">
        <w:rPr>
          <w:color w:val="auto"/>
        </w:rPr>
        <w:t xml:space="preserve">PBAC </w:t>
      </w:r>
      <w:r w:rsidR="00550412" w:rsidRPr="00276BCA">
        <w:rPr>
          <w:color w:val="auto"/>
        </w:rPr>
        <w:t xml:space="preserve">acknowledged </w:t>
      </w:r>
      <w:r w:rsidR="002B2CE7" w:rsidRPr="00276BCA">
        <w:rPr>
          <w:color w:val="auto"/>
        </w:rPr>
        <w:t xml:space="preserve">difficulties in </w:t>
      </w:r>
      <w:r w:rsidRPr="00276BCA">
        <w:rPr>
          <w:color w:val="auto"/>
        </w:rPr>
        <w:t>assess</w:t>
      </w:r>
      <w:r w:rsidR="002B2CE7" w:rsidRPr="00276BCA">
        <w:rPr>
          <w:color w:val="auto"/>
        </w:rPr>
        <w:t>ing</w:t>
      </w:r>
      <w:r w:rsidRPr="00276BCA">
        <w:rPr>
          <w:color w:val="auto"/>
        </w:rPr>
        <w:t xml:space="preserve"> comparative safety, given the considerable differences in the safety profiles between </w:t>
      </w:r>
      <w:proofErr w:type="spellStart"/>
      <w:r w:rsidRPr="00276BCA">
        <w:rPr>
          <w:color w:val="auto"/>
        </w:rPr>
        <w:t>zolbetuximab</w:t>
      </w:r>
      <w:proofErr w:type="spellEnd"/>
      <w:r w:rsidRPr="00276BCA">
        <w:rPr>
          <w:color w:val="auto"/>
        </w:rPr>
        <w:t xml:space="preserve"> and nivolumab. The PBAC</w:t>
      </w:r>
      <w:r w:rsidR="00491F66" w:rsidRPr="00276BCA">
        <w:rPr>
          <w:color w:val="auto"/>
        </w:rPr>
        <w:t xml:space="preserve"> noted </w:t>
      </w:r>
      <w:r w:rsidR="00012F6B" w:rsidRPr="00276BCA">
        <w:rPr>
          <w:color w:val="auto"/>
        </w:rPr>
        <w:t xml:space="preserve">similar AE rates overall, but more Grade 3-4 upper gastrointestinal toxicity with </w:t>
      </w:r>
      <w:proofErr w:type="spellStart"/>
      <w:r w:rsidR="00012F6B" w:rsidRPr="00276BCA">
        <w:rPr>
          <w:color w:val="auto"/>
        </w:rPr>
        <w:t>zolbetuximab</w:t>
      </w:r>
      <w:proofErr w:type="spellEnd"/>
      <w:r w:rsidR="00012F6B" w:rsidRPr="00276BCA">
        <w:rPr>
          <w:color w:val="auto"/>
        </w:rPr>
        <w:t xml:space="preserve">, which it </w:t>
      </w:r>
      <w:r w:rsidR="000D5D35" w:rsidRPr="00276BCA">
        <w:rPr>
          <w:color w:val="auto"/>
        </w:rPr>
        <w:t xml:space="preserve">considered </w:t>
      </w:r>
      <w:r w:rsidR="00455A3E" w:rsidRPr="00276BCA">
        <w:rPr>
          <w:color w:val="auto"/>
        </w:rPr>
        <w:t>would likely</w:t>
      </w:r>
      <w:r w:rsidRPr="00276BCA">
        <w:rPr>
          <w:color w:val="auto"/>
        </w:rPr>
        <w:t xml:space="preserve"> affect </w:t>
      </w:r>
      <w:r w:rsidR="00455A3E" w:rsidRPr="00276BCA">
        <w:rPr>
          <w:color w:val="auto"/>
        </w:rPr>
        <w:t xml:space="preserve">patient </w:t>
      </w:r>
      <w:r w:rsidRPr="00276BCA">
        <w:rPr>
          <w:color w:val="auto"/>
        </w:rPr>
        <w:t>quality of life</w:t>
      </w:r>
      <w:r w:rsidR="000D5D35" w:rsidRPr="00276BCA">
        <w:rPr>
          <w:color w:val="auto"/>
        </w:rPr>
        <w:t>.</w:t>
      </w:r>
      <w:r w:rsidR="004E23D7" w:rsidRPr="00276BCA">
        <w:rPr>
          <w:color w:val="auto"/>
        </w:rPr>
        <w:t xml:space="preserve"> The PBAC noted </w:t>
      </w:r>
      <w:r w:rsidR="000E642C" w:rsidRPr="00276BCA">
        <w:rPr>
          <w:color w:val="auto"/>
        </w:rPr>
        <w:t>the addition of nivolumab to chemotherapy did not increase the incidence of grade 3 or</w:t>
      </w:r>
      <w:r w:rsidR="00D300BD" w:rsidRPr="00276BCA">
        <w:rPr>
          <w:color w:val="auto"/>
        </w:rPr>
        <w:t xml:space="preserve"> 4</w:t>
      </w:r>
      <w:r w:rsidR="000E642C" w:rsidRPr="00276BCA">
        <w:rPr>
          <w:color w:val="auto"/>
        </w:rPr>
        <w:t xml:space="preserve"> nausea, vomiting </w:t>
      </w:r>
      <w:r w:rsidR="001E249E" w:rsidRPr="00276BCA">
        <w:rPr>
          <w:color w:val="auto"/>
        </w:rPr>
        <w:t xml:space="preserve">or decreased appetite, whereas the addition of </w:t>
      </w:r>
      <w:proofErr w:type="spellStart"/>
      <w:r w:rsidR="001E249E" w:rsidRPr="00276BCA">
        <w:rPr>
          <w:color w:val="auto"/>
        </w:rPr>
        <w:t>zolbetuximab</w:t>
      </w:r>
      <w:proofErr w:type="spellEnd"/>
      <w:r w:rsidR="001E249E" w:rsidRPr="00276BCA">
        <w:rPr>
          <w:color w:val="auto"/>
        </w:rPr>
        <w:t xml:space="preserve"> to chemotherapy </w:t>
      </w:r>
      <w:r w:rsidR="00F975EC" w:rsidRPr="00276BCA">
        <w:rPr>
          <w:color w:val="auto"/>
        </w:rPr>
        <w:t xml:space="preserve">increased the incidence of </w:t>
      </w:r>
      <w:r w:rsidR="0096420C" w:rsidRPr="00276BCA">
        <w:rPr>
          <w:color w:val="auto"/>
        </w:rPr>
        <w:t xml:space="preserve">these events </w:t>
      </w:r>
      <w:r w:rsidR="00D300BD" w:rsidRPr="00276BCA">
        <w:rPr>
          <w:color w:val="auto"/>
        </w:rPr>
        <w:t>by 9%, 10% and 3%, respectively.</w:t>
      </w:r>
      <w:r w:rsidR="0096420C" w:rsidRPr="00276BCA">
        <w:rPr>
          <w:color w:val="auto"/>
        </w:rPr>
        <w:t xml:space="preserve"> </w:t>
      </w:r>
      <w:r w:rsidR="006607D3" w:rsidRPr="00276BCA">
        <w:rPr>
          <w:color w:val="auto"/>
        </w:rPr>
        <w:t xml:space="preserve">The PBAC further noted the EMA and FDA </w:t>
      </w:r>
      <w:r w:rsidR="008A5895" w:rsidRPr="00276BCA">
        <w:rPr>
          <w:color w:val="auto"/>
        </w:rPr>
        <w:t>considered</w:t>
      </w:r>
      <w:r w:rsidR="006607D3" w:rsidRPr="00276BCA">
        <w:rPr>
          <w:color w:val="auto"/>
        </w:rPr>
        <w:t xml:space="preserve"> </w:t>
      </w:r>
      <w:proofErr w:type="spellStart"/>
      <w:r w:rsidR="006607D3" w:rsidRPr="00276BCA">
        <w:rPr>
          <w:color w:val="auto"/>
        </w:rPr>
        <w:t>zolbetuximab</w:t>
      </w:r>
      <w:proofErr w:type="spellEnd"/>
      <w:r w:rsidR="006607D3" w:rsidRPr="00276BCA">
        <w:rPr>
          <w:color w:val="auto"/>
        </w:rPr>
        <w:t xml:space="preserve"> </w:t>
      </w:r>
      <w:r w:rsidR="008A5895" w:rsidRPr="00276BCA">
        <w:rPr>
          <w:color w:val="auto"/>
        </w:rPr>
        <w:t>to be</w:t>
      </w:r>
      <w:r w:rsidR="006607D3" w:rsidRPr="00276BCA">
        <w:rPr>
          <w:color w:val="auto"/>
        </w:rPr>
        <w:t xml:space="preserve"> associated with serious hypersensitivity (e.g. anaphylaxis) and severe nausea/vomiting</w:t>
      </w:r>
      <w:r w:rsidR="001B678B" w:rsidRPr="00276BCA">
        <w:rPr>
          <w:color w:val="auto"/>
        </w:rPr>
        <w:t>, and p</w:t>
      </w:r>
      <w:r w:rsidR="006607D3" w:rsidRPr="00276BCA">
        <w:rPr>
          <w:color w:val="auto"/>
        </w:rPr>
        <w:t>re-treatment with antiemetics</w:t>
      </w:r>
      <w:r w:rsidR="001B678B" w:rsidRPr="00276BCA">
        <w:rPr>
          <w:color w:val="auto"/>
        </w:rPr>
        <w:t xml:space="preserve"> </w:t>
      </w:r>
      <w:r w:rsidR="006607D3" w:rsidRPr="00276BCA">
        <w:rPr>
          <w:color w:val="auto"/>
        </w:rPr>
        <w:t>is recommended before each infusion.</w:t>
      </w:r>
      <w:r w:rsidR="000D5D35" w:rsidRPr="00276BCA">
        <w:rPr>
          <w:color w:val="auto"/>
        </w:rPr>
        <w:t xml:space="preserve"> </w:t>
      </w:r>
      <w:r w:rsidR="00DA617C" w:rsidRPr="00276BCA">
        <w:rPr>
          <w:color w:val="auto"/>
        </w:rPr>
        <w:t>Overall, t</w:t>
      </w:r>
      <w:r w:rsidRPr="00276BCA">
        <w:rPr>
          <w:color w:val="auto"/>
        </w:rPr>
        <w:t xml:space="preserve">he PBAC considered that the claim of non-inferior comparative safety was not adequately supported by the evidence, and the safety of </w:t>
      </w:r>
      <w:proofErr w:type="spellStart"/>
      <w:r w:rsidRPr="00276BCA">
        <w:rPr>
          <w:color w:val="auto"/>
        </w:rPr>
        <w:t>zolbetuximab</w:t>
      </w:r>
      <w:proofErr w:type="spellEnd"/>
      <w:r w:rsidRPr="00276BCA">
        <w:rPr>
          <w:color w:val="auto"/>
        </w:rPr>
        <w:t xml:space="preserve"> + chemotherapy is inferior to nivolumab + chemotherapy. </w:t>
      </w:r>
    </w:p>
    <w:p w14:paraId="1D8CF228" w14:textId="48E40F1F" w:rsidR="00BB25F0" w:rsidRPr="00276BCA" w:rsidRDefault="00851485" w:rsidP="00F2568D">
      <w:pPr>
        <w:pStyle w:val="ListParagraph"/>
        <w:numPr>
          <w:ilvl w:val="4"/>
          <w:numId w:val="8"/>
        </w:numPr>
      </w:pPr>
      <w:r w:rsidRPr="00276BCA">
        <w:rPr>
          <w:color w:val="auto"/>
        </w:rPr>
        <w:t xml:space="preserve">The submission presented a CMA of </w:t>
      </w:r>
      <w:proofErr w:type="spellStart"/>
      <w:r w:rsidR="00DE44B4" w:rsidRPr="00276BCA">
        <w:rPr>
          <w:color w:val="auto"/>
        </w:rPr>
        <w:t>zolbetuximab</w:t>
      </w:r>
      <w:proofErr w:type="spellEnd"/>
      <w:r w:rsidRPr="00276BCA">
        <w:rPr>
          <w:color w:val="auto"/>
        </w:rPr>
        <w:t xml:space="preserve"> </w:t>
      </w:r>
      <w:r w:rsidR="00A81698" w:rsidRPr="00276BCA">
        <w:rPr>
          <w:color w:val="auto"/>
        </w:rPr>
        <w:t xml:space="preserve">+ chemotherapy </w:t>
      </w:r>
      <w:r w:rsidR="006F10A1" w:rsidRPr="00276BCA">
        <w:rPr>
          <w:color w:val="auto"/>
        </w:rPr>
        <w:t>and</w:t>
      </w:r>
      <w:r w:rsidRPr="00276BCA">
        <w:rPr>
          <w:color w:val="auto"/>
        </w:rPr>
        <w:t xml:space="preserve"> nivolumab</w:t>
      </w:r>
      <w:r w:rsidR="00A81698" w:rsidRPr="00276BCA">
        <w:rPr>
          <w:color w:val="auto"/>
        </w:rPr>
        <w:t xml:space="preserve"> + chemotherapy</w:t>
      </w:r>
      <w:r w:rsidRPr="00276BCA">
        <w:rPr>
          <w:color w:val="auto"/>
        </w:rPr>
        <w:t xml:space="preserve">. </w:t>
      </w:r>
      <w:r w:rsidR="004735B5" w:rsidRPr="00276BCA">
        <w:rPr>
          <w:color w:val="auto"/>
        </w:rPr>
        <w:t xml:space="preserve">The PBAC noted </w:t>
      </w:r>
      <w:r w:rsidR="00BB25F0" w:rsidRPr="00276BCA">
        <w:rPr>
          <w:color w:val="auto"/>
        </w:rPr>
        <w:t xml:space="preserve">separate analyses were presented </w:t>
      </w:r>
      <w:r w:rsidR="005C2315" w:rsidRPr="00276BCA">
        <w:rPr>
          <w:color w:val="auto"/>
        </w:rPr>
        <w:t xml:space="preserve">for use in combination with </w:t>
      </w:r>
      <w:r w:rsidR="006074CB" w:rsidRPr="00276BCA">
        <w:rPr>
          <w:color w:val="auto"/>
        </w:rPr>
        <w:t>mFOLFOX6</w:t>
      </w:r>
      <w:r w:rsidR="00883C12" w:rsidRPr="00276BCA">
        <w:rPr>
          <w:color w:val="auto"/>
        </w:rPr>
        <w:t xml:space="preserve"> and </w:t>
      </w:r>
      <w:r w:rsidR="00A61720" w:rsidRPr="00276BCA">
        <w:rPr>
          <w:color w:val="auto"/>
        </w:rPr>
        <w:t xml:space="preserve">with </w:t>
      </w:r>
      <w:r w:rsidR="006074CB" w:rsidRPr="00276BCA">
        <w:rPr>
          <w:color w:val="auto"/>
        </w:rPr>
        <w:t>CAPOX</w:t>
      </w:r>
      <w:r w:rsidR="00A61720" w:rsidRPr="00276BCA">
        <w:rPr>
          <w:color w:val="auto"/>
        </w:rPr>
        <w:t xml:space="preserve">. The PBAC further noted that </w:t>
      </w:r>
      <w:r w:rsidR="00416E28" w:rsidRPr="00276BCA">
        <w:rPr>
          <w:color w:val="auto"/>
        </w:rPr>
        <w:t>different</w:t>
      </w:r>
      <w:r w:rsidR="00A61720" w:rsidRPr="00276BCA">
        <w:rPr>
          <w:color w:val="auto"/>
        </w:rPr>
        <w:t xml:space="preserve"> treatment duration</w:t>
      </w:r>
      <w:r w:rsidR="00416E28" w:rsidRPr="00276BCA">
        <w:rPr>
          <w:color w:val="auto"/>
        </w:rPr>
        <w:t>s</w:t>
      </w:r>
      <w:r w:rsidR="00A61720" w:rsidRPr="00276BCA">
        <w:rPr>
          <w:color w:val="auto"/>
        </w:rPr>
        <w:t xml:space="preserve"> w</w:t>
      </w:r>
      <w:r w:rsidR="00416E28" w:rsidRPr="00276BCA">
        <w:rPr>
          <w:color w:val="auto"/>
        </w:rPr>
        <w:t>ere</w:t>
      </w:r>
      <w:r w:rsidR="00A61720" w:rsidRPr="00276BCA">
        <w:rPr>
          <w:color w:val="auto"/>
        </w:rPr>
        <w:t xml:space="preserve"> assumed </w:t>
      </w:r>
      <w:r w:rsidR="00021F47" w:rsidRPr="00276BCA">
        <w:rPr>
          <w:color w:val="auto"/>
        </w:rPr>
        <w:t xml:space="preserve">for </w:t>
      </w:r>
      <w:proofErr w:type="spellStart"/>
      <w:r w:rsidR="00021F47" w:rsidRPr="00276BCA">
        <w:rPr>
          <w:color w:val="auto"/>
        </w:rPr>
        <w:t>zolbetuximab</w:t>
      </w:r>
      <w:proofErr w:type="spellEnd"/>
      <w:r w:rsidR="00021F47" w:rsidRPr="00276BCA">
        <w:rPr>
          <w:color w:val="auto"/>
        </w:rPr>
        <w:t xml:space="preserve"> and </w:t>
      </w:r>
      <w:r w:rsidR="008A3490" w:rsidRPr="00276BCA">
        <w:rPr>
          <w:color w:val="auto"/>
        </w:rPr>
        <w:t>nivolumab, as well as the concomitant chemotherapy</w:t>
      </w:r>
      <w:r w:rsidR="001B0ED3" w:rsidRPr="00276BCA">
        <w:rPr>
          <w:color w:val="auto"/>
        </w:rPr>
        <w:t>.</w:t>
      </w:r>
    </w:p>
    <w:p w14:paraId="0BF1D6BE" w14:textId="2F433666" w:rsidR="006074CB" w:rsidRPr="00276BCA" w:rsidRDefault="00101D0E" w:rsidP="00F07F98">
      <w:pPr>
        <w:pStyle w:val="ListParagraph"/>
        <w:numPr>
          <w:ilvl w:val="4"/>
          <w:numId w:val="8"/>
        </w:numPr>
      </w:pPr>
      <w:bookmarkStart w:id="88" w:name="_Ref195790128"/>
      <w:r w:rsidRPr="00276BCA">
        <w:t xml:space="preserve">The </w:t>
      </w:r>
      <w:r w:rsidR="006074CB" w:rsidRPr="00276BCA">
        <w:t>PBAC noted that</w:t>
      </w:r>
      <w:r w:rsidR="00316945" w:rsidRPr="00276BCA">
        <w:t xml:space="preserve"> when used in combination with mFOLFOX6,</w:t>
      </w:r>
      <w:r w:rsidR="00DB766C" w:rsidRPr="00276BCA">
        <w:t xml:space="preserve"> the treatment duration for </w:t>
      </w:r>
      <w:proofErr w:type="spellStart"/>
      <w:r w:rsidR="00DB766C" w:rsidRPr="00276BCA">
        <w:t>zol</w:t>
      </w:r>
      <w:r w:rsidR="00D001D2" w:rsidRPr="00276BCA">
        <w:t>betuximab</w:t>
      </w:r>
      <w:proofErr w:type="spellEnd"/>
      <w:r w:rsidR="00FC36D5" w:rsidRPr="00276BCA">
        <w:t xml:space="preserve"> </w:t>
      </w:r>
      <w:r w:rsidR="006502D7" w:rsidRPr="00276BCA">
        <w:t xml:space="preserve">(10.07 months based on the mean treatment duration in SPOTLIGHT) </w:t>
      </w:r>
      <w:r w:rsidR="00FC36D5" w:rsidRPr="00276BCA">
        <w:t xml:space="preserve">was assumed to be longer than </w:t>
      </w:r>
      <w:r w:rsidR="00EE0D59" w:rsidRPr="00276BCA">
        <w:t xml:space="preserve">for </w:t>
      </w:r>
      <w:r w:rsidR="00FC36D5" w:rsidRPr="00276BCA">
        <w:t>nivolumab</w:t>
      </w:r>
      <w:r w:rsidR="00D001D2" w:rsidRPr="00276BCA">
        <w:t xml:space="preserve"> </w:t>
      </w:r>
      <w:r w:rsidR="00EE0D59" w:rsidRPr="00276BCA">
        <w:t xml:space="preserve">(9.81 months estimated from the median treatment duration in </w:t>
      </w:r>
      <w:r w:rsidR="00F07F98" w:rsidRPr="00276BCA">
        <w:t xml:space="preserve">CM649). </w:t>
      </w:r>
      <w:r w:rsidR="003C1C18" w:rsidRPr="00276BCA">
        <w:t>Conversely</w:t>
      </w:r>
      <w:r w:rsidR="00316945" w:rsidRPr="00276BCA">
        <w:t xml:space="preserve"> when used in combination with CAPOX</w:t>
      </w:r>
      <w:r w:rsidR="003C1C18" w:rsidRPr="00276BCA">
        <w:t xml:space="preserve">, the treatment duration for </w:t>
      </w:r>
      <w:proofErr w:type="spellStart"/>
      <w:r w:rsidR="003C1C18" w:rsidRPr="00276BCA">
        <w:t>zolbetuximab</w:t>
      </w:r>
      <w:proofErr w:type="spellEnd"/>
      <w:r w:rsidR="003C1C18" w:rsidRPr="00276BCA">
        <w:t xml:space="preserve"> (</w:t>
      </w:r>
      <w:r w:rsidR="001F7D8D" w:rsidRPr="00276BCA">
        <w:t>7.34</w:t>
      </w:r>
      <w:r w:rsidR="00F864CD" w:rsidRPr="00276BCA">
        <w:t> </w:t>
      </w:r>
      <w:r w:rsidR="003C1C18" w:rsidRPr="00276BCA">
        <w:t xml:space="preserve">months based on the mean treatment duration in </w:t>
      </w:r>
      <w:r w:rsidR="001F7D8D" w:rsidRPr="00276BCA">
        <w:t>GLOW</w:t>
      </w:r>
      <w:r w:rsidR="003C1C18" w:rsidRPr="00276BCA">
        <w:t xml:space="preserve">) was assumed to be </w:t>
      </w:r>
      <w:r w:rsidR="0043302E" w:rsidRPr="00276BCA">
        <w:t>shorter</w:t>
      </w:r>
      <w:r w:rsidR="003C1C18" w:rsidRPr="00276BCA">
        <w:t xml:space="preserve"> than for nivolumab (9.81 months estimated from the median treatment duration in CM649).</w:t>
      </w:r>
      <w:r w:rsidR="001F7D8D" w:rsidRPr="00276BCA">
        <w:t xml:space="preserve"> </w:t>
      </w:r>
      <w:r w:rsidR="00E00C25" w:rsidRPr="00276BCA">
        <w:t xml:space="preserve">Given that </w:t>
      </w:r>
      <w:r w:rsidR="008250CF" w:rsidRPr="00276BCA">
        <w:t xml:space="preserve">there is no cap on the duration of </w:t>
      </w:r>
      <w:proofErr w:type="spellStart"/>
      <w:r w:rsidR="008250CF" w:rsidRPr="00276BCA">
        <w:t>zolbetuximab</w:t>
      </w:r>
      <w:proofErr w:type="spellEnd"/>
      <w:r w:rsidR="008250CF" w:rsidRPr="00276BCA">
        <w:t xml:space="preserve"> treatment whereas </w:t>
      </w:r>
      <w:r w:rsidR="00ED3055" w:rsidRPr="00276BCA">
        <w:t xml:space="preserve">there is a </w:t>
      </w:r>
      <w:r w:rsidR="00091BE9" w:rsidRPr="00276BCA">
        <w:t>two-year</w:t>
      </w:r>
      <w:r w:rsidR="00ED3055" w:rsidRPr="00276BCA">
        <w:t xml:space="preserve"> cap on </w:t>
      </w:r>
      <w:r w:rsidR="00785085" w:rsidRPr="00276BCA">
        <w:t xml:space="preserve">treatment with </w:t>
      </w:r>
      <w:r w:rsidR="0035253A" w:rsidRPr="00276BCA">
        <w:t>nivolumab</w:t>
      </w:r>
      <w:r w:rsidR="00A674A1" w:rsidRPr="00276BCA">
        <w:t xml:space="preserve">, the PBAC considered </w:t>
      </w:r>
      <w:r w:rsidR="00207E40" w:rsidRPr="00276BCA">
        <w:t xml:space="preserve">that </w:t>
      </w:r>
      <w:r w:rsidR="00ED3055" w:rsidRPr="00276BCA">
        <w:t xml:space="preserve">the </w:t>
      </w:r>
      <w:r w:rsidR="006A36DB" w:rsidRPr="00276BCA">
        <w:t xml:space="preserve">duration of </w:t>
      </w:r>
      <w:proofErr w:type="spellStart"/>
      <w:r w:rsidR="006A36DB" w:rsidRPr="00276BCA">
        <w:t>zolbetuximab</w:t>
      </w:r>
      <w:proofErr w:type="spellEnd"/>
      <w:r w:rsidR="006A36DB" w:rsidRPr="00276BCA">
        <w:t xml:space="preserve"> treatment </w:t>
      </w:r>
      <w:r w:rsidR="000869A9" w:rsidRPr="00276BCA">
        <w:t>should</w:t>
      </w:r>
      <w:r w:rsidR="006A36DB" w:rsidRPr="00276BCA">
        <w:t xml:space="preserve"> not be </w:t>
      </w:r>
      <w:r w:rsidR="000869A9" w:rsidRPr="00276BCA">
        <w:t xml:space="preserve">assumed to be </w:t>
      </w:r>
      <w:r w:rsidR="006A36DB" w:rsidRPr="00276BCA">
        <w:t xml:space="preserve">shorter than that for nivolumab. </w:t>
      </w:r>
      <w:r w:rsidR="00F76EB6" w:rsidRPr="00276BCA">
        <w:t>Howev</w:t>
      </w:r>
      <w:r w:rsidR="00E025E2" w:rsidRPr="00276BCA">
        <w:t xml:space="preserve">er, the PBAC further noted that </w:t>
      </w:r>
      <w:r w:rsidR="00C97A51" w:rsidRPr="00276BCA">
        <w:t xml:space="preserve">in SPOTLIGHT </w:t>
      </w:r>
      <w:r w:rsidR="004F4FD2" w:rsidRPr="00276BCA">
        <w:t xml:space="preserve">and GLOW </w:t>
      </w:r>
      <w:r w:rsidR="00C97A51" w:rsidRPr="00276BCA">
        <w:t xml:space="preserve">only </w:t>
      </w:r>
      <w:r w:rsidR="00EB3156" w:rsidRPr="00276BCA">
        <w:t>21</w:t>
      </w:r>
      <w:r w:rsidR="00C97A51" w:rsidRPr="00276BCA">
        <w:t>%</w:t>
      </w:r>
      <w:r w:rsidR="004F4FD2" w:rsidRPr="00276BCA">
        <w:t xml:space="preserve"> and 13%</w:t>
      </w:r>
      <w:r w:rsidR="00C97A51" w:rsidRPr="00276BCA">
        <w:t xml:space="preserve"> of patients</w:t>
      </w:r>
      <w:r w:rsidR="00B0375A" w:rsidRPr="00276BCA">
        <w:t>, respectively,</w:t>
      </w:r>
      <w:r w:rsidR="00C97A51" w:rsidRPr="00276BCA">
        <w:t xml:space="preserve"> remained on treatment</w:t>
      </w:r>
      <w:r w:rsidR="00922EA3" w:rsidRPr="00276BCA">
        <w:t xml:space="preserve"> with </w:t>
      </w:r>
      <w:proofErr w:type="spellStart"/>
      <w:r w:rsidR="00922EA3" w:rsidRPr="00276BCA">
        <w:t>zol</w:t>
      </w:r>
      <w:r w:rsidR="00F13AB7" w:rsidRPr="00276BCA">
        <w:t>betuximab</w:t>
      </w:r>
      <w:proofErr w:type="spellEnd"/>
      <w:r w:rsidR="00C97A51" w:rsidRPr="00276BCA">
        <w:t xml:space="preserve"> for longer than </w:t>
      </w:r>
      <w:r w:rsidR="004F4FD2" w:rsidRPr="00276BCA">
        <w:t>72 weeks</w:t>
      </w:r>
      <w:r w:rsidR="00B0375A" w:rsidRPr="00276BCA">
        <w:t xml:space="preserve"> and thus considered </w:t>
      </w:r>
      <w:r w:rsidR="004C689D" w:rsidRPr="00276BCA">
        <w:t xml:space="preserve">despite no treatment cap, </w:t>
      </w:r>
      <w:r w:rsidR="00B0375A" w:rsidRPr="00276BCA">
        <w:t xml:space="preserve">few patients would be treated </w:t>
      </w:r>
      <w:r w:rsidR="00AA3E1A" w:rsidRPr="00276BCA">
        <w:t xml:space="preserve">with </w:t>
      </w:r>
      <w:proofErr w:type="spellStart"/>
      <w:r w:rsidR="00AA3E1A" w:rsidRPr="00276BCA">
        <w:t>zolbetuximab</w:t>
      </w:r>
      <w:proofErr w:type="spellEnd"/>
      <w:r w:rsidR="00AA3E1A" w:rsidRPr="00276BCA">
        <w:t xml:space="preserve"> </w:t>
      </w:r>
      <w:r w:rsidR="00B0375A" w:rsidRPr="00276BCA">
        <w:t xml:space="preserve">for more than 2 years. On this basis, the PBAC considered it would be reasonable for the CMA to assume the </w:t>
      </w:r>
      <w:r w:rsidR="00EB3156" w:rsidRPr="00276BCA">
        <w:t xml:space="preserve">same treatment duration for both </w:t>
      </w:r>
      <w:proofErr w:type="spellStart"/>
      <w:r w:rsidR="008E146A" w:rsidRPr="00276BCA">
        <w:t>zolbetuximab</w:t>
      </w:r>
      <w:proofErr w:type="spellEnd"/>
      <w:r w:rsidR="008E146A" w:rsidRPr="00276BCA">
        <w:t xml:space="preserve"> and nivolumab</w:t>
      </w:r>
      <w:r w:rsidR="00792905" w:rsidRPr="00276BCA">
        <w:t>. The PBAC considered</w:t>
      </w:r>
      <w:r w:rsidR="00DF1CAF" w:rsidRPr="00276BCA">
        <w:t xml:space="preserve"> </w:t>
      </w:r>
      <w:r w:rsidR="00756E36" w:rsidRPr="00276BCA">
        <w:t>the average treatment duration across the SPOTLIGHT and GLOW trials</w:t>
      </w:r>
      <w:r w:rsidR="00766768" w:rsidRPr="00276BCA">
        <w:t xml:space="preserve"> (8.7 months)</w:t>
      </w:r>
      <w:r w:rsidR="00756E36" w:rsidRPr="00276BCA">
        <w:t xml:space="preserve"> </w:t>
      </w:r>
      <w:r w:rsidR="00F81A9A" w:rsidRPr="00276BCA">
        <w:t>could</w:t>
      </w:r>
      <w:r w:rsidR="00AE3379" w:rsidRPr="00276BCA">
        <w:t xml:space="preserve"> be used </w:t>
      </w:r>
      <w:r w:rsidR="00AE3379" w:rsidRPr="00276BCA">
        <w:lastRenderedPageBreak/>
        <w:t>in the CMA</w:t>
      </w:r>
      <w:r w:rsidR="000F5241" w:rsidRPr="00276BCA">
        <w:t>,</w:t>
      </w:r>
      <w:r w:rsidR="00AE3379" w:rsidRPr="00276BCA">
        <w:t xml:space="preserve"> noting this was consistent with </w:t>
      </w:r>
      <w:r w:rsidR="000F5241" w:rsidRPr="00276BCA">
        <w:t xml:space="preserve">the </w:t>
      </w:r>
      <w:r w:rsidR="00AE3379" w:rsidRPr="00276BCA">
        <w:t>submission</w:t>
      </w:r>
      <w:r w:rsidR="000F5241" w:rsidRPr="00276BCA">
        <w:t>’</w:t>
      </w:r>
      <w:r w:rsidR="00AE3379" w:rsidRPr="00276BCA">
        <w:t xml:space="preserve">s approach of assuming </w:t>
      </w:r>
      <w:r w:rsidR="00766768" w:rsidRPr="00276BCA">
        <w:t xml:space="preserve">50% of </w:t>
      </w:r>
      <w:proofErr w:type="spellStart"/>
      <w:r w:rsidR="00766768" w:rsidRPr="00276BCA">
        <w:t>zolbetuximab</w:t>
      </w:r>
      <w:proofErr w:type="spellEnd"/>
      <w:r w:rsidR="00766768" w:rsidRPr="00276BCA">
        <w:t xml:space="preserve"> use would be in combination with mFOLFOX6 and </w:t>
      </w:r>
      <w:r w:rsidR="00C626B6" w:rsidRPr="00276BCA">
        <w:t>50% in combination with CAPOX.</w:t>
      </w:r>
      <w:bookmarkEnd w:id="88"/>
    </w:p>
    <w:p w14:paraId="364DC518" w14:textId="1CFB5E5D" w:rsidR="00C626B6" w:rsidRPr="00276BCA" w:rsidRDefault="00C626B6" w:rsidP="00F07F98">
      <w:pPr>
        <w:pStyle w:val="ListParagraph"/>
        <w:numPr>
          <w:ilvl w:val="4"/>
          <w:numId w:val="8"/>
        </w:numPr>
      </w:pPr>
      <w:bookmarkStart w:id="89" w:name="_Ref217295306"/>
      <w:r w:rsidRPr="00276BCA">
        <w:t xml:space="preserve">The PBAC noted </w:t>
      </w:r>
      <w:r w:rsidR="00D1441E" w:rsidRPr="00276BCA">
        <w:t>that if no difference in the treatment durations is assumed in the CMA</w:t>
      </w:r>
      <w:r w:rsidR="00661752" w:rsidRPr="00276BCA">
        <w:t>,</w:t>
      </w:r>
      <w:r w:rsidR="00D1441E" w:rsidRPr="00276BCA">
        <w:t xml:space="preserve"> </w:t>
      </w:r>
      <w:r w:rsidR="005E1447" w:rsidRPr="00276BCA">
        <w:t>then</w:t>
      </w:r>
      <w:r w:rsidR="005F15D7" w:rsidRPr="00276BCA">
        <w:t xml:space="preserve"> the cost of the chemotherapy</w:t>
      </w:r>
      <w:r w:rsidR="00634FF9" w:rsidRPr="00276BCA">
        <w:t>, the cost of</w:t>
      </w:r>
      <w:r w:rsidR="00661752" w:rsidRPr="00276BCA">
        <w:t xml:space="preserve"> the administration</w:t>
      </w:r>
      <w:r w:rsidR="00032EFC" w:rsidRPr="00276BCA">
        <w:t xml:space="preserve"> </w:t>
      </w:r>
      <w:r w:rsidR="00634FF9" w:rsidRPr="00276BCA">
        <w:t xml:space="preserve">and the relative dose intensity (RDI) </w:t>
      </w:r>
      <w:r w:rsidR="00032EFC" w:rsidRPr="00276BCA">
        <w:t>can be removed from the analysis.</w:t>
      </w:r>
      <w:bookmarkEnd w:id="89"/>
      <w:r w:rsidR="00032EFC" w:rsidRPr="00276BCA">
        <w:t xml:space="preserve"> </w:t>
      </w:r>
    </w:p>
    <w:p w14:paraId="6D125FAF" w14:textId="216EDD1E" w:rsidR="00DA5595" w:rsidRPr="00276BCA" w:rsidRDefault="00DA5595" w:rsidP="00F2568D">
      <w:pPr>
        <w:pStyle w:val="ListParagraph"/>
        <w:numPr>
          <w:ilvl w:val="4"/>
          <w:numId w:val="8"/>
        </w:numPr>
      </w:pPr>
      <w:bookmarkStart w:id="90" w:name="_Ref217295425"/>
      <w:r w:rsidRPr="00276BCA">
        <w:t xml:space="preserve">Based on the above the PBAC advised that the </w:t>
      </w:r>
      <w:proofErr w:type="spellStart"/>
      <w:r w:rsidRPr="00276BCA">
        <w:t>equi</w:t>
      </w:r>
      <w:proofErr w:type="spellEnd"/>
      <w:r w:rsidRPr="00276BCA">
        <w:t>-effective doses would be</w:t>
      </w:r>
      <w:r w:rsidR="00174956" w:rsidRPr="00276BCA">
        <w:t>:</w:t>
      </w:r>
      <w:bookmarkEnd w:id="90"/>
    </w:p>
    <w:p w14:paraId="5FD1302F" w14:textId="408AAE29" w:rsidR="004A79B8" w:rsidRPr="00276BCA" w:rsidRDefault="00942440" w:rsidP="00174956">
      <w:pPr>
        <w:pStyle w:val="ListParagraph"/>
        <w:numPr>
          <w:ilvl w:val="0"/>
          <w:numId w:val="116"/>
        </w:numPr>
      </w:pPr>
      <w:proofErr w:type="spellStart"/>
      <w:r w:rsidRPr="00276BCA">
        <w:t>Zolbetuximab</w:t>
      </w:r>
      <w:proofErr w:type="spellEnd"/>
      <w:r w:rsidRPr="00276BCA">
        <w:t>: loading dose of 800</w:t>
      </w:r>
      <w:r w:rsidR="004170AA" w:rsidRPr="00276BCA">
        <w:t xml:space="preserve"> </w:t>
      </w:r>
      <w:r w:rsidRPr="00276BCA">
        <w:t>mg/m</w:t>
      </w:r>
      <w:r w:rsidRPr="00276BCA">
        <w:rPr>
          <w:vertAlign w:val="superscript"/>
        </w:rPr>
        <w:t>2</w:t>
      </w:r>
      <w:r w:rsidRPr="00276BCA">
        <w:t xml:space="preserve"> followed by</w:t>
      </w:r>
      <w:r w:rsidR="009E0E78" w:rsidRPr="00276BCA">
        <w:t xml:space="preserve"> maintenance dose</w:t>
      </w:r>
      <w:r w:rsidR="00CA7418" w:rsidRPr="00276BCA">
        <w:t>s</w:t>
      </w:r>
      <w:r w:rsidR="009E0E78" w:rsidRPr="00276BCA">
        <w:t xml:space="preserve"> of 600</w:t>
      </w:r>
      <w:r w:rsidR="00F864CD" w:rsidRPr="00276BCA">
        <w:t> </w:t>
      </w:r>
      <w:r w:rsidR="009E0E78" w:rsidRPr="00276BCA">
        <w:t>mg/m</w:t>
      </w:r>
      <w:r w:rsidR="009E0E78" w:rsidRPr="00276BCA">
        <w:rPr>
          <w:vertAlign w:val="superscript"/>
        </w:rPr>
        <w:t>2</w:t>
      </w:r>
      <w:r w:rsidR="009412A3" w:rsidRPr="00276BCA">
        <w:t xml:space="preserve"> Q3W or 400</w:t>
      </w:r>
      <w:r w:rsidR="004170AA" w:rsidRPr="00276BCA">
        <w:t xml:space="preserve"> </w:t>
      </w:r>
      <w:r w:rsidR="009412A3" w:rsidRPr="00276BCA">
        <w:t>mg/m</w:t>
      </w:r>
      <w:r w:rsidR="009412A3" w:rsidRPr="00276BCA">
        <w:rPr>
          <w:vertAlign w:val="superscript"/>
        </w:rPr>
        <w:t>2</w:t>
      </w:r>
      <w:r w:rsidR="009412A3" w:rsidRPr="00276BCA">
        <w:t xml:space="preserve"> Q2W for a total of 8.7 mon</w:t>
      </w:r>
      <w:r w:rsidR="004A79B8" w:rsidRPr="00276BCA">
        <w:t>ths</w:t>
      </w:r>
    </w:p>
    <w:p w14:paraId="64F27E14" w14:textId="587C372D" w:rsidR="00174956" w:rsidRPr="00276BCA" w:rsidRDefault="004A79B8" w:rsidP="00BF4610">
      <w:pPr>
        <w:pStyle w:val="ListParagraph"/>
        <w:numPr>
          <w:ilvl w:val="0"/>
          <w:numId w:val="116"/>
        </w:numPr>
      </w:pPr>
      <w:r w:rsidRPr="00276BCA">
        <w:t>Nivolumab: 360</w:t>
      </w:r>
      <w:r w:rsidR="004170AA" w:rsidRPr="00276BCA">
        <w:t xml:space="preserve"> </w:t>
      </w:r>
      <w:r w:rsidRPr="00276BCA">
        <w:t>mg Q3W or 240</w:t>
      </w:r>
      <w:r w:rsidR="004170AA" w:rsidRPr="00276BCA">
        <w:t xml:space="preserve"> </w:t>
      </w:r>
      <w:r w:rsidRPr="00276BCA">
        <w:t xml:space="preserve">mg </w:t>
      </w:r>
      <w:r w:rsidR="004E1B79" w:rsidRPr="00276BCA">
        <w:t>Q2W for 8.7 months</w:t>
      </w:r>
      <w:r w:rsidR="00942440" w:rsidRPr="00276BCA">
        <w:t xml:space="preserve"> </w:t>
      </w:r>
    </w:p>
    <w:p w14:paraId="7D51A1FE" w14:textId="2D330E55" w:rsidR="006B5918" w:rsidRPr="00276BCA" w:rsidRDefault="004E1B79" w:rsidP="00CD18B6">
      <w:pPr>
        <w:pStyle w:val="ListParagraph"/>
        <w:numPr>
          <w:ilvl w:val="4"/>
          <w:numId w:val="8"/>
        </w:numPr>
      </w:pPr>
      <w:bookmarkStart w:id="91" w:name="_Ref217295279"/>
      <w:r w:rsidRPr="00276BCA">
        <w:t xml:space="preserve">The PBAC </w:t>
      </w:r>
      <w:r w:rsidR="00857C9B" w:rsidRPr="00276BCA">
        <w:t>advised that the number of vials</w:t>
      </w:r>
      <w:r w:rsidR="00BB18BE" w:rsidRPr="00276BCA">
        <w:t xml:space="preserve"> of </w:t>
      </w:r>
      <w:proofErr w:type="spellStart"/>
      <w:r w:rsidR="00BB18BE" w:rsidRPr="00276BCA">
        <w:t>zolbetuximab</w:t>
      </w:r>
      <w:proofErr w:type="spellEnd"/>
      <w:r w:rsidR="00BB18BE" w:rsidRPr="00276BCA">
        <w:t xml:space="preserve"> </w:t>
      </w:r>
      <w:r w:rsidR="00E75830" w:rsidRPr="00276BCA">
        <w:t xml:space="preserve">for the CMA </w:t>
      </w:r>
      <w:r w:rsidR="00BB18BE" w:rsidRPr="00276BCA">
        <w:t>should be calculated assuming an average BSA of 1.8</w:t>
      </w:r>
      <w:r w:rsidR="00F864CD" w:rsidRPr="00276BCA">
        <w:t> </w:t>
      </w:r>
      <w:r w:rsidR="00BB18BE" w:rsidRPr="00276BCA">
        <w:t>m</w:t>
      </w:r>
      <w:r w:rsidR="00BB18BE" w:rsidRPr="00276BCA">
        <w:rPr>
          <w:vertAlign w:val="superscript"/>
        </w:rPr>
        <w:t>2</w:t>
      </w:r>
      <w:r w:rsidR="00FB6ED6" w:rsidRPr="00276BCA">
        <w:t xml:space="preserve">, consistent with that expected in </w:t>
      </w:r>
      <w:r w:rsidR="0047185A" w:rsidRPr="00276BCA">
        <w:t xml:space="preserve">Australian </w:t>
      </w:r>
      <w:r w:rsidR="00FB6ED6" w:rsidRPr="00276BCA">
        <w:t xml:space="preserve">clinical practice given the </w:t>
      </w:r>
      <w:r w:rsidR="00736B7B" w:rsidRPr="00276BCA">
        <w:t xml:space="preserve">trials </w:t>
      </w:r>
      <w:r w:rsidR="00285A1A" w:rsidRPr="00276BCA">
        <w:t>included a relatively high propo</w:t>
      </w:r>
      <w:r w:rsidR="00AB2190" w:rsidRPr="00276BCA">
        <w:t>r</w:t>
      </w:r>
      <w:r w:rsidR="00285A1A" w:rsidRPr="00276BCA">
        <w:t>tion</w:t>
      </w:r>
      <w:r w:rsidR="00AB2190" w:rsidRPr="00276BCA">
        <w:t xml:space="preserve"> of Asian participants</w:t>
      </w:r>
      <w:r w:rsidR="009C0D5A" w:rsidRPr="00276BCA">
        <w:t xml:space="preserve">. The PBAC also advised that the </w:t>
      </w:r>
      <w:r w:rsidR="00AB2190" w:rsidRPr="00276BCA">
        <w:t xml:space="preserve">mean </w:t>
      </w:r>
      <w:r w:rsidR="009C0D5A" w:rsidRPr="00276BCA">
        <w:t xml:space="preserve">number of </w:t>
      </w:r>
      <w:r w:rsidR="000E222A" w:rsidRPr="00276BCA">
        <w:t>doses</w:t>
      </w:r>
      <w:r w:rsidR="009C0D5A" w:rsidRPr="00276BCA">
        <w:t xml:space="preserve"> </w:t>
      </w:r>
      <w:r w:rsidR="00AB2190" w:rsidRPr="00276BCA">
        <w:t xml:space="preserve">required </w:t>
      </w:r>
      <w:r w:rsidR="009C0D5A" w:rsidRPr="00276BCA">
        <w:t>should not be rounded down</w:t>
      </w:r>
      <w:r w:rsidR="00701192" w:rsidRPr="00276BCA">
        <w:t xml:space="preserve"> to the nearest whole number </w:t>
      </w:r>
      <w:r w:rsidR="009C0D5A" w:rsidRPr="00276BCA">
        <w:t>and wastage should be included</w:t>
      </w:r>
      <w:r w:rsidR="002F5C13" w:rsidRPr="00276BCA">
        <w:t>.</w:t>
      </w:r>
      <w:r w:rsidR="00A84298" w:rsidRPr="00276BCA">
        <w:t xml:space="preserve"> </w:t>
      </w:r>
      <w:r w:rsidR="001900A8" w:rsidRPr="00276BCA">
        <w:t>As per the submission’s analysis, t</w:t>
      </w:r>
      <w:r w:rsidR="006B5918" w:rsidRPr="00276BCA">
        <w:rPr>
          <w:color w:val="auto"/>
        </w:rPr>
        <w:t xml:space="preserve">he cost of CLDN18 testing </w:t>
      </w:r>
      <w:r w:rsidR="008362FD" w:rsidRPr="00276BCA">
        <w:rPr>
          <w:color w:val="auto"/>
        </w:rPr>
        <w:t xml:space="preserve">should be included in the </w:t>
      </w:r>
      <w:proofErr w:type="spellStart"/>
      <w:r w:rsidR="008362FD" w:rsidRPr="00276BCA">
        <w:rPr>
          <w:color w:val="auto"/>
        </w:rPr>
        <w:t>zolbetuximab</w:t>
      </w:r>
      <w:proofErr w:type="spellEnd"/>
      <w:r w:rsidR="008362FD" w:rsidRPr="00276BCA">
        <w:rPr>
          <w:color w:val="auto"/>
        </w:rPr>
        <w:t xml:space="preserve"> </w:t>
      </w:r>
      <w:r w:rsidR="000D4692" w:rsidRPr="00276BCA">
        <w:rPr>
          <w:color w:val="auto"/>
        </w:rPr>
        <w:t xml:space="preserve">arm of the CMA assuming </w:t>
      </w:r>
      <w:r w:rsidR="001900A8" w:rsidRPr="00276BCA">
        <w:rPr>
          <w:color w:val="auto"/>
        </w:rPr>
        <w:t xml:space="preserve">CLDN18.2+ expression in </w:t>
      </w:r>
      <w:r w:rsidR="006B5918" w:rsidRPr="00276BCA">
        <w:rPr>
          <w:color w:val="auto"/>
        </w:rPr>
        <w:t>38.38% of patients</w:t>
      </w:r>
      <w:r w:rsidR="001900A8" w:rsidRPr="00276BCA">
        <w:rPr>
          <w:color w:val="auto"/>
        </w:rPr>
        <w:t>.</w:t>
      </w:r>
      <w:bookmarkEnd w:id="91"/>
    </w:p>
    <w:p w14:paraId="7F187F93" w14:textId="07AA05D0" w:rsidR="00BD03F1" w:rsidRPr="00276BCA" w:rsidRDefault="00B26350" w:rsidP="00CC69A6">
      <w:pPr>
        <w:pStyle w:val="ListParagraph"/>
        <w:numPr>
          <w:ilvl w:val="4"/>
          <w:numId w:val="8"/>
        </w:numPr>
      </w:pPr>
      <w:bookmarkStart w:id="92" w:name="_Ref195695288"/>
      <w:r w:rsidRPr="00276BCA">
        <w:rPr>
          <w:color w:val="auto"/>
        </w:rPr>
        <w:t xml:space="preserve">The PBAC considered </w:t>
      </w:r>
      <w:r w:rsidR="00440053" w:rsidRPr="00276BCA">
        <w:rPr>
          <w:color w:val="auto"/>
        </w:rPr>
        <w:t xml:space="preserve">the costs associated with </w:t>
      </w:r>
      <w:r w:rsidR="006C57D7" w:rsidRPr="00276BCA">
        <w:rPr>
          <w:color w:val="auto"/>
        </w:rPr>
        <w:t xml:space="preserve">preventing and treating gastrointestinal side effects with </w:t>
      </w:r>
      <w:proofErr w:type="spellStart"/>
      <w:r w:rsidR="002B51CC" w:rsidRPr="00276BCA">
        <w:rPr>
          <w:color w:val="auto"/>
        </w:rPr>
        <w:t>zolbetuximab</w:t>
      </w:r>
      <w:proofErr w:type="spellEnd"/>
      <w:r w:rsidR="002B51CC" w:rsidRPr="00276BCA">
        <w:rPr>
          <w:color w:val="auto"/>
        </w:rPr>
        <w:t xml:space="preserve"> should be included in the CMA</w:t>
      </w:r>
      <w:r w:rsidR="00864049" w:rsidRPr="00276BCA">
        <w:rPr>
          <w:color w:val="auto"/>
        </w:rPr>
        <w:t>.</w:t>
      </w:r>
      <w:r w:rsidR="00BD03F1" w:rsidRPr="00276BCA">
        <w:rPr>
          <w:color w:val="auto"/>
        </w:rPr>
        <w:t xml:space="preserve"> </w:t>
      </w:r>
      <w:r w:rsidR="00BD03F1" w:rsidRPr="00276BCA">
        <w:t>T</w:t>
      </w:r>
      <w:r w:rsidR="00BD03F1" w:rsidRPr="00276BCA">
        <w:rPr>
          <w:color w:val="auto"/>
        </w:rPr>
        <w:t xml:space="preserve">he </w:t>
      </w:r>
      <w:r w:rsidR="004D25C3" w:rsidRPr="00276BCA">
        <w:rPr>
          <w:color w:val="auto"/>
        </w:rPr>
        <w:t xml:space="preserve">PBAC noted the </w:t>
      </w:r>
      <w:r w:rsidR="00BD03F1" w:rsidRPr="00276BCA">
        <w:rPr>
          <w:color w:val="auto"/>
        </w:rPr>
        <w:t>PSCR presented a sensitivity analysis includ</w:t>
      </w:r>
      <w:r w:rsidR="003E0398" w:rsidRPr="00276BCA">
        <w:rPr>
          <w:color w:val="auto"/>
        </w:rPr>
        <w:t>ing</w:t>
      </w:r>
      <w:r w:rsidR="00BD03F1" w:rsidRPr="00276BCA">
        <w:rPr>
          <w:color w:val="auto"/>
        </w:rPr>
        <w:t xml:space="preserve"> the cost of managing </w:t>
      </w:r>
      <w:proofErr w:type="spellStart"/>
      <w:r w:rsidR="00BD03F1" w:rsidRPr="00276BCA">
        <w:rPr>
          <w:color w:val="auto"/>
        </w:rPr>
        <w:t>zolbetuximab</w:t>
      </w:r>
      <w:proofErr w:type="spellEnd"/>
      <w:r w:rsidR="00BD03F1" w:rsidRPr="00276BCA">
        <w:rPr>
          <w:color w:val="auto"/>
        </w:rPr>
        <w:t xml:space="preserve">-related adverse events (nausea and vomiting) with ondansetron </w:t>
      </w:r>
      <w:r w:rsidR="003E0398" w:rsidRPr="00276BCA">
        <w:rPr>
          <w:color w:val="auto"/>
        </w:rPr>
        <w:t>in</w:t>
      </w:r>
      <w:r w:rsidR="00BD03F1" w:rsidRPr="00276BCA">
        <w:rPr>
          <w:color w:val="auto"/>
        </w:rPr>
        <w:t xml:space="preserve"> the CMA, </w:t>
      </w:r>
      <w:r w:rsidR="003E0398" w:rsidRPr="00276BCA">
        <w:rPr>
          <w:color w:val="auto"/>
        </w:rPr>
        <w:t>h</w:t>
      </w:r>
      <w:r w:rsidR="00BD03F1" w:rsidRPr="00276BCA">
        <w:rPr>
          <w:color w:val="auto"/>
        </w:rPr>
        <w:t xml:space="preserve">owever, </w:t>
      </w:r>
      <w:r w:rsidR="003E0398" w:rsidRPr="00276BCA">
        <w:rPr>
          <w:color w:val="auto"/>
        </w:rPr>
        <w:t>agreed with the</w:t>
      </w:r>
      <w:r w:rsidR="00BD03F1" w:rsidRPr="00276BCA">
        <w:rPr>
          <w:color w:val="auto"/>
        </w:rPr>
        <w:t xml:space="preserve"> ESCs that the addition of costing </w:t>
      </w:r>
      <w:r w:rsidR="009D05FF" w:rsidRPr="00276BCA">
        <w:rPr>
          <w:color w:val="auto"/>
        </w:rPr>
        <w:t xml:space="preserve">for </w:t>
      </w:r>
      <w:r w:rsidR="00BD03F1" w:rsidRPr="00276BCA">
        <w:rPr>
          <w:color w:val="auto"/>
        </w:rPr>
        <w:t xml:space="preserve">ondansetron inadequately </w:t>
      </w:r>
      <w:r w:rsidR="001C626B" w:rsidRPr="00276BCA">
        <w:rPr>
          <w:color w:val="auto"/>
        </w:rPr>
        <w:t>accounted for</w:t>
      </w:r>
      <w:r w:rsidR="00BD03F1" w:rsidRPr="00276BCA">
        <w:rPr>
          <w:color w:val="auto"/>
        </w:rPr>
        <w:t xml:space="preserve"> the costs of managing these AEs, noting the </w:t>
      </w:r>
      <w:r w:rsidR="001C626B" w:rsidRPr="00276BCA">
        <w:rPr>
          <w:color w:val="auto"/>
        </w:rPr>
        <w:t>increase in events</w:t>
      </w:r>
      <w:r w:rsidR="00BD03F1" w:rsidRPr="00276BCA">
        <w:rPr>
          <w:color w:val="auto"/>
        </w:rPr>
        <w:t xml:space="preserve"> of grade 3-4 </w:t>
      </w:r>
      <w:r w:rsidR="001C626B" w:rsidRPr="00276BCA">
        <w:rPr>
          <w:color w:val="auto"/>
        </w:rPr>
        <w:t>severity</w:t>
      </w:r>
      <w:r w:rsidR="00BD03F1" w:rsidRPr="00276BCA">
        <w:rPr>
          <w:color w:val="auto"/>
        </w:rPr>
        <w:t>.</w:t>
      </w:r>
      <w:r w:rsidR="003732E8" w:rsidRPr="00276BCA">
        <w:rPr>
          <w:color w:val="auto"/>
        </w:rPr>
        <w:t xml:space="preserve"> The PBAC requested a revised </w:t>
      </w:r>
      <w:r w:rsidR="000E7CF6" w:rsidRPr="00276BCA">
        <w:rPr>
          <w:color w:val="auto"/>
        </w:rPr>
        <w:t>CMA be provided for consideration which more appropriately account</w:t>
      </w:r>
      <w:r w:rsidR="00690616" w:rsidRPr="00276BCA">
        <w:rPr>
          <w:color w:val="auto"/>
        </w:rPr>
        <w:t xml:space="preserve">s for </w:t>
      </w:r>
      <w:r w:rsidR="007B2376" w:rsidRPr="00276BCA">
        <w:rPr>
          <w:color w:val="auto"/>
        </w:rPr>
        <w:t xml:space="preserve">the </w:t>
      </w:r>
      <w:r w:rsidR="00690616" w:rsidRPr="00276BCA">
        <w:rPr>
          <w:color w:val="auto"/>
        </w:rPr>
        <w:t xml:space="preserve">costs associated with the increased toxicity with </w:t>
      </w:r>
      <w:proofErr w:type="spellStart"/>
      <w:r w:rsidR="0003726F" w:rsidRPr="00276BCA">
        <w:rPr>
          <w:color w:val="auto"/>
        </w:rPr>
        <w:t>zolbetuximab</w:t>
      </w:r>
      <w:proofErr w:type="spellEnd"/>
      <w:r w:rsidR="0003726F" w:rsidRPr="00276BCA">
        <w:rPr>
          <w:color w:val="auto"/>
        </w:rPr>
        <w:t>.</w:t>
      </w:r>
      <w:r w:rsidR="00BD03F1" w:rsidRPr="00276BCA">
        <w:rPr>
          <w:color w:val="auto"/>
        </w:rPr>
        <w:t xml:space="preserve"> </w:t>
      </w:r>
      <w:r w:rsidR="00831F91" w:rsidRPr="00276BCA">
        <w:rPr>
          <w:color w:val="auto"/>
        </w:rPr>
        <w:t xml:space="preserve">The PBAC </w:t>
      </w:r>
      <w:r w:rsidR="00B937E4" w:rsidRPr="00276BCA">
        <w:rPr>
          <w:color w:val="auto"/>
        </w:rPr>
        <w:t xml:space="preserve">considered the </w:t>
      </w:r>
      <w:r w:rsidR="00FD5171" w:rsidRPr="00276BCA">
        <w:rPr>
          <w:color w:val="auto"/>
        </w:rPr>
        <w:t>potential</w:t>
      </w:r>
      <w:r w:rsidR="00B937E4" w:rsidRPr="00276BCA">
        <w:rPr>
          <w:color w:val="auto"/>
        </w:rPr>
        <w:t xml:space="preserve"> impact of </w:t>
      </w:r>
      <w:r w:rsidR="00432BCA" w:rsidRPr="00276BCA">
        <w:rPr>
          <w:color w:val="auto"/>
        </w:rPr>
        <w:t xml:space="preserve">the </w:t>
      </w:r>
      <w:r w:rsidR="00B329F6" w:rsidRPr="00276BCA">
        <w:rPr>
          <w:color w:val="auto"/>
        </w:rPr>
        <w:t>gastrointestinal toxicity</w:t>
      </w:r>
      <w:r w:rsidR="00357F36" w:rsidRPr="00276BCA">
        <w:rPr>
          <w:color w:val="auto"/>
        </w:rPr>
        <w:t xml:space="preserve"> on the patient’s quality of life should also be accounted for</w:t>
      </w:r>
      <w:r w:rsidR="00CC69A6" w:rsidRPr="00276BCA">
        <w:rPr>
          <w:color w:val="auto"/>
        </w:rPr>
        <w:t xml:space="preserve">, and </w:t>
      </w:r>
      <w:r w:rsidR="00732D91" w:rsidRPr="00276BCA">
        <w:t>in th</w:t>
      </w:r>
      <w:r w:rsidR="00CC69A6" w:rsidRPr="00276BCA">
        <w:t>is</w:t>
      </w:r>
      <w:r w:rsidR="00732D91" w:rsidRPr="00276BCA">
        <w:t xml:space="preserve"> context </w:t>
      </w:r>
      <w:r w:rsidR="00CC69A6" w:rsidRPr="00276BCA">
        <w:t xml:space="preserve">advised the </w:t>
      </w:r>
      <w:r w:rsidR="00FB61F2" w:rsidRPr="00276BCA">
        <w:t>cost per patient for</w:t>
      </w:r>
      <w:r w:rsidR="00732D91" w:rsidRPr="00276BCA">
        <w:t xml:space="preserve"> </w:t>
      </w:r>
      <w:proofErr w:type="spellStart"/>
      <w:r w:rsidR="00732D91" w:rsidRPr="00276BCA">
        <w:t>zolbetuximab</w:t>
      </w:r>
      <w:proofErr w:type="spellEnd"/>
      <w:r w:rsidR="00732D91" w:rsidRPr="00276BCA">
        <w:t xml:space="preserve"> </w:t>
      </w:r>
      <w:r w:rsidR="00CC69A6" w:rsidRPr="00276BCA">
        <w:t xml:space="preserve">should be at least </w:t>
      </w:r>
      <w:proofErr w:type="gramStart"/>
      <w:r w:rsidR="00E36329" w:rsidRPr="00276BCA">
        <w:rPr>
          <w:shd w:val="solid" w:color="000000" w:fill="000000"/>
          <w14:textFill>
            <w14:solidFill>
              <w14:schemeClr w14:val="tx1">
                <w14:alpha w14:val="100000"/>
              </w14:schemeClr>
            </w14:solidFill>
          </w14:textFill>
        </w:rPr>
        <w:t>|</w:t>
      </w:r>
      <w:r w:rsidR="00E36329" w:rsidRPr="00276BCA">
        <w:rPr>
          <w:w w:val="15"/>
          <w:shd w:val="solid" w:color="000000" w:fill="000000"/>
          <w14:textFill>
            <w14:solidFill>
              <w14:schemeClr w14:val="tx1">
                <w14:alpha w14:val="100000"/>
              </w14:schemeClr>
            </w14:solidFill>
          </w14:textFill>
        </w:rPr>
        <w:t xml:space="preserve">  </w:t>
      </w:r>
      <w:r w:rsidR="00E36329" w:rsidRPr="00503571">
        <w:rPr>
          <w:spacing w:val="-69"/>
          <w:w w:val="15"/>
          <w:shd w:val="solid" w:color="000000" w:fill="000000"/>
          <w14:textFill>
            <w14:solidFill>
              <w14:schemeClr w14:val="tx1">
                <w14:alpha w14:val="100000"/>
              </w14:schemeClr>
            </w14:solidFill>
          </w14:textFill>
        </w:rPr>
        <w:t>|</w:t>
      </w:r>
      <w:proofErr w:type="gramEnd"/>
      <w:r w:rsidR="00CC69A6" w:rsidRPr="00276BCA">
        <w:t xml:space="preserve">% lower than </w:t>
      </w:r>
      <w:r w:rsidR="00FB61F2" w:rsidRPr="00276BCA">
        <w:t>for</w:t>
      </w:r>
      <w:r w:rsidR="00CC69A6" w:rsidRPr="00276BCA">
        <w:t xml:space="preserve"> nivolumab.</w:t>
      </w:r>
      <w:bookmarkEnd w:id="92"/>
    </w:p>
    <w:p w14:paraId="0AE94CBA" w14:textId="7910CD61" w:rsidR="00A600C5" w:rsidRPr="00276BCA" w:rsidRDefault="00DD2055" w:rsidP="009A60EF">
      <w:pPr>
        <w:pStyle w:val="ListParagraph"/>
        <w:numPr>
          <w:ilvl w:val="4"/>
          <w:numId w:val="8"/>
        </w:numPr>
        <w:rPr>
          <w:color w:val="auto"/>
        </w:rPr>
      </w:pPr>
      <w:bookmarkStart w:id="93" w:name="_Ref217295469"/>
      <w:r w:rsidRPr="00276BCA">
        <w:rPr>
          <w:color w:val="auto"/>
        </w:rPr>
        <w:t xml:space="preserve">The PBAC considered the financial estimates should be revised to account for </w:t>
      </w:r>
      <w:r w:rsidR="00C45A97" w:rsidRPr="00276BCA">
        <w:rPr>
          <w:color w:val="auto"/>
        </w:rPr>
        <w:t>(</w:t>
      </w:r>
      <w:proofErr w:type="spellStart"/>
      <w:r w:rsidR="00C45A97" w:rsidRPr="00276BCA">
        <w:rPr>
          <w:color w:val="auto"/>
        </w:rPr>
        <w:t>i</w:t>
      </w:r>
      <w:proofErr w:type="spellEnd"/>
      <w:r w:rsidR="00C45A97" w:rsidRPr="00276BCA">
        <w:rPr>
          <w:color w:val="auto"/>
        </w:rPr>
        <w:t xml:space="preserve">) </w:t>
      </w:r>
      <w:r w:rsidRPr="00276BCA">
        <w:rPr>
          <w:color w:val="auto"/>
        </w:rPr>
        <w:t xml:space="preserve">patients undergoing </w:t>
      </w:r>
      <w:r w:rsidR="00C45A97" w:rsidRPr="00276BCA">
        <w:rPr>
          <w:color w:val="auto"/>
        </w:rPr>
        <w:t>CLDN18 testing irrespective of HER2 status, (ii) likely lower upta</w:t>
      </w:r>
      <w:r w:rsidR="007F401A" w:rsidRPr="00276BCA">
        <w:rPr>
          <w:color w:val="auto"/>
        </w:rPr>
        <w:t xml:space="preserve">ke of </w:t>
      </w:r>
      <w:proofErr w:type="spellStart"/>
      <w:r w:rsidR="007F401A" w:rsidRPr="00276BCA">
        <w:rPr>
          <w:color w:val="auto"/>
        </w:rPr>
        <w:t>zolbetuximab</w:t>
      </w:r>
      <w:proofErr w:type="spellEnd"/>
      <w:r w:rsidR="007F401A" w:rsidRPr="00276BCA">
        <w:rPr>
          <w:color w:val="auto"/>
        </w:rPr>
        <w:t xml:space="preserve"> (</w:t>
      </w:r>
      <w:r w:rsidR="00995D0C" w:rsidRPr="00276BCA">
        <w:rPr>
          <w:color w:val="auto"/>
        </w:rPr>
        <w:t>likely less</w:t>
      </w:r>
      <w:r w:rsidR="00E61C70" w:rsidRPr="00276BCA">
        <w:rPr>
          <w:color w:val="auto"/>
        </w:rPr>
        <w:t xml:space="preserve"> than </w:t>
      </w:r>
      <w:r w:rsidR="007F401A" w:rsidRPr="00276BCA">
        <w:rPr>
          <w:color w:val="auto"/>
        </w:rPr>
        <w:t>70% in year 1)</w:t>
      </w:r>
      <w:r w:rsidR="00E2541D" w:rsidRPr="00276BCA">
        <w:rPr>
          <w:color w:val="auto"/>
        </w:rPr>
        <w:t xml:space="preserve">, (iii) the same treatment duration for </w:t>
      </w:r>
      <w:proofErr w:type="spellStart"/>
      <w:r w:rsidR="00E2541D" w:rsidRPr="00276BCA">
        <w:rPr>
          <w:color w:val="auto"/>
        </w:rPr>
        <w:t>zolbetuximab</w:t>
      </w:r>
      <w:proofErr w:type="spellEnd"/>
      <w:r w:rsidR="00E2541D" w:rsidRPr="00276BCA">
        <w:rPr>
          <w:color w:val="auto"/>
        </w:rPr>
        <w:t xml:space="preserve"> and nivolumab </w:t>
      </w:r>
      <w:r w:rsidR="00D0047E" w:rsidRPr="00276BCA">
        <w:rPr>
          <w:color w:val="auto"/>
        </w:rPr>
        <w:t>consistent with</w:t>
      </w:r>
      <w:r w:rsidR="00E2541D" w:rsidRPr="00276BCA">
        <w:rPr>
          <w:color w:val="auto"/>
        </w:rPr>
        <w:t xml:space="preserve"> the CMA (see paragraph </w:t>
      </w:r>
      <w:r w:rsidR="00CF14BD" w:rsidRPr="00276BCA">
        <w:rPr>
          <w:color w:val="auto"/>
        </w:rPr>
        <w:fldChar w:fldCharType="begin"/>
      </w:r>
      <w:r w:rsidR="00CF14BD" w:rsidRPr="00276BCA">
        <w:rPr>
          <w:color w:val="auto"/>
        </w:rPr>
        <w:instrText xml:space="preserve"> REF _Ref195790128 \r \h </w:instrText>
      </w:r>
      <w:r w:rsidR="00867969" w:rsidRPr="00276BCA">
        <w:rPr>
          <w:color w:val="auto"/>
        </w:rPr>
        <w:instrText xml:space="preserve"> \* MERGEFORMAT </w:instrText>
      </w:r>
      <w:r w:rsidR="00CF14BD" w:rsidRPr="00276BCA">
        <w:rPr>
          <w:color w:val="auto"/>
        </w:rPr>
      </w:r>
      <w:r w:rsidR="00CF14BD" w:rsidRPr="00276BCA">
        <w:rPr>
          <w:color w:val="auto"/>
        </w:rPr>
        <w:fldChar w:fldCharType="separate"/>
      </w:r>
      <w:r w:rsidR="0011458F">
        <w:rPr>
          <w:color w:val="auto"/>
        </w:rPr>
        <w:t>7.9</w:t>
      </w:r>
      <w:r w:rsidR="00CF14BD" w:rsidRPr="00276BCA">
        <w:rPr>
          <w:color w:val="auto"/>
        </w:rPr>
        <w:fldChar w:fldCharType="end"/>
      </w:r>
      <w:r w:rsidR="00E2541D" w:rsidRPr="00276BCA">
        <w:rPr>
          <w:color w:val="auto"/>
        </w:rPr>
        <w:t>)</w:t>
      </w:r>
      <w:r w:rsidR="00992C86" w:rsidRPr="00276BCA">
        <w:rPr>
          <w:color w:val="auto"/>
        </w:rPr>
        <w:t xml:space="preserve"> and </w:t>
      </w:r>
      <w:r w:rsidR="00D375A2" w:rsidRPr="00276BCA">
        <w:rPr>
          <w:color w:val="auto"/>
        </w:rPr>
        <w:t xml:space="preserve">(iv) </w:t>
      </w:r>
      <w:r w:rsidR="00992C86" w:rsidRPr="00276BCA">
        <w:rPr>
          <w:color w:val="auto"/>
        </w:rPr>
        <w:t xml:space="preserve">the </w:t>
      </w:r>
      <w:proofErr w:type="spellStart"/>
      <w:r w:rsidR="00992C86" w:rsidRPr="00276BCA">
        <w:rPr>
          <w:color w:val="auto"/>
        </w:rPr>
        <w:t>zolbetuximab</w:t>
      </w:r>
      <w:proofErr w:type="spellEnd"/>
      <w:r w:rsidR="00992C86" w:rsidRPr="00276BCA">
        <w:rPr>
          <w:color w:val="auto"/>
        </w:rPr>
        <w:t xml:space="preserve"> price based on the revised </w:t>
      </w:r>
      <w:r w:rsidR="00D375A2" w:rsidRPr="00276BCA">
        <w:rPr>
          <w:color w:val="auto"/>
        </w:rPr>
        <w:t>CMA</w:t>
      </w:r>
      <w:r w:rsidR="00992C86" w:rsidRPr="00276BCA">
        <w:rPr>
          <w:color w:val="auto"/>
        </w:rPr>
        <w:t>.</w:t>
      </w:r>
      <w:r w:rsidR="00D375A2" w:rsidRPr="00276BCA">
        <w:rPr>
          <w:color w:val="auto"/>
        </w:rPr>
        <w:t xml:space="preserve"> The PBAC noted that the DUSC considered</w:t>
      </w:r>
      <w:r w:rsidR="00D6787A" w:rsidRPr="00276BCA">
        <w:rPr>
          <w:color w:val="auto"/>
        </w:rPr>
        <w:t xml:space="preserve"> a prevalent pool of patients should be included in the </w:t>
      </w:r>
      <w:proofErr w:type="gramStart"/>
      <w:r w:rsidR="00D6787A" w:rsidRPr="00276BCA">
        <w:rPr>
          <w:color w:val="auto"/>
        </w:rPr>
        <w:t>estimates,</w:t>
      </w:r>
      <w:r w:rsidR="00221DD3" w:rsidRPr="00276BCA">
        <w:rPr>
          <w:color w:val="auto"/>
        </w:rPr>
        <w:t xml:space="preserve"> </w:t>
      </w:r>
      <w:r w:rsidR="00D6787A" w:rsidRPr="00276BCA">
        <w:rPr>
          <w:color w:val="auto"/>
        </w:rPr>
        <w:t>and</w:t>
      </w:r>
      <w:proofErr w:type="gramEnd"/>
      <w:r w:rsidR="00D6787A" w:rsidRPr="00276BCA">
        <w:rPr>
          <w:color w:val="auto"/>
        </w:rPr>
        <w:t xml:space="preserve"> considered that this </w:t>
      </w:r>
      <w:r w:rsidR="00FC2F37" w:rsidRPr="00276BCA">
        <w:rPr>
          <w:color w:val="auto"/>
        </w:rPr>
        <w:t>was at least partly accounted for by the inclusion of grandfathered patients.</w:t>
      </w:r>
      <w:bookmarkEnd w:id="93"/>
    </w:p>
    <w:p w14:paraId="11019FA9" w14:textId="79962265" w:rsidR="00076C59" w:rsidRPr="00276BCA" w:rsidRDefault="00043206" w:rsidP="00AB32F2">
      <w:pPr>
        <w:pStyle w:val="ListParagraph"/>
        <w:numPr>
          <w:ilvl w:val="4"/>
          <w:numId w:val="8"/>
        </w:numPr>
        <w:rPr>
          <w:iCs/>
        </w:rPr>
      </w:pPr>
      <w:r w:rsidRPr="00276BCA">
        <w:rPr>
          <w:iCs/>
          <w:color w:val="auto"/>
        </w:rPr>
        <w:lastRenderedPageBreak/>
        <w:t xml:space="preserve">The PBAC considered it was appropriate for </w:t>
      </w:r>
      <w:proofErr w:type="spellStart"/>
      <w:r w:rsidRPr="00276BCA">
        <w:rPr>
          <w:iCs/>
          <w:color w:val="auto"/>
        </w:rPr>
        <w:t>zolbetuximab</w:t>
      </w:r>
      <w:proofErr w:type="spellEnd"/>
      <w:r w:rsidRPr="00276BCA">
        <w:rPr>
          <w:iCs/>
          <w:color w:val="auto"/>
        </w:rPr>
        <w:t xml:space="preserve"> to be included in the risk sharing arrangement </w:t>
      </w:r>
      <w:r w:rsidR="00F823AF" w:rsidRPr="00276BCA">
        <w:rPr>
          <w:iCs/>
          <w:color w:val="auto"/>
        </w:rPr>
        <w:t xml:space="preserve">(RSA) </w:t>
      </w:r>
      <w:r w:rsidRPr="00276BCA">
        <w:rPr>
          <w:iCs/>
          <w:color w:val="auto"/>
        </w:rPr>
        <w:t xml:space="preserve">currently in place for nivolumab for gastro-oesophageal cancer. The PBAC considered </w:t>
      </w:r>
      <w:r w:rsidR="005A222E" w:rsidRPr="00276BCA">
        <w:rPr>
          <w:iCs/>
          <w:color w:val="auto"/>
        </w:rPr>
        <w:t>given the listing was on a cost minimisation basis</w:t>
      </w:r>
      <w:r w:rsidR="006C5916" w:rsidRPr="00276BCA">
        <w:rPr>
          <w:iCs/>
          <w:color w:val="auto"/>
        </w:rPr>
        <w:t>, that</w:t>
      </w:r>
      <w:r w:rsidR="005A222E" w:rsidRPr="00276BCA">
        <w:rPr>
          <w:iCs/>
          <w:color w:val="auto"/>
        </w:rPr>
        <w:t xml:space="preserve"> </w:t>
      </w:r>
      <w:r w:rsidR="00FD785C" w:rsidRPr="00276BCA">
        <w:rPr>
          <w:iCs/>
          <w:color w:val="auto"/>
        </w:rPr>
        <w:t xml:space="preserve">there </w:t>
      </w:r>
      <w:r w:rsidR="004B3DDA" w:rsidRPr="00276BCA">
        <w:rPr>
          <w:iCs/>
          <w:color w:val="auto"/>
        </w:rPr>
        <w:t>should be</w:t>
      </w:r>
      <w:r w:rsidR="00FD785C" w:rsidRPr="00276BCA">
        <w:rPr>
          <w:iCs/>
          <w:color w:val="auto"/>
        </w:rPr>
        <w:t xml:space="preserve"> no increase in the </w:t>
      </w:r>
      <w:r w:rsidR="006C5916" w:rsidRPr="00276BCA">
        <w:rPr>
          <w:iCs/>
          <w:color w:val="auto"/>
        </w:rPr>
        <w:t xml:space="preserve">RSA </w:t>
      </w:r>
      <w:r w:rsidR="00FD785C" w:rsidRPr="00276BCA">
        <w:rPr>
          <w:iCs/>
          <w:color w:val="auto"/>
        </w:rPr>
        <w:t>expenditure caps</w:t>
      </w:r>
      <w:r w:rsidR="006253FA" w:rsidRPr="00276BCA">
        <w:rPr>
          <w:iCs/>
          <w:color w:val="auto"/>
        </w:rPr>
        <w:t xml:space="preserve"> with the listing of </w:t>
      </w:r>
      <w:proofErr w:type="spellStart"/>
      <w:r w:rsidR="006253FA" w:rsidRPr="00276BCA">
        <w:rPr>
          <w:iCs/>
          <w:color w:val="auto"/>
        </w:rPr>
        <w:t>zolbetuximab</w:t>
      </w:r>
      <w:proofErr w:type="spellEnd"/>
      <w:r w:rsidR="00F823AF" w:rsidRPr="00276BCA">
        <w:rPr>
          <w:iCs/>
          <w:color w:val="auto"/>
        </w:rPr>
        <w:t xml:space="preserve">. </w:t>
      </w:r>
    </w:p>
    <w:p w14:paraId="283DFFBC" w14:textId="54B757CF" w:rsidR="004B1624" w:rsidRPr="00276BCA" w:rsidRDefault="001D59C1" w:rsidP="00503571">
      <w:pPr>
        <w:spacing w:before="240" w:after="0"/>
        <w:rPr>
          <w:rFonts w:cs="Arial"/>
          <w:bCs/>
          <w:snapToGrid w:val="0"/>
        </w:rPr>
      </w:pPr>
      <w:r w:rsidRPr="00276BCA">
        <w:rPr>
          <w:rFonts w:cs="Arial"/>
          <w:b/>
          <w:bCs/>
          <w:snapToGrid w:val="0"/>
        </w:rPr>
        <w:t>Outcome:</w:t>
      </w:r>
      <w:r w:rsidR="00CD32A2" w:rsidRPr="00276BCA">
        <w:rPr>
          <w:rFonts w:cs="Arial"/>
          <w:bCs/>
          <w:snapToGrid w:val="0"/>
        </w:rPr>
        <w:br/>
      </w:r>
      <w:r w:rsidRPr="00276BCA">
        <w:rPr>
          <w:rFonts w:cs="Arial"/>
          <w:bCs/>
          <w:snapToGrid w:val="0"/>
        </w:rPr>
        <w:t>Deferred</w:t>
      </w:r>
      <w:bookmarkEnd w:id="81"/>
      <w:bookmarkEnd w:id="82"/>
      <w:bookmarkEnd w:id="83"/>
      <w:bookmarkEnd w:id="84"/>
      <w:bookmarkEnd w:id="85"/>
    </w:p>
    <w:p w14:paraId="4A9CD534" w14:textId="77777777" w:rsidR="009B6C2F" w:rsidRPr="00276BCA" w:rsidRDefault="009B6C2F" w:rsidP="009B6C2F">
      <w:pPr>
        <w:keepNext/>
        <w:numPr>
          <w:ilvl w:val="0"/>
          <w:numId w:val="8"/>
        </w:numPr>
        <w:spacing w:before="240" w:after="120"/>
        <w:jc w:val="left"/>
        <w:outlineLvl w:val="0"/>
        <w:rPr>
          <w:rFonts w:ascii="Calibri" w:eastAsia="Times New Roman" w:hAnsi="Calibri" w:cs="Arial"/>
          <w:b/>
          <w:snapToGrid w:val="0"/>
          <w:sz w:val="32"/>
          <w:szCs w:val="32"/>
          <w:lang w:eastAsia="en-AU"/>
        </w:rPr>
      </w:pPr>
      <w:r w:rsidRPr="00276BCA">
        <w:rPr>
          <w:rFonts w:ascii="Calibri" w:eastAsia="Times New Roman" w:hAnsi="Calibri" w:cs="Arial"/>
          <w:b/>
          <w:snapToGrid w:val="0"/>
          <w:sz w:val="32"/>
          <w:szCs w:val="32"/>
          <w:lang w:eastAsia="en-AU"/>
        </w:rPr>
        <w:t>Context for Decision</w:t>
      </w:r>
    </w:p>
    <w:p w14:paraId="7DABFE4F" w14:textId="77777777" w:rsidR="009B6C2F" w:rsidRPr="00276BCA" w:rsidRDefault="009B6C2F" w:rsidP="009B6C2F">
      <w:pPr>
        <w:spacing w:before="0" w:after="120"/>
        <w:ind w:left="720"/>
        <w:rPr>
          <w:rFonts w:ascii="Calibri" w:eastAsia="Times New Roman" w:hAnsi="Calibri" w:cs="Arial"/>
          <w:bCs/>
          <w:szCs w:val="24"/>
          <w:lang w:val="en-GB" w:eastAsia="en-AU"/>
        </w:rPr>
      </w:pPr>
      <w:r w:rsidRPr="00276BCA">
        <w:rPr>
          <w:rFonts w:ascii="Calibri" w:eastAsia="Times New Roman" w:hAnsi="Calibri" w:cs="Arial"/>
          <w:bCs/>
          <w:szCs w:val="24"/>
          <w:lang w:val="en-GB" w:eastAsia="en-AU"/>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A481569" w14:textId="77777777" w:rsidR="009B6C2F" w:rsidRPr="00276BCA" w:rsidRDefault="009B6C2F" w:rsidP="009B6C2F">
      <w:pPr>
        <w:keepNext/>
        <w:numPr>
          <w:ilvl w:val="0"/>
          <w:numId w:val="8"/>
        </w:numPr>
        <w:spacing w:before="240" w:after="120"/>
        <w:jc w:val="left"/>
        <w:outlineLvl w:val="0"/>
        <w:rPr>
          <w:rFonts w:ascii="Calibri" w:eastAsia="Times New Roman" w:hAnsi="Calibri" w:cs="Arial"/>
          <w:b/>
          <w:snapToGrid w:val="0"/>
          <w:sz w:val="32"/>
          <w:szCs w:val="32"/>
          <w:lang w:eastAsia="en-AU"/>
        </w:rPr>
      </w:pPr>
      <w:r w:rsidRPr="00276BCA">
        <w:rPr>
          <w:rFonts w:ascii="Calibri" w:eastAsia="Times New Roman" w:hAnsi="Calibri" w:cs="Arial"/>
          <w:b/>
          <w:snapToGrid w:val="0"/>
          <w:sz w:val="32"/>
          <w:szCs w:val="32"/>
          <w:lang w:eastAsia="en-AU"/>
        </w:rPr>
        <w:t>Sponsor’s Comment</w:t>
      </w:r>
    </w:p>
    <w:p w14:paraId="08FEC04A" w14:textId="4EB74A46" w:rsidR="009B6C2F" w:rsidRPr="00276BCA" w:rsidRDefault="0000708F" w:rsidP="00BF1257">
      <w:pPr>
        <w:pStyle w:val="ListParagraph"/>
        <w:ind w:left="720"/>
        <w:rPr>
          <w:rFonts w:ascii="Calibri" w:eastAsia="Calibri" w:hAnsi="Calibri" w:cs="Arial"/>
          <w:bCs/>
        </w:rPr>
      </w:pPr>
      <w:r w:rsidRPr="00276BCA">
        <w:rPr>
          <w:rFonts w:ascii="Calibri" w:eastAsia="Calibri" w:hAnsi="Calibri" w:cs="Arial"/>
          <w:bCs/>
        </w:rPr>
        <w:t xml:space="preserve">Astellas looks forward to gaining PBS reimbursement for patients that would benefit from being prescribed </w:t>
      </w:r>
      <w:proofErr w:type="spellStart"/>
      <w:r w:rsidRPr="00276BCA">
        <w:rPr>
          <w:rFonts w:ascii="Calibri" w:eastAsia="Calibri" w:hAnsi="Calibri" w:cs="Arial"/>
          <w:bCs/>
        </w:rPr>
        <w:t>Zolbetuximab</w:t>
      </w:r>
      <w:proofErr w:type="spellEnd"/>
      <w:r w:rsidRPr="00276BCA">
        <w:rPr>
          <w:rFonts w:ascii="Calibri" w:eastAsia="Calibri" w:hAnsi="Calibri" w:cs="Arial"/>
          <w:bCs/>
        </w:rPr>
        <w:t>. We hope to swiftly move through the final approval processes.</w:t>
      </w:r>
    </w:p>
    <w:p w14:paraId="39A8DD42" w14:textId="77777777" w:rsidR="00CD32A2" w:rsidRPr="00276BCA" w:rsidRDefault="00CD32A2">
      <w:pPr>
        <w:spacing w:before="0" w:line="259" w:lineRule="auto"/>
        <w:jc w:val="left"/>
        <w:rPr>
          <w:rFonts w:ascii="Calibri" w:eastAsia="Times New Roman" w:hAnsi="Calibri" w:cs="Arial"/>
          <w:b/>
          <w:snapToGrid w:val="0"/>
          <w:color w:val="FF0000"/>
          <w:sz w:val="28"/>
        </w:rPr>
      </w:pPr>
      <w:r w:rsidRPr="00276BCA">
        <w:rPr>
          <w:rFonts w:ascii="Calibri" w:eastAsia="Times New Roman" w:hAnsi="Calibri" w:cs="Arial"/>
          <w:b/>
          <w:snapToGrid w:val="0"/>
          <w:color w:val="FF0000"/>
          <w:sz w:val="28"/>
        </w:rPr>
        <w:br w:type="page"/>
      </w:r>
    </w:p>
    <w:p w14:paraId="4480A548" w14:textId="53E6005D" w:rsidR="00425894" w:rsidRPr="00276BCA" w:rsidRDefault="00425894" w:rsidP="00425894">
      <w:pPr>
        <w:keepNext/>
        <w:spacing w:after="120"/>
        <w:ind w:left="720" w:hanging="720"/>
        <w:jc w:val="left"/>
        <w:outlineLvl w:val="0"/>
        <w:rPr>
          <w:rFonts w:ascii="Calibri" w:eastAsia="Times New Roman" w:hAnsi="Calibri" w:cs="Arial"/>
          <w:b/>
          <w:snapToGrid w:val="0"/>
          <w:color w:val="FF0000"/>
          <w:sz w:val="28"/>
        </w:rPr>
      </w:pPr>
      <w:r w:rsidRPr="00276BCA">
        <w:rPr>
          <w:rFonts w:ascii="Calibri" w:eastAsia="Times New Roman" w:hAnsi="Calibri" w:cs="Arial"/>
          <w:b/>
          <w:snapToGrid w:val="0"/>
          <w:color w:val="FF0000"/>
          <w:sz w:val="28"/>
        </w:rPr>
        <w:lastRenderedPageBreak/>
        <w:t>Addendum to the March 2025 PBAC minutes:</w:t>
      </w:r>
    </w:p>
    <w:p w14:paraId="7B5578DF" w14:textId="44171545" w:rsidR="00425894" w:rsidRPr="00276BCA" w:rsidRDefault="00425894" w:rsidP="00425894">
      <w:pPr>
        <w:spacing w:before="360" w:after="240"/>
        <w:ind w:left="851" w:hanging="851"/>
        <w:rPr>
          <w:rFonts w:eastAsiaTheme="majorEastAsia"/>
          <w:b/>
          <w:bCs/>
          <w:sz w:val="36"/>
          <w:szCs w:val="36"/>
        </w:rPr>
      </w:pPr>
      <w:r w:rsidRPr="00276BCA">
        <w:rPr>
          <w:b/>
          <w:smallCaps/>
          <w:sz w:val="36"/>
          <w:szCs w:val="36"/>
        </w:rPr>
        <w:t>4.01</w:t>
      </w:r>
      <w:r w:rsidRPr="00276BCA">
        <w:rPr>
          <w:b/>
          <w:smallCaps/>
          <w:sz w:val="36"/>
          <w:szCs w:val="36"/>
        </w:rPr>
        <w:tab/>
      </w:r>
      <w:r w:rsidRPr="00276BCA">
        <w:rPr>
          <w:b/>
          <w:spacing w:val="5"/>
          <w:kern w:val="28"/>
          <w:sz w:val="36"/>
          <w:szCs w:val="36"/>
          <w:lang w:eastAsia="en-AU"/>
        </w:rPr>
        <w:t>ZOLBETUXIMAB,</w:t>
      </w:r>
      <w:r w:rsidRPr="00276BCA">
        <w:rPr>
          <w:b/>
          <w:spacing w:val="5"/>
          <w:kern w:val="28"/>
          <w:sz w:val="36"/>
          <w:szCs w:val="36"/>
          <w:lang w:eastAsia="en-AU"/>
        </w:rPr>
        <w:br/>
        <w:t>Powder for I.V. infusion 100 mg (20 mg per mL),</w:t>
      </w:r>
      <w:r w:rsidRPr="00276BCA">
        <w:rPr>
          <w:b/>
          <w:spacing w:val="5"/>
          <w:kern w:val="28"/>
          <w:sz w:val="36"/>
          <w:szCs w:val="36"/>
          <w:lang w:eastAsia="en-AU"/>
        </w:rPr>
        <w:br/>
      </w:r>
      <w:proofErr w:type="spellStart"/>
      <w:r w:rsidRPr="00276BCA">
        <w:rPr>
          <w:b/>
          <w:spacing w:val="5"/>
          <w:kern w:val="28"/>
          <w:sz w:val="36"/>
          <w:szCs w:val="36"/>
          <w:lang w:eastAsia="en-AU"/>
        </w:rPr>
        <w:t>Vyloy</w:t>
      </w:r>
      <w:proofErr w:type="spellEnd"/>
      <w:r w:rsidRPr="00276BCA">
        <w:rPr>
          <w:b/>
          <w:spacing w:val="5"/>
          <w:kern w:val="28"/>
          <w:sz w:val="36"/>
          <w:szCs w:val="36"/>
          <w:lang w:eastAsia="en-AU"/>
        </w:rPr>
        <w:t>®</w:t>
      </w:r>
      <w:r w:rsidR="007D51A9" w:rsidRPr="00276BCA">
        <w:rPr>
          <w:b/>
          <w:spacing w:val="5"/>
          <w:kern w:val="28"/>
          <w:sz w:val="36"/>
          <w:szCs w:val="36"/>
          <w:lang w:eastAsia="en-AU"/>
        </w:rPr>
        <w:t>,</w:t>
      </w:r>
      <w:r w:rsidRPr="00276BCA">
        <w:rPr>
          <w:b/>
          <w:spacing w:val="5"/>
          <w:kern w:val="28"/>
          <w:sz w:val="36"/>
          <w:szCs w:val="36"/>
          <w:lang w:eastAsia="en-AU"/>
        </w:rPr>
        <w:br/>
      </w:r>
      <w:r w:rsidRPr="00276BCA">
        <w:rPr>
          <w:rFonts w:eastAsiaTheme="majorEastAsia"/>
          <w:b/>
          <w:bCs/>
          <w:sz w:val="36"/>
          <w:szCs w:val="36"/>
        </w:rPr>
        <w:t>ASTELLAS PHARMA AUSTRALIA PTY LTD</w:t>
      </w:r>
    </w:p>
    <w:p w14:paraId="190B04CA" w14:textId="77777777" w:rsidR="00425894" w:rsidRPr="00276BCA" w:rsidRDefault="00425894" w:rsidP="00425894">
      <w:pPr>
        <w:keepNext/>
        <w:keepLines/>
        <w:numPr>
          <w:ilvl w:val="0"/>
          <w:numId w:val="15"/>
        </w:numPr>
        <w:tabs>
          <w:tab w:val="left" w:pos="1077"/>
        </w:tabs>
        <w:spacing w:before="240" w:after="120"/>
        <w:jc w:val="left"/>
        <w:outlineLvl w:val="0"/>
        <w:rPr>
          <w:rFonts w:eastAsia="Times New Roman" w:cs="Arial"/>
          <w:b/>
          <w:snapToGrid w:val="0"/>
          <w:sz w:val="32"/>
          <w:szCs w:val="32"/>
        </w:rPr>
      </w:pPr>
      <w:r w:rsidRPr="00276BCA">
        <w:rPr>
          <w:rFonts w:eastAsia="Times New Roman" w:cs="Arial"/>
          <w:b/>
          <w:snapToGrid w:val="0"/>
          <w:sz w:val="32"/>
          <w:szCs w:val="32"/>
        </w:rPr>
        <w:t>Background</w:t>
      </w:r>
    </w:p>
    <w:p w14:paraId="56C383EF" w14:textId="7FD985E6" w:rsidR="00425894" w:rsidRPr="00276BCA" w:rsidRDefault="00425894" w:rsidP="00425894">
      <w:pPr>
        <w:numPr>
          <w:ilvl w:val="4"/>
          <w:numId w:val="8"/>
        </w:numPr>
        <w:spacing w:after="120"/>
        <w:rPr>
          <w:color w:val="000000" w:themeColor="text1"/>
        </w:rPr>
      </w:pPr>
      <w:r w:rsidRPr="00276BCA">
        <w:rPr>
          <w:color w:val="000000" w:themeColor="text1"/>
        </w:rPr>
        <w:t xml:space="preserve">At its March 2025 meeting, the PBAC deferred </w:t>
      </w:r>
      <w:proofErr w:type="spellStart"/>
      <w:r w:rsidRPr="00276BCA">
        <w:rPr>
          <w:color w:val="000000" w:themeColor="text1"/>
        </w:rPr>
        <w:t>zolbetuximab</w:t>
      </w:r>
      <w:proofErr w:type="spellEnd"/>
      <w:r w:rsidRPr="00276BCA">
        <w:rPr>
          <w:color w:val="000000" w:themeColor="text1"/>
        </w:rPr>
        <w:t xml:space="preserve"> with fluoropyrimidine- and platinum-containing chemotherapy, for the first-line treatment of patients with locally advanced unresectable or metastatic human epidermal growth factor receptor 2 (HER2)-negative gastric or gastroesophageal junction (G/GOJ) adenocarcinoma whose tumours are Claudin 18.2 positive (CLDN18.2+), but was of a mind to recommend, pending MSAC consideration of immunohistochemistry (IHC) testing for CLDN18.2 expression and presentation of revised restriction criteria and cost-minimisation approach (CMA) (see paragraph </w:t>
      </w:r>
      <w:r w:rsidR="00002130">
        <w:rPr>
          <w:color w:val="000000" w:themeColor="text1"/>
        </w:rPr>
        <w:fldChar w:fldCharType="begin"/>
      </w:r>
      <w:r w:rsidR="00002130">
        <w:rPr>
          <w:color w:val="000000" w:themeColor="text1"/>
        </w:rPr>
        <w:instrText xml:space="preserve"> REF _Ref217295215 \r \h </w:instrText>
      </w:r>
      <w:r w:rsidR="00002130">
        <w:rPr>
          <w:color w:val="000000" w:themeColor="text1"/>
        </w:rPr>
      </w:r>
      <w:r w:rsidR="00002130">
        <w:rPr>
          <w:color w:val="000000" w:themeColor="text1"/>
        </w:rPr>
        <w:fldChar w:fldCharType="separate"/>
      </w:r>
      <w:r w:rsidR="0011458F">
        <w:rPr>
          <w:color w:val="000000" w:themeColor="text1"/>
        </w:rPr>
        <w:t>7.1</w:t>
      </w:r>
      <w:r w:rsidR="00002130">
        <w:rPr>
          <w:color w:val="000000" w:themeColor="text1"/>
        </w:rPr>
        <w:fldChar w:fldCharType="end"/>
      </w:r>
      <w:r w:rsidRPr="00276BCA">
        <w:rPr>
          <w:color w:val="000000" w:themeColor="text1"/>
        </w:rPr>
        <w:t xml:space="preserve">). </w:t>
      </w:r>
    </w:p>
    <w:p w14:paraId="25A95DC3" w14:textId="77777777" w:rsidR="00425894" w:rsidRPr="00276BCA" w:rsidRDefault="00425894" w:rsidP="00425894">
      <w:pPr>
        <w:numPr>
          <w:ilvl w:val="4"/>
          <w:numId w:val="8"/>
        </w:numPr>
        <w:spacing w:after="120"/>
        <w:rPr>
          <w:color w:val="000000" w:themeColor="text1"/>
        </w:rPr>
      </w:pPr>
      <w:bookmarkStart w:id="94" w:name="_Ref209078367"/>
      <w:r w:rsidRPr="00276BCA">
        <w:rPr>
          <w:color w:val="000000" w:themeColor="text1"/>
        </w:rPr>
        <w:t xml:space="preserve">At its 3-4 April 2025 meeting, the MSAC supported the creation of a new Medicare Benefits Schedule (MBS) item for IHC testing for CLDN18.2 expression to determine eligibility for </w:t>
      </w:r>
      <w:proofErr w:type="spellStart"/>
      <w:r w:rsidRPr="00276BCA">
        <w:rPr>
          <w:color w:val="000000" w:themeColor="text1"/>
        </w:rPr>
        <w:t>zolbetuximab</w:t>
      </w:r>
      <w:proofErr w:type="spellEnd"/>
      <w:r w:rsidRPr="00276BCA">
        <w:rPr>
          <w:color w:val="000000" w:themeColor="text1"/>
        </w:rPr>
        <w:t xml:space="preserve"> under the Pharmaceutical Benefits Scheme (PBS) in patients with locally advanced unresectable or metastatic G/GOJ adenocarcinoma. MSAC considered testing would identify patients expected to benefit from </w:t>
      </w:r>
      <w:proofErr w:type="spellStart"/>
      <w:r w:rsidRPr="00276BCA">
        <w:rPr>
          <w:color w:val="000000" w:themeColor="text1"/>
        </w:rPr>
        <w:t>zolbetuximab</w:t>
      </w:r>
      <w:proofErr w:type="spellEnd"/>
      <w:r w:rsidRPr="00276BCA">
        <w:rPr>
          <w:color w:val="000000" w:themeColor="text1"/>
        </w:rPr>
        <w:t xml:space="preserve"> and testing would have no additional safety concerns. The MSAC considered the financial impact of testing to the MBS would be relatively </w:t>
      </w:r>
      <w:proofErr w:type="gramStart"/>
      <w:r w:rsidRPr="00276BCA">
        <w:rPr>
          <w:color w:val="000000" w:themeColor="text1"/>
        </w:rPr>
        <w:t>low, and</w:t>
      </w:r>
      <w:proofErr w:type="gramEnd"/>
      <w:r w:rsidRPr="00276BCA">
        <w:rPr>
          <w:color w:val="000000" w:themeColor="text1"/>
        </w:rPr>
        <w:t xml:space="preserve"> advised that a fee between $74.50 to $112 would be appropriate (MSAC PSD, Application No. 1767 - Immunohistochemistry testing for CLDN18.2 expression in patients with gastric or gastro-oesophageal junction cancers, to determine eligibility for PBS subsidised </w:t>
      </w:r>
      <w:proofErr w:type="spellStart"/>
      <w:r w:rsidRPr="00276BCA">
        <w:rPr>
          <w:color w:val="000000" w:themeColor="text1"/>
        </w:rPr>
        <w:t>zolbetuximab</w:t>
      </w:r>
      <w:proofErr w:type="spellEnd"/>
      <w:r w:rsidRPr="00276BCA">
        <w:rPr>
          <w:color w:val="000000" w:themeColor="text1"/>
        </w:rPr>
        <w:t xml:space="preserve"> treatment, April 2025).</w:t>
      </w:r>
      <w:bookmarkEnd w:id="94"/>
      <w:r w:rsidRPr="00276BCA">
        <w:rPr>
          <w:color w:val="000000" w:themeColor="text1"/>
        </w:rPr>
        <w:t xml:space="preserve"> </w:t>
      </w:r>
    </w:p>
    <w:p w14:paraId="6D7ED7EE" w14:textId="77777777" w:rsidR="00425894" w:rsidRPr="00276BCA" w:rsidRDefault="00425894" w:rsidP="00425894">
      <w:pPr>
        <w:numPr>
          <w:ilvl w:val="4"/>
          <w:numId w:val="8"/>
        </w:numPr>
        <w:spacing w:after="120"/>
        <w:rPr>
          <w:color w:val="000000" w:themeColor="text1"/>
        </w:rPr>
      </w:pPr>
      <w:r w:rsidRPr="00276BCA">
        <w:rPr>
          <w:color w:val="000000" w:themeColor="text1"/>
        </w:rPr>
        <w:t xml:space="preserve">On 30 June 2025 the Sponsor provided a response to the PBAC deferral from March 2025, proposing an updated restriction, CMA, and financial estimates. </w:t>
      </w:r>
    </w:p>
    <w:p w14:paraId="362EBA5A" w14:textId="77777777" w:rsidR="00425894" w:rsidRPr="00276BCA" w:rsidRDefault="00425894" w:rsidP="00425894">
      <w:pPr>
        <w:numPr>
          <w:ilvl w:val="4"/>
          <w:numId w:val="8"/>
        </w:numPr>
        <w:spacing w:after="120"/>
        <w:rPr>
          <w:color w:val="000000" w:themeColor="text1"/>
        </w:rPr>
      </w:pPr>
      <w:r w:rsidRPr="00276BCA">
        <w:rPr>
          <w:color w:val="000000" w:themeColor="text1"/>
        </w:rPr>
        <w:t xml:space="preserve">The PBS-listing of </w:t>
      </w:r>
      <w:proofErr w:type="spellStart"/>
      <w:r w:rsidRPr="00276BCA">
        <w:rPr>
          <w:color w:val="000000" w:themeColor="text1"/>
        </w:rPr>
        <w:t>zolbetuximab</w:t>
      </w:r>
      <w:proofErr w:type="spellEnd"/>
      <w:r w:rsidRPr="00276BCA">
        <w:rPr>
          <w:color w:val="000000" w:themeColor="text1"/>
        </w:rPr>
        <w:t xml:space="preserve"> with fluoropyrimidine- and platinum-containing chemotherapy, for the first-line treatment of patients with locally advanced unresectable or metastatic HER2-negative G/GOJ adenocarcinoma whose tumours are CLDN18.2+ was subsequently considered by the PBAC at its September 2025 meeting.</w:t>
      </w:r>
    </w:p>
    <w:p w14:paraId="39AFCFF5" w14:textId="77777777" w:rsidR="00425894" w:rsidRPr="00276BCA" w:rsidRDefault="00425894" w:rsidP="00425894">
      <w:pPr>
        <w:keepNext/>
        <w:keepLines/>
        <w:spacing w:after="120"/>
        <w:jc w:val="left"/>
        <w:outlineLvl w:val="1"/>
        <w:rPr>
          <w:rFonts w:ascii="Calibri" w:eastAsiaTheme="majorEastAsia" w:hAnsi="Calibri" w:cs="Calibri"/>
          <w:b/>
          <w:i/>
          <w:iCs/>
          <w:snapToGrid w:val="0"/>
          <w:sz w:val="28"/>
          <w:szCs w:val="28"/>
        </w:rPr>
      </w:pPr>
      <w:r w:rsidRPr="00276BCA">
        <w:rPr>
          <w:rFonts w:ascii="Calibri" w:eastAsiaTheme="majorEastAsia" w:hAnsi="Calibri" w:cs="Calibri"/>
          <w:b/>
          <w:i/>
          <w:iCs/>
          <w:snapToGrid w:val="0"/>
          <w:sz w:val="28"/>
          <w:szCs w:val="28"/>
        </w:rPr>
        <w:t>Registration status</w:t>
      </w:r>
    </w:p>
    <w:p w14:paraId="28C9CBDD" w14:textId="77777777" w:rsidR="00425894" w:rsidRPr="00276BCA" w:rsidRDefault="00425894" w:rsidP="00425894">
      <w:pPr>
        <w:numPr>
          <w:ilvl w:val="4"/>
          <w:numId w:val="8"/>
        </w:numPr>
        <w:spacing w:after="120"/>
        <w:rPr>
          <w:color w:val="000000" w:themeColor="text1"/>
        </w:rPr>
      </w:pPr>
      <w:proofErr w:type="spellStart"/>
      <w:r w:rsidRPr="00276BCA">
        <w:rPr>
          <w:color w:val="000000" w:themeColor="text1"/>
        </w:rPr>
        <w:t>Zolbetuximab</w:t>
      </w:r>
      <w:proofErr w:type="spellEnd"/>
      <w:r w:rsidRPr="00276BCA">
        <w:rPr>
          <w:color w:val="000000" w:themeColor="text1"/>
        </w:rPr>
        <w:t xml:space="preserve"> was TGA registered on 17 March 2025: “in combination with fluoropyrimidine- and platinum-containing chemotherapy, indicated for the first-line </w:t>
      </w:r>
      <w:r w:rsidRPr="00276BCA">
        <w:rPr>
          <w:color w:val="000000" w:themeColor="text1"/>
        </w:rPr>
        <w:lastRenderedPageBreak/>
        <w:t xml:space="preserve">treatment of adult patients with locally advanced unresectable or metastatic human epidermal growth factor receptor 2 (HER2)-negative gastric or gastro-oesophageal junction (GOJ) adenocarcinoma whose tumours are Claudin (CLDN) 18.2 positive”. </w:t>
      </w:r>
    </w:p>
    <w:p w14:paraId="609E994D" w14:textId="77777777" w:rsidR="00425894" w:rsidRPr="00276BCA" w:rsidRDefault="00425894" w:rsidP="00425894">
      <w:pPr>
        <w:keepNext/>
        <w:keepLines/>
        <w:numPr>
          <w:ilvl w:val="0"/>
          <w:numId w:val="15"/>
        </w:numPr>
        <w:tabs>
          <w:tab w:val="left" w:pos="1077"/>
        </w:tabs>
        <w:spacing w:before="240" w:after="120"/>
        <w:jc w:val="left"/>
        <w:outlineLvl w:val="0"/>
        <w:rPr>
          <w:rFonts w:eastAsia="Times New Roman" w:cs="Arial"/>
          <w:b/>
          <w:snapToGrid w:val="0"/>
          <w:sz w:val="32"/>
          <w:szCs w:val="32"/>
        </w:rPr>
      </w:pPr>
      <w:r w:rsidRPr="00276BCA">
        <w:rPr>
          <w:rFonts w:eastAsia="Times New Roman" w:cs="Arial"/>
          <w:b/>
          <w:snapToGrid w:val="0"/>
          <w:sz w:val="32"/>
          <w:szCs w:val="32"/>
        </w:rPr>
        <w:t>Consideration of the evidence</w:t>
      </w:r>
    </w:p>
    <w:p w14:paraId="3F6C0BC5" w14:textId="77777777" w:rsidR="00425894" w:rsidRPr="00276BCA" w:rsidRDefault="00425894" w:rsidP="00425894">
      <w:pPr>
        <w:keepNext/>
        <w:keepLines/>
        <w:spacing w:after="120"/>
        <w:jc w:val="left"/>
        <w:outlineLvl w:val="1"/>
        <w:rPr>
          <w:rFonts w:ascii="Calibri" w:eastAsiaTheme="majorEastAsia" w:hAnsi="Calibri" w:cs="Calibri"/>
          <w:b/>
          <w:i/>
          <w:iCs/>
          <w:snapToGrid w:val="0"/>
          <w:sz w:val="28"/>
          <w:szCs w:val="28"/>
        </w:rPr>
      </w:pPr>
      <w:r w:rsidRPr="00276BCA">
        <w:rPr>
          <w:rFonts w:ascii="Calibri" w:eastAsiaTheme="majorEastAsia" w:hAnsi="Calibri" w:cs="Calibri"/>
          <w:b/>
          <w:i/>
          <w:iCs/>
          <w:snapToGrid w:val="0"/>
          <w:sz w:val="28"/>
          <w:szCs w:val="28"/>
        </w:rPr>
        <w:t>Economic analysis</w:t>
      </w:r>
    </w:p>
    <w:p w14:paraId="2F0C5484" w14:textId="77777777" w:rsidR="00425894" w:rsidRPr="00276BCA" w:rsidRDefault="00425894" w:rsidP="00425894">
      <w:pPr>
        <w:numPr>
          <w:ilvl w:val="4"/>
          <w:numId w:val="8"/>
        </w:numPr>
        <w:spacing w:after="120"/>
        <w:rPr>
          <w:color w:val="000000" w:themeColor="text1"/>
        </w:rPr>
      </w:pPr>
      <w:bookmarkStart w:id="95" w:name="_Ref208261416"/>
      <w:r w:rsidRPr="00276BCA">
        <w:rPr>
          <w:color w:val="000000" w:themeColor="text1"/>
        </w:rPr>
        <w:t>The CMA presented in the sponsor’s proposal:</w:t>
      </w:r>
      <w:bookmarkEnd w:id="95"/>
    </w:p>
    <w:p w14:paraId="07131E87" w14:textId="3D2EB3A7" w:rsidR="00425894" w:rsidRPr="00276BCA" w:rsidRDefault="00425894" w:rsidP="00425894">
      <w:pPr>
        <w:numPr>
          <w:ilvl w:val="0"/>
          <w:numId w:val="117"/>
        </w:numPr>
        <w:spacing w:before="0" w:after="120"/>
        <w:rPr>
          <w:rFonts w:eastAsia="Times New Roman" w:cs="Arial"/>
          <w:snapToGrid w:val="0"/>
          <w:szCs w:val="24"/>
        </w:rPr>
      </w:pPr>
      <w:r w:rsidRPr="00276BCA">
        <w:rPr>
          <w:rFonts w:eastAsia="Times New Roman" w:cs="Arial"/>
          <w:snapToGrid w:val="0"/>
          <w:szCs w:val="24"/>
        </w:rPr>
        <w:t xml:space="preserve">Assumed </w:t>
      </w:r>
      <w:r w:rsidRPr="00276BCA">
        <w:rPr>
          <w:rFonts w:eastAsia="Times New Roman" w:cs="Arial"/>
          <w:snapToGrid w:val="0"/>
          <w:szCs w:val="24"/>
          <w:lang w:eastAsia="en-AU"/>
        </w:rPr>
        <w:t xml:space="preserve">an </w:t>
      </w:r>
      <w:proofErr w:type="gramStart"/>
      <w:r w:rsidRPr="00276BCA">
        <w:rPr>
          <w:rFonts w:eastAsia="Times New Roman" w:cs="Arial"/>
          <w:snapToGrid w:val="0"/>
          <w:szCs w:val="24"/>
          <w:lang w:eastAsia="en-AU"/>
        </w:rPr>
        <w:t>8.7 month</w:t>
      </w:r>
      <w:proofErr w:type="gramEnd"/>
      <w:r w:rsidRPr="00276BCA">
        <w:rPr>
          <w:rFonts w:eastAsia="Times New Roman" w:cs="Arial"/>
          <w:snapToGrid w:val="0"/>
          <w:szCs w:val="24"/>
          <w:lang w:eastAsia="en-AU"/>
        </w:rPr>
        <w:t xml:space="preserve"> treatment duration for </w:t>
      </w:r>
      <w:proofErr w:type="spellStart"/>
      <w:r w:rsidRPr="00276BCA">
        <w:rPr>
          <w:rFonts w:eastAsia="Times New Roman" w:cs="Arial"/>
          <w:snapToGrid w:val="0"/>
          <w:szCs w:val="24"/>
          <w:lang w:eastAsia="en-AU"/>
        </w:rPr>
        <w:t>zolbetuximab</w:t>
      </w:r>
      <w:proofErr w:type="spellEnd"/>
      <w:r w:rsidRPr="00276BCA">
        <w:rPr>
          <w:rFonts w:eastAsia="Times New Roman" w:cs="Arial"/>
          <w:snapToGrid w:val="0"/>
          <w:szCs w:val="24"/>
          <w:lang w:eastAsia="en-AU"/>
        </w:rPr>
        <w:t xml:space="preserve"> and nivolumab based on the average treatment duration across the SPOTLIGHT and GLOW trials (as requested in paragraph </w:t>
      </w:r>
      <w:proofErr w:type="gramStart"/>
      <w:r w:rsidRPr="00276BCA">
        <w:rPr>
          <w:rFonts w:eastAsia="Times New Roman" w:cs="Arial"/>
          <w:snapToGrid w:val="0"/>
          <w:szCs w:val="24"/>
          <w:lang w:eastAsia="en-AU"/>
        </w:rPr>
        <w:fldChar w:fldCharType="begin"/>
      </w:r>
      <w:r w:rsidRPr="00276BCA">
        <w:rPr>
          <w:rFonts w:eastAsia="Times New Roman" w:cs="Arial"/>
          <w:snapToGrid w:val="0"/>
          <w:szCs w:val="24"/>
          <w:lang w:eastAsia="en-AU"/>
        </w:rPr>
        <w:instrText xml:space="preserve"> REF _Ref195790128 \r \h </w:instrText>
      </w:r>
      <w:r w:rsidR="00325150" w:rsidRPr="00EE1146">
        <w:rPr>
          <w:rFonts w:eastAsia="Times New Roman" w:cs="Arial"/>
          <w:snapToGrid w:val="0"/>
          <w:szCs w:val="24"/>
          <w:lang w:eastAsia="en-AU"/>
        </w:rPr>
        <w:instrText xml:space="preserve"> \* MERGEFORMAT </w:instrText>
      </w:r>
      <w:r w:rsidRPr="00276BCA">
        <w:rPr>
          <w:rFonts w:eastAsia="Times New Roman" w:cs="Arial"/>
          <w:snapToGrid w:val="0"/>
          <w:szCs w:val="24"/>
          <w:lang w:eastAsia="en-AU"/>
        </w:rPr>
      </w:r>
      <w:r w:rsidRPr="00276BCA">
        <w:rPr>
          <w:rFonts w:eastAsia="Times New Roman" w:cs="Arial"/>
          <w:snapToGrid w:val="0"/>
          <w:szCs w:val="24"/>
          <w:lang w:eastAsia="en-AU"/>
        </w:rPr>
        <w:fldChar w:fldCharType="separate"/>
      </w:r>
      <w:r w:rsidR="0011458F">
        <w:rPr>
          <w:rFonts w:eastAsia="Times New Roman" w:cs="Arial"/>
          <w:snapToGrid w:val="0"/>
          <w:szCs w:val="24"/>
          <w:lang w:eastAsia="en-AU"/>
        </w:rPr>
        <w:t>7.9</w:t>
      </w:r>
      <w:r w:rsidRPr="00276BCA">
        <w:rPr>
          <w:rFonts w:eastAsia="Times New Roman" w:cs="Arial"/>
          <w:snapToGrid w:val="0"/>
          <w:szCs w:val="24"/>
          <w:lang w:eastAsia="en-AU"/>
        </w:rPr>
        <w:fldChar w:fldCharType="end"/>
      </w:r>
      <w:r w:rsidRPr="00276BCA">
        <w:rPr>
          <w:rFonts w:eastAsia="Times New Roman" w:cs="Arial"/>
          <w:snapToGrid w:val="0"/>
          <w:szCs w:val="24"/>
          <w:lang w:eastAsia="en-AU"/>
        </w:rPr>
        <w:t>);</w:t>
      </w:r>
      <w:proofErr w:type="gramEnd"/>
    </w:p>
    <w:p w14:paraId="0386DAF7" w14:textId="2692A7CF" w:rsidR="00425894" w:rsidRPr="00276BCA" w:rsidRDefault="00425894" w:rsidP="00425894">
      <w:pPr>
        <w:numPr>
          <w:ilvl w:val="0"/>
          <w:numId w:val="117"/>
        </w:numPr>
        <w:spacing w:before="0" w:after="120"/>
        <w:rPr>
          <w:rFonts w:eastAsia="Times New Roman" w:cs="Arial"/>
          <w:snapToGrid w:val="0"/>
          <w:szCs w:val="24"/>
        </w:rPr>
      </w:pPr>
      <w:r w:rsidRPr="00276BCA">
        <w:rPr>
          <w:rFonts w:eastAsia="Times New Roman" w:cs="Arial"/>
          <w:snapToGrid w:val="0"/>
          <w:szCs w:val="24"/>
        </w:rPr>
        <w:t xml:space="preserve">Based the number of </w:t>
      </w:r>
      <w:proofErr w:type="spellStart"/>
      <w:r w:rsidRPr="00276BCA">
        <w:rPr>
          <w:rFonts w:eastAsia="Times New Roman" w:cs="Arial"/>
          <w:snapToGrid w:val="0"/>
          <w:szCs w:val="24"/>
        </w:rPr>
        <w:t>zolbetuximab</w:t>
      </w:r>
      <w:proofErr w:type="spellEnd"/>
      <w:r w:rsidRPr="00276BCA">
        <w:rPr>
          <w:rFonts w:eastAsia="Times New Roman" w:cs="Arial"/>
          <w:snapToGrid w:val="0"/>
          <w:szCs w:val="24"/>
        </w:rPr>
        <w:t xml:space="preserve"> vials on a body surface area of 1.8m</w:t>
      </w:r>
      <w:r w:rsidRPr="00276BCA">
        <w:rPr>
          <w:rFonts w:eastAsia="Times New Roman" w:cs="Arial"/>
          <w:snapToGrid w:val="0"/>
          <w:szCs w:val="24"/>
          <w:vertAlign w:val="superscript"/>
        </w:rPr>
        <w:t>2</w:t>
      </w:r>
      <w:r w:rsidRPr="00276BCA">
        <w:rPr>
          <w:rFonts w:eastAsia="Times New Roman" w:cs="Arial"/>
          <w:snapToGrid w:val="0"/>
          <w:szCs w:val="24"/>
        </w:rPr>
        <w:t xml:space="preserve"> with no rounding down of vial numbers (as requested in paragraph</w:t>
      </w:r>
      <w:r w:rsidR="00A907D4">
        <w:rPr>
          <w:rFonts w:eastAsia="Times New Roman" w:cs="Arial"/>
          <w:snapToGrid w:val="0"/>
          <w:szCs w:val="24"/>
        </w:rPr>
        <w:t xml:space="preserve"> </w:t>
      </w:r>
      <w:proofErr w:type="gramStart"/>
      <w:r w:rsidR="00A907D4">
        <w:rPr>
          <w:rFonts w:eastAsia="Times New Roman" w:cs="Arial"/>
          <w:snapToGrid w:val="0"/>
          <w:szCs w:val="24"/>
        </w:rPr>
        <w:fldChar w:fldCharType="begin"/>
      </w:r>
      <w:r w:rsidR="00A907D4">
        <w:rPr>
          <w:rFonts w:eastAsia="Times New Roman" w:cs="Arial"/>
          <w:snapToGrid w:val="0"/>
          <w:szCs w:val="24"/>
        </w:rPr>
        <w:instrText xml:space="preserve"> REF _Ref217295279 \r \h </w:instrText>
      </w:r>
      <w:r w:rsidR="00A907D4">
        <w:rPr>
          <w:rFonts w:eastAsia="Times New Roman" w:cs="Arial"/>
          <w:snapToGrid w:val="0"/>
          <w:szCs w:val="24"/>
        </w:rPr>
      </w:r>
      <w:r w:rsidR="00A907D4">
        <w:rPr>
          <w:rFonts w:eastAsia="Times New Roman" w:cs="Arial"/>
          <w:snapToGrid w:val="0"/>
          <w:szCs w:val="24"/>
        </w:rPr>
        <w:fldChar w:fldCharType="separate"/>
      </w:r>
      <w:r w:rsidR="0011458F">
        <w:rPr>
          <w:rFonts w:eastAsia="Times New Roman" w:cs="Arial"/>
          <w:snapToGrid w:val="0"/>
          <w:szCs w:val="24"/>
        </w:rPr>
        <w:t>7.12</w:t>
      </w:r>
      <w:r w:rsidR="00A907D4">
        <w:rPr>
          <w:rFonts w:eastAsia="Times New Roman" w:cs="Arial"/>
          <w:snapToGrid w:val="0"/>
          <w:szCs w:val="24"/>
        </w:rPr>
        <w:fldChar w:fldCharType="end"/>
      </w:r>
      <w:r w:rsidRPr="00276BCA">
        <w:rPr>
          <w:rFonts w:eastAsia="Times New Roman" w:cs="Arial"/>
          <w:snapToGrid w:val="0"/>
          <w:szCs w:val="24"/>
        </w:rPr>
        <w:t>);</w:t>
      </w:r>
      <w:proofErr w:type="gramEnd"/>
    </w:p>
    <w:p w14:paraId="678AF8DD" w14:textId="63351366" w:rsidR="00425894" w:rsidRPr="00276BCA" w:rsidRDefault="00425894" w:rsidP="00425894">
      <w:pPr>
        <w:numPr>
          <w:ilvl w:val="0"/>
          <w:numId w:val="118"/>
        </w:numPr>
        <w:spacing w:after="120"/>
        <w:rPr>
          <w:color w:val="000000" w:themeColor="text1"/>
        </w:rPr>
      </w:pPr>
      <w:r w:rsidRPr="00276BCA">
        <w:rPr>
          <w:color w:val="000000" w:themeColor="text1"/>
        </w:rPr>
        <w:t xml:space="preserve">Removed the cost of the chemotherapy and administration, and relative dose intensity (as requested in paragraph </w:t>
      </w:r>
      <w:r w:rsidR="003962A0">
        <w:rPr>
          <w:color w:val="000000" w:themeColor="text1"/>
        </w:rPr>
        <w:fldChar w:fldCharType="begin"/>
      </w:r>
      <w:r w:rsidR="003962A0">
        <w:rPr>
          <w:color w:val="000000" w:themeColor="text1"/>
        </w:rPr>
        <w:instrText xml:space="preserve"> REF _Ref217295306 \r \h </w:instrText>
      </w:r>
      <w:r w:rsidR="003962A0">
        <w:rPr>
          <w:color w:val="000000" w:themeColor="text1"/>
        </w:rPr>
      </w:r>
      <w:r w:rsidR="003962A0">
        <w:rPr>
          <w:color w:val="000000" w:themeColor="text1"/>
        </w:rPr>
        <w:fldChar w:fldCharType="separate"/>
      </w:r>
      <w:r w:rsidR="0011458F">
        <w:rPr>
          <w:color w:val="000000" w:themeColor="text1"/>
        </w:rPr>
        <w:t>7.10</w:t>
      </w:r>
      <w:r w:rsidR="003962A0">
        <w:rPr>
          <w:color w:val="000000" w:themeColor="text1"/>
        </w:rPr>
        <w:fldChar w:fldCharType="end"/>
      </w:r>
      <w:r w:rsidRPr="00276BCA">
        <w:rPr>
          <w:color w:val="000000" w:themeColor="text1"/>
        </w:rPr>
        <w:fldChar w:fldCharType="begin"/>
      </w:r>
      <w:r w:rsidRPr="00276BCA">
        <w:rPr>
          <w:color w:val="000000" w:themeColor="text1"/>
        </w:rPr>
        <w:instrText xml:space="preserve"> REF _Ref208261686 \r \h </w:instrText>
      </w:r>
      <w:r w:rsidR="00325150" w:rsidRPr="00EE1146">
        <w:rPr>
          <w:color w:val="000000" w:themeColor="text1"/>
        </w:rPr>
        <w:instrText xml:space="preserve"> \* MERGEFORMAT </w:instrText>
      </w:r>
      <w:r w:rsidRPr="00276BCA">
        <w:rPr>
          <w:color w:val="000000" w:themeColor="text1"/>
        </w:rPr>
        <w:fldChar w:fldCharType="separate"/>
      </w:r>
      <w:r w:rsidR="0011458F">
        <w:rPr>
          <w:b/>
          <w:bCs/>
          <w:color w:val="000000" w:themeColor="text1"/>
          <w:lang w:val="en-GB"/>
        </w:rPr>
        <w:t>Error! Reference source not found.</w:t>
      </w:r>
      <w:r w:rsidRPr="00276BCA">
        <w:rPr>
          <w:color w:val="000000" w:themeColor="text1"/>
        </w:rPr>
        <w:fldChar w:fldCharType="end"/>
      </w:r>
      <w:r w:rsidRPr="00276BCA">
        <w:rPr>
          <w:color w:val="000000" w:themeColor="text1"/>
        </w:rPr>
        <w:t>); and</w:t>
      </w:r>
    </w:p>
    <w:p w14:paraId="597A2CE5" w14:textId="62C1A0E1" w:rsidR="00425894" w:rsidRPr="00276BCA" w:rsidRDefault="00425894" w:rsidP="00425894">
      <w:pPr>
        <w:numPr>
          <w:ilvl w:val="0"/>
          <w:numId w:val="117"/>
        </w:numPr>
        <w:spacing w:before="0" w:after="120"/>
        <w:rPr>
          <w:rFonts w:eastAsia="Times New Roman" w:cs="Arial"/>
          <w:snapToGrid w:val="0"/>
          <w:szCs w:val="24"/>
        </w:rPr>
      </w:pPr>
      <w:r w:rsidRPr="00276BCA">
        <w:rPr>
          <w:rFonts w:eastAsia="Times New Roman" w:cs="Arial"/>
          <w:snapToGrid w:val="0"/>
          <w:szCs w:val="24"/>
        </w:rPr>
        <w:t>Included the cost of CLDN18 testing assuming 2+ expression in 38.38% (as requested in paragraph</w:t>
      </w:r>
      <w:r w:rsidR="003962A0">
        <w:rPr>
          <w:rFonts w:eastAsia="Times New Roman" w:cs="Arial"/>
          <w:snapToGrid w:val="0"/>
          <w:szCs w:val="24"/>
        </w:rPr>
        <w:t xml:space="preserve"> </w:t>
      </w:r>
      <w:r w:rsidR="003962A0">
        <w:rPr>
          <w:rFonts w:eastAsia="Times New Roman" w:cs="Arial"/>
          <w:snapToGrid w:val="0"/>
          <w:szCs w:val="24"/>
        </w:rPr>
        <w:fldChar w:fldCharType="begin"/>
      </w:r>
      <w:r w:rsidR="003962A0">
        <w:rPr>
          <w:rFonts w:eastAsia="Times New Roman" w:cs="Arial"/>
          <w:snapToGrid w:val="0"/>
          <w:szCs w:val="24"/>
        </w:rPr>
        <w:instrText xml:space="preserve"> REF _Ref217295279 \r \h </w:instrText>
      </w:r>
      <w:r w:rsidR="003962A0">
        <w:rPr>
          <w:rFonts w:eastAsia="Times New Roman" w:cs="Arial"/>
          <w:snapToGrid w:val="0"/>
          <w:szCs w:val="24"/>
        </w:rPr>
      </w:r>
      <w:r w:rsidR="003962A0">
        <w:rPr>
          <w:rFonts w:eastAsia="Times New Roman" w:cs="Arial"/>
          <w:snapToGrid w:val="0"/>
          <w:szCs w:val="24"/>
        </w:rPr>
        <w:fldChar w:fldCharType="separate"/>
      </w:r>
      <w:r w:rsidR="0011458F">
        <w:rPr>
          <w:rFonts w:eastAsia="Times New Roman" w:cs="Arial"/>
          <w:snapToGrid w:val="0"/>
          <w:szCs w:val="24"/>
        </w:rPr>
        <w:t>7.12</w:t>
      </w:r>
      <w:r w:rsidR="003962A0">
        <w:rPr>
          <w:rFonts w:eastAsia="Times New Roman" w:cs="Arial"/>
          <w:snapToGrid w:val="0"/>
          <w:szCs w:val="24"/>
        </w:rPr>
        <w:fldChar w:fldCharType="end"/>
      </w:r>
      <w:r w:rsidRPr="00276BCA">
        <w:rPr>
          <w:rFonts w:eastAsia="Times New Roman" w:cs="Arial"/>
          <w:snapToGrid w:val="0"/>
          <w:szCs w:val="24"/>
        </w:rPr>
        <w:t>) of patients and a cost per test of $112.</w:t>
      </w:r>
    </w:p>
    <w:p w14:paraId="3F193BA3" w14:textId="42CE4006" w:rsidR="00425894" w:rsidRPr="00276BCA" w:rsidRDefault="00425894" w:rsidP="00425894">
      <w:pPr>
        <w:numPr>
          <w:ilvl w:val="4"/>
          <w:numId w:val="8"/>
        </w:numPr>
        <w:spacing w:after="120"/>
        <w:rPr>
          <w:color w:val="000000" w:themeColor="text1"/>
        </w:rPr>
      </w:pPr>
      <w:bookmarkStart w:id="96" w:name="_Ref208820440"/>
      <w:r w:rsidRPr="00276BCA">
        <w:rPr>
          <w:color w:val="000000" w:themeColor="text1"/>
        </w:rPr>
        <w:t xml:space="preserve">The CMA did not reduce the cost per patient by </w:t>
      </w:r>
      <w:r w:rsidR="00FC56D6" w:rsidRPr="00563DD5">
        <w:rPr>
          <w:color w:val="000000" w:themeColor="text1"/>
          <w:w w:val="61"/>
          <w:shd w:val="solid" w:color="000000" w:fill="000000"/>
          <w:fitText w:val="475" w:id="-606382848"/>
          <w14:textFill>
            <w14:solidFill>
              <w14:schemeClr w14:val="tx1">
                <w14:alpha w14:val="100000"/>
              </w14:schemeClr>
            </w14:solidFill>
          </w14:textFill>
        </w:rPr>
        <w:t>||</w:t>
      </w:r>
      <w:proofErr w:type="gramStart"/>
      <w:r w:rsidR="00FC56D6" w:rsidRPr="00563DD5">
        <w:rPr>
          <w:color w:val="000000" w:themeColor="text1"/>
          <w:w w:val="61"/>
          <w:shd w:val="solid" w:color="000000" w:fill="000000"/>
          <w:fitText w:val="475" w:id="-606382848"/>
          <w14:textFill>
            <w14:solidFill>
              <w14:schemeClr w14:val="tx1">
                <w14:alpha w14:val="100000"/>
              </w14:schemeClr>
            </w14:solidFill>
          </w14:textFill>
        </w:rPr>
        <w:t>|  |</w:t>
      </w:r>
      <w:proofErr w:type="gramEnd"/>
      <w:r w:rsidR="00FC56D6" w:rsidRPr="00563DD5">
        <w:rPr>
          <w:color w:val="000000" w:themeColor="text1"/>
          <w:w w:val="61"/>
          <w:shd w:val="solid" w:color="000000" w:fill="000000"/>
          <w:fitText w:val="475" w:id="-606382848"/>
          <w14:textFill>
            <w14:solidFill>
              <w14:schemeClr w14:val="tx1">
                <w14:alpha w14:val="100000"/>
              </w14:schemeClr>
            </w14:solidFill>
          </w14:textFill>
        </w:rPr>
        <w:t>|</w:t>
      </w:r>
      <w:r w:rsidR="00FC56D6" w:rsidRPr="00563DD5">
        <w:rPr>
          <w:color w:val="000000" w:themeColor="text1"/>
          <w:spacing w:val="5"/>
          <w:w w:val="61"/>
          <w:shd w:val="solid" w:color="000000" w:fill="000000"/>
          <w:fitText w:val="475" w:id="-606382848"/>
          <w14:textFill>
            <w14:solidFill>
              <w14:schemeClr w14:val="tx1">
                <w14:alpha w14:val="100000"/>
              </w14:schemeClr>
            </w14:solidFill>
          </w14:textFill>
        </w:rPr>
        <w:t>|</w:t>
      </w:r>
      <w:r w:rsidRPr="00276BCA">
        <w:rPr>
          <w:color w:val="000000" w:themeColor="text1"/>
        </w:rPr>
        <w:t xml:space="preserve">% to account for additional gastrointestinal adverse events (AEs) associated with </w:t>
      </w:r>
      <w:proofErr w:type="spellStart"/>
      <w:r w:rsidRPr="00276BCA">
        <w:rPr>
          <w:color w:val="000000" w:themeColor="text1"/>
        </w:rPr>
        <w:t>zolbetuximab</w:t>
      </w:r>
      <w:proofErr w:type="spellEnd"/>
      <w:r w:rsidRPr="00276BCA">
        <w:rPr>
          <w:color w:val="000000" w:themeColor="text1"/>
        </w:rPr>
        <w:t xml:space="preserve"> (as requested in paragraph </w:t>
      </w:r>
      <w:r w:rsidRPr="00276BCA">
        <w:rPr>
          <w:color w:val="000000" w:themeColor="text1"/>
        </w:rPr>
        <w:fldChar w:fldCharType="begin"/>
      </w:r>
      <w:r w:rsidRPr="00276BCA">
        <w:rPr>
          <w:color w:val="000000" w:themeColor="text1"/>
        </w:rPr>
        <w:instrText xml:space="preserve"> REF _Ref195695288 \r \h  \* MERGEFORMAT </w:instrText>
      </w:r>
      <w:r w:rsidRPr="00276BCA">
        <w:rPr>
          <w:color w:val="000000" w:themeColor="text1"/>
        </w:rPr>
      </w:r>
      <w:r w:rsidRPr="00276BCA">
        <w:rPr>
          <w:color w:val="000000" w:themeColor="text1"/>
        </w:rPr>
        <w:fldChar w:fldCharType="separate"/>
      </w:r>
      <w:r w:rsidR="0011458F">
        <w:rPr>
          <w:color w:val="000000" w:themeColor="text1"/>
        </w:rPr>
        <w:t>7.13</w:t>
      </w:r>
      <w:r w:rsidRPr="00276BCA">
        <w:rPr>
          <w:color w:val="000000" w:themeColor="text1"/>
        </w:rPr>
        <w:fldChar w:fldCharType="end"/>
      </w:r>
      <w:r w:rsidRPr="00276BCA">
        <w:rPr>
          <w:color w:val="000000" w:themeColor="text1"/>
        </w:rPr>
        <w:t xml:space="preserve">).  The proposal stated </w:t>
      </w:r>
      <w:proofErr w:type="spellStart"/>
      <w:r w:rsidRPr="00276BCA">
        <w:rPr>
          <w:color w:val="000000" w:themeColor="text1"/>
        </w:rPr>
        <w:t>zolbetuximab</w:t>
      </w:r>
      <w:proofErr w:type="spellEnd"/>
      <w:r w:rsidRPr="00276BCA">
        <w:rPr>
          <w:color w:val="000000" w:themeColor="text1"/>
        </w:rPr>
        <w:t xml:space="preserve"> and nivolumab have similar rates of Grade ≥ 3 AE, but the type of AEs differed due to the different mechanisms of action. The proposal noted AEs for </w:t>
      </w:r>
      <w:proofErr w:type="spellStart"/>
      <w:r w:rsidRPr="00276BCA">
        <w:rPr>
          <w:color w:val="000000" w:themeColor="text1"/>
        </w:rPr>
        <w:t>zolbetuximab</w:t>
      </w:r>
      <w:proofErr w:type="spellEnd"/>
      <w:r w:rsidRPr="00276BCA">
        <w:rPr>
          <w:color w:val="000000" w:themeColor="text1"/>
        </w:rPr>
        <w:t xml:space="preserve"> are more often related to infusion reactions and gastrointestinal symptoms, and AEs for nivolumab are more often associated with immune-related reactions affecting multiple organs. The proposal argued that both treatments have manageable but significant AE rates and a different cost per patient did not seem warranted.</w:t>
      </w:r>
      <w:bookmarkEnd w:id="96"/>
    </w:p>
    <w:p w14:paraId="4611AC03" w14:textId="77777777" w:rsidR="00425894" w:rsidRPr="00276BCA" w:rsidRDefault="00425894" w:rsidP="00425894">
      <w:pPr>
        <w:numPr>
          <w:ilvl w:val="4"/>
          <w:numId w:val="8"/>
        </w:numPr>
        <w:spacing w:after="120"/>
        <w:rPr>
          <w:color w:val="000000" w:themeColor="text1"/>
        </w:rPr>
      </w:pPr>
      <w:r w:rsidRPr="00276BCA">
        <w:rPr>
          <w:color w:val="000000" w:themeColor="text1"/>
        </w:rPr>
        <w:t xml:space="preserve">The CMA presented in the proposal (using the published ex-manufacturer price of nivolumab) is summarised in the table below. </w:t>
      </w:r>
    </w:p>
    <w:p w14:paraId="2F00DA17" w14:textId="2FAEA7C0" w:rsidR="00425894" w:rsidRPr="00276BCA" w:rsidRDefault="00425894" w:rsidP="00425894">
      <w:pPr>
        <w:keepNext/>
        <w:tabs>
          <w:tab w:val="left" w:pos="709"/>
        </w:tabs>
        <w:spacing w:after="0" w:line="259" w:lineRule="auto"/>
        <w:contextualSpacing/>
        <w:jc w:val="left"/>
        <w:rPr>
          <w:rFonts w:ascii="Arial Narrow" w:hAnsi="Arial Narrow"/>
          <w:b/>
          <w:iCs/>
          <w:sz w:val="20"/>
          <w:szCs w:val="18"/>
        </w:rPr>
      </w:pPr>
      <w:r w:rsidRPr="00276BCA">
        <w:rPr>
          <w:rFonts w:ascii="Arial Narrow" w:hAnsi="Arial Narrow"/>
          <w:b/>
          <w:iCs/>
          <w:sz w:val="20"/>
          <w:szCs w:val="18"/>
        </w:rPr>
        <w:lastRenderedPageBreak/>
        <w:t xml:space="preserve">Table </w:t>
      </w:r>
      <w:r w:rsidRPr="00276BCA">
        <w:rPr>
          <w:rFonts w:ascii="Arial Narrow" w:hAnsi="Arial Narrow"/>
          <w:b/>
          <w:iCs/>
          <w:sz w:val="20"/>
          <w:szCs w:val="18"/>
        </w:rPr>
        <w:fldChar w:fldCharType="begin"/>
      </w:r>
      <w:r w:rsidRPr="00276BCA">
        <w:rPr>
          <w:rFonts w:ascii="Arial Narrow" w:hAnsi="Arial Narrow"/>
          <w:b/>
          <w:iCs/>
          <w:sz w:val="20"/>
          <w:szCs w:val="18"/>
        </w:rPr>
        <w:instrText xml:space="preserve"> SEQ Table_PBAC. \* ARABIC </w:instrText>
      </w:r>
      <w:r w:rsidRPr="00276BCA">
        <w:rPr>
          <w:rFonts w:ascii="Arial Narrow" w:hAnsi="Arial Narrow"/>
          <w:b/>
          <w:iCs/>
          <w:sz w:val="20"/>
          <w:szCs w:val="18"/>
        </w:rPr>
        <w:fldChar w:fldCharType="separate"/>
      </w:r>
      <w:r w:rsidR="0011458F">
        <w:rPr>
          <w:rFonts w:ascii="Arial Narrow" w:hAnsi="Arial Narrow"/>
          <w:b/>
          <w:iCs/>
          <w:noProof/>
          <w:sz w:val="20"/>
          <w:szCs w:val="18"/>
        </w:rPr>
        <w:t>17</w:t>
      </w:r>
      <w:r w:rsidRPr="00276BCA">
        <w:rPr>
          <w:rFonts w:ascii="Arial Narrow" w:hAnsi="Arial Narrow"/>
          <w:b/>
          <w:iCs/>
          <w:sz w:val="20"/>
          <w:szCs w:val="18"/>
        </w:rPr>
        <w:fldChar w:fldCharType="end"/>
      </w:r>
      <w:r w:rsidRPr="00276BCA">
        <w:rPr>
          <w:rFonts w:ascii="Arial Narrow" w:hAnsi="Arial Narrow"/>
          <w:b/>
          <w:iCs/>
          <w:sz w:val="20"/>
          <w:szCs w:val="18"/>
        </w:rPr>
        <w:t>: Cost-minimisation approach as presented in the proposal</w:t>
      </w:r>
    </w:p>
    <w:tbl>
      <w:tblPr>
        <w:tblStyle w:val="ASDTable1"/>
        <w:tblW w:w="0" w:type="auto"/>
        <w:tblLook w:val="04A0" w:firstRow="1" w:lastRow="0" w:firstColumn="1" w:lastColumn="0" w:noHBand="0" w:noVBand="1"/>
        <w:tblCaption w:val="Cost-minimisation approach as presented in the proposal"/>
      </w:tblPr>
      <w:tblGrid>
        <w:gridCol w:w="3539"/>
        <w:gridCol w:w="1985"/>
        <w:gridCol w:w="1842"/>
        <w:gridCol w:w="1650"/>
      </w:tblGrid>
      <w:tr w:rsidR="00425894" w:rsidRPr="00276BCA" w14:paraId="37E29AEB" w14:textId="77777777" w:rsidTr="00E858DF">
        <w:tc>
          <w:tcPr>
            <w:tcW w:w="3539" w:type="dxa"/>
          </w:tcPr>
          <w:p w14:paraId="4EBB6684" w14:textId="77777777" w:rsidR="00425894" w:rsidRPr="00276BCA" w:rsidRDefault="00425894" w:rsidP="00425894">
            <w:pPr>
              <w:keepNext/>
              <w:keepLines/>
              <w:spacing w:before="0"/>
              <w:rPr>
                <w:rFonts w:ascii="Arial Narrow" w:hAnsi="Arial Narrow"/>
                <w:sz w:val="20"/>
                <w:lang w:eastAsia="en-US"/>
              </w:rPr>
            </w:pPr>
          </w:p>
        </w:tc>
        <w:tc>
          <w:tcPr>
            <w:tcW w:w="1985" w:type="dxa"/>
          </w:tcPr>
          <w:p w14:paraId="0658BEB5" w14:textId="77777777" w:rsidR="00425894" w:rsidRPr="00276BCA" w:rsidRDefault="00425894" w:rsidP="00425894">
            <w:pPr>
              <w:keepNext/>
              <w:keepLines/>
              <w:spacing w:before="0"/>
              <w:rPr>
                <w:rFonts w:ascii="Arial Narrow" w:hAnsi="Arial Narrow"/>
                <w:b/>
                <w:bCs/>
                <w:sz w:val="20"/>
                <w:lang w:eastAsia="en-US"/>
              </w:rPr>
            </w:pPr>
            <w:r w:rsidRPr="00276BCA">
              <w:rPr>
                <w:rFonts w:ascii="Arial Narrow" w:hAnsi="Arial Narrow"/>
                <w:b/>
                <w:bCs/>
                <w:sz w:val="20"/>
                <w:lang w:eastAsia="en-US"/>
              </w:rPr>
              <w:t>Vials per dose</w:t>
            </w:r>
          </w:p>
        </w:tc>
        <w:tc>
          <w:tcPr>
            <w:tcW w:w="1842" w:type="dxa"/>
          </w:tcPr>
          <w:p w14:paraId="1598D6AF" w14:textId="77777777" w:rsidR="00425894" w:rsidRPr="00276BCA" w:rsidRDefault="00425894" w:rsidP="00425894">
            <w:pPr>
              <w:keepNext/>
              <w:keepLines/>
              <w:spacing w:before="0"/>
              <w:rPr>
                <w:rFonts w:ascii="Arial Narrow" w:hAnsi="Arial Narrow"/>
                <w:b/>
                <w:bCs/>
                <w:sz w:val="20"/>
                <w:lang w:eastAsia="en-US"/>
              </w:rPr>
            </w:pPr>
            <w:r w:rsidRPr="00276BCA">
              <w:rPr>
                <w:rFonts w:ascii="Arial Narrow" w:hAnsi="Arial Narrow"/>
                <w:b/>
                <w:bCs/>
                <w:sz w:val="20"/>
                <w:lang w:eastAsia="en-US"/>
              </w:rPr>
              <w:t>Number of doses</w:t>
            </w:r>
          </w:p>
        </w:tc>
        <w:tc>
          <w:tcPr>
            <w:tcW w:w="1650" w:type="dxa"/>
          </w:tcPr>
          <w:p w14:paraId="2370C281"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b/>
                <w:bCs/>
                <w:sz w:val="20"/>
                <w:lang w:eastAsia="en-US"/>
              </w:rPr>
              <w:t>Cost per patient</w:t>
            </w:r>
          </w:p>
        </w:tc>
      </w:tr>
      <w:tr w:rsidR="00425894" w:rsidRPr="00276BCA" w14:paraId="2D07CA52" w14:textId="77777777" w:rsidTr="00E858DF">
        <w:tc>
          <w:tcPr>
            <w:tcW w:w="9016" w:type="dxa"/>
            <w:gridSpan w:val="4"/>
          </w:tcPr>
          <w:p w14:paraId="0B5DEADD"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b/>
                <w:bCs/>
                <w:sz w:val="20"/>
                <w:lang w:eastAsia="en-US"/>
              </w:rPr>
              <w:t>With CAPOX, every 3 weeks (50% use)</w:t>
            </w:r>
          </w:p>
        </w:tc>
      </w:tr>
      <w:tr w:rsidR="00425894" w:rsidRPr="00276BCA" w14:paraId="50A03655" w14:textId="77777777" w:rsidTr="00E858DF">
        <w:trPr>
          <w:trHeight w:val="688"/>
        </w:trPr>
        <w:tc>
          <w:tcPr>
            <w:tcW w:w="3539" w:type="dxa"/>
          </w:tcPr>
          <w:p w14:paraId="1EE981CF" w14:textId="77777777" w:rsidR="00425894" w:rsidRPr="00276BCA" w:rsidRDefault="00425894" w:rsidP="00425894">
            <w:pPr>
              <w:keepNext/>
              <w:keepLines/>
              <w:spacing w:before="0"/>
              <w:rPr>
                <w:rFonts w:ascii="Arial Narrow" w:hAnsi="Arial Narrow"/>
                <w:sz w:val="20"/>
                <w:lang w:eastAsia="en-US"/>
              </w:rPr>
            </w:pPr>
            <w:proofErr w:type="spellStart"/>
            <w:r w:rsidRPr="00276BCA">
              <w:rPr>
                <w:rFonts w:ascii="Arial Narrow" w:hAnsi="Arial Narrow"/>
                <w:sz w:val="20"/>
                <w:lang w:eastAsia="en-US"/>
              </w:rPr>
              <w:t>Zolbetuximab</w:t>
            </w:r>
            <w:proofErr w:type="spellEnd"/>
            <w:r w:rsidRPr="00276BCA">
              <w:rPr>
                <w:rFonts w:ascii="Arial Narrow" w:hAnsi="Arial Narrow"/>
                <w:sz w:val="20"/>
                <w:lang w:eastAsia="en-US"/>
              </w:rPr>
              <w:t xml:space="preserve"> </w:t>
            </w:r>
            <w:r w:rsidRPr="00276BCA">
              <w:rPr>
                <w:rFonts w:ascii="Arial Narrow" w:hAnsi="Arial Narrow"/>
                <w:sz w:val="20"/>
              </w:rPr>
              <w:t>($594.85</w:t>
            </w:r>
            <w:r w:rsidRPr="00276BCA">
              <w:rPr>
                <w:rFonts w:ascii="Arial Narrow" w:hAnsi="Arial Narrow"/>
                <w:sz w:val="20"/>
                <w:lang w:eastAsia="en-US"/>
              </w:rPr>
              <w:t xml:space="preserve"> per 100 mg vial)</w:t>
            </w:r>
          </w:p>
          <w:p w14:paraId="7F25A9C1"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sz w:val="20"/>
                <w:lang w:eastAsia="en-US"/>
              </w:rPr>
              <w:t>Loading dose (800 mg/m</w:t>
            </w:r>
            <w:r w:rsidRPr="00276BCA">
              <w:rPr>
                <w:rFonts w:ascii="Arial Narrow" w:hAnsi="Arial Narrow"/>
                <w:sz w:val="20"/>
                <w:vertAlign w:val="superscript"/>
                <w:lang w:eastAsia="en-US"/>
              </w:rPr>
              <w:t>2</w:t>
            </w:r>
            <w:r w:rsidRPr="00276BCA">
              <w:rPr>
                <w:rFonts w:ascii="Arial Narrow" w:hAnsi="Arial Narrow"/>
                <w:sz w:val="20"/>
                <w:lang w:eastAsia="en-US"/>
              </w:rPr>
              <w:t>)</w:t>
            </w:r>
          </w:p>
          <w:p w14:paraId="62EE3CDC"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sz w:val="20"/>
                <w:lang w:eastAsia="en-US"/>
              </w:rPr>
              <w:t>Maintenance dose (600 mg/m</w:t>
            </w:r>
            <w:r w:rsidRPr="00276BCA">
              <w:rPr>
                <w:rFonts w:ascii="Arial Narrow" w:hAnsi="Arial Narrow"/>
                <w:sz w:val="20"/>
                <w:vertAlign w:val="superscript"/>
                <w:lang w:eastAsia="en-US"/>
              </w:rPr>
              <w:t>2</w:t>
            </w:r>
            <w:r w:rsidRPr="00276BCA">
              <w:rPr>
                <w:rFonts w:ascii="Arial Narrow" w:hAnsi="Arial Narrow"/>
                <w:sz w:val="20"/>
                <w:lang w:eastAsia="en-US"/>
              </w:rPr>
              <w:t>)</w:t>
            </w:r>
          </w:p>
        </w:tc>
        <w:tc>
          <w:tcPr>
            <w:tcW w:w="1985" w:type="dxa"/>
          </w:tcPr>
          <w:p w14:paraId="68A1A58D" w14:textId="77777777" w:rsidR="00425894" w:rsidRPr="00276BCA" w:rsidRDefault="00425894" w:rsidP="00425894">
            <w:pPr>
              <w:keepNext/>
              <w:keepLines/>
              <w:spacing w:before="0"/>
              <w:rPr>
                <w:rFonts w:ascii="Arial Narrow" w:hAnsi="Arial Narrow"/>
                <w:sz w:val="20"/>
                <w:lang w:eastAsia="en-US"/>
              </w:rPr>
            </w:pPr>
          </w:p>
          <w:p w14:paraId="1C590610"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sz w:val="20"/>
                <w:lang w:eastAsia="en-US"/>
              </w:rPr>
              <w:t>15 x 100 mg</w:t>
            </w:r>
          </w:p>
          <w:p w14:paraId="1E4A669C" w14:textId="77777777" w:rsidR="00425894" w:rsidRPr="00276BCA" w:rsidRDefault="00425894" w:rsidP="00425894">
            <w:pPr>
              <w:keepNext/>
              <w:keepLines/>
              <w:spacing w:before="0"/>
              <w:rPr>
                <w:rFonts w:ascii="Arial Narrow" w:hAnsi="Arial Narrow"/>
                <w:sz w:val="20"/>
              </w:rPr>
            </w:pPr>
            <w:r w:rsidRPr="00276BCA">
              <w:rPr>
                <w:rFonts w:ascii="Arial Narrow" w:hAnsi="Arial Narrow"/>
                <w:sz w:val="20"/>
                <w:lang w:eastAsia="en-US"/>
              </w:rPr>
              <w:t xml:space="preserve">11 x 100 mg </w:t>
            </w:r>
          </w:p>
        </w:tc>
        <w:tc>
          <w:tcPr>
            <w:tcW w:w="1842" w:type="dxa"/>
          </w:tcPr>
          <w:p w14:paraId="274F3D80" w14:textId="77777777" w:rsidR="00425894" w:rsidRPr="00276BCA" w:rsidRDefault="00425894" w:rsidP="00425894">
            <w:pPr>
              <w:keepNext/>
              <w:keepLines/>
              <w:spacing w:before="0"/>
              <w:rPr>
                <w:rFonts w:ascii="Arial Narrow" w:hAnsi="Arial Narrow"/>
                <w:sz w:val="20"/>
                <w:lang w:eastAsia="en-US"/>
              </w:rPr>
            </w:pPr>
          </w:p>
          <w:p w14:paraId="25F70E46"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sz w:val="20"/>
              </w:rPr>
              <w:t>1</w:t>
            </w:r>
          </w:p>
          <w:p w14:paraId="11EB64CE" w14:textId="77777777" w:rsidR="00425894" w:rsidRPr="00276BCA" w:rsidRDefault="00425894" w:rsidP="00425894">
            <w:pPr>
              <w:keepNext/>
              <w:keepLines/>
              <w:spacing w:before="0"/>
              <w:rPr>
                <w:rFonts w:ascii="Arial Narrow" w:hAnsi="Arial Narrow"/>
                <w:sz w:val="20"/>
              </w:rPr>
            </w:pPr>
            <w:r w:rsidRPr="00276BCA">
              <w:rPr>
                <w:rFonts w:ascii="Arial Narrow" w:hAnsi="Arial Narrow"/>
                <w:sz w:val="20"/>
              </w:rPr>
              <w:t>12.61</w:t>
            </w:r>
          </w:p>
        </w:tc>
        <w:tc>
          <w:tcPr>
            <w:tcW w:w="1650" w:type="dxa"/>
          </w:tcPr>
          <w:p w14:paraId="0E86F05B" w14:textId="77777777" w:rsidR="00425894" w:rsidRPr="00276BCA" w:rsidRDefault="00425894" w:rsidP="00425894">
            <w:pPr>
              <w:keepNext/>
              <w:keepLines/>
              <w:spacing w:before="0"/>
              <w:rPr>
                <w:rFonts w:ascii="Arial Narrow" w:hAnsi="Arial Narrow"/>
                <w:sz w:val="20"/>
                <w:lang w:eastAsia="en-US"/>
              </w:rPr>
            </w:pPr>
          </w:p>
          <w:p w14:paraId="69BF8B67" w14:textId="77777777" w:rsidR="00425894" w:rsidRPr="00276BCA" w:rsidRDefault="00425894" w:rsidP="00425894">
            <w:pPr>
              <w:keepNext/>
              <w:keepLines/>
              <w:spacing w:before="0"/>
              <w:rPr>
                <w:rFonts w:ascii="Arial Narrow" w:hAnsi="Arial Narrow"/>
                <w:sz w:val="20"/>
                <w:lang w:eastAsia="en-US"/>
              </w:rPr>
            </w:pPr>
          </w:p>
          <w:p w14:paraId="7453DF08" w14:textId="77777777" w:rsidR="00425894" w:rsidRPr="00276BCA" w:rsidRDefault="00425894" w:rsidP="00425894">
            <w:pPr>
              <w:keepNext/>
              <w:keepLines/>
              <w:spacing w:before="0"/>
              <w:rPr>
                <w:rFonts w:ascii="Arial Narrow" w:hAnsi="Arial Narrow"/>
                <w:sz w:val="20"/>
              </w:rPr>
            </w:pPr>
            <w:r w:rsidRPr="00276BCA">
              <w:rPr>
                <w:rFonts w:ascii="Arial Narrow" w:hAnsi="Arial Narrow"/>
                <w:sz w:val="20"/>
              </w:rPr>
              <w:t>$91,433</w:t>
            </w:r>
          </w:p>
        </w:tc>
      </w:tr>
      <w:tr w:rsidR="00425894" w:rsidRPr="00276BCA" w14:paraId="72E71462" w14:textId="77777777" w:rsidTr="00E858DF">
        <w:tc>
          <w:tcPr>
            <w:tcW w:w="3539" w:type="dxa"/>
          </w:tcPr>
          <w:p w14:paraId="2D51419B"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sz w:val="20"/>
                <w:lang w:eastAsia="en-US"/>
              </w:rPr>
              <w:t>Nivolumab (360 mg)</w:t>
            </w:r>
          </w:p>
        </w:tc>
        <w:tc>
          <w:tcPr>
            <w:tcW w:w="1985" w:type="dxa"/>
          </w:tcPr>
          <w:p w14:paraId="214EB246"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sz w:val="20"/>
                <w:lang w:eastAsia="en-US"/>
              </w:rPr>
              <w:t>4 x 40 mg + 2 x 100 mg</w:t>
            </w:r>
          </w:p>
        </w:tc>
        <w:tc>
          <w:tcPr>
            <w:tcW w:w="1842" w:type="dxa"/>
          </w:tcPr>
          <w:p w14:paraId="6319EE89"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sz w:val="20"/>
                <w:lang w:eastAsia="en-US"/>
              </w:rPr>
              <w:t>13.61</w:t>
            </w:r>
          </w:p>
        </w:tc>
        <w:tc>
          <w:tcPr>
            <w:tcW w:w="1650" w:type="dxa"/>
          </w:tcPr>
          <w:p w14:paraId="74E0E611"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sz w:val="20"/>
                <w:lang w:eastAsia="en-US"/>
              </w:rPr>
              <w:t>$96,659</w:t>
            </w:r>
          </w:p>
        </w:tc>
      </w:tr>
      <w:tr w:rsidR="00425894" w:rsidRPr="00276BCA" w14:paraId="4922A8BA" w14:textId="77777777" w:rsidTr="00E858DF">
        <w:tc>
          <w:tcPr>
            <w:tcW w:w="9016" w:type="dxa"/>
            <w:gridSpan w:val="4"/>
          </w:tcPr>
          <w:p w14:paraId="2605D755"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b/>
                <w:bCs/>
                <w:sz w:val="20"/>
                <w:lang w:eastAsia="en-US"/>
              </w:rPr>
              <w:t>With mFOLFOX6, every 2 weeks (50% use)</w:t>
            </w:r>
          </w:p>
        </w:tc>
      </w:tr>
      <w:tr w:rsidR="00425894" w:rsidRPr="00276BCA" w14:paraId="61E5DEF1" w14:textId="77777777" w:rsidTr="00E858DF">
        <w:trPr>
          <w:trHeight w:val="688"/>
        </w:trPr>
        <w:tc>
          <w:tcPr>
            <w:tcW w:w="3539" w:type="dxa"/>
          </w:tcPr>
          <w:p w14:paraId="51AFC109" w14:textId="77777777" w:rsidR="00425894" w:rsidRPr="00276BCA" w:rsidRDefault="00425894" w:rsidP="00425894">
            <w:pPr>
              <w:keepNext/>
              <w:keepLines/>
              <w:spacing w:before="0"/>
              <w:rPr>
                <w:rFonts w:ascii="Arial Narrow" w:hAnsi="Arial Narrow"/>
                <w:sz w:val="20"/>
                <w:lang w:eastAsia="en-US"/>
              </w:rPr>
            </w:pPr>
            <w:proofErr w:type="spellStart"/>
            <w:r w:rsidRPr="00276BCA">
              <w:rPr>
                <w:rFonts w:ascii="Arial Narrow" w:hAnsi="Arial Narrow"/>
                <w:sz w:val="20"/>
                <w:lang w:eastAsia="en-US"/>
              </w:rPr>
              <w:t>Zolbetuximab</w:t>
            </w:r>
            <w:proofErr w:type="spellEnd"/>
            <w:r w:rsidRPr="00276BCA">
              <w:rPr>
                <w:rFonts w:ascii="Arial Narrow" w:hAnsi="Arial Narrow"/>
                <w:sz w:val="20"/>
                <w:lang w:eastAsia="en-US"/>
              </w:rPr>
              <w:t xml:space="preserve"> </w:t>
            </w:r>
            <w:r w:rsidRPr="00276BCA">
              <w:rPr>
                <w:rFonts w:ascii="Arial Narrow" w:hAnsi="Arial Narrow"/>
                <w:sz w:val="20"/>
              </w:rPr>
              <w:t>($594.85</w:t>
            </w:r>
            <w:r w:rsidRPr="00276BCA">
              <w:rPr>
                <w:rFonts w:ascii="Arial Narrow" w:hAnsi="Arial Narrow"/>
                <w:sz w:val="20"/>
                <w:lang w:eastAsia="en-US"/>
              </w:rPr>
              <w:t xml:space="preserve"> per 100 mg vial)</w:t>
            </w:r>
          </w:p>
          <w:p w14:paraId="5E8D4B76"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sz w:val="20"/>
                <w:lang w:eastAsia="en-US"/>
              </w:rPr>
              <w:t>Loading dose (800 mg/m</w:t>
            </w:r>
            <w:r w:rsidRPr="00276BCA">
              <w:rPr>
                <w:rFonts w:ascii="Arial Narrow" w:hAnsi="Arial Narrow"/>
                <w:sz w:val="20"/>
                <w:vertAlign w:val="superscript"/>
                <w:lang w:eastAsia="en-US"/>
              </w:rPr>
              <w:t>2</w:t>
            </w:r>
            <w:r w:rsidRPr="00276BCA">
              <w:rPr>
                <w:rFonts w:ascii="Arial Narrow" w:hAnsi="Arial Narrow"/>
                <w:sz w:val="20"/>
                <w:lang w:eastAsia="en-US"/>
              </w:rPr>
              <w:t>)</w:t>
            </w:r>
          </w:p>
          <w:p w14:paraId="6D94DBDC" w14:textId="77777777" w:rsidR="00425894" w:rsidRPr="00276BCA" w:rsidRDefault="00425894" w:rsidP="00425894">
            <w:pPr>
              <w:keepNext/>
              <w:keepLines/>
              <w:spacing w:before="0"/>
              <w:rPr>
                <w:rFonts w:ascii="Arial Narrow" w:hAnsi="Arial Narrow"/>
                <w:b/>
                <w:bCs/>
                <w:sz w:val="20"/>
                <w:lang w:eastAsia="en-US"/>
              </w:rPr>
            </w:pPr>
            <w:r w:rsidRPr="00276BCA">
              <w:rPr>
                <w:rFonts w:ascii="Arial Narrow" w:hAnsi="Arial Narrow"/>
                <w:sz w:val="20"/>
                <w:lang w:eastAsia="en-US"/>
              </w:rPr>
              <w:t>Maintenance dose (400 mg/m</w:t>
            </w:r>
            <w:r w:rsidRPr="00276BCA">
              <w:rPr>
                <w:rFonts w:ascii="Arial Narrow" w:hAnsi="Arial Narrow"/>
                <w:sz w:val="20"/>
                <w:vertAlign w:val="superscript"/>
                <w:lang w:eastAsia="en-US"/>
              </w:rPr>
              <w:t>2</w:t>
            </w:r>
            <w:r w:rsidRPr="00276BCA">
              <w:rPr>
                <w:rFonts w:ascii="Arial Narrow" w:hAnsi="Arial Narrow"/>
                <w:sz w:val="20"/>
                <w:lang w:eastAsia="en-US"/>
              </w:rPr>
              <w:t>)</w:t>
            </w:r>
          </w:p>
        </w:tc>
        <w:tc>
          <w:tcPr>
            <w:tcW w:w="1985" w:type="dxa"/>
          </w:tcPr>
          <w:p w14:paraId="02C379A4" w14:textId="77777777" w:rsidR="00425894" w:rsidRPr="00276BCA" w:rsidRDefault="00425894" w:rsidP="00425894">
            <w:pPr>
              <w:keepNext/>
              <w:keepLines/>
              <w:spacing w:before="0"/>
              <w:rPr>
                <w:rFonts w:ascii="Arial Narrow" w:hAnsi="Arial Narrow"/>
                <w:sz w:val="20"/>
                <w:lang w:eastAsia="en-US"/>
              </w:rPr>
            </w:pPr>
          </w:p>
          <w:p w14:paraId="201E3FA7"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sz w:val="20"/>
                <w:lang w:eastAsia="en-US"/>
              </w:rPr>
              <w:t>15 x 100 mg</w:t>
            </w:r>
          </w:p>
          <w:p w14:paraId="437CB08D"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sz w:val="20"/>
                <w:lang w:eastAsia="en-US"/>
              </w:rPr>
              <w:t>8 x 100 mg</w:t>
            </w:r>
          </w:p>
        </w:tc>
        <w:tc>
          <w:tcPr>
            <w:tcW w:w="1842" w:type="dxa"/>
          </w:tcPr>
          <w:p w14:paraId="218DFB9F" w14:textId="77777777" w:rsidR="00425894" w:rsidRPr="00276BCA" w:rsidRDefault="00425894" w:rsidP="00425894">
            <w:pPr>
              <w:keepNext/>
              <w:keepLines/>
              <w:spacing w:before="0"/>
              <w:rPr>
                <w:rFonts w:ascii="Arial Narrow" w:hAnsi="Arial Narrow"/>
                <w:sz w:val="20"/>
                <w:lang w:eastAsia="en-US"/>
              </w:rPr>
            </w:pPr>
          </w:p>
          <w:p w14:paraId="5EFAD9E7"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sz w:val="20"/>
                <w:lang w:eastAsia="en-US"/>
              </w:rPr>
              <w:t>1</w:t>
            </w:r>
          </w:p>
          <w:p w14:paraId="58865646"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sz w:val="20"/>
                <w:lang w:eastAsia="en-US"/>
              </w:rPr>
              <w:t>18.91</w:t>
            </w:r>
          </w:p>
        </w:tc>
        <w:tc>
          <w:tcPr>
            <w:tcW w:w="1650" w:type="dxa"/>
          </w:tcPr>
          <w:p w14:paraId="34A88FBA" w14:textId="77777777" w:rsidR="00425894" w:rsidRPr="00276BCA" w:rsidRDefault="00425894" w:rsidP="00425894">
            <w:pPr>
              <w:keepNext/>
              <w:keepLines/>
              <w:spacing w:before="0"/>
              <w:rPr>
                <w:rFonts w:ascii="Arial Narrow" w:hAnsi="Arial Narrow"/>
                <w:sz w:val="20"/>
                <w:lang w:eastAsia="en-US"/>
              </w:rPr>
            </w:pPr>
          </w:p>
          <w:p w14:paraId="419E934F" w14:textId="77777777" w:rsidR="00425894" w:rsidRPr="00276BCA" w:rsidRDefault="00425894" w:rsidP="00425894">
            <w:pPr>
              <w:keepNext/>
              <w:keepLines/>
              <w:spacing w:before="0"/>
              <w:rPr>
                <w:rFonts w:ascii="Arial Narrow" w:hAnsi="Arial Narrow"/>
                <w:sz w:val="20"/>
                <w:lang w:eastAsia="en-US"/>
              </w:rPr>
            </w:pPr>
          </w:p>
          <w:p w14:paraId="7B861523"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sz w:val="20"/>
              </w:rPr>
              <w:t>$98,934</w:t>
            </w:r>
          </w:p>
        </w:tc>
      </w:tr>
      <w:tr w:rsidR="00425894" w:rsidRPr="00276BCA" w14:paraId="0C69FE64" w14:textId="77777777" w:rsidTr="00E858DF">
        <w:tc>
          <w:tcPr>
            <w:tcW w:w="3539" w:type="dxa"/>
          </w:tcPr>
          <w:p w14:paraId="4AA6ADE0"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sz w:val="20"/>
                <w:lang w:eastAsia="en-US"/>
              </w:rPr>
              <w:t>Nivolumab (240 mg)</w:t>
            </w:r>
          </w:p>
        </w:tc>
        <w:tc>
          <w:tcPr>
            <w:tcW w:w="1985" w:type="dxa"/>
          </w:tcPr>
          <w:p w14:paraId="77693A8C"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sz w:val="20"/>
                <w:lang w:eastAsia="en-US"/>
              </w:rPr>
              <w:t>1 x 40 mg + 2 x 100 mg</w:t>
            </w:r>
          </w:p>
        </w:tc>
        <w:tc>
          <w:tcPr>
            <w:tcW w:w="1842" w:type="dxa"/>
          </w:tcPr>
          <w:p w14:paraId="1AF7F457"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sz w:val="20"/>
                <w:lang w:eastAsia="en-US"/>
              </w:rPr>
              <w:t>19.91</w:t>
            </w:r>
          </w:p>
        </w:tc>
        <w:tc>
          <w:tcPr>
            <w:tcW w:w="1650" w:type="dxa"/>
          </w:tcPr>
          <w:p w14:paraId="35655B3D"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sz w:val="20"/>
                <w:lang w:eastAsia="en-US"/>
              </w:rPr>
              <w:t>$94,292</w:t>
            </w:r>
          </w:p>
        </w:tc>
      </w:tr>
      <w:tr w:rsidR="00425894" w:rsidRPr="00276BCA" w14:paraId="140F1933" w14:textId="77777777" w:rsidTr="00E858DF">
        <w:tc>
          <w:tcPr>
            <w:tcW w:w="9016" w:type="dxa"/>
            <w:gridSpan w:val="4"/>
          </w:tcPr>
          <w:p w14:paraId="595103E4"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b/>
                <w:bCs/>
                <w:sz w:val="20"/>
                <w:lang w:eastAsia="en-US"/>
              </w:rPr>
              <w:t>Weighted cost (including testing cost)</w:t>
            </w:r>
            <w:r w:rsidRPr="00276BCA">
              <w:rPr>
                <w:vertAlign w:val="superscript"/>
              </w:rPr>
              <w:t>1</w:t>
            </w:r>
          </w:p>
        </w:tc>
      </w:tr>
      <w:tr w:rsidR="00425894" w:rsidRPr="00276BCA" w14:paraId="6D31073F" w14:textId="77777777" w:rsidTr="00E858DF">
        <w:tc>
          <w:tcPr>
            <w:tcW w:w="7366" w:type="dxa"/>
            <w:gridSpan w:val="3"/>
          </w:tcPr>
          <w:p w14:paraId="22466510" w14:textId="77777777" w:rsidR="00425894" w:rsidRPr="00276BCA" w:rsidRDefault="00425894" w:rsidP="00425894">
            <w:pPr>
              <w:keepNext/>
              <w:keepLines/>
              <w:spacing w:before="0"/>
              <w:rPr>
                <w:rFonts w:ascii="Arial Narrow" w:hAnsi="Arial Narrow"/>
                <w:sz w:val="20"/>
                <w:lang w:eastAsia="en-US"/>
              </w:rPr>
            </w:pPr>
            <w:proofErr w:type="spellStart"/>
            <w:r w:rsidRPr="00276BCA">
              <w:rPr>
                <w:rFonts w:ascii="Arial Narrow" w:hAnsi="Arial Narrow"/>
                <w:sz w:val="20"/>
                <w:lang w:eastAsia="en-US"/>
              </w:rPr>
              <w:t>Zolbetuximab</w:t>
            </w:r>
            <w:proofErr w:type="spellEnd"/>
          </w:p>
        </w:tc>
        <w:tc>
          <w:tcPr>
            <w:tcW w:w="1650" w:type="dxa"/>
          </w:tcPr>
          <w:p w14:paraId="019FDEBF"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sz w:val="20"/>
              </w:rPr>
              <w:t>$95,476</w:t>
            </w:r>
          </w:p>
        </w:tc>
      </w:tr>
      <w:tr w:rsidR="00425894" w:rsidRPr="00276BCA" w14:paraId="2FAC92EF" w14:textId="77777777" w:rsidTr="00E858DF">
        <w:tc>
          <w:tcPr>
            <w:tcW w:w="7366" w:type="dxa"/>
            <w:gridSpan w:val="3"/>
          </w:tcPr>
          <w:p w14:paraId="0CEFEF22"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sz w:val="20"/>
                <w:lang w:eastAsia="en-US"/>
              </w:rPr>
              <w:t>Nivolumab</w:t>
            </w:r>
          </w:p>
        </w:tc>
        <w:tc>
          <w:tcPr>
            <w:tcW w:w="1650" w:type="dxa"/>
          </w:tcPr>
          <w:p w14:paraId="6BB591F0"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sz w:val="20"/>
                <w:lang w:eastAsia="en-US"/>
              </w:rPr>
              <w:t>$95,476</w:t>
            </w:r>
          </w:p>
        </w:tc>
      </w:tr>
      <w:tr w:rsidR="00425894" w:rsidRPr="00276BCA" w14:paraId="2F7E6617" w14:textId="77777777" w:rsidTr="00E858DF">
        <w:tc>
          <w:tcPr>
            <w:tcW w:w="7366" w:type="dxa"/>
            <w:gridSpan w:val="3"/>
          </w:tcPr>
          <w:p w14:paraId="0A8DA049"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sz w:val="20"/>
                <w:lang w:eastAsia="en-US"/>
              </w:rPr>
              <w:t>Difference</w:t>
            </w:r>
          </w:p>
        </w:tc>
        <w:tc>
          <w:tcPr>
            <w:tcW w:w="1650" w:type="dxa"/>
          </w:tcPr>
          <w:p w14:paraId="764AD29A" w14:textId="77777777" w:rsidR="00425894" w:rsidRPr="00276BCA" w:rsidRDefault="00425894" w:rsidP="00425894">
            <w:pPr>
              <w:keepNext/>
              <w:keepLines/>
              <w:spacing w:before="0"/>
              <w:rPr>
                <w:rFonts w:ascii="Arial Narrow" w:hAnsi="Arial Narrow"/>
                <w:sz w:val="20"/>
                <w:lang w:eastAsia="en-US"/>
              </w:rPr>
            </w:pPr>
            <w:r w:rsidRPr="00276BCA">
              <w:rPr>
                <w:rFonts w:ascii="Arial Narrow" w:hAnsi="Arial Narrow"/>
                <w:sz w:val="20"/>
              </w:rPr>
              <w:t>-</w:t>
            </w:r>
          </w:p>
        </w:tc>
      </w:tr>
    </w:tbl>
    <w:p w14:paraId="1F1F5BD8" w14:textId="77777777" w:rsidR="00425894" w:rsidRPr="00276BCA" w:rsidRDefault="00425894" w:rsidP="00425894">
      <w:pPr>
        <w:keepNext/>
        <w:keepLines/>
        <w:widowControl w:val="0"/>
        <w:spacing w:before="40" w:after="240"/>
        <w:contextualSpacing/>
        <w:rPr>
          <w:rFonts w:ascii="Arial Narrow" w:eastAsia="Times New Roman" w:hAnsi="Arial Narrow" w:cs="Arial"/>
          <w:snapToGrid w:val="0"/>
          <w:color w:val="000000" w:themeColor="text1"/>
          <w:sz w:val="20"/>
        </w:rPr>
      </w:pPr>
      <w:r w:rsidRPr="00276BCA">
        <w:rPr>
          <w:rFonts w:ascii="Arial Narrow" w:eastAsia="Times New Roman" w:hAnsi="Arial Narrow" w:cs="Arial"/>
          <w:snapToGrid w:val="0"/>
          <w:color w:val="000000" w:themeColor="text1"/>
          <w:sz w:val="20"/>
        </w:rPr>
        <w:t>Source: Attachment 10 VYLOY CLDN Australia Cost min PBAC v0.4.xlsm provided with proposal</w:t>
      </w:r>
    </w:p>
    <w:p w14:paraId="11133EFE" w14:textId="77777777" w:rsidR="00425894" w:rsidRPr="00276BCA" w:rsidRDefault="00425894" w:rsidP="00425894">
      <w:pPr>
        <w:keepNext/>
        <w:keepLines/>
        <w:widowControl w:val="0"/>
        <w:spacing w:before="40" w:after="240"/>
        <w:contextualSpacing/>
        <w:rPr>
          <w:rFonts w:ascii="Arial Narrow" w:eastAsia="Times New Roman" w:hAnsi="Arial Narrow" w:cs="Arial"/>
          <w:snapToGrid w:val="0"/>
          <w:color w:val="000000" w:themeColor="text1"/>
          <w:sz w:val="20"/>
        </w:rPr>
      </w:pPr>
      <w:r w:rsidRPr="00276BCA">
        <w:rPr>
          <w:rFonts w:ascii="Arial Narrow" w:eastAsia="Times New Roman" w:hAnsi="Arial Narrow" w:cs="Arial"/>
          <w:snapToGrid w:val="0"/>
          <w:color w:val="000000" w:themeColor="text1"/>
          <w:sz w:val="20"/>
        </w:rPr>
        <w:t xml:space="preserve">mg, </w:t>
      </w:r>
      <w:proofErr w:type="gramStart"/>
      <w:r w:rsidRPr="00276BCA">
        <w:rPr>
          <w:rFonts w:ascii="Arial Narrow" w:eastAsia="Times New Roman" w:hAnsi="Arial Narrow" w:cs="Arial"/>
          <w:snapToGrid w:val="0"/>
          <w:color w:val="000000" w:themeColor="text1"/>
          <w:sz w:val="20"/>
        </w:rPr>
        <w:t>milligrams;</w:t>
      </w:r>
      <w:proofErr w:type="gramEnd"/>
      <w:r w:rsidRPr="00276BCA">
        <w:rPr>
          <w:rFonts w:ascii="Arial Narrow" w:eastAsia="Times New Roman" w:hAnsi="Arial Narrow" w:cs="Arial"/>
          <w:snapToGrid w:val="0"/>
          <w:color w:val="000000" w:themeColor="text1"/>
          <w:sz w:val="20"/>
        </w:rPr>
        <w:t xml:space="preserve"> </w:t>
      </w:r>
    </w:p>
    <w:p w14:paraId="2A6461BA" w14:textId="77777777" w:rsidR="00425894" w:rsidRPr="00276BCA" w:rsidRDefault="00425894" w:rsidP="00425894">
      <w:pPr>
        <w:keepNext/>
        <w:keepLines/>
        <w:widowControl w:val="0"/>
        <w:spacing w:before="40" w:after="120"/>
        <w:contextualSpacing/>
        <w:rPr>
          <w:rFonts w:ascii="Arial Narrow" w:eastAsia="Times New Roman" w:hAnsi="Arial Narrow" w:cs="Arial"/>
          <w:snapToGrid w:val="0"/>
          <w:color w:val="000000" w:themeColor="text1"/>
          <w:sz w:val="20"/>
        </w:rPr>
      </w:pPr>
      <w:r w:rsidRPr="00276BCA">
        <w:rPr>
          <w:rFonts w:ascii="Arial Narrow" w:eastAsia="Times New Roman" w:hAnsi="Arial Narrow" w:cs="Arial"/>
          <w:snapToGrid w:val="0"/>
          <w:color w:val="000000" w:themeColor="text1"/>
          <w:sz w:val="20"/>
        </w:rPr>
        <w:t xml:space="preserve">1. Test cost per patient calculated as $112/38.38% </w:t>
      </w:r>
    </w:p>
    <w:p w14:paraId="6805F309" w14:textId="77777777" w:rsidR="00425894" w:rsidRPr="00276BCA" w:rsidRDefault="00425894" w:rsidP="00425894">
      <w:pPr>
        <w:numPr>
          <w:ilvl w:val="4"/>
          <w:numId w:val="8"/>
        </w:numPr>
        <w:spacing w:after="120"/>
        <w:rPr>
          <w:color w:val="000000" w:themeColor="text1"/>
        </w:rPr>
      </w:pPr>
      <w:r w:rsidRPr="00276BCA">
        <w:rPr>
          <w:color w:val="000000" w:themeColor="text1"/>
        </w:rPr>
        <w:t>The total number of doses per patient when used with CAPOX should be 12.61</w:t>
      </w:r>
      <w:r w:rsidRPr="00276BCA">
        <w:rPr>
          <w:color w:val="000000" w:themeColor="text1"/>
          <w:vertAlign w:val="superscript"/>
        </w:rPr>
        <w:footnoteReference w:id="15"/>
      </w:r>
      <w:r w:rsidRPr="00276BCA">
        <w:rPr>
          <w:color w:val="000000" w:themeColor="text1"/>
        </w:rPr>
        <w:t xml:space="preserve"> (i.e., 1 loading and 11.61 maintenance doses for </w:t>
      </w:r>
      <w:proofErr w:type="spellStart"/>
      <w:r w:rsidRPr="00276BCA">
        <w:rPr>
          <w:color w:val="000000" w:themeColor="text1"/>
        </w:rPr>
        <w:t>zolbetuximab</w:t>
      </w:r>
      <w:proofErr w:type="spellEnd"/>
      <w:r w:rsidRPr="00276BCA">
        <w:rPr>
          <w:color w:val="000000" w:themeColor="text1"/>
        </w:rPr>
        <w:t xml:space="preserve"> and 12.61 doses for nivolumab) rather than 13.61.  The total number of doses with mFOLFOX6 should be 18.91</w:t>
      </w:r>
      <w:r w:rsidRPr="00276BCA">
        <w:rPr>
          <w:color w:val="000000" w:themeColor="text1"/>
          <w:vertAlign w:val="superscript"/>
        </w:rPr>
        <w:footnoteReference w:id="16"/>
      </w:r>
      <w:r w:rsidRPr="00276BCA">
        <w:rPr>
          <w:color w:val="000000" w:themeColor="text1"/>
        </w:rPr>
        <w:t xml:space="preserve"> (i.e., 1 loading and 17.91 maintenance doses for </w:t>
      </w:r>
      <w:proofErr w:type="spellStart"/>
      <w:r w:rsidRPr="00276BCA">
        <w:rPr>
          <w:color w:val="000000" w:themeColor="text1"/>
        </w:rPr>
        <w:t>zolbetuximab</w:t>
      </w:r>
      <w:proofErr w:type="spellEnd"/>
      <w:r w:rsidRPr="00276BCA">
        <w:rPr>
          <w:color w:val="000000" w:themeColor="text1"/>
        </w:rPr>
        <w:t xml:space="preserve"> and 18.91 doses for nivolumab) rather than 19.91.</w:t>
      </w:r>
    </w:p>
    <w:p w14:paraId="474991A3" w14:textId="210357A2" w:rsidR="00425894" w:rsidRPr="00276BCA" w:rsidRDefault="00425894" w:rsidP="00425894">
      <w:pPr>
        <w:numPr>
          <w:ilvl w:val="4"/>
          <w:numId w:val="8"/>
        </w:numPr>
        <w:spacing w:after="120"/>
        <w:rPr>
          <w:color w:val="000000" w:themeColor="text1"/>
        </w:rPr>
      </w:pPr>
      <w:r w:rsidRPr="00276BCA">
        <w:rPr>
          <w:color w:val="000000" w:themeColor="text1"/>
        </w:rPr>
        <w:t xml:space="preserve">The PBAC noted the CMA included the maximum test cost proposed by MSAC (see paragraph </w:t>
      </w:r>
      <w:r w:rsidRPr="00276BCA">
        <w:rPr>
          <w:color w:val="000000" w:themeColor="text1"/>
        </w:rPr>
        <w:fldChar w:fldCharType="begin"/>
      </w:r>
      <w:r w:rsidRPr="00276BCA">
        <w:rPr>
          <w:color w:val="000000" w:themeColor="text1"/>
        </w:rPr>
        <w:instrText xml:space="preserve"> REF _Ref209078367 \r \h </w:instrText>
      </w:r>
      <w:r w:rsidR="00325150" w:rsidRPr="00EE1146">
        <w:rPr>
          <w:color w:val="000000" w:themeColor="text1"/>
          <w:highlight w:val="black"/>
        </w:rPr>
        <w:instrText xml:space="preserve"> \* MERGEFORMAT </w:instrText>
      </w:r>
      <w:r w:rsidRPr="00276BCA">
        <w:rPr>
          <w:color w:val="000000" w:themeColor="text1"/>
        </w:rPr>
      </w:r>
      <w:r w:rsidRPr="00276BCA">
        <w:rPr>
          <w:color w:val="000000" w:themeColor="text1"/>
        </w:rPr>
        <w:fldChar w:fldCharType="separate"/>
      </w:r>
      <w:r w:rsidR="0011458F">
        <w:rPr>
          <w:color w:val="000000" w:themeColor="text1"/>
        </w:rPr>
        <w:t>10.2</w:t>
      </w:r>
      <w:r w:rsidRPr="00276BCA">
        <w:rPr>
          <w:color w:val="000000" w:themeColor="text1"/>
        </w:rPr>
        <w:fldChar w:fldCharType="end"/>
      </w:r>
      <w:r w:rsidRPr="00276BCA">
        <w:rPr>
          <w:color w:val="000000" w:themeColor="text1"/>
        </w:rPr>
        <w:t xml:space="preserve">). </w:t>
      </w:r>
    </w:p>
    <w:p w14:paraId="6C64ED3C" w14:textId="77777777" w:rsidR="00425894" w:rsidRPr="00276BCA" w:rsidRDefault="00425894" w:rsidP="00425894">
      <w:pPr>
        <w:keepNext/>
        <w:keepLines/>
        <w:spacing w:after="120"/>
        <w:jc w:val="left"/>
        <w:outlineLvl w:val="1"/>
        <w:rPr>
          <w:rFonts w:ascii="Calibri" w:eastAsiaTheme="majorEastAsia" w:hAnsi="Calibri" w:cs="Calibri"/>
          <w:b/>
          <w:i/>
          <w:iCs/>
          <w:snapToGrid w:val="0"/>
          <w:sz w:val="28"/>
          <w:szCs w:val="28"/>
        </w:rPr>
      </w:pPr>
      <w:r w:rsidRPr="00276BCA">
        <w:rPr>
          <w:rFonts w:ascii="Calibri" w:eastAsiaTheme="majorEastAsia" w:hAnsi="Calibri" w:cs="Calibri"/>
          <w:b/>
          <w:i/>
          <w:iCs/>
          <w:snapToGrid w:val="0"/>
          <w:sz w:val="28"/>
          <w:szCs w:val="28"/>
        </w:rPr>
        <w:t>Estimated PBS usage &amp; financial implications</w:t>
      </w:r>
    </w:p>
    <w:p w14:paraId="76EDFA86" w14:textId="77777777" w:rsidR="00425894" w:rsidRPr="00276BCA" w:rsidRDefault="00425894" w:rsidP="00425894">
      <w:pPr>
        <w:numPr>
          <w:ilvl w:val="4"/>
          <w:numId w:val="8"/>
        </w:numPr>
        <w:spacing w:after="120"/>
        <w:rPr>
          <w:color w:val="000000" w:themeColor="text1"/>
        </w:rPr>
      </w:pPr>
      <w:bookmarkStart w:id="97" w:name="_Ref208314372"/>
      <w:r w:rsidRPr="00276BCA">
        <w:rPr>
          <w:color w:val="000000" w:themeColor="text1"/>
        </w:rPr>
        <w:t>The financial estimates presented in the proposal:</w:t>
      </w:r>
      <w:bookmarkEnd w:id="97"/>
    </w:p>
    <w:p w14:paraId="22B0DDE5" w14:textId="77777777" w:rsidR="00425894" w:rsidRPr="00276BCA" w:rsidRDefault="00425894" w:rsidP="00425894">
      <w:pPr>
        <w:numPr>
          <w:ilvl w:val="0"/>
          <w:numId w:val="118"/>
        </w:numPr>
        <w:spacing w:after="120"/>
        <w:rPr>
          <w:color w:val="000000" w:themeColor="text1"/>
        </w:rPr>
      </w:pPr>
      <w:r w:rsidRPr="00276BCA">
        <w:rPr>
          <w:color w:val="000000" w:themeColor="text1"/>
        </w:rPr>
        <w:t xml:space="preserve">Applied the same the duration of treatment (8.7 months) for </w:t>
      </w:r>
      <w:proofErr w:type="spellStart"/>
      <w:r w:rsidRPr="00276BCA">
        <w:rPr>
          <w:color w:val="000000" w:themeColor="text1"/>
        </w:rPr>
        <w:t>zolbetuximab</w:t>
      </w:r>
      <w:proofErr w:type="spellEnd"/>
      <w:r w:rsidRPr="00276BCA">
        <w:rPr>
          <w:color w:val="000000" w:themeColor="text1"/>
        </w:rPr>
        <w:t xml:space="preserve"> and nivolumab, consistent with the </w:t>
      </w:r>
      <w:proofErr w:type="gramStart"/>
      <w:r w:rsidRPr="00276BCA">
        <w:rPr>
          <w:color w:val="000000" w:themeColor="text1"/>
        </w:rPr>
        <w:t>CMA;</w:t>
      </w:r>
      <w:proofErr w:type="gramEnd"/>
    </w:p>
    <w:p w14:paraId="763D4D5D" w14:textId="77777777" w:rsidR="00425894" w:rsidRPr="00276BCA" w:rsidRDefault="00425894" w:rsidP="00425894">
      <w:pPr>
        <w:numPr>
          <w:ilvl w:val="0"/>
          <w:numId w:val="118"/>
        </w:numPr>
        <w:spacing w:after="120"/>
        <w:rPr>
          <w:color w:val="000000" w:themeColor="text1"/>
        </w:rPr>
      </w:pPr>
      <w:r w:rsidRPr="00276BCA">
        <w:rPr>
          <w:color w:val="000000" w:themeColor="text1"/>
        </w:rPr>
        <w:t>Assumed 100% of patients undergo CLDN18 testing; and</w:t>
      </w:r>
    </w:p>
    <w:p w14:paraId="28CDEB50" w14:textId="77777777" w:rsidR="00425894" w:rsidRPr="00276BCA" w:rsidRDefault="00425894" w:rsidP="00425894">
      <w:pPr>
        <w:numPr>
          <w:ilvl w:val="0"/>
          <w:numId w:val="118"/>
        </w:numPr>
        <w:spacing w:after="120"/>
        <w:rPr>
          <w:color w:val="000000" w:themeColor="text1"/>
        </w:rPr>
      </w:pPr>
      <w:r w:rsidRPr="00276BCA">
        <w:rPr>
          <w:color w:val="000000" w:themeColor="text1"/>
        </w:rPr>
        <w:t>Decreased uptake from 90% to 70% in Year 1 only.</w:t>
      </w:r>
    </w:p>
    <w:p w14:paraId="7EC91FB8" w14:textId="77777777" w:rsidR="00425894" w:rsidRPr="00276BCA" w:rsidRDefault="00425894" w:rsidP="00425894">
      <w:pPr>
        <w:numPr>
          <w:ilvl w:val="4"/>
          <w:numId w:val="8"/>
        </w:numPr>
        <w:spacing w:after="120"/>
        <w:rPr>
          <w:color w:val="000000" w:themeColor="text1"/>
        </w:rPr>
      </w:pPr>
      <w:r w:rsidRPr="00276BCA">
        <w:rPr>
          <w:color w:val="000000" w:themeColor="text1"/>
        </w:rPr>
        <w:t xml:space="preserve">Revised financial estimates are summarised below (using the published price of nivolumab). </w:t>
      </w:r>
    </w:p>
    <w:p w14:paraId="04D2D6E0" w14:textId="6CE1A10A" w:rsidR="00425894" w:rsidRDefault="00425894" w:rsidP="00425894">
      <w:pPr>
        <w:keepNext/>
        <w:keepLines/>
        <w:tabs>
          <w:tab w:val="left" w:pos="709"/>
        </w:tabs>
        <w:spacing w:after="0" w:line="259" w:lineRule="auto"/>
        <w:contextualSpacing/>
        <w:jc w:val="left"/>
        <w:rPr>
          <w:rFonts w:ascii="Arial Narrow" w:hAnsi="Arial Narrow"/>
          <w:b/>
          <w:iCs/>
          <w:sz w:val="20"/>
          <w:szCs w:val="18"/>
        </w:rPr>
      </w:pPr>
      <w:r w:rsidRPr="00276BCA">
        <w:rPr>
          <w:rFonts w:ascii="Arial Narrow" w:hAnsi="Arial Narrow"/>
          <w:b/>
          <w:iCs/>
          <w:sz w:val="20"/>
          <w:szCs w:val="18"/>
        </w:rPr>
        <w:lastRenderedPageBreak/>
        <w:t xml:space="preserve">Table </w:t>
      </w:r>
      <w:r w:rsidRPr="00276BCA">
        <w:rPr>
          <w:rFonts w:ascii="Arial Narrow" w:hAnsi="Arial Narrow"/>
          <w:b/>
          <w:iCs/>
          <w:sz w:val="20"/>
          <w:szCs w:val="18"/>
        </w:rPr>
        <w:fldChar w:fldCharType="begin"/>
      </w:r>
      <w:r w:rsidRPr="00276BCA">
        <w:rPr>
          <w:rFonts w:ascii="Arial Narrow" w:hAnsi="Arial Narrow"/>
          <w:b/>
          <w:iCs/>
          <w:sz w:val="20"/>
          <w:szCs w:val="18"/>
        </w:rPr>
        <w:instrText xml:space="preserve"> SEQ Table_PBAC. \* ARABIC </w:instrText>
      </w:r>
      <w:r w:rsidRPr="00276BCA">
        <w:rPr>
          <w:rFonts w:ascii="Arial Narrow" w:hAnsi="Arial Narrow"/>
          <w:b/>
          <w:iCs/>
          <w:sz w:val="20"/>
          <w:szCs w:val="18"/>
        </w:rPr>
        <w:fldChar w:fldCharType="separate"/>
      </w:r>
      <w:r w:rsidR="0011458F">
        <w:rPr>
          <w:rFonts w:ascii="Arial Narrow" w:hAnsi="Arial Narrow"/>
          <w:b/>
          <w:iCs/>
          <w:noProof/>
          <w:sz w:val="20"/>
          <w:szCs w:val="18"/>
        </w:rPr>
        <w:t>18</w:t>
      </w:r>
      <w:r w:rsidRPr="00276BCA">
        <w:rPr>
          <w:rFonts w:ascii="Arial Narrow" w:hAnsi="Arial Narrow"/>
          <w:b/>
          <w:iCs/>
          <w:sz w:val="20"/>
          <w:szCs w:val="18"/>
        </w:rPr>
        <w:fldChar w:fldCharType="end"/>
      </w:r>
      <w:r w:rsidRPr="00276BCA">
        <w:rPr>
          <w:rFonts w:ascii="Arial Narrow" w:hAnsi="Arial Narrow"/>
          <w:b/>
          <w:iCs/>
          <w:sz w:val="20"/>
          <w:szCs w:val="18"/>
        </w:rPr>
        <w:t>: Estimated use and financial implications</w:t>
      </w:r>
    </w:p>
    <w:tbl>
      <w:tblPr>
        <w:tblStyle w:val="ASDTable1"/>
        <w:tblW w:w="4956" w:type="pct"/>
        <w:tblLook w:val="04A0" w:firstRow="1" w:lastRow="0" w:firstColumn="1" w:lastColumn="0" w:noHBand="0" w:noVBand="1"/>
        <w:tblCaption w:val="Estimated use and financial implications"/>
      </w:tblPr>
      <w:tblGrid>
        <w:gridCol w:w="1923"/>
        <w:gridCol w:w="1169"/>
        <w:gridCol w:w="1169"/>
        <w:gridCol w:w="1169"/>
        <w:gridCol w:w="1169"/>
        <w:gridCol w:w="1169"/>
        <w:gridCol w:w="1169"/>
      </w:tblGrid>
      <w:tr w:rsidR="005B218A" w:rsidRPr="00425894" w14:paraId="203747B7" w14:textId="77777777" w:rsidTr="007C419B">
        <w:tc>
          <w:tcPr>
            <w:tcW w:w="1076" w:type="pct"/>
          </w:tcPr>
          <w:p w14:paraId="48665A1A" w14:textId="77777777" w:rsidR="005B218A" w:rsidRPr="00425894" w:rsidRDefault="005B218A" w:rsidP="007C419B">
            <w:pPr>
              <w:keepNext/>
              <w:keepLines/>
              <w:widowControl w:val="0"/>
              <w:spacing w:before="0"/>
              <w:jc w:val="center"/>
              <w:rPr>
                <w:rFonts w:ascii="Arial Narrow" w:hAnsi="Arial Narrow"/>
                <w:b/>
                <w:sz w:val="20"/>
              </w:rPr>
            </w:pPr>
          </w:p>
        </w:tc>
        <w:tc>
          <w:tcPr>
            <w:tcW w:w="654" w:type="pct"/>
          </w:tcPr>
          <w:p w14:paraId="199B78A1" w14:textId="77777777" w:rsidR="005B218A" w:rsidRPr="00425894" w:rsidRDefault="005B218A" w:rsidP="007C419B">
            <w:pPr>
              <w:keepNext/>
              <w:keepLines/>
              <w:widowControl w:val="0"/>
              <w:spacing w:before="0"/>
              <w:jc w:val="center"/>
              <w:rPr>
                <w:rFonts w:ascii="Arial Narrow" w:hAnsi="Arial Narrow"/>
                <w:b/>
                <w:sz w:val="20"/>
              </w:rPr>
            </w:pPr>
            <w:r w:rsidRPr="00425894">
              <w:rPr>
                <w:rFonts w:ascii="Arial Narrow" w:hAnsi="Arial Narrow"/>
                <w:b/>
                <w:sz w:val="20"/>
              </w:rPr>
              <w:t>Year 1</w:t>
            </w:r>
          </w:p>
        </w:tc>
        <w:tc>
          <w:tcPr>
            <w:tcW w:w="654" w:type="pct"/>
          </w:tcPr>
          <w:p w14:paraId="7C6F8284" w14:textId="77777777" w:rsidR="005B218A" w:rsidRPr="00425894" w:rsidRDefault="005B218A" w:rsidP="007C419B">
            <w:pPr>
              <w:keepNext/>
              <w:keepLines/>
              <w:widowControl w:val="0"/>
              <w:spacing w:before="0"/>
              <w:jc w:val="center"/>
              <w:rPr>
                <w:rFonts w:ascii="Arial Narrow" w:hAnsi="Arial Narrow"/>
                <w:b/>
                <w:sz w:val="20"/>
              </w:rPr>
            </w:pPr>
            <w:r w:rsidRPr="00425894">
              <w:rPr>
                <w:rFonts w:ascii="Arial Narrow" w:hAnsi="Arial Narrow"/>
                <w:b/>
                <w:sz w:val="20"/>
              </w:rPr>
              <w:t>Year 2</w:t>
            </w:r>
          </w:p>
        </w:tc>
        <w:tc>
          <w:tcPr>
            <w:tcW w:w="654" w:type="pct"/>
          </w:tcPr>
          <w:p w14:paraId="5CEEED79" w14:textId="77777777" w:rsidR="005B218A" w:rsidRPr="00425894" w:rsidRDefault="005B218A" w:rsidP="007C419B">
            <w:pPr>
              <w:keepNext/>
              <w:keepLines/>
              <w:widowControl w:val="0"/>
              <w:spacing w:before="0"/>
              <w:jc w:val="center"/>
              <w:rPr>
                <w:rFonts w:ascii="Arial Narrow" w:hAnsi="Arial Narrow"/>
                <w:b/>
                <w:sz w:val="20"/>
              </w:rPr>
            </w:pPr>
            <w:r w:rsidRPr="00425894">
              <w:rPr>
                <w:rFonts w:ascii="Arial Narrow" w:hAnsi="Arial Narrow"/>
                <w:b/>
                <w:sz w:val="20"/>
              </w:rPr>
              <w:t>Year 3</w:t>
            </w:r>
          </w:p>
        </w:tc>
        <w:tc>
          <w:tcPr>
            <w:tcW w:w="654" w:type="pct"/>
          </w:tcPr>
          <w:p w14:paraId="55192DF9" w14:textId="77777777" w:rsidR="005B218A" w:rsidRPr="00425894" w:rsidRDefault="005B218A" w:rsidP="007C419B">
            <w:pPr>
              <w:keepNext/>
              <w:keepLines/>
              <w:widowControl w:val="0"/>
              <w:spacing w:before="0"/>
              <w:jc w:val="center"/>
              <w:rPr>
                <w:rFonts w:ascii="Arial Narrow" w:hAnsi="Arial Narrow"/>
                <w:b/>
                <w:sz w:val="20"/>
              </w:rPr>
            </w:pPr>
            <w:r w:rsidRPr="00425894">
              <w:rPr>
                <w:rFonts w:ascii="Arial Narrow" w:hAnsi="Arial Narrow"/>
                <w:b/>
                <w:sz w:val="20"/>
              </w:rPr>
              <w:t>Year 4</w:t>
            </w:r>
          </w:p>
        </w:tc>
        <w:tc>
          <w:tcPr>
            <w:tcW w:w="654" w:type="pct"/>
          </w:tcPr>
          <w:p w14:paraId="42057C54" w14:textId="77777777" w:rsidR="005B218A" w:rsidRPr="00425894" w:rsidRDefault="005B218A" w:rsidP="007C419B">
            <w:pPr>
              <w:keepNext/>
              <w:keepLines/>
              <w:widowControl w:val="0"/>
              <w:spacing w:before="0"/>
              <w:jc w:val="center"/>
              <w:rPr>
                <w:rFonts w:ascii="Arial Narrow" w:hAnsi="Arial Narrow"/>
                <w:b/>
                <w:sz w:val="20"/>
              </w:rPr>
            </w:pPr>
            <w:r w:rsidRPr="00425894">
              <w:rPr>
                <w:rFonts w:ascii="Arial Narrow" w:hAnsi="Arial Narrow"/>
                <w:b/>
                <w:sz w:val="20"/>
              </w:rPr>
              <w:t>Year 5</w:t>
            </w:r>
          </w:p>
        </w:tc>
        <w:tc>
          <w:tcPr>
            <w:tcW w:w="654" w:type="pct"/>
          </w:tcPr>
          <w:p w14:paraId="677F784E" w14:textId="77777777" w:rsidR="005B218A" w:rsidRPr="00425894" w:rsidRDefault="005B218A" w:rsidP="007C419B">
            <w:pPr>
              <w:keepNext/>
              <w:keepLines/>
              <w:widowControl w:val="0"/>
              <w:spacing w:before="0"/>
              <w:jc w:val="center"/>
              <w:rPr>
                <w:rFonts w:ascii="Arial Narrow" w:hAnsi="Arial Narrow"/>
                <w:b/>
                <w:sz w:val="20"/>
              </w:rPr>
            </w:pPr>
            <w:r w:rsidRPr="00425894">
              <w:rPr>
                <w:rFonts w:ascii="Arial Narrow" w:hAnsi="Arial Narrow"/>
                <w:b/>
                <w:sz w:val="20"/>
              </w:rPr>
              <w:t>Year 6</w:t>
            </w:r>
          </w:p>
        </w:tc>
      </w:tr>
      <w:tr w:rsidR="005B218A" w:rsidRPr="00425894" w14:paraId="05B9D66F" w14:textId="77777777" w:rsidTr="007C419B">
        <w:tc>
          <w:tcPr>
            <w:tcW w:w="5000" w:type="pct"/>
            <w:gridSpan w:val="7"/>
          </w:tcPr>
          <w:p w14:paraId="03C7093B" w14:textId="77777777" w:rsidR="005B218A" w:rsidRPr="00425894" w:rsidRDefault="005B218A" w:rsidP="007C419B">
            <w:pPr>
              <w:keepNext/>
              <w:keepLines/>
              <w:widowControl w:val="0"/>
              <w:spacing w:before="0"/>
              <w:jc w:val="left"/>
              <w:rPr>
                <w:rFonts w:ascii="Arial Narrow" w:hAnsi="Arial Narrow"/>
                <w:b/>
                <w:sz w:val="20"/>
              </w:rPr>
            </w:pPr>
            <w:r w:rsidRPr="00425894">
              <w:rPr>
                <w:rFonts w:ascii="Arial Narrow" w:hAnsi="Arial Narrow"/>
                <w:b/>
                <w:sz w:val="20"/>
              </w:rPr>
              <w:t>Estimated extent of use of CLDN18 test</w:t>
            </w:r>
          </w:p>
        </w:tc>
      </w:tr>
      <w:tr w:rsidR="005B218A" w:rsidRPr="007C419B" w14:paraId="15E63660" w14:textId="77777777" w:rsidTr="007C419B">
        <w:tc>
          <w:tcPr>
            <w:tcW w:w="1076" w:type="pct"/>
          </w:tcPr>
          <w:p w14:paraId="45640411" w14:textId="77777777" w:rsidR="005B218A" w:rsidRPr="00425894" w:rsidRDefault="005B218A" w:rsidP="007C419B">
            <w:pPr>
              <w:keepNext/>
              <w:keepLines/>
              <w:widowControl w:val="0"/>
              <w:spacing w:before="0"/>
              <w:jc w:val="left"/>
              <w:rPr>
                <w:rFonts w:ascii="Arial Narrow" w:hAnsi="Arial Narrow"/>
                <w:sz w:val="20"/>
              </w:rPr>
            </w:pPr>
            <w:r w:rsidRPr="00425894">
              <w:rPr>
                <w:rFonts w:ascii="Arial Narrow" w:hAnsi="Arial Narrow"/>
                <w:sz w:val="20"/>
              </w:rPr>
              <w:t>Number of patients tested</w:t>
            </w:r>
          </w:p>
        </w:tc>
        <w:tc>
          <w:tcPr>
            <w:tcW w:w="654" w:type="pct"/>
          </w:tcPr>
          <w:p w14:paraId="28FCCC4E" w14:textId="68F49372"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olor w:val="000000"/>
                <w:spacing w:val="45"/>
                <w:sz w:val="20"/>
                <w:shd w:val="solid" w:color="000000" w:fill="000000"/>
                <w:fitText w:val="330" w:id="-606382847"/>
                <w14:textFill>
                  <w14:solidFill>
                    <w14:srgbClr w14:val="000000">
                      <w14:alpha w14:val="100000"/>
                    </w14:srgbClr>
                  </w14:solidFill>
                </w14:textFill>
              </w:rPr>
              <w:t>|||</w:t>
            </w:r>
            <w:r w:rsidRPr="00FC56D6">
              <w:rPr>
                <w:rFonts w:ascii="Arial Narrow" w:hAnsi="Arial Narrow"/>
                <w:color w:val="000000"/>
                <w:spacing w:val="15"/>
                <w:sz w:val="20"/>
                <w:shd w:val="solid" w:color="000000" w:fill="000000"/>
                <w:fitText w:val="330" w:id="-606382847"/>
                <w14:textFill>
                  <w14:solidFill>
                    <w14:srgbClr w14:val="000000">
                      <w14:alpha w14:val="100000"/>
                    </w14:srgbClr>
                  </w14:solidFill>
                </w14:textFill>
              </w:rPr>
              <w:t>|</w:t>
            </w:r>
            <w:r w:rsidR="005B218A" w:rsidRPr="007C419B">
              <w:rPr>
                <w:rFonts w:ascii="Arial Narrow" w:hAnsi="Arial Narrow"/>
                <w:sz w:val="20"/>
                <w:vertAlign w:val="superscript"/>
              </w:rPr>
              <w:t>1</w:t>
            </w:r>
          </w:p>
        </w:tc>
        <w:tc>
          <w:tcPr>
            <w:tcW w:w="654" w:type="pct"/>
          </w:tcPr>
          <w:p w14:paraId="053694CC" w14:textId="492544BA"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olor w:val="000000"/>
                <w:spacing w:val="45"/>
                <w:sz w:val="20"/>
                <w:shd w:val="solid" w:color="000000" w:fill="000000"/>
                <w:fitText w:val="330" w:id="-606382846"/>
                <w14:textFill>
                  <w14:solidFill>
                    <w14:srgbClr w14:val="000000">
                      <w14:alpha w14:val="100000"/>
                    </w14:srgbClr>
                  </w14:solidFill>
                </w14:textFill>
              </w:rPr>
              <w:t>|||</w:t>
            </w:r>
            <w:r w:rsidRPr="00FC56D6">
              <w:rPr>
                <w:rFonts w:ascii="Arial Narrow" w:hAnsi="Arial Narrow"/>
                <w:color w:val="000000"/>
                <w:spacing w:val="15"/>
                <w:sz w:val="20"/>
                <w:shd w:val="solid" w:color="000000" w:fill="000000"/>
                <w:fitText w:val="330" w:id="-606382846"/>
                <w14:textFill>
                  <w14:solidFill>
                    <w14:srgbClr w14:val="000000">
                      <w14:alpha w14:val="100000"/>
                    </w14:srgbClr>
                  </w14:solidFill>
                </w14:textFill>
              </w:rPr>
              <w:t>|</w:t>
            </w:r>
            <w:r w:rsidR="005B218A" w:rsidRPr="00E858DF">
              <w:rPr>
                <w:rFonts w:ascii="Arial Narrow" w:hAnsi="Arial Narrow"/>
                <w:sz w:val="20"/>
                <w:vertAlign w:val="superscript"/>
              </w:rPr>
              <w:t>1</w:t>
            </w:r>
          </w:p>
        </w:tc>
        <w:tc>
          <w:tcPr>
            <w:tcW w:w="654" w:type="pct"/>
          </w:tcPr>
          <w:p w14:paraId="19F6FC07" w14:textId="348149F7"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olor w:val="000000"/>
                <w:spacing w:val="45"/>
                <w:sz w:val="20"/>
                <w:shd w:val="solid" w:color="000000" w:fill="000000"/>
                <w:fitText w:val="330" w:id="-606382845"/>
                <w14:textFill>
                  <w14:solidFill>
                    <w14:srgbClr w14:val="000000">
                      <w14:alpha w14:val="100000"/>
                    </w14:srgbClr>
                  </w14:solidFill>
                </w14:textFill>
              </w:rPr>
              <w:t>|||</w:t>
            </w:r>
            <w:r w:rsidRPr="00FC56D6">
              <w:rPr>
                <w:rFonts w:ascii="Arial Narrow" w:hAnsi="Arial Narrow"/>
                <w:color w:val="000000"/>
                <w:spacing w:val="15"/>
                <w:sz w:val="20"/>
                <w:shd w:val="solid" w:color="000000" w:fill="000000"/>
                <w:fitText w:val="330" w:id="-606382845"/>
                <w14:textFill>
                  <w14:solidFill>
                    <w14:srgbClr w14:val="000000">
                      <w14:alpha w14:val="100000"/>
                    </w14:srgbClr>
                  </w14:solidFill>
                </w14:textFill>
              </w:rPr>
              <w:t>|</w:t>
            </w:r>
            <w:r w:rsidR="005B218A" w:rsidRPr="00E858DF">
              <w:rPr>
                <w:rFonts w:ascii="Arial Narrow" w:hAnsi="Arial Narrow"/>
                <w:sz w:val="20"/>
                <w:vertAlign w:val="superscript"/>
              </w:rPr>
              <w:t>1</w:t>
            </w:r>
          </w:p>
        </w:tc>
        <w:tc>
          <w:tcPr>
            <w:tcW w:w="654" w:type="pct"/>
          </w:tcPr>
          <w:p w14:paraId="332F4893" w14:textId="2E413F77"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olor w:val="000000"/>
                <w:spacing w:val="45"/>
                <w:sz w:val="20"/>
                <w:shd w:val="solid" w:color="000000" w:fill="000000"/>
                <w:fitText w:val="330" w:id="-606382844"/>
                <w14:textFill>
                  <w14:solidFill>
                    <w14:srgbClr w14:val="000000">
                      <w14:alpha w14:val="100000"/>
                    </w14:srgbClr>
                  </w14:solidFill>
                </w14:textFill>
              </w:rPr>
              <w:t>|||</w:t>
            </w:r>
            <w:r w:rsidRPr="00FC56D6">
              <w:rPr>
                <w:rFonts w:ascii="Arial Narrow" w:hAnsi="Arial Narrow"/>
                <w:color w:val="000000"/>
                <w:spacing w:val="15"/>
                <w:sz w:val="20"/>
                <w:shd w:val="solid" w:color="000000" w:fill="000000"/>
                <w:fitText w:val="330" w:id="-606382844"/>
                <w14:textFill>
                  <w14:solidFill>
                    <w14:srgbClr w14:val="000000">
                      <w14:alpha w14:val="100000"/>
                    </w14:srgbClr>
                  </w14:solidFill>
                </w14:textFill>
              </w:rPr>
              <w:t>|</w:t>
            </w:r>
            <w:r w:rsidR="005B218A" w:rsidRPr="00E858DF">
              <w:rPr>
                <w:rFonts w:ascii="Arial Narrow" w:hAnsi="Arial Narrow"/>
                <w:sz w:val="20"/>
                <w:vertAlign w:val="superscript"/>
              </w:rPr>
              <w:t>1</w:t>
            </w:r>
          </w:p>
        </w:tc>
        <w:tc>
          <w:tcPr>
            <w:tcW w:w="654" w:type="pct"/>
          </w:tcPr>
          <w:p w14:paraId="37FFF370" w14:textId="3D04CC64"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olor w:val="000000"/>
                <w:spacing w:val="45"/>
                <w:sz w:val="20"/>
                <w:shd w:val="solid" w:color="000000" w:fill="000000"/>
                <w:fitText w:val="330" w:id="-606382843"/>
                <w14:textFill>
                  <w14:solidFill>
                    <w14:srgbClr w14:val="000000">
                      <w14:alpha w14:val="100000"/>
                    </w14:srgbClr>
                  </w14:solidFill>
                </w14:textFill>
              </w:rPr>
              <w:t>|||</w:t>
            </w:r>
            <w:r w:rsidRPr="00FC56D6">
              <w:rPr>
                <w:rFonts w:ascii="Arial Narrow" w:hAnsi="Arial Narrow"/>
                <w:color w:val="000000"/>
                <w:spacing w:val="15"/>
                <w:sz w:val="20"/>
                <w:shd w:val="solid" w:color="000000" w:fill="000000"/>
                <w:fitText w:val="330" w:id="-606382843"/>
                <w14:textFill>
                  <w14:solidFill>
                    <w14:srgbClr w14:val="000000">
                      <w14:alpha w14:val="100000"/>
                    </w14:srgbClr>
                  </w14:solidFill>
                </w14:textFill>
              </w:rPr>
              <w:t>|</w:t>
            </w:r>
            <w:r w:rsidR="005B218A" w:rsidRPr="00E858DF">
              <w:rPr>
                <w:rFonts w:ascii="Arial Narrow" w:hAnsi="Arial Narrow"/>
                <w:sz w:val="20"/>
                <w:vertAlign w:val="superscript"/>
              </w:rPr>
              <w:t>1</w:t>
            </w:r>
          </w:p>
        </w:tc>
        <w:tc>
          <w:tcPr>
            <w:tcW w:w="654" w:type="pct"/>
          </w:tcPr>
          <w:p w14:paraId="712AE6D4" w14:textId="6B5E308A"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olor w:val="000000"/>
                <w:spacing w:val="45"/>
                <w:sz w:val="20"/>
                <w:shd w:val="solid" w:color="000000" w:fill="000000"/>
                <w:fitText w:val="330" w:id="-606382842"/>
                <w14:textFill>
                  <w14:solidFill>
                    <w14:srgbClr w14:val="000000">
                      <w14:alpha w14:val="100000"/>
                    </w14:srgbClr>
                  </w14:solidFill>
                </w14:textFill>
              </w:rPr>
              <w:t>|||</w:t>
            </w:r>
            <w:r w:rsidRPr="00FC56D6">
              <w:rPr>
                <w:rFonts w:ascii="Arial Narrow" w:hAnsi="Arial Narrow"/>
                <w:color w:val="000000"/>
                <w:spacing w:val="15"/>
                <w:sz w:val="20"/>
                <w:shd w:val="solid" w:color="000000" w:fill="000000"/>
                <w:fitText w:val="330" w:id="-606382842"/>
                <w14:textFill>
                  <w14:solidFill>
                    <w14:srgbClr w14:val="000000">
                      <w14:alpha w14:val="100000"/>
                    </w14:srgbClr>
                  </w14:solidFill>
                </w14:textFill>
              </w:rPr>
              <w:t>|</w:t>
            </w:r>
            <w:r w:rsidR="005B218A" w:rsidRPr="00E858DF">
              <w:rPr>
                <w:rFonts w:ascii="Arial Narrow" w:hAnsi="Arial Narrow"/>
                <w:sz w:val="20"/>
                <w:vertAlign w:val="superscript"/>
              </w:rPr>
              <w:t>1</w:t>
            </w:r>
          </w:p>
        </w:tc>
      </w:tr>
      <w:tr w:rsidR="005B218A" w:rsidRPr="007C419B" w14:paraId="21448638" w14:textId="77777777" w:rsidTr="007C419B">
        <w:tc>
          <w:tcPr>
            <w:tcW w:w="1076" w:type="pct"/>
          </w:tcPr>
          <w:p w14:paraId="3BC0AEF5" w14:textId="77777777" w:rsidR="005B218A" w:rsidRPr="00425894" w:rsidRDefault="005B218A" w:rsidP="007C419B">
            <w:pPr>
              <w:keepNext/>
              <w:keepLines/>
              <w:widowControl w:val="0"/>
              <w:spacing w:before="0"/>
              <w:jc w:val="left"/>
              <w:rPr>
                <w:rFonts w:ascii="Arial Narrow" w:hAnsi="Arial Narrow"/>
                <w:sz w:val="20"/>
              </w:rPr>
            </w:pPr>
            <w:r w:rsidRPr="00425894">
              <w:rPr>
                <w:rFonts w:ascii="Arial Narrow" w:hAnsi="Arial Narrow"/>
                <w:sz w:val="20"/>
              </w:rPr>
              <w:t>Number of patients likely to receive a positive test result (38.38% positivity rate)</w:t>
            </w:r>
          </w:p>
        </w:tc>
        <w:tc>
          <w:tcPr>
            <w:tcW w:w="654" w:type="pct"/>
          </w:tcPr>
          <w:p w14:paraId="6A04BBAD" w14:textId="51FBB361"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olor w:val="000000"/>
                <w:spacing w:val="45"/>
                <w:sz w:val="20"/>
                <w:shd w:val="solid" w:color="000000" w:fill="000000"/>
                <w:fitText w:val="330" w:id="-606382841"/>
                <w14:textFill>
                  <w14:solidFill>
                    <w14:srgbClr w14:val="000000">
                      <w14:alpha w14:val="100000"/>
                    </w14:srgbClr>
                  </w14:solidFill>
                </w14:textFill>
              </w:rPr>
              <w:t>|||</w:t>
            </w:r>
            <w:r w:rsidRPr="00FC56D6">
              <w:rPr>
                <w:rFonts w:ascii="Arial Narrow" w:hAnsi="Arial Narrow"/>
                <w:color w:val="000000"/>
                <w:spacing w:val="15"/>
                <w:sz w:val="20"/>
                <w:shd w:val="solid" w:color="000000" w:fill="000000"/>
                <w:fitText w:val="330" w:id="-606382841"/>
                <w14:textFill>
                  <w14:solidFill>
                    <w14:srgbClr w14:val="000000">
                      <w14:alpha w14:val="100000"/>
                    </w14:srgbClr>
                  </w14:solidFill>
                </w14:textFill>
              </w:rPr>
              <w:t>|</w:t>
            </w:r>
            <w:r w:rsidR="005B218A" w:rsidRPr="00E858DF">
              <w:rPr>
                <w:rFonts w:ascii="Arial Narrow" w:hAnsi="Arial Narrow"/>
                <w:sz w:val="20"/>
                <w:vertAlign w:val="superscript"/>
              </w:rPr>
              <w:t>1</w:t>
            </w:r>
          </w:p>
        </w:tc>
        <w:tc>
          <w:tcPr>
            <w:tcW w:w="654" w:type="pct"/>
          </w:tcPr>
          <w:p w14:paraId="52A0D169" w14:textId="21F6A779"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olor w:val="000000"/>
                <w:spacing w:val="45"/>
                <w:sz w:val="20"/>
                <w:shd w:val="solid" w:color="000000" w:fill="000000"/>
                <w:fitText w:val="330" w:id="-606382840"/>
                <w14:textFill>
                  <w14:solidFill>
                    <w14:srgbClr w14:val="000000">
                      <w14:alpha w14:val="100000"/>
                    </w14:srgbClr>
                  </w14:solidFill>
                </w14:textFill>
              </w:rPr>
              <w:t>|||</w:t>
            </w:r>
            <w:r w:rsidRPr="00FC56D6">
              <w:rPr>
                <w:rFonts w:ascii="Arial Narrow" w:hAnsi="Arial Narrow"/>
                <w:color w:val="000000"/>
                <w:spacing w:val="15"/>
                <w:sz w:val="20"/>
                <w:shd w:val="solid" w:color="000000" w:fill="000000"/>
                <w:fitText w:val="330" w:id="-606382840"/>
                <w14:textFill>
                  <w14:solidFill>
                    <w14:srgbClr w14:val="000000">
                      <w14:alpha w14:val="100000"/>
                    </w14:srgbClr>
                  </w14:solidFill>
                </w14:textFill>
              </w:rPr>
              <w:t>|</w:t>
            </w:r>
            <w:r w:rsidR="005B218A" w:rsidRPr="00E858DF">
              <w:rPr>
                <w:rFonts w:ascii="Arial Narrow" w:hAnsi="Arial Narrow"/>
                <w:sz w:val="20"/>
                <w:vertAlign w:val="superscript"/>
              </w:rPr>
              <w:t>1</w:t>
            </w:r>
          </w:p>
        </w:tc>
        <w:tc>
          <w:tcPr>
            <w:tcW w:w="654" w:type="pct"/>
          </w:tcPr>
          <w:p w14:paraId="7E8E82C1" w14:textId="749E1CA0"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olor w:val="000000"/>
                <w:spacing w:val="45"/>
                <w:sz w:val="20"/>
                <w:shd w:val="solid" w:color="000000" w:fill="000000"/>
                <w:fitText w:val="330" w:id="-606382839"/>
                <w14:textFill>
                  <w14:solidFill>
                    <w14:srgbClr w14:val="000000">
                      <w14:alpha w14:val="100000"/>
                    </w14:srgbClr>
                  </w14:solidFill>
                </w14:textFill>
              </w:rPr>
              <w:t>|||</w:t>
            </w:r>
            <w:r w:rsidRPr="00FC56D6">
              <w:rPr>
                <w:rFonts w:ascii="Arial Narrow" w:hAnsi="Arial Narrow"/>
                <w:color w:val="000000"/>
                <w:spacing w:val="15"/>
                <w:sz w:val="20"/>
                <w:shd w:val="solid" w:color="000000" w:fill="000000"/>
                <w:fitText w:val="330" w:id="-606382839"/>
                <w14:textFill>
                  <w14:solidFill>
                    <w14:srgbClr w14:val="000000">
                      <w14:alpha w14:val="100000"/>
                    </w14:srgbClr>
                  </w14:solidFill>
                </w14:textFill>
              </w:rPr>
              <w:t>|</w:t>
            </w:r>
            <w:r w:rsidR="005B218A" w:rsidRPr="00E858DF">
              <w:rPr>
                <w:rFonts w:ascii="Arial Narrow" w:hAnsi="Arial Narrow"/>
                <w:sz w:val="20"/>
                <w:vertAlign w:val="superscript"/>
              </w:rPr>
              <w:t>1</w:t>
            </w:r>
          </w:p>
        </w:tc>
        <w:tc>
          <w:tcPr>
            <w:tcW w:w="654" w:type="pct"/>
          </w:tcPr>
          <w:p w14:paraId="3C3B2F9B" w14:textId="3CC46333"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olor w:val="000000"/>
                <w:spacing w:val="45"/>
                <w:sz w:val="20"/>
                <w:shd w:val="solid" w:color="000000" w:fill="000000"/>
                <w:fitText w:val="330" w:id="-606382838"/>
                <w14:textFill>
                  <w14:solidFill>
                    <w14:srgbClr w14:val="000000">
                      <w14:alpha w14:val="100000"/>
                    </w14:srgbClr>
                  </w14:solidFill>
                </w14:textFill>
              </w:rPr>
              <w:t>|||</w:t>
            </w:r>
            <w:r w:rsidRPr="00FC56D6">
              <w:rPr>
                <w:rFonts w:ascii="Arial Narrow" w:hAnsi="Arial Narrow"/>
                <w:color w:val="000000"/>
                <w:spacing w:val="15"/>
                <w:sz w:val="20"/>
                <w:shd w:val="solid" w:color="000000" w:fill="000000"/>
                <w:fitText w:val="330" w:id="-606382838"/>
                <w14:textFill>
                  <w14:solidFill>
                    <w14:srgbClr w14:val="000000">
                      <w14:alpha w14:val="100000"/>
                    </w14:srgbClr>
                  </w14:solidFill>
                </w14:textFill>
              </w:rPr>
              <w:t>|</w:t>
            </w:r>
            <w:r w:rsidR="005B218A" w:rsidRPr="00E858DF">
              <w:rPr>
                <w:rFonts w:ascii="Arial Narrow" w:hAnsi="Arial Narrow"/>
                <w:sz w:val="20"/>
                <w:vertAlign w:val="superscript"/>
              </w:rPr>
              <w:t>1</w:t>
            </w:r>
          </w:p>
        </w:tc>
        <w:tc>
          <w:tcPr>
            <w:tcW w:w="654" w:type="pct"/>
          </w:tcPr>
          <w:p w14:paraId="459E3323" w14:textId="34ABF6A5"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olor w:val="000000"/>
                <w:spacing w:val="45"/>
                <w:sz w:val="20"/>
                <w:shd w:val="solid" w:color="000000" w:fill="000000"/>
                <w:fitText w:val="330" w:id="-606382837"/>
                <w14:textFill>
                  <w14:solidFill>
                    <w14:srgbClr w14:val="000000">
                      <w14:alpha w14:val="100000"/>
                    </w14:srgbClr>
                  </w14:solidFill>
                </w14:textFill>
              </w:rPr>
              <w:t>|||</w:t>
            </w:r>
            <w:r w:rsidRPr="00FC56D6">
              <w:rPr>
                <w:rFonts w:ascii="Arial Narrow" w:hAnsi="Arial Narrow"/>
                <w:color w:val="000000"/>
                <w:spacing w:val="15"/>
                <w:sz w:val="20"/>
                <w:shd w:val="solid" w:color="000000" w:fill="000000"/>
                <w:fitText w:val="330" w:id="-606382837"/>
                <w14:textFill>
                  <w14:solidFill>
                    <w14:srgbClr w14:val="000000">
                      <w14:alpha w14:val="100000"/>
                    </w14:srgbClr>
                  </w14:solidFill>
                </w14:textFill>
              </w:rPr>
              <w:t>|</w:t>
            </w:r>
            <w:r w:rsidR="005B218A" w:rsidRPr="00E858DF">
              <w:rPr>
                <w:rFonts w:ascii="Arial Narrow" w:hAnsi="Arial Narrow"/>
                <w:sz w:val="20"/>
                <w:vertAlign w:val="superscript"/>
              </w:rPr>
              <w:t>1</w:t>
            </w:r>
          </w:p>
        </w:tc>
        <w:tc>
          <w:tcPr>
            <w:tcW w:w="654" w:type="pct"/>
          </w:tcPr>
          <w:p w14:paraId="611C99C8" w14:textId="047C5ACB"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olor w:val="000000"/>
                <w:spacing w:val="45"/>
                <w:sz w:val="20"/>
                <w:shd w:val="solid" w:color="000000" w:fill="000000"/>
                <w:fitText w:val="330" w:id="-606382836"/>
                <w14:textFill>
                  <w14:solidFill>
                    <w14:srgbClr w14:val="000000">
                      <w14:alpha w14:val="100000"/>
                    </w14:srgbClr>
                  </w14:solidFill>
                </w14:textFill>
              </w:rPr>
              <w:t>|||</w:t>
            </w:r>
            <w:r w:rsidRPr="00FC56D6">
              <w:rPr>
                <w:rFonts w:ascii="Arial Narrow" w:hAnsi="Arial Narrow"/>
                <w:color w:val="000000"/>
                <w:spacing w:val="15"/>
                <w:sz w:val="20"/>
                <w:shd w:val="solid" w:color="000000" w:fill="000000"/>
                <w:fitText w:val="330" w:id="-606382836"/>
                <w14:textFill>
                  <w14:solidFill>
                    <w14:srgbClr w14:val="000000">
                      <w14:alpha w14:val="100000"/>
                    </w14:srgbClr>
                  </w14:solidFill>
                </w14:textFill>
              </w:rPr>
              <w:t>|</w:t>
            </w:r>
            <w:r w:rsidR="005B218A" w:rsidRPr="00E858DF">
              <w:rPr>
                <w:rFonts w:ascii="Arial Narrow" w:hAnsi="Arial Narrow"/>
                <w:sz w:val="20"/>
                <w:vertAlign w:val="superscript"/>
              </w:rPr>
              <w:t>1</w:t>
            </w:r>
          </w:p>
        </w:tc>
      </w:tr>
      <w:tr w:rsidR="005B218A" w:rsidRPr="00425894" w14:paraId="447929C3" w14:textId="77777777" w:rsidTr="007C419B">
        <w:tc>
          <w:tcPr>
            <w:tcW w:w="5000" w:type="pct"/>
            <w:gridSpan w:val="7"/>
          </w:tcPr>
          <w:p w14:paraId="5CDDCFC9" w14:textId="77777777" w:rsidR="005B218A" w:rsidRPr="00425894" w:rsidRDefault="005B218A" w:rsidP="007C419B">
            <w:pPr>
              <w:keepNext/>
              <w:keepLines/>
              <w:widowControl w:val="0"/>
              <w:spacing w:before="0"/>
              <w:jc w:val="left"/>
              <w:rPr>
                <w:rFonts w:ascii="Arial Narrow" w:hAnsi="Arial Narrow"/>
                <w:b/>
                <w:sz w:val="20"/>
              </w:rPr>
            </w:pPr>
            <w:r w:rsidRPr="00425894">
              <w:rPr>
                <w:rFonts w:ascii="Arial Narrow" w:hAnsi="Arial Narrow"/>
                <w:b/>
                <w:sz w:val="20"/>
              </w:rPr>
              <w:t xml:space="preserve">Estimated extent of use of </w:t>
            </w:r>
            <w:proofErr w:type="spellStart"/>
            <w:r w:rsidRPr="00425894">
              <w:rPr>
                <w:rFonts w:ascii="Arial Narrow" w:hAnsi="Arial Narrow"/>
                <w:b/>
                <w:sz w:val="20"/>
              </w:rPr>
              <w:t>zolbetuximab</w:t>
            </w:r>
            <w:proofErr w:type="spellEnd"/>
          </w:p>
        </w:tc>
      </w:tr>
      <w:tr w:rsidR="005B218A" w:rsidRPr="007C419B" w14:paraId="3CFFDA2B" w14:textId="77777777" w:rsidTr="007C419B">
        <w:tc>
          <w:tcPr>
            <w:tcW w:w="1076" w:type="pct"/>
          </w:tcPr>
          <w:p w14:paraId="7743EC36" w14:textId="77777777" w:rsidR="005B218A" w:rsidRPr="00425894" w:rsidRDefault="005B218A" w:rsidP="007C419B">
            <w:pPr>
              <w:keepNext/>
              <w:keepLines/>
              <w:widowControl w:val="0"/>
              <w:spacing w:before="0"/>
              <w:jc w:val="left"/>
              <w:rPr>
                <w:rFonts w:ascii="Arial Narrow" w:hAnsi="Arial Narrow"/>
                <w:sz w:val="20"/>
              </w:rPr>
            </w:pPr>
            <w:r w:rsidRPr="00425894">
              <w:rPr>
                <w:rFonts w:ascii="Arial Narrow" w:hAnsi="Arial Narrow"/>
                <w:sz w:val="20"/>
              </w:rPr>
              <w:t>Number of patients likely to be treated with proposed drug</w:t>
            </w:r>
          </w:p>
        </w:tc>
        <w:tc>
          <w:tcPr>
            <w:tcW w:w="654" w:type="pct"/>
          </w:tcPr>
          <w:p w14:paraId="03C9D3AC" w14:textId="75DF6BC1" w:rsidR="005B218A" w:rsidRPr="00425894" w:rsidRDefault="00FC56D6" w:rsidP="007C419B">
            <w:pPr>
              <w:keepNext/>
              <w:keepLines/>
              <w:widowControl w:val="0"/>
              <w:spacing w:before="0"/>
              <w:jc w:val="center"/>
              <w:rPr>
                <w:rFonts w:ascii="Arial Narrow" w:hAnsi="Arial Narrow"/>
                <w:sz w:val="20"/>
              </w:rPr>
            </w:pPr>
            <w:r w:rsidRPr="00FC56D6">
              <w:rPr>
                <w:rFonts w:ascii="Arial Narrow" w:hAnsi="Arial Narrow"/>
                <w:color w:val="000000"/>
                <w:spacing w:val="48"/>
                <w:sz w:val="20"/>
                <w:shd w:val="solid" w:color="000000" w:fill="000000"/>
                <w:fitText w:val="315" w:id="-606382835"/>
                <w14:textFill>
                  <w14:solidFill>
                    <w14:srgbClr w14:val="000000">
                      <w14:alpha w14:val="100000"/>
                    </w14:srgbClr>
                  </w14:solidFill>
                </w14:textFill>
              </w:rPr>
              <w:t>|||</w:t>
            </w:r>
            <w:r w:rsidRPr="00FC56D6">
              <w:rPr>
                <w:rFonts w:ascii="Arial Narrow" w:hAnsi="Arial Narrow"/>
                <w:color w:val="000000"/>
                <w:spacing w:val="1"/>
                <w:sz w:val="20"/>
                <w:shd w:val="solid" w:color="000000" w:fill="000000"/>
                <w:fitText w:val="315" w:id="-606382835"/>
                <w14:textFill>
                  <w14:solidFill>
                    <w14:srgbClr w14:val="000000">
                      <w14:alpha w14:val="100000"/>
                    </w14:srgbClr>
                  </w14:solidFill>
                </w14:textFill>
              </w:rPr>
              <w:t>|</w:t>
            </w:r>
            <w:proofErr w:type="gramStart"/>
            <w:r w:rsidR="005B218A" w:rsidRPr="007C419B">
              <w:rPr>
                <w:rFonts w:ascii="Arial Narrow" w:hAnsi="Arial Narrow"/>
                <w:sz w:val="20"/>
                <w:vertAlign w:val="superscript"/>
              </w:rPr>
              <w:t>2</w:t>
            </w:r>
            <w:r w:rsidR="005B218A">
              <w:rPr>
                <w:rFonts w:ascii="Arial Narrow" w:hAnsi="Arial Narrow"/>
                <w:sz w:val="20"/>
                <w:vertAlign w:val="superscript"/>
              </w:rPr>
              <w:t>,</w:t>
            </w:r>
            <w:r w:rsidR="005B218A" w:rsidRPr="00425894">
              <w:rPr>
                <w:rFonts w:ascii="Arial Narrow" w:hAnsi="Arial Narrow"/>
                <w:sz w:val="20"/>
                <w:vertAlign w:val="superscript"/>
              </w:rPr>
              <w:t>a</w:t>
            </w:r>
            <w:proofErr w:type="gramEnd"/>
          </w:p>
        </w:tc>
        <w:tc>
          <w:tcPr>
            <w:tcW w:w="654" w:type="pct"/>
          </w:tcPr>
          <w:p w14:paraId="70CA314B" w14:textId="308A8CCC"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olor w:val="000000"/>
                <w:spacing w:val="45"/>
                <w:sz w:val="20"/>
                <w:shd w:val="solid" w:color="000000" w:fill="000000"/>
                <w:fitText w:val="330" w:id="-606382834"/>
                <w14:textFill>
                  <w14:solidFill>
                    <w14:srgbClr w14:val="000000">
                      <w14:alpha w14:val="100000"/>
                    </w14:srgbClr>
                  </w14:solidFill>
                </w14:textFill>
              </w:rPr>
              <w:t>|||</w:t>
            </w:r>
            <w:r w:rsidRPr="00FC56D6">
              <w:rPr>
                <w:rFonts w:ascii="Arial Narrow" w:hAnsi="Arial Narrow"/>
                <w:color w:val="000000"/>
                <w:spacing w:val="15"/>
                <w:sz w:val="20"/>
                <w:shd w:val="solid" w:color="000000" w:fill="000000"/>
                <w:fitText w:val="330" w:id="-606382834"/>
                <w14:textFill>
                  <w14:solidFill>
                    <w14:srgbClr w14:val="000000">
                      <w14:alpha w14:val="100000"/>
                    </w14:srgbClr>
                  </w14:solidFill>
                </w14:textFill>
              </w:rPr>
              <w:t>|</w:t>
            </w:r>
            <w:r w:rsidR="005B218A" w:rsidRPr="00E858DF">
              <w:rPr>
                <w:rFonts w:ascii="Arial Narrow" w:hAnsi="Arial Narrow"/>
                <w:sz w:val="20"/>
                <w:vertAlign w:val="superscript"/>
              </w:rPr>
              <w:t>2</w:t>
            </w:r>
          </w:p>
        </w:tc>
        <w:tc>
          <w:tcPr>
            <w:tcW w:w="654" w:type="pct"/>
          </w:tcPr>
          <w:p w14:paraId="17D1F2D9" w14:textId="33A86DAD"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olor w:val="000000"/>
                <w:spacing w:val="45"/>
                <w:sz w:val="20"/>
                <w:shd w:val="solid" w:color="000000" w:fill="000000"/>
                <w:fitText w:val="330" w:id="-606382833"/>
                <w14:textFill>
                  <w14:solidFill>
                    <w14:srgbClr w14:val="000000">
                      <w14:alpha w14:val="100000"/>
                    </w14:srgbClr>
                  </w14:solidFill>
                </w14:textFill>
              </w:rPr>
              <w:t>|||</w:t>
            </w:r>
            <w:r w:rsidRPr="00FC56D6">
              <w:rPr>
                <w:rFonts w:ascii="Arial Narrow" w:hAnsi="Arial Narrow"/>
                <w:color w:val="000000"/>
                <w:spacing w:val="15"/>
                <w:sz w:val="20"/>
                <w:shd w:val="solid" w:color="000000" w:fill="000000"/>
                <w:fitText w:val="330" w:id="-606382833"/>
                <w14:textFill>
                  <w14:solidFill>
                    <w14:srgbClr w14:val="000000">
                      <w14:alpha w14:val="100000"/>
                    </w14:srgbClr>
                  </w14:solidFill>
                </w14:textFill>
              </w:rPr>
              <w:t>|</w:t>
            </w:r>
            <w:r w:rsidR="005B218A" w:rsidRPr="00E858DF">
              <w:rPr>
                <w:rFonts w:ascii="Arial Narrow" w:hAnsi="Arial Narrow"/>
                <w:sz w:val="20"/>
                <w:vertAlign w:val="superscript"/>
              </w:rPr>
              <w:t>1</w:t>
            </w:r>
          </w:p>
        </w:tc>
        <w:tc>
          <w:tcPr>
            <w:tcW w:w="654" w:type="pct"/>
          </w:tcPr>
          <w:p w14:paraId="6C5E382F" w14:textId="0BF8420D"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olor w:val="000000"/>
                <w:spacing w:val="45"/>
                <w:sz w:val="20"/>
                <w:shd w:val="solid" w:color="000000" w:fill="000000"/>
                <w:fitText w:val="330" w:id="-606382832"/>
                <w14:textFill>
                  <w14:solidFill>
                    <w14:srgbClr w14:val="000000">
                      <w14:alpha w14:val="100000"/>
                    </w14:srgbClr>
                  </w14:solidFill>
                </w14:textFill>
              </w:rPr>
              <w:t>|||</w:t>
            </w:r>
            <w:r w:rsidRPr="00FC56D6">
              <w:rPr>
                <w:rFonts w:ascii="Arial Narrow" w:hAnsi="Arial Narrow"/>
                <w:color w:val="000000"/>
                <w:spacing w:val="15"/>
                <w:sz w:val="20"/>
                <w:shd w:val="solid" w:color="000000" w:fill="000000"/>
                <w:fitText w:val="330" w:id="-606382832"/>
                <w14:textFill>
                  <w14:solidFill>
                    <w14:srgbClr w14:val="000000">
                      <w14:alpha w14:val="100000"/>
                    </w14:srgbClr>
                  </w14:solidFill>
                </w14:textFill>
              </w:rPr>
              <w:t>|</w:t>
            </w:r>
            <w:r w:rsidR="005B218A" w:rsidRPr="00E858DF">
              <w:rPr>
                <w:rFonts w:ascii="Arial Narrow" w:hAnsi="Arial Narrow"/>
                <w:sz w:val="20"/>
                <w:vertAlign w:val="superscript"/>
              </w:rPr>
              <w:t>1</w:t>
            </w:r>
          </w:p>
        </w:tc>
        <w:tc>
          <w:tcPr>
            <w:tcW w:w="654" w:type="pct"/>
          </w:tcPr>
          <w:p w14:paraId="759E5C9B" w14:textId="5DA27AC6"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olor w:val="000000"/>
                <w:spacing w:val="45"/>
                <w:sz w:val="20"/>
                <w:shd w:val="solid" w:color="000000" w:fill="000000"/>
                <w:fitText w:val="330" w:id="-606382848"/>
                <w14:textFill>
                  <w14:solidFill>
                    <w14:srgbClr w14:val="000000">
                      <w14:alpha w14:val="100000"/>
                    </w14:srgbClr>
                  </w14:solidFill>
                </w14:textFill>
              </w:rPr>
              <w:t>|||</w:t>
            </w:r>
            <w:r w:rsidRPr="00FC56D6">
              <w:rPr>
                <w:rFonts w:ascii="Arial Narrow" w:hAnsi="Arial Narrow"/>
                <w:color w:val="000000"/>
                <w:spacing w:val="15"/>
                <w:sz w:val="20"/>
                <w:shd w:val="solid" w:color="000000" w:fill="000000"/>
                <w:fitText w:val="330" w:id="-606382848"/>
                <w14:textFill>
                  <w14:solidFill>
                    <w14:srgbClr w14:val="000000">
                      <w14:alpha w14:val="100000"/>
                    </w14:srgbClr>
                  </w14:solidFill>
                </w14:textFill>
              </w:rPr>
              <w:t>|</w:t>
            </w:r>
            <w:r w:rsidR="005B218A" w:rsidRPr="00E858DF">
              <w:rPr>
                <w:rFonts w:ascii="Arial Narrow" w:hAnsi="Arial Narrow"/>
                <w:sz w:val="20"/>
                <w:vertAlign w:val="superscript"/>
              </w:rPr>
              <w:t>1</w:t>
            </w:r>
          </w:p>
        </w:tc>
        <w:tc>
          <w:tcPr>
            <w:tcW w:w="654" w:type="pct"/>
          </w:tcPr>
          <w:p w14:paraId="57539820" w14:textId="23DD55D4"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olor w:val="000000"/>
                <w:spacing w:val="45"/>
                <w:sz w:val="20"/>
                <w:shd w:val="solid" w:color="000000" w:fill="000000"/>
                <w:fitText w:val="330" w:id="-606382847"/>
                <w14:textFill>
                  <w14:solidFill>
                    <w14:srgbClr w14:val="000000">
                      <w14:alpha w14:val="100000"/>
                    </w14:srgbClr>
                  </w14:solidFill>
                </w14:textFill>
              </w:rPr>
              <w:t>|||</w:t>
            </w:r>
            <w:r w:rsidRPr="00FC56D6">
              <w:rPr>
                <w:rFonts w:ascii="Arial Narrow" w:hAnsi="Arial Narrow"/>
                <w:color w:val="000000"/>
                <w:spacing w:val="15"/>
                <w:sz w:val="20"/>
                <w:shd w:val="solid" w:color="000000" w:fill="000000"/>
                <w:fitText w:val="330" w:id="-606382847"/>
                <w14:textFill>
                  <w14:solidFill>
                    <w14:srgbClr w14:val="000000">
                      <w14:alpha w14:val="100000"/>
                    </w14:srgbClr>
                  </w14:solidFill>
                </w14:textFill>
              </w:rPr>
              <w:t>|</w:t>
            </w:r>
            <w:r w:rsidR="005B218A" w:rsidRPr="00E858DF">
              <w:rPr>
                <w:rFonts w:ascii="Arial Narrow" w:hAnsi="Arial Narrow"/>
                <w:sz w:val="20"/>
                <w:vertAlign w:val="superscript"/>
              </w:rPr>
              <w:t>1</w:t>
            </w:r>
          </w:p>
        </w:tc>
      </w:tr>
      <w:tr w:rsidR="005B218A" w:rsidRPr="007C419B" w14:paraId="6885455C" w14:textId="77777777" w:rsidTr="007C419B">
        <w:tc>
          <w:tcPr>
            <w:tcW w:w="1076" w:type="pct"/>
          </w:tcPr>
          <w:p w14:paraId="3E617598" w14:textId="77777777" w:rsidR="005B218A" w:rsidRPr="00425894" w:rsidRDefault="005B218A" w:rsidP="007C419B">
            <w:pPr>
              <w:keepNext/>
              <w:keepLines/>
              <w:widowControl w:val="0"/>
              <w:spacing w:before="0"/>
              <w:jc w:val="left"/>
              <w:rPr>
                <w:rFonts w:ascii="Arial Narrow" w:hAnsi="Arial Narrow"/>
                <w:sz w:val="20"/>
              </w:rPr>
            </w:pPr>
            <w:r w:rsidRPr="00425894">
              <w:rPr>
                <w:rFonts w:ascii="Arial Narrow" w:hAnsi="Arial Narrow"/>
                <w:sz w:val="20"/>
              </w:rPr>
              <w:t>Number of scripts dispensed</w:t>
            </w:r>
          </w:p>
        </w:tc>
        <w:tc>
          <w:tcPr>
            <w:tcW w:w="654" w:type="pct"/>
          </w:tcPr>
          <w:p w14:paraId="3BE9171E" w14:textId="1BAE0287"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olor w:val="000000"/>
                <w:spacing w:val="45"/>
                <w:sz w:val="20"/>
                <w:shd w:val="solid" w:color="000000" w:fill="000000"/>
                <w:fitText w:val="330" w:id="-606382846"/>
                <w14:textFill>
                  <w14:solidFill>
                    <w14:srgbClr w14:val="000000">
                      <w14:alpha w14:val="100000"/>
                    </w14:srgbClr>
                  </w14:solidFill>
                </w14:textFill>
              </w:rPr>
              <w:t>|||</w:t>
            </w:r>
            <w:r w:rsidRPr="00FC56D6">
              <w:rPr>
                <w:rFonts w:ascii="Arial Narrow" w:hAnsi="Arial Narrow"/>
                <w:color w:val="000000"/>
                <w:spacing w:val="15"/>
                <w:sz w:val="20"/>
                <w:shd w:val="solid" w:color="000000" w:fill="000000"/>
                <w:fitText w:val="330" w:id="-606382846"/>
                <w14:textFill>
                  <w14:solidFill>
                    <w14:srgbClr w14:val="000000">
                      <w14:alpha w14:val="100000"/>
                    </w14:srgbClr>
                  </w14:solidFill>
                </w14:textFill>
              </w:rPr>
              <w:t>|</w:t>
            </w:r>
            <w:r w:rsidR="005B218A" w:rsidRPr="007C419B">
              <w:rPr>
                <w:rFonts w:ascii="Arial Narrow" w:hAnsi="Arial Narrow"/>
                <w:sz w:val="20"/>
                <w:vertAlign w:val="superscript"/>
              </w:rPr>
              <w:t>3</w:t>
            </w:r>
          </w:p>
        </w:tc>
        <w:tc>
          <w:tcPr>
            <w:tcW w:w="654" w:type="pct"/>
          </w:tcPr>
          <w:p w14:paraId="7828BE00" w14:textId="42231F0F"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olor w:val="000000"/>
                <w:spacing w:val="45"/>
                <w:sz w:val="20"/>
                <w:shd w:val="solid" w:color="000000" w:fill="000000"/>
                <w:fitText w:val="330" w:id="-606382845"/>
                <w14:textFill>
                  <w14:solidFill>
                    <w14:srgbClr w14:val="000000">
                      <w14:alpha w14:val="100000"/>
                    </w14:srgbClr>
                  </w14:solidFill>
                </w14:textFill>
              </w:rPr>
              <w:t>|||</w:t>
            </w:r>
            <w:r w:rsidRPr="00FC56D6">
              <w:rPr>
                <w:rFonts w:ascii="Arial Narrow" w:hAnsi="Arial Narrow"/>
                <w:color w:val="000000"/>
                <w:spacing w:val="15"/>
                <w:sz w:val="20"/>
                <w:shd w:val="solid" w:color="000000" w:fill="000000"/>
                <w:fitText w:val="330" w:id="-606382845"/>
                <w14:textFill>
                  <w14:solidFill>
                    <w14:srgbClr w14:val="000000">
                      <w14:alpha w14:val="100000"/>
                    </w14:srgbClr>
                  </w14:solidFill>
                </w14:textFill>
              </w:rPr>
              <w:t>|</w:t>
            </w:r>
            <w:r w:rsidR="005B218A" w:rsidRPr="00E858DF">
              <w:rPr>
                <w:rFonts w:ascii="Arial Narrow" w:hAnsi="Arial Narrow"/>
                <w:sz w:val="20"/>
                <w:vertAlign w:val="superscript"/>
              </w:rPr>
              <w:t>3</w:t>
            </w:r>
          </w:p>
        </w:tc>
        <w:tc>
          <w:tcPr>
            <w:tcW w:w="654" w:type="pct"/>
          </w:tcPr>
          <w:p w14:paraId="4E0DF99D" w14:textId="080A6083"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olor w:val="000000"/>
                <w:spacing w:val="45"/>
                <w:sz w:val="20"/>
                <w:shd w:val="solid" w:color="000000" w:fill="000000"/>
                <w:fitText w:val="330" w:id="-606382844"/>
                <w14:textFill>
                  <w14:solidFill>
                    <w14:srgbClr w14:val="000000">
                      <w14:alpha w14:val="100000"/>
                    </w14:srgbClr>
                  </w14:solidFill>
                </w14:textFill>
              </w:rPr>
              <w:t>|||</w:t>
            </w:r>
            <w:r w:rsidRPr="00FC56D6">
              <w:rPr>
                <w:rFonts w:ascii="Arial Narrow" w:hAnsi="Arial Narrow"/>
                <w:color w:val="000000"/>
                <w:spacing w:val="15"/>
                <w:sz w:val="20"/>
                <w:shd w:val="solid" w:color="000000" w:fill="000000"/>
                <w:fitText w:val="330" w:id="-606382844"/>
                <w14:textFill>
                  <w14:solidFill>
                    <w14:srgbClr w14:val="000000">
                      <w14:alpha w14:val="100000"/>
                    </w14:srgbClr>
                  </w14:solidFill>
                </w14:textFill>
              </w:rPr>
              <w:t>|</w:t>
            </w:r>
            <w:r w:rsidR="005B218A" w:rsidRPr="00E858DF">
              <w:rPr>
                <w:rFonts w:ascii="Arial Narrow" w:hAnsi="Arial Narrow"/>
                <w:sz w:val="20"/>
                <w:vertAlign w:val="superscript"/>
              </w:rPr>
              <w:t>3</w:t>
            </w:r>
          </w:p>
        </w:tc>
        <w:tc>
          <w:tcPr>
            <w:tcW w:w="654" w:type="pct"/>
          </w:tcPr>
          <w:p w14:paraId="092DE05E" w14:textId="14D5DDE5"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olor w:val="000000"/>
                <w:spacing w:val="45"/>
                <w:sz w:val="20"/>
                <w:shd w:val="solid" w:color="000000" w:fill="000000"/>
                <w:fitText w:val="330" w:id="-606382843"/>
                <w14:textFill>
                  <w14:solidFill>
                    <w14:srgbClr w14:val="000000">
                      <w14:alpha w14:val="100000"/>
                    </w14:srgbClr>
                  </w14:solidFill>
                </w14:textFill>
              </w:rPr>
              <w:t>|||</w:t>
            </w:r>
            <w:r w:rsidRPr="00FC56D6">
              <w:rPr>
                <w:rFonts w:ascii="Arial Narrow" w:hAnsi="Arial Narrow"/>
                <w:color w:val="000000"/>
                <w:spacing w:val="15"/>
                <w:sz w:val="20"/>
                <w:shd w:val="solid" w:color="000000" w:fill="000000"/>
                <w:fitText w:val="330" w:id="-606382843"/>
                <w14:textFill>
                  <w14:solidFill>
                    <w14:srgbClr w14:val="000000">
                      <w14:alpha w14:val="100000"/>
                    </w14:srgbClr>
                  </w14:solidFill>
                </w14:textFill>
              </w:rPr>
              <w:t>|</w:t>
            </w:r>
            <w:r w:rsidR="005B218A" w:rsidRPr="00E858DF">
              <w:rPr>
                <w:rFonts w:ascii="Arial Narrow" w:hAnsi="Arial Narrow"/>
                <w:sz w:val="20"/>
                <w:vertAlign w:val="superscript"/>
              </w:rPr>
              <w:t>3</w:t>
            </w:r>
          </w:p>
        </w:tc>
        <w:tc>
          <w:tcPr>
            <w:tcW w:w="654" w:type="pct"/>
          </w:tcPr>
          <w:p w14:paraId="400531F1" w14:textId="3BFD32AA"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olor w:val="000000"/>
                <w:spacing w:val="45"/>
                <w:sz w:val="20"/>
                <w:shd w:val="solid" w:color="000000" w:fill="000000"/>
                <w:fitText w:val="330" w:id="-606382842"/>
                <w14:textFill>
                  <w14:solidFill>
                    <w14:srgbClr w14:val="000000">
                      <w14:alpha w14:val="100000"/>
                    </w14:srgbClr>
                  </w14:solidFill>
                </w14:textFill>
              </w:rPr>
              <w:t>|||</w:t>
            </w:r>
            <w:r w:rsidRPr="00FC56D6">
              <w:rPr>
                <w:rFonts w:ascii="Arial Narrow" w:hAnsi="Arial Narrow"/>
                <w:color w:val="000000"/>
                <w:spacing w:val="15"/>
                <w:sz w:val="20"/>
                <w:shd w:val="solid" w:color="000000" w:fill="000000"/>
                <w:fitText w:val="330" w:id="-606382842"/>
                <w14:textFill>
                  <w14:solidFill>
                    <w14:srgbClr w14:val="000000">
                      <w14:alpha w14:val="100000"/>
                    </w14:srgbClr>
                  </w14:solidFill>
                </w14:textFill>
              </w:rPr>
              <w:t>|</w:t>
            </w:r>
            <w:r w:rsidR="005B218A" w:rsidRPr="00E858DF">
              <w:rPr>
                <w:rFonts w:ascii="Arial Narrow" w:hAnsi="Arial Narrow"/>
                <w:sz w:val="20"/>
                <w:vertAlign w:val="superscript"/>
              </w:rPr>
              <w:t>3</w:t>
            </w:r>
          </w:p>
        </w:tc>
        <w:tc>
          <w:tcPr>
            <w:tcW w:w="654" w:type="pct"/>
          </w:tcPr>
          <w:p w14:paraId="2259C272" w14:textId="051C50F4"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olor w:val="000000"/>
                <w:spacing w:val="45"/>
                <w:sz w:val="20"/>
                <w:shd w:val="solid" w:color="000000" w:fill="000000"/>
                <w:fitText w:val="330" w:id="-606382841"/>
                <w14:textFill>
                  <w14:solidFill>
                    <w14:srgbClr w14:val="000000">
                      <w14:alpha w14:val="100000"/>
                    </w14:srgbClr>
                  </w14:solidFill>
                </w14:textFill>
              </w:rPr>
              <w:t>|||</w:t>
            </w:r>
            <w:r w:rsidRPr="00FC56D6">
              <w:rPr>
                <w:rFonts w:ascii="Arial Narrow" w:hAnsi="Arial Narrow"/>
                <w:color w:val="000000"/>
                <w:spacing w:val="15"/>
                <w:sz w:val="20"/>
                <w:shd w:val="solid" w:color="000000" w:fill="000000"/>
                <w:fitText w:val="330" w:id="-606382841"/>
                <w14:textFill>
                  <w14:solidFill>
                    <w14:srgbClr w14:val="000000">
                      <w14:alpha w14:val="100000"/>
                    </w14:srgbClr>
                  </w14:solidFill>
                </w14:textFill>
              </w:rPr>
              <w:t>|</w:t>
            </w:r>
            <w:r w:rsidR="005B218A" w:rsidRPr="00E858DF">
              <w:rPr>
                <w:rFonts w:ascii="Arial Narrow" w:hAnsi="Arial Narrow"/>
                <w:sz w:val="20"/>
                <w:vertAlign w:val="superscript"/>
              </w:rPr>
              <w:t>3</w:t>
            </w:r>
          </w:p>
        </w:tc>
      </w:tr>
      <w:tr w:rsidR="005B218A" w:rsidRPr="00425894" w14:paraId="5C080C48" w14:textId="77777777" w:rsidTr="007C419B">
        <w:tc>
          <w:tcPr>
            <w:tcW w:w="5000" w:type="pct"/>
            <w:gridSpan w:val="7"/>
          </w:tcPr>
          <w:p w14:paraId="5BC2D23B" w14:textId="77777777" w:rsidR="005B218A" w:rsidRPr="00425894" w:rsidRDefault="005B218A" w:rsidP="007C419B">
            <w:pPr>
              <w:keepNext/>
              <w:keepLines/>
              <w:widowControl w:val="0"/>
              <w:spacing w:before="0"/>
              <w:jc w:val="left"/>
              <w:rPr>
                <w:rFonts w:ascii="Arial Narrow" w:hAnsi="Arial Narrow"/>
                <w:b/>
                <w:sz w:val="20"/>
              </w:rPr>
            </w:pPr>
            <w:r w:rsidRPr="00425894">
              <w:rPr>
                <w:rFonts w:ascii="Arial Narrow" w:hAnsi="Arial Narrow"/>
                <w:b/>
                <w:sz w:val="20"/>
              </w:rPr>
              <w:t xml:space="preserve">Estimated financial implications of </w:t>
            </w:r>
            <w:proofErr w:type="spellStart"/>
            <w:r w:rsidRPr="00425894">
              <w:rPr>
                <w:rFonts w:ascii="Arial Narrow" w:hAnsi="Arial Narrow"/>
                <w:b/>
                <w:sz w:val="20"/>
              </w:rPr>
              <w:t>zolbetuximab</w:t>
            </w:r>
            <w:proofErr w:type="spellEnd"/>
            <w:r w:rsidRPr="00425894">
              <w:rPr>
                <w:rFonts w:ascii="Arial Narrow" w:hAnsi="Arial Narrow"/>
                <w:b/>
                <w:sz w:val="20"/>
              </w:rPr>
              <w:t xml:space="preserve"> to the PBS/RPBS</w:t>
            </w:r>
          </w:p>
        </w:tc>
      </w:tr>
      <w:tr w:rsidR="005B218A" w:rsidRPr="007C419B" w14:paraId="690F0971" w14:textId="77777777" w:rsidTr="007C419B">
        <w:tc>
          <w:tcPr>
            <w:tcW w:w="1076" w:type="pct"/>
          </w:tcPr>
          <w:p w14:paraId="3BCC00BF" w14:textId="77777777" w:rsidR="005B218A" w:rsidRPr="00425894" w:rsidRDefault="005B218A" w:rsidP="007C419B">
            <w:pPr>
              <w:keepNext/>
              <w:keepLines/>
              <w:widowControl w:val="0"/>
              <w:spacing w:before="0"/>
              <w:jc w:val="left"/>
              <w:rPr>
                <w:rFonts w:ascii="Arial Narrow" w:hAnsi="Arial Narrow"/>
                <w:sz w:val="20"/>
              </w:rPr>
            </w:pPr>
            <w:r w:rsidRPr="00425894">
              <w:rPr>
                <w:rFonts w:ascii="Arial Narrow" w:hAnsi="Arial Narrow"/>
                <w:sz w:val="20"/>
              </w:rPr>
              <w:t>Cost to PBS/RPBS less copayments</w:t>
            </w:r>
          </w:p>
        </w:tc>
        <w:tc>
          <w:tcPr>
            <w:tcW w:w="654" w:type="pct"/>
          </w:tcPr>
          <w:p w14:paraId="1C456A05" w14:textId="0FA3CB98"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45"/>
                <w:sz w:val="20"/>
                <w:shd w:val="solid" w:color="000000" w:fill="000000"/>
                <w:fitText w:val="330" w:id="-606382840"/>
                <w14:textFill>
                  <w14:solidFill>
                    <w14:srgbClr w14:val="000000">
                      <w14:alpha w14:val="100000"/>
                    </w14:srgbClr>
                  </w14:solidFill>
                </w14:textFill>
              </w:rPr>
              <w:t>|||</w:t>
            </w:r>
            <w:r w:rsidRPr="00FC56D6">
              <w:rPr>
                <w:rFonts w:ascii="Arial Narrow" w:hAnsi="Arial Narrow" w:cs="Arial"/>
                <w:color w:val="000000"/>
                <w:spacing w:val="15"/>
                <w:sz w:val="20"/>
                <w:shd w:val="solid" w:color="000000" w:fill="000000"/>
                <w:fitText w:val="330" w:id="-606382840"/>
                <w14:textFill>
                  <w14:solidFill>
                    <w14:srgbClr w14:val="000000">
                      <w14:alpha w14:val="100000"/>
                    </w14:srgbClr>
                  </w14:solidFill>
                </w14:textFill>
              </w:rPr>
              <w:t>|</w:t>
            </w:r>
            <w:r w:rsidR="005B218A" w:rsidRPr="007C419B">
              <w:rPr>
                <w:rFonts w:ascii="Arial Narrow" w:hAnsi="Arial Narrow" w:cs="Arial"/>
                <w:color w:val="000000"/>
                <w:sz w:val="20"/>
                <w:vertAlign w:val="superscript"/>
              </w:rPr>
              <w:t>4</w:t>
            </w:r>
          </w:p>
        </w:tc>
        <w:tc>
          <w:tcPr>
            <w:tcW w:w="654" w:type="pct"/>
          </w:tcPr>
          <w:p w14:paraId="2E00F1FF" w14:textId="5C7B79CD"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45"/>
                <w:sz w:val="20"/>
                <w:shd w:val="solid" w:color="000000" w:fill="000000"/>
                <w:fitText w:val="330" w:id="-606382839"/>
                <w14:textFill>
                  <w14:solidFill>
                    <w14:srgbClr w14:val="000000">
                      <w14:alpha w14:val="100000"/>
                    </w14:srgbClr>
                  </w14:solidFill>
                </w14:textFill>
              </w:rPr>
              <w:t>|||</w:t>
            </w:r>
            <w:r w:rsidRPr="00FC56D6">
              <w:rPr>
                <w:rFonts w:ascii="Arial Narrow" w:hAnsi="Arial Narrow" w:cs="Arial"/>
                <w:color w:val="000000"/>
                <w:spacing w:val="15"/>
                <w:sz w:val="20"/>
                <w:shd w:val="solid" w:color="000000" w:fill="000000"/>
                <w:fitText w:val="330" w:id="-606382839"/>
                <w14:textFill>
                  <w14:solidFill>
                    <w14:srgbClr w14:val="000000">
                      <w14:alpha w14:val="100000"/>
                    </w14:srgbClr>
                  </w14:solidFill>
                </w14:textFill>
              </w:rPr>
              <w:t>|</w:t>
            </w:r>
            <w:r w:rsidR="005B218A" w:rsidRPr="007C419B">
              <w:rPr>
                <w:rFonts w:ascii="Arial Narrow" w:hAnsi="Arial Narrow" w:cs="Arial"/>
                <w:color w:val="000000"/>
                <w:sz w:val="20"/>
                <w:vertAlign w:val="superscript"/>
              </w:rPr>
              <w:t>5</w:t>
            </w:r>
          </w:p>
        </w:tc>
        <w:tc>
          <w:tcPr>
            <w:tcW w:w="654" w:type="pct"/>
          </w:tcPr>
          <w:p w14:paraId="7550959B" w14:textId="013E0522"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45"/>
                <w:sz w:val="20"/>
                <w:shd w:val="solid" w:color="000000" w:fill="000000"/>
                <w:fitText w:val="330" w:id="-606382838"/>
                <w14:textFill>
                  <w14:solidFill>
                    <w14:srgbClr w14:val="000000">
                      <w14:alpha w14:val="100000"/>
                    </w14:srgbClr>
                  </w14:solidFill>
                </w14:textFill>
              </w:rPr>
              <w:t>|||</w:t>
            </w:r>
            <w:r w:rsidRPr="00FC56D6">
              <w:rPr>
                <w:rFonts w:ascii="Arial Narrow" w:hAnsi="Arial Narrow" w:cs="Arial"/>
                <w:color w:val="000000"/>
                <w:spacing w:val="15"/>
                <w:sz w:val="20"/>
                <w:shd w:val="solid" w:color="000000" w:fill="000000"/>
                <w:fitText w:val="330" w:id="-606382838"/>
                <w14:textFill>
                  <w14:solidFill>
                    <w14:srgbClr w14:val="000000">
                      <w14:alpha w14:val="100000"/>
                    </w14:srgbClr>
                  </w14:solidFill>
                </w14:textFill>
              </w:rPr>
              <w:t>|</w:t>
            </w:r>
            <w:r w:rsidR="005B218A" w:rsidRPr="00E858DF">
              <w:rPr>
                <w:rFonts w:ascii="Arial Narrow" w:hAnsi="Arial Narrow" w:cs="Arial"/>
                <w:color w:val="000000"/>
                <w:sz w:val="20"/>
                <w:vertAlign w:val="superscript"/>
              </w:rPr>
              <w:t>5</w:t>
            </w:r>
          </w:p>
        </w:tc>
        <w:tc>
          <w:tcPr>
            <w:tcW w:w="654" w:type="pct"/>
          </w:tcPr>
          <w:p w14:paraId="2F885093" w14:textId="24ED5895"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45"/>
                <w:sz w:val="20"/>
                <w:shd w:val="solid" w:color="000000" w:fill="000000"/>
                <w:fitText w:val="330" w:id="-606382837"/>
                <w14:textFill>
                  <w14:solidFill>
                    <w14:srgbClr w14:val="000000">
                      <w14:alpha w14:val="100000"/>
                    </w14:srgbClr>
                  </w14:solidFill>
                </w14:textFill>
              </w:rPr>
              <w:t>|||</w:t>
            </w:r>
            <w:r w:rsidRPr="00FC56D6">
              <w:rPr>
                <w:rFonts w:ascii="Arial Narrow" w:hAnsi="Arial Narrow" w:cs="Arial"/>
                <w:color w:val="000000"/>
                <w:spacing w:val="15"/>
                <w:sz w:val="20"/>
                <w:shd w:val="solid" w:color="000000" w:fill="000000"/>
                <w:fitText w:val="330" w:id="-606382837"/>
                <w14:textFill>
                  <w14:solidFill>
                    <w14:srgbClr w14:val="000000">
                      <w14:alpha w14:val="100000"/>
                    </w14:srgbClr>
                  </w14:solidFill>
                </w14:textFill>
              </w:rPr>
              <w:t>|</w:t>
            </w:r>
            <w:r w:rsidR="005B218A" w:rsidRPr="00E858DF">
              <w:rPr>
                <w:rFonts w:ascii="Arial Narrow" w:hAnsi="Arial Narrow" w:cs="Arial"/>
                <w:color w:val="000000"/>
                <w:sz w:val="20"/>
                <w:vertAlign w:val="superscript"/>
              </w:rPr>
              <w:t>5</w:t>
            </w:r>
          </w:p>
        </w:tc>
        <w:tc>
          <w:tcPr>
            <w:tcW w:w="654" w:type="pct"/>
          </w:tcPr>
          <w:p w14:paraId="1B87D539" w14:textId="38D9A4EE"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45"/>
                <w:sz w:val="20"/>
                <w:shd w:val="solid" w:color="000000" w:fill="000000"/>
                <w:fitText w:val="330" w:id="-606382836"/>
                <w14:textFill>
                  <w14:solidFill>
                    <w14:srgbClr w14:val="000000">
                      <w14:alpha w14:val="100000"/>
                    </w14:srgbClr>
                  </w14:solidFill>
                </w14:textFill>
              </w:rPr>
              <w:t>|||</w:t>
            </w:r>
            <w:r w:rsidRPr="00FC56D6">
              <w:rPr>
                <w:rFonts w:ascii="Arial Narrow" w:hAnsi="Arial Narrow" w:cs="Arial"/>
                <w:color w:val="000000"/>
                <w:spacing w:val="15"/>
                <w:sz w:val="20"/>
                <w:shd w:val="solid" w:color="000000" w:fill="000000"/>
                <w:fitText w:val="330" w:id="-606382836"/>
                <w14:textFill>
                  <w14:solidFill>
                    <w14:srgbClr w14:val="000000">
                      <w14:alpha w14:val="100000"/>
                    </w14:srgbClr>
                  </w14:solidFill>
                </w14:textFill>
              </w:rPr>
              <w:t>|</w:t>
            </w:r>
            <w:r w:rsidR="005B218A" w:rsidRPr="007C419B">
              <w:rPr>
                <w:rFonts w:ascii="Arial Narrow" w:hAnsi="Arial Narrow" w:cs="Arial"/>
                <w:color w:val="000000"/>
                <w:sz w:val="20"/>
                <w:vertAlign w:val="superscript"/>
              </w:rPr>
              <w:t>6</w:t>
            </w:r>
          </w:p>
        </w:tc>
        <w:tc>
          <w:tcPr>
            <w:tcW w:w="654" w:type="pct"/>
          </w:tcPr>
          <w:p w14:paraId="450B9990" w14:textId="14A8CBDC"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45"/>
                <w:sz w:val="20"/>
                <w:shd w:val="solid" w:color="000000" w:fill="000000"/>
                <w:fitText w:val="330" w:id="-606382835"/>
                <w14:textFill>
                  <w14:solidFill>
                    <w14:srgbClr w14:val="000000">
                      <w14:alpha w14:val="100000"/>
                    </w14:srgbClr>
                  </w14:solidFill>
                </w14:textFill>
              </w:rPr>
              <w:t>|||</w:t>
            </w:r>
            <w:r w:rsidRPr="00FC56D6">
              <w:rPr>
                <w:rFonts w:ascii="Arial Narrow" w:hAnsi="Arial Narrow" w:cs="Arial"/>
                <w:color w:val="000000"/>
                <w:spacing w:val="15"/>
                <w:sz w:val="20"/>
                <w:shd w:val="solid" w:color="000000" w:fill="000000"/>
                <w:fitText w:val="330" w:id="-606382835"/>
                <w14:textFill>
                  <w14:solidFill>
                    <w14:srgbClr w14:val="000000">
                      <w14:alpha w14:val="100000"/>
                    </w14:srgbClr>
                  </w14:solidFill>
                </w14:textFill>
              </w:rPr>
              <w:t>|</w:t>
            </w:r>
            <w:r w:rsidR="005B218A" w:rsidRPr="00E858DF">
              <w:rPr>
                <w:rFonts w:ascii="Arial Narrow" w:hAnsi="Arial Narrow" w:cs="Arial"/>
                <w:color w:val="000000"/>
                <w:sz w:val="20"/>
                <w:vertAlign w:val="superscript"/>
              </w:rPr>
              <w:t>6</w:t>
            </w:r>
          </w:p>
        </w:tc>
      </w:tr>
      <w:tr w:rsidR="005B218A" w:rsidRPr="00425894" w14:paraId="34259050" w14:textId="77777777" w:rsidTr="007C419B">
        <w:tc>
          <w:tcPr>
            <w:tcW w:w="5000" w:type="pct"/>
            <w:gridSpan w:val="7"/>
          </w:tcPr>
          <w:p w14:paraId="00EA35FB" w14:textId="77777777" w:rsidR="005B218A" w:rsidRPr="00425894" w:rsidRDefault="005B218A" w:rsidP="007C419B">
            <w:pPr>
              <w:keepNext/>
              <w:keepLines/>
              <w:widowControl w:val="0"/>
              <w:spacing w:before="0"/>
              <w:jc w:val="left"/>
              <w:rPr>
                <w:rFonts w:ascii="Arial Narrow" w:hAnsi="Arial Narrow"/>
                <w:b/>
                <w:sz w:val="20"/>
              </w:rPr>
            </w:pPr>
            <w:r w:rsidRPr="00425894">
              <w:rPr>
                <w:rFonts w:ascii="Arial Narrow" w:hAnsi="Arial Narrow"/>
                <w:b/>
                <w:sz w:val="20"/>
              </w:rPr>
              <w:t>Estimated financial implications for nivolumab</w:t>
            </w:r>
          </w:p>
        </w:tc>
      </w:tr>
      <w:tr w:rsidR="005B218A" w:rsidRPr="007C419B" w14:paraId="21043BC8" w14:textId="77777777" w:rsidTr="007C419B">
        <w:tc>
          <w:tcPr>
            <w:tcW w:w="1076" w:type="pct"/>
          </w:tcPr>
          <w:p w14:paraId="201E1466" w14:textId="77777777" w:rsidR="005B218A" w:rsidRPr="00425894" w:rsidRDefault="005B218A" w:rsidP="007C419B">
            <w:pPr>
              <w:keepNext/>
              <w:keepLines/>
              <w:widowControl w:val="0"/>
              <w:spacing w:before="0"/>
              <w:jc w:val="left"/>
              <w:rPr>
                <w:rFonts w:ascii="Arial Narrow" w:hAnsi="Arial Narrow"/>
                <w:sz w:val="20"/>
              </w:rPr>
            </w:pPr>
            <w:r w:rsidRPr="00425894">
              <w:rPr>
                <w:rFonts w:ascii="Arial Narrow" w:hAnsi="Arial Narrow"/>
                <w:sz w:val="20"/>
              </w:rPr>
              <w:t>Cost to PBS/RPBS less copayments</w:t>
            </w:r>
          </w:p>
        </w:tc>
        <w:tc>
          <w:tcPr>
            <w:tcW w:w="654" w:type="pct"/>
          </w:tcPr>
          <w:p w14:paraId="3D014909" w14:textId="32EEFFBB"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223"/>
                <w:sz w:val="18"/>
                <w:szCs w:val="18"/>
                <w:shd w:val="solid" w:color="000000" w:fill="000000"/>
                <w:fitText w:val="300" w:id="-606382834"/>
                <w14:textFill>
                  <w14:solidFill>
                    <w14:srgbClr w14:val="000000">
                      <w14:alpha w14:val="100000"/>
                    </w14:srgbClr>
                  </w14:solidFill>
                </w14:textFill>
              </w:rPr>
              <w:t>|</w:t>
            </w:r>
            <w:r w:rsidRPr="00FC56D6">
              <w:rPr>
                <w:rFonts w:ascii="Arial Narrow" w:hAnsi="Arial Narrow" w:cs="Arial"/>
                <w:color w:val="000000"/>
                <w:spacing w:val="1"/>
                <w:sz w:val="18"/>
                <w:szCs w:val="18"/>
                <w:shd w:val="solid" w:color="000000" w:fill="000000"/>
                <w:fitText w:val="300" w:id="-606382834"/>
                <w14:textFill>
                  <w14:solidFill>
                    <w14:srgbClr w14:val="000000">
                      <w14:alpha w14:val="100000"/>
                    </w14:srgbClr>
                  </w14:solidFill>
                </w14:textFill>
              </w:rPr>
              <w:t>|</w:t>
            </w:r>
            <w:r w:rsidR="005B218A" w:rsidRPr="007C419B">
              <w:rPr>
                <w:rFonts w:ascii="Arial Narrow" w:hAnsi="Arial Narrow" w:cs="Arial"/>
                <w:sz w:val="18"/>
                <w:szCs w:val="18"/>
                <w:vertAlign w:val="superscript"/>
              </w:rPr>
              <w:t>7</w:t>
            </w:r>
          </w:p>
        </w:tc>
        <w:tc>
          <w:tcPr>
            <w:tcW w:w="654" w:type="pct"/>
          </w:tcPr>
          <w:p w14:paraId="755BB466" w14:textId="65929D96" w:rsidR="005B218A" w:rsidRPr="007C419B" w:rsidRDefault="00FC56D6" w:rsidP="007C419B">
            <w:pPr>
              <w:keepNext/>
              <w:keepLines/>
              <w:widowControl w:val="0"/>
              <w:spacing w:before="0"/>
              <w:jc w:val="center"/>
              <w:rPr>
                <w:rFonts w:ascii="Arial Narrow" w:hAnsi="Arial Narrow" w:cs="Arial"/>
                <w:sz w:val="18"/>
                <w:szCs w:val="18"/>
                <w:highlight w:val="darkGray"/>
              </w:rPr>
            </w:pPr>
            <w:r w:rsidRPr="00FC56D6">
              <w:rPr>
                <w:rFonts w:ascii="Arial Narrow" w:hAnsi="Arial Narrow" w:cs="Arial"/>
                <w:color w:val="000000"/>
                <w:spacing w:val="223"/>
                <w:sz w:val="18"/>
                <w:szCs w:val="18"/>
                <w:shd w:val="solid" w:color="000000" w:fill="000000"/>
                <w:fitText w:val="300" w:id="-606382833"/>
                <w14:textFill>
                  <w14:solidFill>
                    <w14:srgbClr w14:val="000000">
                      <w14:alpha w14:val="100000"/>
                    </w14:srgbClr>
                  </w14:solidFill>
                </w14:textFill>
              </w:rPr>
              <w:t>|</w:t>
            </w:r>
            <w:r w:rsidRPr="00FC56D6">
              <w:rPr>
                <w:rFonts w:ascii="Arial Narrow" w:hAnsi="Arial Narrow" w:cs="Arial"/>
                <w:color w:val="000000"/>
                <w:spacing w:val="1"/>
                <w:sz w:val="18"/>
                <w:szCs w:val="18"/>
                <w:shd w:val="solid" w:color="000000" w:fill="000000"/>
                <w:fitText w:val="300" w:id="-606382833"/>
                <w14:textFill>
                  <w14:solidFill>
                    <w14:srgbClr w14:val="000000">
                      <w14:alpha w14:val="100000"/>
                    </w14:srgbClr>
                  </w14:solidFill>
                </w14:textFill>
              </w:rPr>
              <w:t>|</w:t>
            </w:r>
            <w:r w:rsidR="005B218A" w:rsidRPr="00E858DF">
              <w:rPr>
                <w:rFonts w:ascii="Arial Narrow" w:hAnsi="Arial Narrow" w:cs="Arial"/>
                <w:sz w:val="18"/>
                <w:szCs w:val="18"/>
                <w:vertAlign w:val="superscript"/>
              </w:rPr>
              <w:t>7</w:t>
            </w:r>
          </w:p>
        </w:tc>
        <w:tc>
          <w:tcPr>
            <w:tcW w:w="654" w:type="pct"/>
          </w:tcPr>
          <w:p w14:paraId="5A249235" w14:textId="7DFB0570" w:rsidR="005B218A" w:rsidRPr="007C419B" w:rsidRDefault="00FC56D6" w:rsidP="007C419B">
            <w:pPr>
              <w:keepNext/>
              <w:keepLines/>
              <w:widowControl w:val="0"/>
              <w:spacing w:before="0"/>
              <w:jc w:val="center"/>
              <w:rPr>
                <w:rFonts w:ascii="Arial Narrow" w:hAnsi="Arial Narrow" w:cs="Arial"/>
                <w:sz w:val="18"/>
                <w:szCs w:val="18"/>
                <w:highlight w:val="darkGray"/>
              </w:rPr>
            </w:pPr>
            <w:r w:rsidRPr="00FC56D6">
              <w:rPr>
                <w:rFonts w:ascii="Arial Narrow" w:hAnsi="Arial Narrow" w:cs="Arial"/>
                <w:color w:val="000000"/>
                <w:spacing w:val="223"/>
                <w:sz w:val="18"/>
                <w:szCs w:val="18"/>
                <w:shd w:val="solid" w:color="000000" w:fill="000000"/>
                <w:fitText w:val="300" w:id="-606382832"/>
                <w14:textFill>
                  <w14:solidFill>
                    <w14:srgbClr w14:val="000000">
                      <w14:alpha w14:val="100000"/>
                    </w14:srgbClr>
                  </w14:solidFill>
                </w14:textFill>
              </w:rPr>
              <w:t>|</w:t>
            </w:r>
            <w:r w:rsidRPr="00FC56D6">
              <w:rPr>
                <w:rFonts w:ascii="Arial Narrow" w:hAnsi="Arial Narrow" w:cs="Arial"/>
                <w:color w:val="000000"/>
                <w:spacing w:val="1"/>
                <w:sz w:val="18"/>
                <w:szCs w:val="18"/>
                <w:shd w:val="solid" w:color="000000" w:fill="000000"/>
                <w:fitText w:val="300" w:id="-606382832"/>
                <w14:textFill>
                  <w14:solidFill>
                    <w14:srgbClr w14:val="000000">
                      <w14:alpha w14:val="100000"/>
                    </w14:srgbClr>
                  </w14:solidFill>
                </w14:textFill>
              </w:rPr>
              <w:t>|</w:t>
            </w:r>
            <w:r w:rsidR="005B218A" w:rsidRPr="00E858DF">
              <w:rPr>
                <w:rFonts w:ascii="Arial Narrow" w:hAnsi="Arial Narrow" w:cs="Arial"/>
                <w:sz w:val="18"/>
                <w:szCs w:val="18"/>
                <w:vertAlign w:val="superscript"/>
              </w:rPr>
              <w:t>7</w:t>
            </w:r>
          </w:p>
        </w:tc>
        <w:tc>
          <w:tcPr>
            <w:tcW w:w="654" w:type="pct"/>
          </w:tcPr>
          <w:p w14:paraId="4809DD7C" w14:textId="2229A659" w:rsidR="005B218A" w:rsidRPr="007C419B" w:rsidRDefault="00FC56D6" w:rsidP="007C419B">
            <w:pPr>
              <w:keepNext/>
              <w:keepLines/>
              <w:widowControl w:val="0"/>
              <w:spacing w:before="0"/>
              <w:jc w:val="center"/>
              <w:rPr>
                <w:rFonts w:ascii="Arial Narrow" w:hAnsi="Arial Narrow" w:cs="Arial"/>
                <w:sz w:val="18"/>
                <w:szCs w:val="18"/>
                <w:highlight w:val="darkGray"/>
              </w:rPr>
            </w:pPr>
            <w:r w:rsidRPr="00FC56D6">
              <w:rPr>
                <w:rFonts w:ascii="Arial Narrow" w:hAnsi="Arial Narrow" w:cs="Arial"/>
                <w:color w:val="000000"/>
                <w:spacing w:val="223"/>
                <w:sz w:val="18"/>
                <w:szCs w:val="18"/>
                <w:shd w:val="solid" w:color="000000" w:fill="000000"/>
                <w:fitText w:val="300" w:id="-606382848"/>
                <w14:textFill>
                  <w14:solidFill>
                    <w14:srgbClr w14:val="000000">
                      <w14:alpha w14:val="100000"/>
                    </w14:srgbClr>
                  </w14:solidFill>
                </w14:textFill>
              </w:rPr>
              <w:t>|</w:t>
            </w:r>
            <w:r w:rsidRPr="00FC56D6">
              <w:rPr>
                <w:rFonts w:ascii="Arial Narrow" w:hAnsi="Arial Narrow" w:cs="Arial"/>
                <w:color w:val="000000"/>
                <w:spacing w:val="1"/>
                <w:sz w:val="18"/>
                <w:szCs w:val="18"/>
                <w:shd w:val="solid" w:color="000000" w:fill="000000"/>
                <w:fitText w:val="300" w:id="-606382848"/>
                <w14:textFill>
                  <w14:solidFill>
                    <w14:srgbClr w14:val="000000">
                      <w14:alpha w14:val="100000"/>
                    </w14:srgbClr>
                  </w14:solidFill>
                </w14:textFill>
              </w:rPr>
              <w:t>|</w:t>
            </w:r>
            <w:r w:rsidR="005B218A" w:rsidRPr="00E858DF">
              <w:rPr>
                <w:rFonts w:ascii="Arial Narrow" w:hAnsi="Arial Narrow" w:cs="Arial"/>
                <w:sz w:val="18"/>
                <w:szCs w:val="18"/>
                <w:vertAlign w:val="superscript"/>
              </w:rPr>
              <w:t>7</w:t>
            </w:r>
          </w:p>
        </w:tc>
        <w:tc>
          <w:tcPr>
            <w:tcW w:w="654" w:type="pct"/>
          </w:tcPr>
          <w:p w14:paraId="3D82BCE8" w14:textId="3AAE496A" w:rsidR="005B218A" w:rsidRPr="007C419B" w:rsidRDefault="00FC56D6" w:rsidP="007C419B">
            <w:pPr>
              <w:keepNext/>
              <w:keepLines/>
              <w:widowControl w:val="0"/>
              <w:spacing w:before="0"/>
              <w:jc w:val="center"/>
              <w:rPr>
                <w:rFonts w:ascii="Arial Narrow" w:hAnsi="Arial Narrow" w:cs="Arial"/>
                <w:sz w:val="18"/>
                <w:szCs w:val="18"/>
                <w:highlight w:val="darkGray"/>
              </w:rPr>
            </w:pPr>
            <w:r w:rsidRPr="00FC56D6">
              <w:rPr>
                <w:rFonts w:ascii="Arial Narrow" w:hAnsi="Arial Narrow" w:cs="Arial"/>
                <w:color w:val="000000"/>
                <w:spacing w:val="223"/>
                <w:sz w:val="18"/>
                <w:szCs w:val="18"/>
                <w:shd w:val="solid" w:color="000000" w:fill="000000"/>
                <w:fitText w:val="300" w:id="-606382847"/>
                <w14:textFill>
                  <w14:solidFill>
                    <w14:srgbClr w14:val="000000">
                      <w14:alpha w14:val="100000"/>
                    </w14:srgbClr>
                  </w14:solidFill>
                </w14:textFill>
              </w:rPr>
              <w:t>|</w:t>
            </w:r>
            <w:r w:rsidRPr="00FC56D6">
              <w:rPr>
                <w:rFonts w:ascii="Arial Narrow" w:hAnsi="Arial Narrow" w:cs="Arial"/>
                <w:color w:val="000000"/>
                <w:spacing w:val="1"/>
                <w:sz w:val="18"/>
                <w:szCs w:val="18"/>
                <w:shd w:val="solid" w:color="000000" w:fill="000000"/>
                <w:fitText w:val="300" w:id="-606382847"/>
                <w14:textFill>
                  <w14:solidFill>
                    <w14:srgbClr w14:val="000000">
                      <w14:alpha w14:val="100000"/>
                    </w14:srgbClr>
                  </w14:solidFill>
                </w14:textFill>
              </w:rPr>
              <w:t>|</w:t>
            </w:r>
            <w:r w:rsidR="005B218A" w:rsidRPr="00E858DF">
              <w:rPr>
                <w:rFonts w:ascii="Arial Narrow" w:hAnsi="Arial Narrow" w:cs="Arial"/>
                <w:sz w:val="18"/>
                <w:szCs w:val="18"/>
                <w:vertAlign w:val="superscript"/>
              </w:rPr>
              <w:t>7</w:t>
            </w:r>
          </w:p>
        </w:tc>
        <w:tc>
          <w:tcPr>
            <w:tcW w:w="654" w:type="pct"/>
          </w:tcPr>
          <w:p w14:paraId="5B95E878" w14:textId="61497AD0" w:rsidR="005B218A" w:rsidRPr="007C419B" w:rsidRDefault="00FC56D6" w:rsidP="007C419B">
            <w:pPr>
              <w:keepNext/>
              <w:keepLines/>
              <w:widowControl w:val="0"/>
              <w:spacing w:before="0"/>
              <w:jc w:val="center"/>
              <w:rPr>
                <w:rFonts w:ascii="Arial Narrow" w:hAnsi="Arial Narrow" w:cs="Arial"/>
                <w:sz w:val="18"/>
                <w:szCs w:val="18"/>
                <w:highlight w:val="darkGray"/>
              </w:rPr>
            </w:pPr>
            <w:r w:rsidRPr="00FC56D6">
              <w:rPr>
                <w:rFonts w:ascii="Arial Narrow" w:hAnsi="Arial Narrow" w:cs="Arial"/>
                <w:color w:val="000000"/>
                <w:spacing w:val="223"/>
                <w:sz w:val="18"/>
                <w:szCs w:val="18"/>
                <w:shd w:val="solid" w:color="000000" w:fill="000000"/>
                <w:fitText w:val="300" w:id="-606382846"/>
                <w14:textFill>
                  <w14:solidFill>
                    <w14:srgbClr w14:val="000000">
                      <w14:alpha w14:val="100000"/>
                    </w14:srgbClr>
                  </w14:solidFill>
                </w14:textFill>
              </w:rPr>
              <w:t>|</w:t>
            </w:r>
            <w:r w:rsidRPr="00FC56D6">
              <w:rPr>
                <w:rFonts w:ascii="Arial Narrow" w:hAnsi="Arial Narrow" w:cs="Arial"/>
                <w:color w:val="000000"/>
                <w:spacing w:val="1"/>
                <w:sz w:val="18"/>
                <w:szCs w:val="18"/>
                <w:shd w:val="solid" w:color="000000" w:fill="000000"/>
                <w:fitText w:val="300" w:id="-606382846"/>
                <w14:textFill>
                  <w14:solidFill>
                    <w14:srgbClr w14:val="000000">
                      <w14:alpha w14:val="100000"/>
                    </w14:srgbClr>
                  </w14:solidFill>
                </w14:textFill>
              </w:rPr>
              <w:t>|</w:t>
            </w:r>
            <w:r w:rsidR="005B218A" w:rsidRPr="00E858DF">
              <w:rPr>
                <w:rFonts w:ascii="Arial Narrow" w:hAnsi="Arial Narrow" w:cs="Arial"/>
                <w:sz w:val="18"/>
                <w:szCs w:val="18"/>
                <w:vertAlign w:val="superscript"/>
              </w:rPr>
              <w:t>7</w:t>
            </w:r>
          </w:p>
        </w:tc>
      </w:tr>
      <w:tr w:rsidR="005B218A" w:rsidRPr="00425894" w14:paraId="620121BE" w14:textId="77777777" w:rsidTr="007C419B">
        <w:tc>
          <w:tcPr>
            <w:tcW w:w="5000" w:type="pct"/>
            <w:gridSpan w:val="7"/>
          </w:tcPr>
          <w:p w14:paraId="3A76289F" w14:textId="77777777" w:rsidR="005B218A" w:rsidRPr="00425894" w:rsidRDefault="005B218A" w:rsidP="007C419B">
            <w:pPr>
              <w:keepNext/>
              <w:keepLines/>
              <w:widowControl w:val="0"/>
              <w:spacing w:before="0"/>
              <w:jc w:val="left"/>
              <w:rPr>
                <w:rFonts w:ascii="Arial Narrow" w:hAnsi="Arial Narrow"/>
                <w:sz w:val="20"/>
              </w:rPr>
            </w:pPr>
            <w:r w:rsidRPr="00425894">
              <w:rPr>
                <w:rFonts w:ascii="Arial Narrow" w:hAnsi="Arial Narrow"/>
                <w:sz w:val="20"/>
              </w:rPr>
              <w:t xml:space="preserve">Net financial implications </w:t>
            </w:r>
          </w:p>
        </w:tc>
      </w:tr>
      <w:tr w:rsidR="005B218A" w:rsidRPr="007C419B" w14:paraId="266789DA" w14:textId="77777777" w:rsidTr="007C419B">
        <w:tc>
          <w:tcPr>
            <w:tcW w:w="1076" w:type="pct"/>
          </w:tcPr>
          <w:p w14:paraId="607868E3" w14:textId="77777777" w:rsidR="005B218A" w:rsidRPr="00425894" w:rsidRDefault="005B218A" w:rsidP="007C419B">
            <w:pPr>
              <w:keepNext/>
              <w:keepLines/>
              <w:widowControl w:val="0"/>
              <w:spacing w:before="0"/>
              <w:jc w:val="left"/>
              <w:rPr>
                <w:rFonts w:ascii="Arial Narrow" w:hAnsi="Arial Narrow"/>
                <w:sz w:val="20"/>
              </w:rPr>
            </w:pPr>
            <w:r w:rsidRPr="00425894">
              <w:rPr>
                <w:rFonts w:ascii="Arial Narrow" w:hAnsi="Arial Narrow"/>
                <w:sz w:val="20"/>
              </w:rPr>
              <w:t>Net cost to PBS/RPBS</w:t>
            </w:r>
          </w:p>
        </w:tc>
        <w:tc>
          <w:tcPr>
            <w:tcW w:w="654" w:type="pct"/>
          </w:tcPr>
          <w:p w14:paraId="065CB7C4" w14:textId="54DAB110"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53"/>
                <w:sz w:val="20"/>
                <w:shd w:val="solid" w:color="000000" w:fill="000000"/>
                <w:fitText w:val="330" w:id="-606382845"/>
                <w14:textFill>
                  <w14:solidFill>
                    <w14:srgbClr w14:val="000000">
                      <w14:alpha w14:val="100000"/>
                    </w14:srgbClr>
                  </w14:solidFill>
                </w14:textFill>
              </w:rPr>
              <w:t>|||</w:t>
            </w:r>
            <w:r w:rsidRPr="00FC56D6">
              <w:rPr>
                <w:rFonts w:ascii="Arial Narrow" w:hAnsi="Arial Narrow" w:cs="Arial"/>
                <w:color w:val="000000"/>
                <w:spacing w:val="1"/>
                <w:sz w:val="20"/>
                <w:shd w:val="solid" w:color="000000" w:fill="000000"/>
                <w:fitText w:val="330" w:id="-606382845"/>
                <w14:textFill>
                  <w14:solidFill>
                    <w14:srgbClr w14:val="000000">
                      <w14:alpha w14:val="100000"/>
                    </w14:srgbClr>
                  </w14:solidFill>
                </w14:textFill>
              </w:rPr>
              <w:t>|</w:t>
            </w:r>
            <w:r w:rsidR="005B218A" w:rsidRPr="00E858DF">
              <w:rPr>
                <w:rFonts w:ascii="Arial Narrow" w:hAnsi="Arial Narrow" w:cs="Arial"/>
                <w:sz w:val="18"/>
                <w:szCs w:val="18"/>
                <w:vertAlign w:val="superscript"/>
              </w:rPr>
              <w:t>7</w:t>
            </w:r>
          </w:p>
        </w:tc>
        <w:tc>
          <w:tcPr>
            <w:tcW w:w="654" w:type="pct"/>
          </w:tcPr>
          <w:p w14:paraId="2E0291E0" w14:textId="410A2082"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53"/>
                <w:sz w:val="20"/>
                <w:shd w:val="solid" w:color="000000" w:fill="000000"/>
                <w:fitText w:val="330" w:id="-606382844"/>
                <w14:textFill>
                  <w14:solidFill>
                    <w14:srgbClr w14:val="000000">
                      <w14:alpha w14:val="100000"/>
                    </w14:srgbClr>
                  </w14:solidFill>
                </w14:textFill>
              </w:rPr>
              <w:t>|||</w:t>
            </w:r>
            <w:r w:rsidRPr="00FC56D6">
              <w:rPr>
                <w:rFonts w:ascii="Arial Narrow" w:hAnsi="Arial Narrow" w:cs="Arial"/>
                <w:color w:val="000000"/>
                <w:spacing w:val="1"/>
                <w:sz w:val="20"/>
                <w:shd w:val="solid" w:color="000000" w:fill="000000"/>
                <w:fitText w:val="330" w:id="-606382844"/>
                <w14:textFill>
                  <w14:solidFill>
                    <w14:srgbClr w14:val="000000">
                      <w14:alpha w14:val="100000"/>
                    </w14:srgbClr>
                  </w14:solidFill>
                </w14:textFill>
              </w:rPr>
              <w:t>|</w:t>
            </w:r>
            <w:r w:rsidR="005B218A" w:rsidRPr="00E858DF">
              <w:rPr>
                <w:rFonts w:ascii="Arial Narrow" w:hAnsi="Arial Narrow" w:cs="Arial"/>
                <w:sz w:val="18"/>
                <w:szCs w:val="18"/>
                <w:vertAlign w:val="superscript"/>
              </w:rPr>
              <w:t>7</w:t>
            </w:r>
          </w:p>
        </w:tc>
        <w:tc>
          <w:tcPr>
            <w:tcW w:w="654" w:type="pct"/>
          </w:tcPr>
          <w:p w14:paraId="33A316A4" w14:textId="0471DA2D"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53"/>
                <w:sz w:val="20"/>
                <w:shd w:val="solid" w:color="000000" w:fill="000000"/>
                <w:fitText w:val="330" w:id="-606382843"/>
                <w14:textFill>
                  <w14:solidFill>
                    <w14:srgbClr w14:val="000000">
                      <w14:alpha w14:val="100000"/>
                    </w14:srgbClr>
                  </w14:solidFill>
                </w14:textFill>
              </w:rPr>
              <w:t>|||</w:t>
            </w:r>
            <w:r w:rsidRPr="00FC56D6">
              <w:rPr>
                <w:rFonts w:ascii="Arial Narrow" w:hAnsi="Arial Narrow" w:cs="Arial"/>
                <w:color w:val="000000"/>
                <w:spacing w:val="1"/>
                <w:sz w:val="20"/>
                <w:shd w:val="solid" w:color="000000" w:fill="000000"/>
                <w:fitText w:val="330" w:id="-606382843"/>
                <w14:textFill>
                  <w14:solidFill>
                    <w14:srgbClr w14:val="000000">
                      <w14:alpha w14:val="100000"/>
                    </w14:srgbClr>
                  </w14:solidFill>
                </w14:textFill>
              </w:rPr>
              <w:t>|</w:t>
            </w:r>
            <w:r w:rsidR="005B218A" w:rsidRPr="00E858DF">
              <w:rPr>
                <w:rFonts w:ascii="Arial Narrow" w:hAnsi="Arial Narrow" w:cs="Arial"/>
                <w:sz w:val="18"/>
                <w:szCs w:val="18"/>
                <w:vertAlign w:val="superscript"/>
              </w:rPr>
              <w:t>7</w:t>
            </w:r>
          </w:p>
        </w:tc>
        <w:tc>
          <w:tcPr>
            <w:tcW w:w="654" w:type="pct"/>
          </w:tcPr>
          <w:p w14:paraId="12A86A5F" w14:textId="137D96D0"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53"/>
                <w:sz w:val="20"/>
                <w:shd w:val="solid" w:color="000000" w:fill="000000"/>
                <w:fitText w:val="330" w:id="-606382842"/>
                <w14:textFill>
                  <w14:solidFill>
                    <w14:srgbClr w14:val="000000">
                      <w14:alpha w14:val="100000"/>
                    </w14:srgbClr>
                  </w14:solidFill>
                </w14:textFill>
              </w:rPr>
              <w:t>|||</w:t>
            </w:r>
            <w:r w:rsidRPr="00FC56D6">
              <w:rPr>
                <w:rFonts w:ascii="Arial Narrow" w:hAnsi="Arial Narrow" w:cs="Arial"/>
                <w:color w:val="000000"/>
                <w:spacing w:val="1"/>
                <w:sz w:val="20"/>
                <w:shd w:val="solid" w:color="000000" w:fill="000000"/>
                <w:fitText w:val="330" w:id="-606382842"/>
                <w14:textFill>
                  <w14:solidFill>
                    <w14:srgbClr w14:val="000000">
                      <w14:alpha w14:val="100000"/>
                    </w14:srgbClr>
                  </w14:solidFill>
                </w14:textFill>
              </w:rPr>
              <w:t>|</w:t>
            </w:r>
            <w:r w:rsidR="005B218A" w:rsidRPr="00E858DF">
              <w:rPr>
                <w:rFonts w:ascii="Arial Narrow" w:hAnsi="Arial Narrow" w:cs="Arial"/>
                <w:sz w:val="18"/>
                <w:szCs w:val="18"/>
                <w:vertAlign w:val="superscript"/>
              </w:rPr>
              <w:t>7</w:t>
            </w:r>
          </w:p>
        </w:tc>
        <w:tc>
          <w:tcPr>
            <w:tcW w:w="654" w:type="pct"/>
          </w:tcPr>
          <w:p w14:paraId="62057B5A" w14:textId="4648A09D"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53"/>
                <w:sz w:val="20"/>
                <w:shd w:val="solid" w:color="000000" w:fill="000000"/>
                <w:fitText w:val="330" w:id="-606382841"/>
                <w14:textFill>
                  <w14:solidFill>
                    <w14:srgbClr w14:val="000000">
                      <w14:alpha w14:val="100000"/>
                    </w14:srgbClr>
                  </w14:solidFill>
                </w14:textFill>
              </w:rPr>
              <w:t>|||</w:t>
            </w:r>
            <w:r w:rsidRPr="00FC56D6">
              <w:rPr>
                <w:rFonts w:ascii="Arial Narrow" w:hAnsi="Arial Narrow" w:cs="Arial"/>
                <w:color w:val="000000"/>
                <w:spacing w:val="1"/>
                <w:sz w:val="20"/>
                <w:shd w:val="solid" w:color="000000" w:fill="000000"/>
                <w:fitText w:val="330" w:id="-606382841"/>
                <w14:textFill>
                  <w14:solidFill>
                    <w14:srgbClr w14:val="000000">
                      <w14:alpha w14:val="100000"/>
                    </w14:srgbClr>
                  </w14:solidFill>
                </w14:textFill>
              </w:rPr>
              <w:t>|</w:t>
            </w:r>
            <w:r w:rsidR="005B218A" w:rsidRPr="00E858DF">
              <w:rPr>
                <w:rFonts w:ascii="Arial Narrow" w:hAnsi="Arial Narrow" w:cs="Arial"/>
                <w:sz w:val="18"/>
                <w:szCs w:val="18"/>
                <w:vertAlign w:val="superscript"/>
              </w:rPr>
              <w:t>7</w:t>
            </w:r>
          </w:p>
        </w:tc>
        <w:tc>
          <w:tcPr>
            <w:tcW w:w="654" w:type="pct"/>
          </w:tcPr>
          <w:p w14:paraId="075A186C" w14:textId="29CBD760"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53"/>
                <w:sz w:val="20"/>
                <w:shd w:val="solid" w:color="000000" w:fill="000000"/>
                <w:fitText w:val="330" w:id="-606382840"/>
                <w14:textFill>
                  <w14:solidFill>
                    <w14:srgbClr w14:val="000000">
                      <w14:alpha w14:val="100000"/>
                    </w14:srgbClr>
                  </w14:solidFill>
                </w14:textFill>
              </w:rPr>
              <w:t>|||</w:t>
            </w:r>
            <w:r w:rsidRPr="00FC56D6">
              <w:rPr>
                <w:rFonts w:ascii="Arial Narrow" w:hAnsi="Arial Narrow" w:cs="Arial"/>
                <w:color w:val="000000"/>
                <w:spacing w:val="1"/>
                <w:sz w:val="20"/>
                <w:shd w:val="solid" w:color="000000" w:fill="000000"/>
                <w:fitText w:val="330" w:id="-606382840"/>
                <w14:textFill>
                  <w14:solidFill>
                    <w14:srgbClr w14:val="000000">
                      <w14:alpha w14:val="100000"/>
                    </w14:srgbClr>
                  </w14:solidFill>
                </w14:textFill>
              </w:rPr>
              <w:t>|</w:t>
            </w:r>
            <w:r w:rsidR="005B218A" w:rsidRPr="00E858DF">
              <w:rPr>
                <w:rFonts w:ascii="Arial Narrow" w:hAnsi="Arial Narrow" w:cs="Arial"/>
                <w:sz w:val="18"/>
                <w:szCs w:val="18"/>
                <w:vertAlign w:val="superscript"/>
              </w:rPr>
              <w:t>7</w:t>
            </w:r>
          </w:p>
        </w:tc>
      </w:tr>
      <w:tr w:rsidR="005B218A" w:rsidRPr="007C419B" w14:paraId="695CA85F" w14:textId="77777777" w:rsidTr="007C419B">
        <w:tc>
          <w:tcPr>
            <w:tcW w:w="1076" w:type="pct"/>
          </w:tcPr>
          <w:p w14:paraId="6D2046E3" w14:textId="77777777" w:rsidR="005B218A" w:rsidRPr="00425894" w:rsidRDefault="005B218A" w:rsidP="007C419B">
            <w:pPr>
              <w:keepNext/>
              <w:keepLines/>
              <w:widowControl w:val="0"/>
              <w:spacing w:before="0"/>
              <w:jc w:val="left"/>
              <w:rPr>
                <w:rFonts w:ascii="Arial Narrow" w:hAnsi="Arial Narrow"/>
                <w:sz w:val="20"/>
              </w:rPr>
            </w:pPr>
            <w:r w:rsidRPr="00425894">
              <w:rPr>
                <w:rFonts w:ascii="Arial Narrow" w:hAnsi="Arial Narrow"/>
                <w:sz w:val="20"/>
              </w:rPr>
              <w:t>Net cost to MBS for CLDN18 test</w:t>
            </w:r>
          </w:p>
        </w:tc>
        <w:tc>
          <w:tcPr>
            <w:tcW w:w="654" w:type="pct"/>
          </w:tcPr>
          <w:p w14:paraId="0A4C5260" w14:textId="26BC6B7B"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53"/>
                <w:sz w:val="20"/>
                <w:shd w:val="solid" w:color="000000" w:fill="000000"/>
                <w:fitText w:val="330" w:id="-606382839"/>
                <w14:textFill>
                  <w14:solidFill>
                    <w14:srgbClr w14:val="000000">
                      <w14:alpha w14:val="100000"/>
                    </w14:srgbClr>
                  </w14:solidFill>
                </w14:textFill>
              </w:rPr>
              <w:t>|||</w:t>
            </w:r>
            <w:r w:rsidRPr="00FC56D6">
              <w:rPr>
                <w:rFonts w:ascii="Arial Narrow" w:hAnsi="Arial Narrow" w:cs="Arial"/>
                <w:color w:val="000000"/>
                <w:spacing w:val="1"/>
                <w:sz w:val="20"/>
                <w:shd w:val="solid" w:color="000000" w:fill="000000"/>
                <w:fitText w:val="330" w:id="-606382839"/>
                <w14:textFill>
                  <w14:solidFill>
                    <w14:srgbClr w14:val="000000">
                      <w14:alpha w14:val="100000"/>
                    </w14:srgbClr>
                  </w14:solidFill>
                </w14:textFill>
              </w:rPr>
              <w:t>|</w:t>
            </w:r>
            <w:r w:rsidR="005B218A" w:rsidRPr="007C419B">
              <w:rPr>
                <w:rFonts w:ascii="Arial Narrow" w:hAnsi="Arial Narrow" w:cs="Arial"/>
                <w:sz w:val="20"/>
                <w:vertAlign w:val="superscript"/>
              </w:rPr>
              <w:t>8</w:t>
            </w:r>
          </w:p>
        </w:tc>
        <w:tc>
          <w:tcPr>
            <w:tcW w:w="654" w:type="pct"/>
          </w:tcPr>
          <w:p w14:paraId="2D00F389" w14:textId="3FA28735"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53"/>
                <w:sz w:val="20"/>
                <w:shd w:val="solid" w:color="000000" w:fill="000000"/>
                <w:fitText w:val="330" w:id="-606382838"/>
                <w14:textFill>
                  <w14:solidFill>
                    <w14:srgbClr w14:val="000000">
                      <w14:alpha w14:val="100000"/>
                    </w14:srgbClr>
                  </w14:solidFill>
                </w14:textFill>
              </w:rPr>
              <w:t>|||</w:t>
            </w:r>
            <w:r w:rsidRPr="00FC56D6">
              <w:rPr>
                <w:rFonts w:ascii="Arial Narrow" w:hAnsi="Arial Narrow" w:cs="Arial"/>
                <w:color w:val="000000"/>
                <w:spacing w:val="1"/>
                <w:sz w:val="20"/>
                <w:shd w:val="solid" w:color="000000" w:fill="000000"/>
                <w:fitText w:val="330" w:id="-606382838"/>
                <w14:textFill>
                  <w14:solidFill>
                    <w14:srgbClr w14:val="000000">
                      <w14:alpha w14:val="100000"/>
                    </w14:srgbClr>
                  </w14:solidFill>
                </w14:textFill>
              </w:rPr>
              <w:t>|</w:t>
            </w:r>
            <w:r w:rsidR="005B218A" w:rsidRPr="00E858DF">
              <w:rPr>
                <w:rFonts w:ascii="Arial Narrow" w:hAnsi="Arial Narrow" w:cs="Arial"/>
                <w:sz w:val="20"/>
                <w:vertAlign w:val="superscript"/>
              </w:rPr>
              <w:t>8</w:t>
            </w:r>
          </w:p>
        </w:tc>
        <w:tc>
          <w:tcPr>
            <w:tcW w:w="654" w:type="pct"/>
          </w:tcPr>
          <w:p w14:paraId="188B8D43" w14:textId="49C5031E"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53"/>
                <w:sz w:val="20"/>
                <w:shd w:val="solid" w:color="000000" w:fill="000000"/>
                <w:fitText w:val="330" w:id="-606382837"/>
                <w14:textFill>
                  <w14:solidFill>
                    <w14:srgbClr w14:val="000000">
                      <w14:alpha w14:val="100000"/>
                    </w14:srgbClr>
                  </w14:solidFill>
                </w14:textFill>
              </w:rPr>
              <w:t>|||</w:t>
            </w:r>
            <w:r w:rsidRPr="00FC56D6">
              <w:rPr>
                <w:rFonts w:ascii="Arial Narrow" w:hAnsi="Arial Narrow" w:cs="Arial"/>
                <w:color w:val="000000"/>
                <w:spacing w:val="1"/>
                <w:sz w:val="20"/>
                <w:shd w:val="solid" w:color="000000" w:fill="000000"/>
                <w:fitText w:val="330" w:id="-606382837"/>
                <w14:textFill>
                  <w14:solidFill>
                    <w14:srgbClr w14:val="000000">
                      <w14:alpha w14:val="100000"/>
                    </w14:srgbClr>
                  </w14:solidFill>
                </w14:textFill>
              </w:rPr>
              <w:t>|</w:t>
            </w:r>
            <w:r w:rsidR="005B218A" w:rsidRPr="00E858DF">
              <w:rPr>
                <w:rFonts w:ascii="Arial Narrow" w:hAnsi="Arial Narrow" w:cs="Arial"/>
                <w:sz w:val="20"/>
                <w:vertAlign w:val="superscript"/>
              </w:rPr>
              <w:t>8</w:t>
            </w:r>
          </w:p>
        </w:tc>
        <w:tc>
          <w:tcPr>
            <w:tcW w:w="654" w:type="pct"/>
          </w:tcPr>
          <w:p w14:paraId="3CB7098C" w14:textId="7A381AD3"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53"/>
                <w:sz w:val="20"/>
                <w:shd w:val="solid" w:color="000000" w:fill="000000"/>
                <w:fitText w:val="330" w:id="-606382836"/>
                <w14:textFill>
                  <w14:solidFill>
                    <w14:srgbClr w14:val="000000">
                      <w14:alpha w14:val="100000"/>
                    </w14:srgbClr>
                  </w14:solidFill>
                </w14:textFill>
              </w:rPr>
              <w:t>|||</w:t>
            </w:r>
            <w:r w:rsidRPr="00FC56D6">
              <w:rPr>
                <w:rFonts w:ascii="Arial Narrow" w:hAnsi="Arial Narrow" w:cs="Arial"/>
                <w:color w:val="000000"/>
                <w:spacing w:val="1"/>
                <w:sz w:val="20"/>
                <w:shd w:val="solid" w:color="000000" w:fill="000000"/>
                <w:fitText w:val="330" w:id="-606382836"/>
                <w14:textFill>
                  <w14:solidFill>
                    <w14:srgbClr w14:val="000000">
                      <w14:alpha w14:val="100000"/>
                    </w14:srgbClr>
                  </w14:solidFill>
                </w14:textFill>
              </w:rPr>
              <w:t>|</w:t>
            </w:r>
            <w:r w:rsidR="005B218A" w:rsidRPr="00E858DF">
              <w:rPr>
                <w:rFonts w:ascii="Arial Narrow" w:hAnsi="Arial Narrow" w:cs="Arial"/>
                <w:sz w:val="20"/>
                <w:vertAlign w:val="superscript"/>
              </w:rPr>
              <w:t>8</w:t>
            </w:r>
          </w:p>
        </w:tc>
        <w:tc>
          <w:tcPr>
            <w:tcW w:w="654" w:type="pct"/>
          </w:tcPr>
          <w:p w14:paraId="54F62144" w14:textId="5060BBEF"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53"/>
                <w:sz w:val="20"/>
                <w:shd w:val="solid" w:color="000000" w:fill="000000"/>
                <w:fitText w:val="330" w:id="-606382835"/>
                <w14:textFill>
                  <w14:solidFill>
                    <w14:srgbClr w14:val="000000">
                      <w14:alpha w14:val="100000"/>
                    </w14:srgbClr>
                  </w14:solidFill>
                </w14:textFill>
              </w:rPr>
              <w:t>|||</w:t>
            </w:r>
            <w:r w:rsidRPr="00FC56D6">
              <w:rPr>
                <w:rFonts w:ascii="Arial Narrow" w:hAnsi="Arial Narrow" w:cs="Arial"/>
                <w:color w:val="000000"/>
                <w:spacing w:val="1"/>
                <w:sz w:val="20"/>
                <w:shd w:val="solid" w:color="000000" w:fill="000000"/>
                <w:fitText w:val="330" w:id="-606382835"/>
                <w14:textFill>
                  <w14:solidFill>
                    <w14:srgbClr w14:val="000000">
                      <w14:alpha w14:val="100000"/>
                    </w14:srgbClr>
                  </w14:solidFill>
                </w14:textFill>
              </w:rPr>
              <w:t>|</w:t>
            </w:r>
            <w:r w:rsidR="005B218A" w:rsidRPr="00E858DF">
              <w:rPr>
                <w:rFonts w:ascii="Arial Narrow" w:hAnsi="Arial Narrow" w:cs="Arial"/>
                <w:sz w:val="20"/>
                <w:vertAlign w:val="superscript"/>
              </w:rPr>
              <w:t>8</w:t>
            </w:r>
          </w:p>
        </w:tc>
        <w:tc>
          <w:tcPr>
            <w:tcW w:w="654" w:type="pct"/>
          </w:tcPr>
          <w:p w14:paraId="01670CA4" w14:textId="7CE865AC"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53"/>
                <w:sz w:val="20"/>
                <w:shd w:val="solid" w:color="000000" w:fill="000000"/>
                <w:fitText w:val="330" w:id="-606382834"/>
                <w14:textFill>
                  <w14:solidFill>
                    <w14:srgbClr w14:val="000000">
                      <w14:alpha w14:val="100000"/>
                    </w14:srgbClr>
                  </w14:solidFill>
                </w14:textFill>
              </w:rPr>
              <w:t>|||</w:t>
            </w:r>
            <w:r w:rsidRPr="00FC56D6">
              <w:rPr>
                <w:rFonts w:ascii="Arial Narrow" w:hAnsi="Arial Narrow" w:cs="Arial"/>
                <w:color w:val="000000"/>
                <w:spacing w:val="1"/>
                <w:sz w:val="20"/>
                <w:shd w:val="solid" w:color="000000" w:fill="000000"/>
                <w:fitText w:val="330" w:id="-606382834"/>
                <w14:textFill>
                  <w14:solidFill>
                    <w14:srgbClr w14:val="000000">
                      <w14:alpha w14:val="100000"/>
                    </w14:srgbClr>
                  </w14:solidFill>
                </w14:textFill>
              </w:rPr>
              <w:t>|</w:t>
            </w:r>
            <w:r w:rsidR="005B218A" w:rsidRPr="00E858DF">
              <w:rPr>
                <w:rFonts w:ascii="Arial Narrow" w:hAnsi="Arial Narrow" w:cs="Arial"/>
                <w:sz w:val="20"/>
                <w:vertAlign w:val="superscript"/>
              </w:rPr>
              <w:t>8</w:t>
            </w:r>
          </w:p>
        </w:tc>
      </w:tr>
      <w:tr w:rsidR="005B218A" w:rsidRPr="007C419B" w14:paraId="0DE9B383" w14:textId="77777777" w:rsidTr="007C419B">
        <w:tc>
          <w:tcPr>
            <w:tcW w:w="1076" w:type="pct"/>
          </w:tcPr>
          <w:p w14:paraId="22B43894" w14:textId="77777777" w:rsidR="005B218A" w:rsidRPr="00425894" w:rsidRDefault="005B218A" w:rsidP="007C419B">
            <w:pPr>
              <w:keepNext/>
              <w:keepLines/>
              <w:widowControl w:val="0"/>
              <w:spacing w:before="0"/>
              <w:jc w:val="left"/>
              <w:rPr>
                <w:rFonts w:ascii="Arial Narrow" w:hAnsi="Arial Narrow"/>
                <w:sz w:val="20"/>
              </w:rPr>
            </w:pPr>
            <w:r w:rsidRPr="00425894">
              <w:rPr>
                <w:rFonts w:ascii="Arial Narrow" w:hAnsi="Arial Narrow"/>
                <w:sz w:val="20"/>
              </w:rPr>
              <w:t>Net cost to PBS/RPBS/MBS</w:t>
            </w:r>
          </w:p>
        </w:tc>
        <w:tc>
          <w:tcPr>
            <w:tcW w:w="654" w:type="pct"/>
          </w:tcPr>
          <w:p w14:paraId="76EB5290" w14:textId="10C7FE74"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53"/>
                <w:sz w:val="20"/>
                <w:shd w:val="solid" w:color="000000" w:fill="000000"/>
                <w:fitText w:val="330" w:id="-606382833"/>
                <w14:textFill>
                  <w14:solidFill>
                    <w14:srgbClr w14:val="000000">
                      <w14:alpha w14:val="100000"/>
                    </w14:srgbClr>
                  </w14:solidFill>
                </w14:textFill>
              </w:rPr>
              <w:t>|||</w:t>
            </w:r>
            <w:r w:rsidRPr="00FC56D6">
              <w:rPr>
                <w:rFonts w:ascii="Arial Narrow" w:hAnsi="Arial Narrow" w:cs="Arial"/>
                <w:color w:val="000000"/>
                <w:spacing w:val="1"/>
                <w:sz w:val="20"/>
                <w:shd w:val="solid" w:color="000000" w:fill="000000"/>
                <w:fitText w:val="330" w:id="-606382833"/>
                <w14:textFill>
                  <w14:solidFill>
                    <w14:srgbClr w14:val="000000">
                      <w14:alpha w14:val="100000"/>
                    </w14:srgbClr>
                  </w14:solidFill>
                </w14:textFill>
              </w:rPr>
              <w:t>|</w:t>
            </w:r>
            <w:r w:rsidR="005B218A" w:rsidRPr="00E858DF">
              <w:rPr>
                <w:rFonts w:ascii="Arial Narrow" w:hAnsi="Arial Narrow" w:cs="Arial"/>
                <w:sz w:val="20"/>
                <w:vertAlign w:val="superscript"/>
              </w:rPr>
              <w:t>8</w:t>
            </w:r>
          </w:p>
        </w:tc>
        <w:tc>
          <w:tcPr>
            <w:tcW w:w="654" w:type="pct"/>
          </w:tcPr>
          <w:p w14:paraId="3CCB657C" w14:textId="3F53F0EC"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53"/>
                <w:sz w:val="20"/>
                <w:shd w:val="solid" w:color="000000" w:fill="000000"/>
                <w:fitText w:val="330" w:id="-606382832"/>
                <w14:textFill>
                  <w14:solidFill>
                    <w14:srgbClr w14:val="000000">
                      <w14:alpha w14:val="100000"/>
                    </w14:srgbClr>
                  </w14:solidFill>
                </w14:textFill>
              </w:rPr>
              <w:t>|||</w:t>
            </w:r>
            <w:r w:rsidRPr="00FC56D6">
              <w:rPr>
                <w:rFonts w:ascii="Arial Narrow" w:hAnsi="Arial Narrow" w:cs="Arial"/>
                <w:color w:val="000000"/>
                <w:spacing w:val="1"/>
                <w:sz w:val="20"/>
                <w:shd w:val="solid" w:color="000000" w:fill="000000"/>
                <w:fitText w:val="330" w:id="-606382832"/>
                <w14:textFill>
                  <w14:solidFill>
                    <w14:srgbClr w14:val="000000">
                      <w14:alpha w14:val="100000"/>
                    </w14:srgbClr>
                  </w14:solidFill>
                </w14:textFill>
              </w:rPr>
              <w:t>|</w:t>
            </w:r>
            <w:r w:rsidR="005B218A" w:rsidRPr="00E858DF">
              <w:rPr>
                <w:rFonts w:ascii="Arial Narrow" w:hAnsi="Arial Narrow" w:cs="Arial"/>
                <w:sz w:val="20"/>
                <w:vertAlign w:val="superscript"/>
              </w:rPr>
              <w:t>8</w:t>
            </w:r>
          </w:p>
        </w:tc>
        <w:tc>
          <w:tcPr>
            <w:tcW w:w="654" w:type="pct"/>
          </w:tcPr>
          <w:p w14:paraId="62011399" w14:textId="3A80AEEA"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53"/>
                <w:sz w:val="20"/>
                <w:shd w:val="solid" w:color="000000" w:fill="000000"/>
                <w:fitText w:val="330" w:id="-606382848"/>
                <w14:textFill>
                  <w14:solidFill>
                    <w14:srgbClr w14:val="000000">
                      <w14:alpha w14:val="100000"/>
                    </w14:srgbClr>
                  </w14:solidFill>
                </w14:textFill>
              </w:rPr>
              <w:t>|||</w:t>
            </w:r>
            <w:r w:rsidRPr="00FC56D6">
              <w:rPr>
                <w:rFonts w:ascii="Arial Narrow" w:hAnsi="Arial Narrow" w:cs="Arial"/>
                <w:color w:val="000000"/>
                <w:spacing w:val="1"/>
                <w:sz w:val="20"/>
                <w:shd w:val="solid" w:color="000000" w:fill="000000"/>
                <w:fitText w:val="330" w:id="-606382848"/>
                <w14:textFill>
                  <w14:solidFill>
                    <w14:srgbClr w14:val="000000">
                      <w14:alpha w14:val="100000"/>
                    </w14:srgbClr>
                  </w14:solidFill>
                </w14:textFill>
              </w:rPr>
              <w:t>|</w:t>
            </w:r>
            <w:r w:rsidR="005B218A" w:rsidRPr="00E858DF">
              <w:rPr>
                <w:rFonts w:ascii="Arial Narrow" w:hAnsi="Arial Narrow" w:cs="Arial"/>
                <w:sz w:val="20"/>
                <w:vertAlign w:val="superscript"/>
              </w:rPr>
              <w:t>8</w:t>
            </w:r>
          </w:p>
        </w:tc>
        <w:tc>
          <w:tcPr>
            <w:tcW w:w="654" w:type="pct"/>
          </w:tcPr>
          <w:p w14:paraId="5E59AE58" w14:textId="71D867DE"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53"/>
                <w:sz w:val="20"/>
                <w:shd w:val="solid" w:color="000000" w:fill="000000"/>
                <w:fitText w:val="330" w:id="-606382847"/>
                <w14:textFill>
                  <w14:solidFill>
                    <w14:srgbClr w14:val="000000">
                      <w14:alpha w14:val="100000"/>
                    </w14:srgbClr>
                  </w14:solidFill>
                </w14:textFill>
              </w:rPr>
              <w:t>|||</w:t>
            </w:r>
            <w:r w:rsidRPr="00FC56D6">
              <w:rPr>
                <w:rFonts w:ascii="Arial Narrow" w:hAnsi="Arial Narrow" w:cs="Arial"/>
                <w:color w:val="000000"/>
                <w:spacing w:val="1"/>
                <w:sz w:val="20"/>
                <w:shd w:val="solid" w:color="000000" w:fill="000000"/>
                <w:fitText w:val="330" w:id="-606382847"/>
                <w14:textFill>
                  <w14:solidFill>
                    <w14:srgbClr w14:val="000000">
                      <w14:alpha w14:val="100000"/>
                    </w14:srgbClr>
                  </w14:solidFill>
                </w14:textFill>
              </w:rPr>
              <w:t>|</w:t>
            </w:r>
            <w:r w:rsidR="005B218A" w:rsidRPr="00E858DF">
              <w:rPr>
                <w:rFonts w:ascii="Arial Narrow" w:hAnsi="Arial Narrow" w:cs="Arial"/>
                <w:sz w:val="20"/>
                <w:vertAlign w:val="superscript"/>
              </w:rPr>
              <w:t>8</w:t>
            </w:r>
          </w:p>
        </w:tc>
        <w:tc>
          <w:tcPr>
            <w:tcW w:w="654" w:type="pct"/>
          </w:tcPr>
          <w:p w14:paraId="31825709" w14:textId="53929AE0"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53"/>
                <w:sz w:val="20"/>
                <w:shd w:val="solid" w:color="000000" w:fill="000000"/>
                <w:fitText w:val="330" w:id="-606382846"/>
                <w14:textFill>
                  <w14:solidFill>
                    <w14:srgbClr w14:val="000000">
                      <w14:alpha w14:val="100000"/>
                    </w14:srgbClr>
                  </w14:solidFill>
                </w14:textFill>
              </w:rPr>
              <w:t>|||</w:t>
            </w:r>
            <w:r w:rsidRPr="00FC56D6">
              <w:rPr>
                <w:rFonts w:ascii="Arial Narrow" w:hAnsi="Arial Narrow" w:cs="Arial"/>
                <w:color w:val="000000"/>
                <w:spacing w:val="1"/>
                <w:sz w:val="20"/>
                <w:shd w:val="solid" w:color="000000" w:fill="000000"/>
                <w:fitText w:val="330" w:id="-606382846"/>
                <w14:textFill>
                  <w14:solidFill>
                    <w14:srgbClr w14:val="000000">
                      <w14:alpha w14:val="100000"/>
                    </w14:srgbClr>
                  </w14:solidFill>
                </w14:textFill>
              </w:rPr>
              <w:t>|</w:t>
            </w:r>
            <w:r w:rsidR="005B218A" w:rsidRPr="00E858DF">
              <w:rPr>
                <w:rFonts w:ascii="Arial Narrow" w:hAnsi="Arial Narrow" w:cs="Arial"/>
                <w:sz w:val="20"/>
                <w:vertAlign w:val="superscript"/>
              </w:rPr>
              <w:t>8</w:t>
            </w:r>
          </w:p>
        </w:tc>
        <w:tc>
          <w:tcPr>
            <w:tcW w:w="654" w:type="pct"/>
          </w:tcPr>
          <w:p w14:paraId="7051D1C7" w14:textId="6B460D8E" w:rsidR="005B218A" w:rsidRPr="007C419B" w:rsidRDefault="00FC56D6" w:rsidP="007C419B">
            <w:pPr>
              <w:keepNext/>
              <w:keepLines/>
              <w:widowControl w:val="0"/>
              <w:spacing w:before="0"/>
              <w:jc w:val="center"/>
              <w:rPr>
                <w:rFonts w:ascii="Arial Narrow" w:hAnsi="Arial Narrow"/>
                <w:sz w:val="20"/>
                <w:highlight w:val="darkGray"/>
              </w:rPr>
            </w:pPr>
            <w:r w:rsidRPr="00FC56D6">
              <w:rPr>
                <w:rFonts w:ascii="Arial Narrow" w:hAnsi="Arial Narrow" w:cs="Arial"/>
                <w:color w:val="000000"/>
                <w:spacing w:val="53"/>
                <w:sz w:val="20"/>
                <w:shd w:val="solid" w:color="000000" w:fill="000000"/>
                <w:fitText w:val="330" w:id="-606382845"/>
                <w14:textFill>
                  <w14:solidFill>
                    <w14:srgbClr w14:val="000000">
                      <w14:alpha w14:val="100000"/>
                    </w14:srgbClr>
                  </w14:solidFill>
                </w14:textFill>
              </w:rPr>
              <w:t>|||</w:t>
            </w:r>
            <w:r w:rsidRPr="00FC56D6">
              <w:rPr>
                <w:rFonts w:ascii="Arial Narrow" w:hAnsi="Arial Narrow" w:cs="Arial"/>
                <w:color w:val="000000"/>
                <w:spacing w:val="1"/>
                <w:sz w:val="20"/>
                <w:shd w:val="solid" w:color="000000" w:fill="000000"/>
                <w:fitText w:val="330" w:id="-606382845"/>
                <w14:textFill>
                  <w14:solidFill>
                    <w14:srgbClr w14:val="000000">
                      <w14:alpha w14:val="100000"/>
                    </w14:srgbClr>
                  </w14:solidFill>
                </w14:textFill>
              </w:rPr>
              <w:t>|</w:t>
            </w:r>
            <w:r w:rsidR="005B218A" w:rsidRPr="00E858DF">
              <w:rPr>
                <w:rFonts w:ascii="Arial Narrow" w:hAnsi="Arial Narrow" w:cs="Arial"/>
                <w:sz w:val="20"/>
                <w:vertAlign w:val="superscript"/>
              </w:rPr>
              <w:t>8</w:t>
            </w:r>
          </w:p>
        </w:tc>
      </w:tr>
    </w:tbl>
    <w:p w14:paraId="0A556DFE" w14:textId="77777777" w:rsidR="00425894" w:rsidRPr="00276BCA" w:rsidRDefault="00425894" w:rsidP="005B218A">
      <w:pPr>
        <w:pStyle w:val="TableFigureFooter"/>
      </w:pPr>
      <w:r w:rsidRPr="00276BCA">
        <w:t xml:space="preserve">Source: Attachment 11 – VYLOY CoDep Submission S4 model PBAC v0.1.xls provided with proposal </w:t>
      </w:r>
    </w:p>
    <w:p w14:paraId="6FFF5333" w14:textId="07474086" w:rsidR="003961F9" w:rsidRPr="00276BCA" w:rsidRDefault="00425894" w:rsidP="005B218A">
      <w:pPr>
        <w:pStyle w:val="TableFigureFooter"/>
      </w:pPr>
      <w:r w:rsidRPr="00276BCA">
        <w:rPr>
          <w:vertAlign w:val="superscript"/>
        </w:rPr>
        <w:t>a</w:t>
      </w:r>
      <w:r w:rsidRPr="00276BCA">
        <w:t xml:space="preserve"> Includes </w:t>
      </w:r>
      <w:r w:rsidR="00DA5206" w:rsidRPr="00276BCA">
        <w:t>&lt;</w:t>
      </w:r>
      <w:r w:rsidR="008B6A94" w:rsidRPr="00276BCA">
        <w:t xml:space="preserve"> </w:t>
      </w:r>
      <w:r w:rsidR="00DA5206" w:rsidRPr="00276BCA">
        <w:t xml:space="preserve">500 </w:t>
      </w:r>
      <w:r w:rsidRPr="00276BCA">
        <w:t xml:space="preserve">grandfather patients </w:t>
      </w:r>
    </w:p>
    <w:p w14:paraId="69D8AD8F" w14:textId="36B59AC5" w:rsidR="003961F9" w:rsidRPr="005B218A" w:rsidRDefault="003961F9" w:rsidP="005B218A">
      <w:pPr>
        <w:pStyle w:val="TableFigureFooter"/>
        <w:rPr>
          <w:i/>
          <w:iCs/>
        </w:rPr>
      </w:pPr>
      <w:r w:rsidRPr="005B218A">
        <w:rPr>
          <w:i/>
          <w:iCs/>
        </w:rPr>
        <w:t xml:space="preserve">The redacted values correspond to the following ranges: </w:t>
      </w:r>
    </w:p>
    <w:p w14:paraId="38873B17" w14:textId="77777777" w:rsidR="003961F9" w:rsidRPr="002D7D86" w:rsidRDefault="003961F9" w:rsidP="005B218A">
      <w:pPr>
        <w:pStyle w:val="TableFigureFooter"/>
        <w:rPr>
          <w:i/>
          <w:iCs/>
        </w:rPr>
      </w:pPr>
      <w:r w:rsidRPr="002D7D86">
        <w:rPr>
          <w:i/>
          <w:iCs/>
          <w:vertAlign w:val="superscript"/>
        </w:rPr>
        <w:t>1</w:t>
      </w:r>
      <w:r w:rsidRPr="002D7D86">
        <w:rPr>
          <w:i/>
          <w:iCs/>
        </w:rPr>
        <w:t xml:space="preserve"> 500 to &lt; 5,000 </w:t>
      </w:r>
    </w:p>
    <w:p w14:paraId="36F2A9AA" w14:textId="77777777" w:rsidR="003961F9" w:rsidRPr="002D7D86" w:rsidRDefault="003961F9" w:rsidP="005B218A">
      <w:pPr>
        <w:pStyle w:val="TableFigureFooter"/>
        <w:rPr>
          <w:i/>
          <w:iCs/>
        </w:rPr>
      </w:pPr>
      <w:r w:rsidRPr="002D7D86">
        <w:rPr>
          <w:i/>
          <w:iCs/>
          <w:vertAlign w:val="superscript"/>
        </w:rPr>
        <w:t>2</w:t>
      </w:r>
      <w:r w:rsidRPr="002D7D86">
        <w:rPr>
          <w:i/>
          <w:iCs/>
        </w:rPr>
        <w:t xml:space="preserve"> &lt;500 </w:t>
      </w:r>
    </w:p>
    <w:p w14:paraId="4D6EC964" w14:textId="77777777" w:rsidR="00226A16" w:rsidRPr="002D7D86" w:rsidRDefault="003961F9" w:rsidP="005B218A">
      <w:pPr>
        <w:pStyle w:val="TableFigureFooter"/>
        <w:rPr>
          <w:i/>
          <w:iCs/>
        </w:rPr>
      </w:pPr>
      <w:r w:rsidRPr="002D7D86">
        <w:rPr>
          <w:i/>
          <w:iCs/>
          <w:vertAlign w:val="superscript"/>
        </w:rPr>
        <w:t xml:space="preserve">3 </w:t>
      </w:r>
      <w:r w:rsidRPr="002D7D86">
        <w:rPr>
          <w:i/>
          <w:iCs/>
        </w:rPr>
        <w:t xml:space="preserve">5,000 to &lt; 10,000 </w:t>
      </w:r>
      <w:r w:rsidR="005A3E1B" w:rsidRPr="002D7D86">
        <w:rPr>
          <w:i/>
          <w:iCs/>
        </w:rPr>
        <w:t xml:space="preserve"> </w:t>
      </w:r>
    </w:p>
    <w:p w14:paraId="3CD7FAC8" w14:textId="11BE527A" w:rsidR="005A3E1B" w:rsidRPr="002D7D86" w:rsidRDefault="005A3E1B" w:rsidP="005B218A">
      <w:pPr>
        <w:pStyle w:val="TableFigureFooter"/>
        <w:rPr>
          <w:i/>
          <w:iCs/>
        </w:rPr>
      </w:pPr>
      <w:r w:rsidRPr="005B218A">
        <w:rPr>
          <w:i/>
          <w:iCs/>
          <w:vertAlign w:val="superscript"/>
        </w:rPr>
        <w:t xml:space="preserve">4 </w:t>
      </w:r>
      <w:r w:rsidRPr="002D7D86">
        <w:rPr>
          <w:i/>
          <w:iCs/>
        </w:rPr>
        <w:t>$30 million to &lt; $40 million</w:t>
      </w:r>
    </w:p>
    <w:p w14:paraId="068EA6B8" w14:textId="78D10DF7" w:rsidR="003961F9" w:rsidRPr="002D7D86" w:rsidRDefault="00FC0477" w:rsidP="005B218A">
      <w:pPr>
        <w:pStyle w:val="TableFigureFooter"/>
        <w:rPr>
          <w:i/>
          <w:iCs/>
        </w:rPr>
      </w:pPr>
      <w:r w:rsidRPr="002D7D86">
        <w:rPr>
          <w:i/>
          <w:iCs/>
          <w:vertAlign w:val="superscript"/>
        </w:rPr>
        <w:t>5</w:t>
      </w:r>
      <w:r w:rsidR="003961F9" w:rsidRPr="002D7D86">
        <w:rPr>
          <w:i/>
          <w:iCs/>
        </w:rPr>
        <w:t xml:space="preserve"> $40 million to &lt; $50 million</w:t>
      </w:r>
    </w:p>
    <w:p w14:paraId="299EA422" w14:textId="14AB86BA" w:rsidR="003961F9" w:rsidRPr="002D7D86" w:rsidRDefault="00855A09" w:rsidP="005B218A">
      <w:pPr>
        <w:pStyle w:val="TableFigureFooter"/>
        <w:rPr>
          <w:i/>
          <w:iCs/>
        </w:rPr>
      </w:pPr>
      <w:r w:rsidRPr="002D7D86">
        <w:rPr>
          <w:i/>
          <w:iCs/>
          <w:vertAlign w:val="superscript"/>
        </w:rPr>
        <w:t>6</w:t>
      </w:r>
      <w:r w:rsidR="003961F9" w:rsidRPr="002D7D86">
        <w:rPr>
          <w:i/>
          <w:iCs/>
          <w:vertAlign w:val="superscript"/>
        </w:rPr>
        <w:t xml:space="preserve"> </w:t>
      </w:r>
      <w:r w:rsidR="003961F9" w:rsidRPr="002D7D86">
        <w:rPr>
          <w:i/>
          <w:iCs/>
        </w:rPr>
        <w:t xml:space="preserve">$50 million to &lt; $60 million </w:t>
      </w:r>
    </w:p>
    <w:p w14:paraId="460B642C" w14:textId="426BD554" w:rsidR="003961F9" w:rsidRPr="002D7D86" w:rsidRDefault="00A466B0" w:rsidP="005B218A">
      <w:pPr>
        <w:pStyle w:val="TableFigureFooter"/>
        <w:rPr>
          <w:i/>
          <w:iCs/>
        </w:rPr>
      </w:pPr>
      <w:r w:rsidRPr="002D7D86">
        <w:rPr>
          <w:i/>
          <w:iCs/>
          <w:vertAlign w:val="superscript"/>
        </w:rPr>
        <w:t>7</w:t>
      </w:r>
      <w:r w:rsidR="008B6A94" w:rsidRPr="002D7D86">
        <w:rPr>
          <w:i/>
          <w:iCs/>
          <w:vertAlign w:val="superscript"/>
        </w:rPr>
        <w:t xml:space="preserve"> </w:t>
      </w:r>
      <w:r w:rsidR="003961F9" w:rsidRPr="002D7D86">
        <w:rPr>
          <w:i/>
          <w:iCs/>
        </w:rPr>
        <w:t>net cost saving</w:t>
      </w:r>
    </w:p>
    <w:p w14:paraId="0A695423" w14:textId="4F6CBB1F" w:rsidR="00425894" w:rsidRPr="00276BCA" w:rsidRDefault="00A466B0" w:rsidP="005B218A">
      <w:pPr>
        <w:pStyle w:val="TableFigureFooter"/>
      </w:pPr>
      <w:r w:rsidRPr="002D7D86">
        <w:rPr>
          <w:i/>
          <w:iCs/>
          <w:vertAlign w:val="superscript"/>
        </w:rPr>
        <w:t>8</w:t>
      </w:r>
      <w:r w:rsidR="003961F9" w:rsidRPr="002D7D86">
        <w:rPr>
          <w:i/>
          <w:iCs/>
        </w:rPr>
        <w:t xml:space="preserve"> $0 to &lt; $10 million</w:t>
      </w:r>
    </w:p>
    <w:p w14:paraId="05CD724C" w14:textId="77777777" w:rsidR="00425894" w:rsidRPr="00276BCA" w:rsidRDefault="00425894" w:rsidP="00425894">
      <w:pPr>
        <w:numPr>
          <w:ilvl w:val="4"/>
          <w:numId w:val="8"/>
        </w:numPr>
        <w:spacing w:after="120"/>
        <w:rPr>
          <w:color w:val="000000" w:themeColor="text1"/>
        </w:rPr>
      </w:pPr>
      <w:r w:rsidRPr="00276BCA">
        <w:rPr>
          <w:color w:val="000000" w:themeColor="text1"/>
        </w:rPr>
        <w:t>The financial estimates were based on the appropriate number of total doses (i.e., 12.61 in combination with CAPOX and 18.91 in combination with mFOLFOX6) which was inconsistent with the CMA (see paragraph 9.4</w:t>
      </w:r>
      <w:proofErr w:type="gramStart"/>
      <w:r w:rsidRPr="00276BCA">
        <w:rPr>
          <w:color w:val="000000" w:themeColor="text1"/>
        </w:rPr>
        <w:t>)</w:t>
      </w:r>
      <w:proofErr w:type="gramEnd"/>
      <w:r w:rsidRPr="00276BCA">
        <w:rPr>
          <w:color w:val="000000" w:themeColor="text1"/>
        </w:rPr>
        <w:t xml:space="preserve"> and this resulted in a small incremental cost. </w:t>
      </w:r>
      <w:r w:rsidRPr="00276BCA">
        <w:rPr>
          <w:color w:val="000000" w:themeColor="text1"/>
        </w:rPr>
        <w:br w:type="page"/>
      </w:r>
    </w:p>
    <w:p w14:paraId="35A68E33" w14:textId="77777777" w:rsidR="00425894" w:rsidRPr="00276BCA" w:rsidRDefault="00425894" w:rsidP="00425894">
      <w:pPr>
        <w:keepNext/>
        <w:keepLines/>
        <w:numPr>
          <w:ilvl w:val="0"/>
          <w:numId w:val="15"/>
        </w:numPr>
        <w:tabs>
          <w:tab w:val="left" w:pos="1077"/>
        </w:tabs>
        <w:spacing w:before="240" w:after="120"/>
        <w:jc w:val="left"/>
        <w:outlineLvl w:val="0"/>
        <w:rPr>
          <w:rFonts w:eastAsia="Times New Roman" w:cs="Arial"/>
          <w:b/>
          <w:snapToGrid w:val="0"/>
          <w:sz w:val="32"/>
          <w:szCs w:val="32"/>
        </w:rPr>
      </w:pPr>
      <w:r w:rsidRPr="00276BCA">
        <w:rPr>
          <w:rFonts w:eastAsia="Times New Roman" w:cs="Arial"/>
          <w:b/>
          <w:snapToGrid w:val="0"/>
          <w:sz w:val="32"/>
          <w:szCs w:val="32"/>
        </w:rPr>
        <w:lastRenderedPageBreak/>
        <w:t>PBAC Outcome</w:t>
      </w:r>
    </w:p>
    <w:p w14:paraId="51AA0408" w14:textId="1C25342C" w:rsidR="00425894" w:rsidRPr="00276BCA" w:rsidRDefault="00425894" w:rsidP="00425894">
      <w:pPr>
        <w:numPr>
          <w:ilvl w:val="4"/>
          <w:numId w:val="15"/>
        </w:numPr>
        <w:spacing w:after="120"/>
        <w:rPr>
          <w:color w:val="000000" w:themeColor="text1"/>
        </w:rPr>
      </w:pPr>
      <w:r w:rsidRPr="00276BCA">
        <w:rPr>
          <w:color w:val="000000" w:themeColor="text1"/>
        </w:rPr>
        <w:t xml:space="preserve">The PBAC recommended the </w:t>
      </w:r>
      <w:r w:rsidRPr="00276BCA">
        <w:t xml:space="preserve">Pharmaceutical Benefits Scheme (PBS) listing of </w:t>
      </w:r>
      <w:proofErr w:type="spellStart"/>
      <w:r w:rsidRPr="00276BCA">
        <w:t>zolbetuximab</w:t>
      </w:r>
      <w:proofErr w:type="spellEnd"/>
      <w:r w:rsidRPr="00276BCA">
        <w:t xml:space="preserve"> with fluoropyrimidine- and platinum-containing chemotherapy for the first-line treatment of patients with locally advanced unresectable or metastatic human epidermal growth factor receptor 2 (HER2)-negative gastric or gastroesophageal junction (G/GOJ) adenocarcinoma whose tumours are CLDN18.2- positive (CLDN18.2+). </w:t>
      </w:r>
      <w:r w:rsidRPr="00276BCA">
        <w:rPr>
          <w:color w:val="000000" w:themeColor="text1"/>
        </w:rPr>
        <w:t xml:space="preserve">The PBAC considered that </w:t>
      </w:r>
      <w:proofErr w:type="spellStart"/>
      <w:r w:rsidRPr="00276BCA">
        <w:rPr>
          <w:color w:val="000000" w:themeColor="text1"/>
        </w:rPr>
        <w:t>zolbetuximab</w:t>
      </w:r>
      <w:proofErr w:type="spellEnd"/>
      <w:r w:rsidRPr="00276BCA">
        <w:rPr>
          <w:color w:val="000000" w:themeColor="text1"/>
        </w:rPr>
        <w:t xml:space="preserve"> was noninferior compared to nivolumab in terms of effectiveness, but due to the additional gastrointestinal toxicity, safety was inferior, and that this should be reflected in the cost minimisation approach (CMA). The PBAC advised </w:t>
      </w:r>
      <w:proofErr w:type="spellStart"/>
      <w:r w:rsidRPr="00276BCA">
        <w:rPr>
          <w:color w:val="000000" w:themeColor="text1"/>
        </w:rPr>
        <w:t>zolbetuximab</w:t>
      </w:r>
      <w:proofErr w:type="spellEnd"/>
      <w:r w:rsidRPr="00276BCA">
        <w:rPr>
          <w:color w:val="000000" w:themeColor="text1"/>
        </w:rPr>
        <w:t xml:space="preserve"> should be included in the risk sharing arrangement (RSA) currently in place for nivolumab for gastro-oesophageal cancers with no increase in expenditure caps. </w:t>
      </w:r>
    </w:p>
    <w:p w14:paraId="02698804" w14:textId="77777777" w:rsidR="00425894" w:rsidRPr="00276BCA" w:rsidRDefault="00425894" w:rsidP="00425894">
      <w:pPr>
        <w:numPr>
          <w:ilvl w:val="4"/>
          <w:numId w:val="15"/>
        </w:numPr>
        <w:spacing w:after="120"/>
      </w:pPr>
      <w:r w:rsidRPr="00276BCA">
        <w:rPr>
          <w:color w:val="000000" w:themeColor="text1"/>
        </w:rPr>
        <w:t xml:space="preserve">The PBAC noted that MSAC considered testing would identify patients expected to benefit from </w:t>
      </w:r>
      <w:proofErr w:type="spellStart"/>
      <w:r w:rsidRPr="00276BCA">
        <w:rPr>
          <w:color w:val="000000" w:themeColor="text1"/>
        </w:rPr>
        <w:t>zolbetuximab</w:t>
      </w:r>
      <w:proofErr w:type="spellEnd"/>
      <w:r w:rsidRPr="00276BCA">
        <w:rPr>
          <w:color w:val="000000" w:themeColor="text1"/>
        </w:rPr>
        <w:t>, testing would have no additional safety concerns, and that the financial impact of testing to the MBS would be relatively low.</w:t>
      </w:r>
    </w:p>
    <w:p w14:paraId="2593C484" w14:textId="4660AEB7" w:rsidR="00425894" w:rsidRPr="00276BCA" w:rsidRDefault="00425894" w:rsidP="00425894">
      <w:pPr>
        <w:numPr>
          <w:ilvl w:val="4"/>
          <w:numId w:val="15"/>
        </w:numPr>
        <w:spacing w:after="120"/>
        <w:rPr>
          <w:color w:val="000000" w:themeColor="text1"/>
        </w:rPr>
      </w:pPr>
      <w:r w:rsidRPr="00276BCA">
        <w:rPr>
          <w:snapToGrid w:val="0"/>
          <w:color w:val="000000" w:themeColor="text1"/>
          <w:lang w:val="en-GB"/>
        </w:rPr>
        <w:t>The PBAC recalled that it had previously recommended amendments to the proposed restriction (see paragraph</w:t>
      </w:r>
      <w:r w:rsidR="00700D22">
        <w:rPr>
          <w:snapToGrid w:val="0"/>
          <w:color w:val="000000" w:themeColor="text1"/>
          <w:lang w:val="en-GB"/>
        </w:rPr>
        <w:fldChar w:fldCharType="begin"/>
      </w:r>
      <w:r w:rsidR="00700D22">
        <w:rPr>
          <w:snapToGrid w:val="0"/>
          <w:color w:val="000000" w:themeColor="text1"/>
          <w:lang w:val="en-GB"/>
        </w:rPr>
        <w:instrText xml:space="preserve"> REF _Ref217295362 \r \h </w:instrText>
      </w:r>
      <w:r w:rsidR="00700D22">
        <w:rPr>
          <w:snapToGrid w:val="0"/>
          <w:color w:val="000000" w:themeColor="text1"/>
          <w:lang w:val="en-GB"/>
        </w:rPr>
      </w:r>
      <w:r w:rsidR="00700D22">
        <w:rPr>
          <w:snapToGrid w:val="0"/>
          <w:color w:val="000000" w:themeColor="text1"/>
          <w:lang w:val="en-GB"/>
        </w:rPr>
        <w:fldChar w:fldCharType="separate"/>
      </w:r>
      <w:r w:rsidR="0011458F">
        <w:rPr>
          <w:snapToGrid w:val="0"/>
          <w:color w:val="000000" w:themeColor="text1"/>
          <w:lang w:val="en-GB"/>
        </w:rPr>
        <w:t>7.3</w:t>
      </w:r>
      <w:r w:rsidR="00700D22">
        <w:rPr>
          <w:snapToGrid w:val="0"/>
          <w:color w:val="000000" w:themeColor="text1"/>
          <w:lang w:val="en-GB"/>
        </w:rPr>
        <w:fldChar w:fldCharType="end"/>
      </w:r>
      <w:r w:rsidRPr="00276BCA">
        <w:rPr>
          <w:snapToGrid w:val="0"/>
          <w:color w:val="000000" w:themeColor="text1"/>
          <w:lang w:val="en-GB"/>
        </w:rPr>
        <w:t>), most of which were addressed in the updated restriction provided in the proposal. The PBAC considered that the updated restriction would be acceptable with some amendments:</w:t>
      </w:r>
    </w:p>
    <w:p w14:paraId="30E6C53D" w14:textId="64C2A6E3" w:rsidR="00425894" w:rsidRPr="00276BCA" w:rsidRDefault="00425894" w:rsidP="00425894">
      <w:pPr>
        <w:numPr>
          <w:ilvl w:val="0"/>
          <w:numId w:val="119"/>
        </w:numPr>
        <w:spacing w:after="120"/>
        <w:ind w:left="1418"/>
        <w:rPr>
          <w:color w:val="000000" w:themeColor="text1"/>
        </w:rPr>
      </w:pPr>
      <w:r w:rsidRPr="00276BCA">
        <w:rPr>
          <w:color w:val="000000" w:themeColor="text1"/>
        </w:rPr>
        <w:t xml:space="preserve">one criteria for continuing treatment and one criteria for transitioning from non-PBS to PBS-subsidised treatment (under grandfather arrangements) each incorporating the two weekly and three weekly dosing regimens would be appropriate (rather than separate criteria for two weekly and three weekly dosing as proposed in paragraph  </w:t>
      </w:r>
      <w:r w:rsidR="00CC4815">
        <w:rPr>
          <w:color w:val="000000" w:themeColor="text1"/>
        </w:rPr>
        <w:fldChar w:fldCharType="begin"/>
      </w:r>
      <w:r w:rsidR="00CC4815">
        <w:rPr>
          <w:color w:val="000000" w:themeColor="text1"/>
        </w:rPr>
        <w:instrText xml:space="preserve"> REF _Ref217295362 \r \h </w:instrText>
      </w:r>
      <w:r w:rsidR="00CC4815">
        <w:rPr>
          <w:color w:val="000000" w:themeColor="text1"/>
        </w:rPr>
      </w:r>
      <w:r w:rsidR="00CC4815">
        <w:rPr>
          <w:color w:val="000000" w:themeColor="text1"/>
        </w:rPr>
        <w:fldChar w:fldCharType="separate"/>
      </w:r>
      <w:r w:rsidR="0011458F">
        <w:rPr>
          <w:color w:val="000000" w:themeColor="text1"/>
        </w:rPr>
        <w:t>7.3</w:t>
      </w:r>
      <w:r w:rsidR="00CC4815">
        <w:rPr>
          <w:color w:val="000000" w:themeColor="text1"/>
        </w:rPr>
        <w:fldChar w:fldCharType="end"/>
      </w:r>
      <w:r w:rsidRPr="00276BCA">
        <w:rPr>
          <w:color w:val="000000" w:themeColor="text1"/>
        </w:rPr>
        <w:t xml:space="preserve">); and </w:t>
      </w:r>
    </w:p>
    <w:p w14:paraId="20297201" w14:textId="77777777" w:rsidR="00425894" w:rsidRPr="00276BCA" w:rsidRDefault="00425894" w:rsidP="00425894">
      <w:pPr>
        <w:numPr>
          <w:ilvl w:val="0"/>
          <w:numId w:val="119"/>
        </w:numPr>
        <w:spacing w:after="120"/>
        <w:ind w:left="1418"/>
        <w:rPr>
          <w:color w:val="000000" w:themeColor="text1"/>
        </w:rPr>
      </w:pPr>
      <w:r w:rsidRPr="00276BCA">
        <w:rPr>
          <w:color w:val="000000" w:themeColor="text1"/>
        </w:rPr>
        <w:t xml:space="preserve">the clinical criterion ‘The treatment must be in combination with platinum-based chemotherapy plus a fluoropyrimidine drug’ should be changed to ‘The treatment must be initiated in combination with platinum-based chemotherapy plus a fluoropyrimidine drug’. This would ensure patients are able to stop platinum-based chemotherapy and/ or fluoropyrimidine if appropriate (i.e., due to intolerance); and  </w:t>
      </w:r>
    </w:p>
    <w:p w14:paraId="710756B8" w14:textId="77777777" w:rsidR="00425894" w:rsidRPr="00276BCA" w:rsidRDefault="00425894" w:rsidP="00425894">
      <w:pPr>
        <w:numPr>
          <w:ilvl w:val="0"/>
          <w:numId w:val="119"/>
        </w:numPr>
        <w:spacing w:after="120"/>
        <w:ind w:left="1418"/>
        <w:rPr>
          <w:color w:val="000000" w:themeColor="text1"/>
        </w:rPr>
      </w:pPr>
      <w:r w:rsidRPr="00276BCA">
        <w:rPr>
          <w:snapToGrid w:val="0"/>
          <w:color w:val="000000" w:themeColor="text1"/>
          <w:lang w:val="en-GB"/>
        </w:rPr>
        <w:t xml:space="preserve">minor edits to align with standard restriction wording and formatting. </w:t>
      </w:r>
    </w:p>
    <w:p w14:paraId="4196C030" w14:textId="1BFC97EF" w:rsidR="00425894" w:rsidRPr="00276BCA" w:rsidRDefault="00425894" w:rsidP="00425894">
      <w:pPr>
        <w:numPr>
          <w:ilvl w:val="4"/>
          <w:numId w:val="15"/>
        </w:numPr>
        <w:spacing w:after="120"/>
        <w:rPr>
          <w:color w:val="000000" w:themeColor="text1"/>
        </w:rPr>
      </w:pPr>
      <w:bookmarkStart w:id="98" w:name="_Ref208821810"/>
      <w:r w:rsidRPr="00276BCA">
        <w:rPr>
          <w:color w:val="000000" w:themeColor="text1"/>
        </w:rPr>
        <w:t xml:space="preserve">The PBAC considered the CMA presented in the proposal (based on the </w:t>
      </w:r>
      <w:proofErr w:type="spellStart"/>
      <w:r w:rsidRPr="00276BCA">
        <w:rPr>
          <w:color w:val="000000" w:themeColor="text1"/>
        </w:rPr>
        <w:t>equi</w:t>
      </w:r>
      <w:proofErr w:type="spellEnd"/>
      <w:r w:rsidRPr="00276BCA">
        <w:rPr>
          <w:color w:val="000000" w:themeColor="text1"/>
        </w:rPr>
        <w:t>-effective doses presented in paragraph</w:t>
      </w:r>
      <w:r w:rsidR="00CC4815">
        <w:rPr>
          <w:color w:val="000000" w:themeColor="text1"/>
        </w:rPr>
        <w:t xml:space="preserve"> </w:t>
      </w:r>
      <w:r w:rsidR="00CC4815">
        <w:rPr>
          <w:color w:val="000000" w:themeColor="text1"/>
        </w:rPr>
        <w:fldChar w:fldCharType="begin"/>
      </w:r>
      <w:r w:rsidR="00CC4815">
        <w:rPr>
          <w:color w:val="000000" w:themeColor="text1"/>
        </w:rPr>
        <w:instrText xml:space="preserve"> REF _Ref217295425 \r \h </w:instrText>
      </w:r>
      <w:r w:rsidR="00CC4815">
        <w:rPr>
          <w:color w:val="000000" w:themeColor="text1"/>
        </w:rPr>
      </w:r>
      <w:r w:rsidR="00CC4815">
        <w:rPr>
          <w:color w:val="000000" w:themeColor="text1"/>
        </w:rPr>
        <w:fldChar w:fldCharType="separate"/>
      </w:r>
      <w:r w:rsidR="0011458F">
        <w:rPr>
          <w:color w:val="000000" w:themeColor="text1"/>
        </w:rPr>
        <w:t>7.11</w:t>
      </w:r>
      <w:r w:rsidR="00CC4815">
        <w:rPr>
          <w:color w:val="000000" w:themeColor="text1"/>
        </w:rPr>
        <w:fldChar w:fldCharType="end"/>
      </w:r>
      <w:r w:rsidRPr="00276BCA">
        <w:rPr>
          <w:color w:val="000000" w:themeColor="text1"/>
        </w:rPr>
        <w:t>) would be reasonable with the following amendments:</w:t>
      </w:r>
      <w:bookmarkEnd w:id="98"/>
      <w:r w:rsidRPr="00276BCA">
        <w:rPr>
          <w:color w:val="000000" w:themeColor="text1"/>
        </w:rPr>
        <w:t xml:space="preserve"> </w:t>
      </w:r>
    </w:p>
    <w:p w14:paraId="4F57C847" w14:textId="128A2CDB" w:rsidR="00425894" w:rsidRPr="00276BCA" w:rsidRDefault="00425894" w:rsidP="00425894">
      <w:pPr>
        <w:numPr>
          <w:ilvl w:val="0"/>
          <w:numId w:val="118"/>
        </w:numPr>
        <w:spacing w:after="120"/>
        <w:rPr>
          <w:color w:val="000000" w:themeColor="text1"/>
        </w:rPr>
      </w:pPr>
      <w:r w:rsidRPr="00276BCA">
        <w:rPr>
          <w:color w:val="000000" w:themeColor="text1"/>
        </w:rPr>
        <w:t xml:space="preserve">The PBAC reiterated its previous consideration that the cost per patient for </w:t>
      </w:r>
      <w:proofErr w:type="spellStart"/>
      <w:r w:rsidRPr="00276BCA">
        <w:rPr>
          <w:color w:val="000000" w:themeColor="text1"/>
        </w:rPr>
        <w:t>zolbetuximab</w:t>
      </w:r>
      <w:proofErr w:type="spellEnd"/>
      <w:r w:rsidRPr="00276BCA">
        <w:rPr>
          <w:color w:val="000000" w:themeColor="text1"/>
        </w:rPr>
        <w:t xml:space="preserve"> should be at least </w:t>
      </w:r>
      <w:r w:rsidR="00FC56D6" w:rsidRPr="00FC56D6">
        <w:rPr>
          <w:color w:val="000000" w:themeColor="text1"/>
          <w:w w:val="59"/>
          <w:shd w:val="solid" w:color="000000" w:fill="000000"/>
          <w:fitText w:val="460" w:id="-606382844"/>
          <w14:textFill>
            <w14:solidFill>
              <w14:schemeClr w14:val="tx1">
                <w14:alpha w14:val="100000"/>
              </w14:schemeClr>
            </w14:solidFill>
          </w14:textFill>
        </w:rPr>
        <w:t>||</w:t>
      </w:r>
      <w:proofErr w:type="gramStart"/>
      <w:r w:rsidR="00FC56D6" w:rsidRPr="00FC56D6">
        <w:rPr>
          <w:color w:val="000000" w:themeColor="text1"/>
          <w:w w:val="59"/>
          <w:shd w:val="solid" w:color="000000" w:fill="000000"/>
          <w:fitText w:val="460" w:id="-606382844"/>
          <w14:textFill>
            <w14:solidFill>
              <w14:schemeClr w14:val="tx1">
                <w14:alpha w14:val="100000"/>
              </w14:schemeClr>
            </w14:solidFill>
          </w14:textFill>
        </w:rPr>
        <w:t>|  |</w:t>
      </w:r>
      <w:proofErr w:type="gramEnd"/>
      <w:r w:rsidR="00FC56D6" w:rsidRPr="00FC56D6">
        <w:rPr>
          <w:color w:val="000000" w:themeColor="text1"/>
          <w:w w:val="59"/>
          <w:shd w:val="solid" w:color="000000" w:fill="000000"/>
          <w:fitText w:val="460" w:id="-606382844"/>
          <w14:textFill>
            <w14:solidFill>
              <w14:schemeClr w14:val="tx1">
                <w14:alpha w14:val="100000"/>
              </w14:schemeClr>
            </w14:solidFill>
          </w14:textFill>
        </w:rPr>
        <w:t>|</w:t>
      </w:r>
      <w:r w:rsidR="00FC56D6" w:rsidRPr="00FC56D6">
        <w:rPr>
          <w:color w:val="000000" w:themeColor="text1"/>
          <w:spacing w:val="5"/>
          <w:w w:val="59"/>
          <w:shd w:val="solid" w:color="000000" w:fill="000000"/>
          <w:fitText w:val="460" w:id="-606382844"/>
          <w14:textFill>
            <w14:solidFill>
              <w14:schemeClr w14:val="tx1">
                <w14:alpha w14:val="100000"/>
              </w14:schemeClr>
            </w14:solidFill>
          </w14:textFill>
        </w:rPr>
        <w:t>|</w:t>
      </w:r>
      <w:r w:rsidRPr="00276BCA">
        <w:rPr>
          <w:color w:val="000000" w:themeColor="text1"/>
        </w:rPr>
        <w:t xml:space="preserve">% lower than for nivolumab. The PBAC noted the arguments presented in the proposal (see paragraph </w:t>
      </w:r>
      <w:r w:rsidRPr="00276BCA">
        <w:rPr>
          <w:color w:val="000000" w:themeColor="text1"/>
        </w:rPr>
        <w:fldChar w:fldCharType="begin"/>
      </w:r>
      <w:r w:rsidRPr="00276BCA">
        <w:rPr>
          <w:color w:val="000000" w:themeColor="text1"/>
        </w:rPr>
        <w:instrText xml:space="preserve"> REF _Ref208820440 \r \h </w:instrText>
      </w:r>
      <w:r w:rsidR="00BE32D4" w:rsidRPr="005B218A">
        <w:rPr>
          <w:color w:val="000000" w:themeColor="text1"/>
        </w:rPr>
        <w:instrText xml:space="preserve"> \* MERGEFORMAT </w:instrText>
      </w:r>
      <w:r w:rsidRPr="00276BCA">
        <w:rPr>
          <w:color w:val="000000" w:themeColor="text1"/>
        </w:rPr>
      </w:r>
      <w:r w:rsidRPr="00276BCA">
        <w:rPr>
          <w:color w:val="000000" w:themeColor="text1"/>
        </w:rPr>
        <w:fldChar w:fldCharType="separate"/>
      </w:r>
      <w:r w:rsidR="0011458F">
        <w:rPr>
          <w:color w:val="000000" w:themeColor="text1"/>
        </w:rPr>
        <w:t>11.2</w:t>
      </w:r>
      <w:r w:rsidRPr="00276BCA">
        <w:rPr>
          <w:color w:val="000000" w:themeColor="text1"/>
        </w:rPr>
        <w:fldChar w:fldCharType="end"/>
      </w:r>
      <w:r w:rsidRPr="00276BCA">
        <w:rPr>
          <w:color w:val="000000" w:themeColor="text1"/>
        </w:rPr>
        <w:t xml:space="preserve">) but </w:t>
      </w:r>
      <w:r w:rsidRPr="00276BCA">
        <w:rPr>
          <w:color w:val="000000" w:themeColor="text1"/>
        </w:rPr>
        <w:lastRenderedPageBreak/>
        <w:t xml:space="preserve">considered the potential impact </w:t>
      </w:r>
      <w:r w:rsidRPr="00276BCA">
        <w:t xml:space="preserve">of the gastrointestinal toxicity of </w:t>
      </w:r>
      <w:proofErr w:type="spellStart"/>
      <w:r w:rsidRPr="00276BCA">
        <w:t>zolbetuximab</w:t>
      </w:r>
      <w:proofErr w:type="spellEnd"/>
      <w:r w:rsidRPr="00276BCA">
        <w:t xml:space="preserve"> on a patient’s quality of life should also be accounted</w:t>
      </w:r>
      <w:r w:rsidRPr="00276BCA">
        <w:rPr>
          <w:color w:val="000000" w:themeColor="text1"/>
        </w:rPr>
        <w:t xml:space="preserve"> for; and  </w:t>
      </w:r>
    </w:p>
    <w:p w14:paraId="75AB39A3" w14:textId="77777777" w:rsidR="00425894" w:rsidRPr="00276BCA" w:rsidRDefault="00425894" w:rsidP="00425894">
      <w:pPr>
        <w:numPr>
          <w:ilvl w:val="0"/>
          <w:numId w:val="118"/>
        </w:numPr>
        <w:spacing w:after="120"/>
        <w:rPr>
          <w:color w:val="000000" w:themeColor="text1"/>
        </w:rPr>
      </w:pPr>
      <w:r w:rsidRPr="00276BCA">
        <w:rPr>
          <w:color w:val="000000" w:themeColor="text1"/>
        </w:rPr>
        <w:t xml:space="preserve">The CMA should be based on a total of 12.61 doses in combination with CAPOX and 18.91 doses in combination with mFOLFOX6 (as discussed in paragraph 9.4). </w:t>
      </w:r>
    </w:p>
    <w:p w14:paraId="44CF06FE" w14:textId="33978586" w:rsidR="00425894" w:rsidRPr="00276BCA" w:rsidRDefault="00425894" w:rsidP="00425894">
      <w:pPr>
        <w:numPr>
          <w:ilvl w:val="4"/>
          <w:numId w:val="15"/>
        </w:numPr>
        <w:spacing w:after="120"/>
        <w:rPr>
          <w:color w:val="000000" w:themeColor="text1"/>
        </w:rPr>
      </w:pPr>
      <w:r w:rsidRPr="00276BCA">
        <w:rPr>
          <w:color w:val="000000" w:themeColor="text1"/>
        </w:rPr>
        <w:t>The PBAC recalled that it previously proposed revisions to the financial estimates (see paragraph</w:t>
      </w:r>
      <w:r w:rsidR="0014695C">
        <w:rPr>
          <w:color w:val="000000" w:themeColor="text1"/>
        </w:rPr>
        <w:t xml:space="preserve"> </w:t>
      </w:r>
      <w:r w:rsidR="0014695C">
        <w:rPr>
          <w:color w:val="000000" w:themeColor="text1"/>
        </w:rPr>
        <w:fldChar w:fldCharType="begin"/>
      </w:r>
      <w:r w:rsidR="0014695C">
        <w:rPr>
          <w:color w:val="000000" w:themeColor="text1"/>
        </w:rPr>
        <w:instrText xml:space="preserve"> REF _Ref217295469 \r \h </w:instrText>
      </w:r>
      <w:r w:rsidR="0014695C">
        <w:rPr>
          <w:color w:val="000000" w:themeColor="text1"/>
        </w:rPr>
      </w:r>
      <w:r w:rsidR="0014695C">
        <w:rPr>
          <w:color w:val="000000" w:themeColor="text1"/>
        </w:rPr>
        <w:fldChar w:fldCharType="separate"/>
      </w:r>
      <w:r w:rsidR="0011458F">
        <w:rPr>
          <w:color w:val="000000" w:themeColor="text1"/>
        </w:rPr>
        <w:t>7.14</w:t>
      </w:r>
      <w:r w:rsidR="0014695C">
        <w:rPr>
          <w:color w:val="000000" w:themeColor="text1"/>
        </w:rPr>
        <w:fldChar w:fldCharType="end"/>
      </w:r>
      <w:r w:rsidRPr="00276BCA">
        <w:rPr>
          <w:color w:val="000000" w:themeColor="text1"/>
        </w:rPr>
        <w:t xml:space="preserve">), which it noted were partly addressed in the updated financial estimates (see paragraph </w:t>
      </w:r>
      <w:r w:rsidRPr="00276BCA">
        <w:rPr>
          <w:color w:val="000000" w:themeColor="text1"/>
        </w:rPr>
        <w:fldChar w:fldCharType="begin"/>
      </w:r>
      <w:r w:rsidRPr="00276BCA">
        <w:rPr>
          <w:color w:val="000000" w:themeColor="text1"/>
        </w:rPr>
        <w:instrText xml:space="preserve"> REF _Ref208314372 \r \h </w:instrText>
      </w:r>
      <w:r w:rsidR="00867969" w:rsidRPr="00276BCA">
        <w:rPr>
          <w:color w:val="000000" w:themeColor="text1"/>
        </w:rPr>
        <w:instrText xml:space="preserve"> \* MERGEFORMAT </w:instrText>
      </w:r>
      <w:r w:rsidRPr="00276BCA">
        <w:rPr>
          <w:color w:val="000000" w:themeColor="text1"/>
        </w:rPr>
      </w:r>
      <w:r w:rsidRPr="00276BCA">
        <w:rPr>
          <w:color w:val="000000" w:themeColor="text1"/>
        </w:rPr>
        <w:fldChar w:fldCharType="separate"/>
      </w:r>
      <w:r w:rsidR="0011458F">
        <w:rPr>
          <w:color w:val="000000" w:themeColor="text1"/>
        </w:rPr>
        <w:t>11.6</w:t>
      </w:r>
      <w:r w:rsidRPr="00276BCA">
        <w:rPr>
          <w:color w:val="000000" w:themeColor="text1"/>
        </w:rPr>
        <w:fldChar w:fldCharType="end"/>
      </w:r>
      <w:r w:rsidRPr="00276BCA">
        <w:rPr>
          <w:color w:val="000000" w:themeColor="text1"/>
        </w:rPr>
        <w:t xml:space="preserve">). The PBAC noted that the estimated number of patients undergoing CLDN18 testing irrespective of HER2 status was increased from 90% to 100%, resulting in a slightly higher number of treated patients, and the estimated uptake of </w:t>
      </w:r>
      <w:proofErr w:type="spellStart"/>
      <w:r w:rsidRPr="00276BCA">
        <w:rPr>
          <w:color w:val="000000" w:themeColor="text1"/>
        </w:rPr>
        <w:t>zolbetuximab</w:t>
      </w:r>
      <w:proofErr w:type="spellEnd"/>
      <w:r w:rsidRPr="00276BCA">
        <w:rPr>
          <w:color w:val="000000" w:themeColor="text1"/>
        </w:rPr>
        <w:t xml:space="preserve"> was reduced to 70% in Year 1, but no change in subsequent years. The PBAC considered that the estimated uptake in Year 2 to 6 (92.5% to 97.5%) remained high, given the noninferior effectiveness and inferior safety profile of </w:t>
      </w:r>
      <w:proofErr w:type="spellStart"/>
      <w:r w:rsidRPr="00276BCA">
        <w:rPr>
          <w:color w:val="000000" w:themeColor="text1"/>
        </w:rPr>
        <w:t>zolbetuximab</w:t>
      </w:r>
      <w:proofErr w:type="spellEnd"/>
      <w:r w:rsidRPr="00276BCA">
        <w:rPr>
          <w:color w:val="000000" w:themeColor="text1"/>
        </w:rPr>
        <w:t>. The PBAC considered the revised uptake in Year 1 was reasonable (70%) but should increase by 2.5 percentage points each year consistent with the approach in the July 2025 submission (see paragraph</w:t>
      </w:r>
      <w:r w:rsidR="001C1B3A">
        <w:rPr>
          <w:color w:val="000000" w:themeColor="text1"/>
        </w:rPr>
        <w:t xml:space="preserve"> </w:t>
      </w:r>
      <w:r w:rsidR="001C1B3A">
        <w:rPr>
          <w:color w:val="000000" w:themeColor="text1"/>
        </w:rPr>
        <w:fldChar w:fldCharType="begin"/>
      </w:r>
      <w:r w:rsidR="001C1B3A">
        <w:rPr>
          <w:color w:val="000000" w:themeColor="text1"/>
        </w:rPr>
        <w:instrText xml:space="preserve"> REF _Ref217295553 \r \h </w:instrText>
      </w:r>
      <w:r w:rsidR="001C1B3A">
        <w:rPr>
          <w:color w:val="000000" w:themeColor="text1"/>
        </w:rPr>
      </w:r>
      <w:r w:rsidR="001C1B3A">
        <w:rPr>
          <w:color w:val="000000" w:themeColor="text1"/>
        </w:rPr>
        <w:fldChar w:fldCharType="separate"/>
      </w:r>
      <w:r w:rsidR="0011458F">
        <w:rPr>
          <w:color w:val="000000" w:themeColor="text1"/>
        </w:rPr>
        <w:t>6.76</w:t>
      </w:r>
      <w:r w:rsidR="001C1B3A">
        <w:rPr>
          <w:color w:val="000000" w:themeColor="text1"/>
        </w:rPr>
        <w:fldChar w:fldCharType="end"/>
      </w:r>
      <w:r w:rsidRPr="00276BCA">
        <w:rPr>
          <w:color w:val="000000" w:themeColor="text1"/>
        </w:rPr>
        <w:t xml:space="preserve">).  </w:t>
      </w:r>
    </w:p>
    <w:p w14:paraId="554C23F3" w14:textId="77777777" w:rsidR="00425894" w:rsidRPr="00276BCA" w:rsidRDefault="00425894" w:rsidP="00425894">
      <w:pPr>
        <w:numPr>
          <w:ilvl w:val="4"/>
          <w:numId w:val="15"/>
        </w:numPr>
        <w:spacing w:after="120"/>
        <w:rPr>
          <w:color w:val="000000" w:themeColor="text1"/>
        </w:rPr>
      </w:pPr>
      <w:r w:rsidRPr="00276BCA">
        <w:rPr>
          <w:color w:val="000000" w:themeColor="text1"/>
        </w:rPr>
        <w:t xml:space="preserve">The PBAC advised </w:t>
      </w:r>
      <w:proofErr w:type="spellStart"/>
      <w:r w:rsidRPr="00276BCA">
        <w:rPr>
          <w:color w:val="000000" w:themeColor="text1"/>
        </w:rPr>
        <w:t>zolbetuximab</w:t>
      </w:r>
      <w:proofErr w:type="spellEnd"/>
      <w:r w:rsidRPr="00276BCA">
        <w:rPr>
          <w:color w:val="000000" w:themeColor="text1"/>
        </w:rPr>
        <w:t xml:space="preserve"> should be included in the RSA currently in place for gastro-oesophageal cancers with no increase in expenditure caps. </w:t>
      </w:r>
    </w:p>
    <w:p w14:paraId="650C0DC6" w14:textId="77777777" w:rsidR="00425894" w:rsidRPr="00276BCA" w:rsidRDefault="00425894" w:rsidP="00425894">
      <w:pPr>
        <w:numPr>
          <w:ilvl w:val="4"/>
          <w:numId w:val="15"/>
        </w:numPr>
        <w:spacing w:after="120"/>
        <w:rPr>
          <w:color w:val="000000" w:themeColor="text1"/>
        </w:rPr>
      </w:pPr>
      <w:r w:rsidRPr="00276BCA">
        <w:rPr>
          <w:color w:val="000000" w:themeColor="text1"/>
        </w:rPr>
        <w:t xml:space="preserve">The PBAC advised that the Early Supply Rule should not be applied to </w:t>
      </w:r>
      <w:proofErr w:type="spellStart"/>
      <w:r w:rsidRPr="00276BCA">
        <w:rPr>
          <w:color w:val="000000" w:themeColor="text1"/>
        </w:rPr>
        <w:t>zolbetuximab</w:t>
      </w:r>
      <w:proofErr w:type="spellEnd"/>
      <w:r w:rsidRPr="00276BCA">
        <w:rPr>
          <w:color w:val="000000" w:themeColor="text1"/>
        </w:rPr>
        <w:t xml:space="preserve">. </w:t>
      </w:r>
    </w:p>
    <w:p w14:paraId="1A793F5F" w14:textId="77777777" w:rsidR="00425894" w:rsidRPr="00276BCA" w:rsidRDefault="00425894" w:rsidP="00425894">
      <w:pPr>
        <w:numPr>
          <w:ilvl w:val="4"/>
          <w:numId w:val="15"/>
        </w:numPr>
        <w:spacing w:after="120"/>
        <w:rPr>
          <w:color w:val="000000" w:themeColor="text1"/>
        </w:rPr>
      </w:pPr>
      <w:r w:rsidRPr="00276BCA">
        <w:rPr>
          <w:color w:val="000000" w:themeColor="text1"/>
        </w:rPr>
        <w:t xml:space="preserve">The PBAC recommended that </w:t>
      </w:r>
      <w:proofErr w:type="spellStart"/>
      <w:r w:rsidRPr="00276BCA">
        <w:rPr>
          <w:color w:val="000000" w:themeColor="text1"/>
        </w:rPr>
        <w:t>zolbetuximab</w:t>
      </w:r>
      <w:proofErr w:type="spellEnd"/>
      <w:r w:rsidRPr="00276BCA">
        <w:rPr>
          <w:color w:val="000000" w:themeColor="text1"/>
        </w:rPr>
        <w:t xml:space="preserve"> should not be treated as interchangeable with any other drugs listed on the PBS. </w:t>
      </w:r>
    </w:p>
    <w:p w14:paraId="3880DC34" w14:textId="77777777" w:rsidR="00425894" w:rsidRPr="00276BCA" w:rsidRDefault="00425894" w:rsidP="00425894">
      <w:pPr>
        <w:numPr>
          <w:ilvl w:val="4"/>
          <w:numId w:val="15"/>
        </w:numPr>
        <w:spacing w:after="120"/>
        <w:rPr>
          <w:rFonts w:cs="Arial"/>
          <w:bCs/>
          <w:snapToGrid w:val="0"/>
          <w:color w:val="000000" w:themeColor="text1"/>
          <w:lang w:val="en-GB"/>
        </w:rPr>
      </w:pPr>
      <w:r w:rsidRPr="00276BCA">
        <w:rPr>
          <w:rFonts w:cs="Arial"/>
          <w:bCs/>
          <w:snapToGrid w:val="0"/>
          <w:color w:val="000000" w:themeColor="text1"/>
          <w:lang w:val="en-GB"/>
        </w:rPr>
        <w:t xml:space="preserve">The PBAC advised that </w:t>
      </w:r>
      <w:proofErr w:type="spellStart"/>
      <w:r w:rsidRPr="00276BCA">
        <w:rPr>
          <w:rFonts w:cs="Arial"/>
          <w:bCs/>
          <w:snapToGrid w:val="0"/>
          <w:color w:val="000000" w:themeColor="text1"/>
          <w:lang w:val="en-GB"/>
        </w:rPr>
        <w:t>zolbetuximab</w:t>
      </w:r>
      <w:proofErr w:type="spellEnd"/>
      <w:r w:rsidRPr="00276BCA">
        <w:rPr>
          <w:rFonts w:cs="Arial"/>
          <w:bCs/>
          <w:snapToGrid w:val="0"/>
          <w:color w:val="000000" w:themeColor="text1"/>
          <w:lang w:val="en-GB"/>
        </w:rPr>
        <w:t xml:space="preserve"> is not suitable for </w:t>
      </w:r>
      <w:r w:rsidRPr="00276BCA">
        <w:rPr>
          <w:color w:val="000000" w:themeColor="text1"/>
        </w:rPr>
        <w:t>prescribing</w:t>
      </w:r>
      <w:r w:rsidRPr="00276BCA">
        <w:rPr>
          <w:rFonts w:cs="Arial"/>
          <w:bCs/>
          <w:snapToGrid w:val="0"/>
          <w:color w:val="000000" w:themeColor="text1"/>
          <w:lang w:val="en-GB"/>
        </w:rPr>
        <w:t xml:space="preserve"> by nurse practitioners. </w:t>
      </w:r>
    </w:p>
    <w:p w14:paraId="428C95AD" w14:textId="77777777" w:rsidR="00425894" w:rsidRPr="00276BCA" w:rsidRDefault="00425894" w:rsidP="00425894">
      <w:pPr>
        <w:numPr>
          <w:ilvl w:val="4"/>
          <w:numId w:val="15"/>
        </w:numPr>
        <w:spacing w:after="120"/>
        <w:rPr>
          <w:b/>
          <w:bCs/>
          <w:color w:val="000000" w:themeColor="text1"/>
          <w:lang w:val="en-GB"/>
        </w:rPr>
      </w:pPr>
      <w:r w:rsidRPr="00276BCA">
        <w:rPr>
          <w:rFonts w:cstheme="minorHAnsi"/>
          <w:color w:val="000000" w:themeColor="text1"/>
          <w:lang w:val="en-GB"/>
        </w:rPr>
        <w:t xml:space="preserve">The PBAC noted that its recommendation was on a cost-minimisation basis and advised that, because </w:t>
      </w:r>
      <w:proofErr w:type="spellStart"/>
      <w:r w:rsidRPr="00276BCA">
        <w:rPr>
          <w:rFonts w:cstheme="minorHAnsi"/>
          <w:color w:val="000000" w:themeColor="text1"/>
          <w:lang w:val="en-GB"/>
        </w:rPr>
        <w:t>zolbetuximab</w:t>
      </w:r>
      <w:proofErr w:type="spellEnd"/>
      <w:r w:rsidRPr="00276BCA">
        <w:rPr>
          <w:rFonts w:cstheme="minorHAnsi"/>
          <w:color w:val="000000" w:themeColor="text1"/>
          <w:lang w:val="en-GB"/>
        </w:rPr>
        <w:t xml:space="preserve"> is not expected to provide a substantial</w:t>
      </w:r>
      <w:r w:rsidRPr="00276BCA">
        <w:rPr>
          <w:bCs/>
          <w:color w:val="000000" w:themeColor="text1"/>
          <w:lang w:val="en-GB"/>
        </w:rPr>
        <w:t xml:space="preserve"> and </w:t>
      </w:r>
      <w:r w:rsidRPr="00276BCA">
        <w:rPr>
          <w:rFonts w:cs="Arial"/>
          <w:bCs/>
          <w:snapToGrid w:val="0"/>
          <w:color w:val="000000" w:themeColor="text1"/>
          <w:lang w:val="en-GB"/>
        </w:rPr>
        <w:t>clinically</w:t>
      </w:r>
      <w:r w:rsidRPr="00276BCA">
        <w:rPr>
          <w:bCs/>
          <w:color w:val="000000" w:themeColor="text1"/>
          <w:lang w:val="en-GB"/>
        </w:rPr>
        <w:t xml:space="preserve"> relevant improvement in efficacy, or reduction of toxicity, over nivolumab, or not expected to address a high and urgent unmet clinical need given the presence of an alternative therapy, the criteria prescribed by the </w:t>
      </w:r>
      <w:r w:rsidRPr="00276BCA">
        <w:rPr>
          <w:bCs/>
          <w:i/>
          <w:color w:val="000000" w:themeColor="text1"/>
          <w:lang w:val="en-GB"/>
        </w:rPr>
        <w:t>National Health (Pharmaceuticals and Vaccines – Cost Recovery) Regulations 2022</w:t>
      </w:r>
      <w:r w:rsidRPr="00276BCA">
        <w:rPr>
          <w:bCs/>
          <w:color w:val="000000" w:themeColor="text1"/>
          <w:lang w:val="en-GB"/>
        </w:rPr>
        <w:t xml:space="preserve"> for Pricing Pathway A were not met.</w:t>
      </w:r>
    </w:p>
    <w:p w14:paraId="2656DF12" w14:textId="77777777" w:rsidR="00425894" w:rsidRPr="00276BCA" w:rsidRDefault="00425894" w:rsidP="00425894">
      <w:pPr>
        <w:widowControl w:val="0"/>
        <w:numPr>
          <w:ilvl w:val="4"/>
          <w:numId w:val="15"/>
        </w:numPr>
        <w:spacing w:after="120"/>
        <w:rPr>
          <w:rFonts w:cs="Arial"/>
          <w:bCs/>
          <w:snapToGrid w:val="0"/>
          <w:color w:val="000000" w:themeColor="text1"/>
          <w:lang w:val="en-GB"/>
        </w:rPr>
      </w:pPr>
      <w:r w:rsidRPr="00276BCA">
        <w:rPr>
          <w:rFonts w:cs="Arial"/>
          <w:bCs/>
          <w:snapToGrid w:val="0"/>
          <w:color w:val="000000" w:themeColor="text1"/>
          <w:lang w:val="en-GB"/>
        </w:rPr>
        <w:t xml:space="preserve">The PBAC </w:t>
      </w:r>
      <w:r w:rsidRPr="00276BCA">
        <w:rPr>
          <w:bCs/>
          <w:color w:val="000000" w:themeColor="text1"/>
          <w:lang w:val="en-GB"/>
        </w:rPr>
        <w:t>noted</w:t>
      </w:r>
      <w:r w:rsidRPr="00276BCA">
        <w:rPr>
          <w:rFonts w:cs="Arial"/>
          <w:bCs/>
          <w:snapToGrid w:val="0"/>
          <w:color w:val="000000" w:themeColor="text1"/>
          <w:lang w:val="en-GB"/>
        </w:rPr>
        <w:t xml:space="preserve"> that this submission is not eligible for an Independent Review as it received a positive recommendation.</w:t>
      </w:r>
    </w:p>
    <w:p w14:paraId="6DB88B7B" w14:textId="77777777" w:rsidR="00425894" w:rsidRPr="00276BCA" w:rsidRDefault="00425894" w:rsidP="00425894">
      <w:pPr>
        <w:spacing w:before="240" w:after="0"/>
        <w:rPr>
          <w:rFonts w:cs="Arial"/>
          <w:b/>
          <w:bCs/>
          <w:snapToGrid w:val="0"/>
          <w:lang w:val="en-GB"/>
        </w:rPr>
      </w:pPr>
      <w:r w:rsidRPr="00276BCA">
        <w:rPr>
          <w:rFonts w:cs="Arial"/>
          <w:b/>
          <w:bCs/>
          <w:snapToGrid w:val="0"/>
          <w:lang w:val="en-GB"/>
        </w:rPr>
        <w:t>Outcome:</w:t>
      </w:r>
    </w:p>
    <w:p w14:paraId="5BCBD4A2" w14:textId="77777777" w:rsidR="00425894" w:rsidRPr="00276BCA" w:rsidRDefault="00425894" w:rsidP="00425894">
      <w:pPr>
        <w:spacing w:before="0"/>
        <w:rPr>
          <w:rFonts w:cs="Arial"/>
          <w:bCs/>
          <w:snapToGrid w:val="0"/>
          <w:lang w:val="en-GB"/>
        </w:rPr>
      </w:pPr>
      <w:r w:rsidRPr="00276BCA">
        <w:rPr>
          <w:rFonts w:cs="Arial"/>
          <w:bCs/>
          <w:snapToGrid w:val="0"/>
          <w:lang w:val="en-GB"/>
        </w:rPr>
        <w:t xml:space="preserve">Recommended </w:t>
      </w:r>
    </w:p>
    <w:p w14:paraId="35A93ADF" w14:textId="77777777" w:rsidR="00425894" w:rsidRPr="00276BCA" w:rsidRDefault="00425894" w:rsidP="00425894">
      <w:pPr>
        <w:keepNext/>
        <w:keepLines/>
        <w:numPr>
          <w:ilvl w:val="0"/>
          <w:numId w:val="15"/>
        </w:numPr>
        <w:tabs>
          <w:tab w:val="left" w:pos="1077"/>
        </w:tabs>
        <w:spacing w:before="240" w:after="120"/>
        <w:jc w:val="left"/>
        <w:outlineLvl w:val="0"/>
        <w:rPr>
          <w:rFonts w:eastAsia="Times New Roman" w:cs="Arial"/>
          <w:b/>
          <w:snapToGrid w:val="0"/>
          <w:sz w:val="32"/>
          <w:szCs w:val="32"/>
        </w:rPr>
      </w:pPr>
      <w:r w:rsidRPr="00276BCA">
        <w:rPr>
          <w:rFonts w:eastAsia="Times New Roman" w:cs="Arial"/>
          <w:b/>
          <w:snapToGrid w:val="0"/>
          <w:sz w:val="32"/>
          <w:szCs w:val="32"/>
        </w:rPr>
        <w:t>Recommended listing</w:t>
      </w:r>
    </w:p>
    <w:p w14:paraId="384445B1" w14:textId="77777777" w:rsidR="00425894" w:rsidRPr="00276BCA" w:rsidRDefault="00425894" w:rsidP="00425894">
      <w:pPr>
        <w:numPr>
          <w:ilvl w:val="4"/>
          <w:numId w:val="15"/>
        </w:numPr>
        <w:spacing w:after="120"/>
        <w:rPr>
          <w:color w:val="000000" w:themeColor="text1"/>
        </w:rPr>
      </w:pPr>
      <w:r w:rsidRPr="00276BCA">
        <w:rPr>
          <w:color w:val="000000" w:themeColor="text1"/>
        </w:rPr>
        <w:t>Add new items:</w:t>
      </w:r>
    </w:p>
    <w:p w14:paraId="2E32787C" w14:textId="77777777" w:rsidR="00425894" w:rsidRPr="00276BCA" w:rsidRDefault="00425894" w:rsidP="00425894">
      <w:pPr>
        <w:spacing w:after="120"/>
        <w:rPr>
          <w:b/>
          <w:bCs/>
        </w:rPr>
      </w:pPr>
      <w:r w:rsidRPr="00276BCA">
        <w:rPr>
          <w:b/>
          <w:bCs/>
        </w:rPr>
        <w:lastRenderedPageBreak/>
        <w:t>Initial</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3937"/>
        <w:gridCol w:w="1623"/>
        <w:gridCol w:w="1623"/>
        <w:gridCol w:w="1745"/>
      </w:tblGrid>
      <w:tr w:rsidR="00425894" w:rsidRPr="00276BCA" w14:paraId="6EC2C029" w14:textId="77777777" w:rsidTr="00E524D5">
        <w:trPr>
          <w:cantSplit/>
          <w:trHeight w:val="20"/>
        </w:trPr>
        <w:tc>
          <w:tcPr>
            <w:tcW w:w="2205" w:type="pct"/>
            <w:vAlign w:val="center"/>
          </w:tcPr>
          <w:p w14:paraId="6144F713" w14:textId="77777777" w:rsidR="00425894" w:rsidRPr="00276BCA" w:rsidRDefault="00425894" w:rsidP="00425894">
            <w:pPr>
              <w:keepLines/>
              <w:spacing w:before="0" w:after="0"/>
              <w:jc w:val="left"/>
              <w:rPr>
                <w:rFonts w:ascii="Arial Narrow" w:hAnsi="Arial Narrow" w:cs="Arial"/>
                <w:b/>
                <w:bCs/>
                <w:sz w:val="20"/>
                <w:szCs w:val="20"/>
              </w:rPr>
            </w:pPr>
            <w:r w:rsidRPr="00276BCA">
              <w:rPr>
                <w:rFonts w:ascii="Arial Narrow" w:hAnsi="Arial Narrow" w:cs="Arial"/>
                <w:b/>
                <w:bCs/>
                <w:sz w:val="20"/>
                <w:szCs w:val="20"/>
              </w:rPr>
              <w:t>MEDICINAL PRODUCT</w:t>
            </w:r>
          </w:p>
        </w:tc>
        <w:tc>
          <w:tcPr>
            <w:tcW w:w="909" w:type="pct"/>
            <w:vAlign w:val="center"/>
          </w:tcPr>
          <w:p w14:paraId="2DC77F6D" w14:textId="77777777" w:rsidR="00425894" w:rsidRPr="00276BCA" w:rsidRDefault="00425894" w:rsidP="00425894">
            <w:pPr>
              <w:keepLines/>
              <w:spacing w:before="0" w:after="0"/>
              <w:jc w:val="center"/>
              <w:rPr>
                <w:rFonts w:ascii="Arial Narrow" w:hAnsi="Arial Narrow" w:cs="Arial"/>
                <w:b/>
                <w:sz w:val="20"/>
                <w:szCs w:val="20"/>
              </w:rPr>
            </w:pPr>
            <w:r w:rsidRPr="00276BCA">
              <w:rPr>
                <w:rFonts w:ascii="Arial Narrow" w:hAnsi="Arial Narrow" w:cs="Arial"/>
                <w:b/>
                <w:sz w:val="20"/>
                <w:szCs w:val="20"/>
              </w:rPr>
              <w:t>PBS item code</w:t>
            </w:r>
          </w:p>
        </w:tc>
        <w:tc>
          <w:tcPr>
            <w:tcW w:w="909" w:type="pct"/>
            <w:vAlign w:val="center"/>
          </w:tcPr>
          <w:p w14:paraId="5970452C" w14:textId="77777777" w:rsidR="00425894" w:rsidRPr="00276BCA" w:rsidRDefault="00425894" w:rsidP="00425894">
            <w:pPr>
              <w:keepLines/>
              <w:spacing w:before="0" w:after="0"/>
              <w:jc w:val="center"/>
              <w:rPr>
                <w:rFonts w:ascii="Arial Narrow" w:hAnsi="Arial Narrow" w:cs="Arial"/>
                <w:b/>
                <w:sz w:val="20"/>
                <w:szCs w:val="20"/>
              </w:rPr>
            </w:pPr>
            <w:r w:rsidRPr="00276BCA">
              <w:rPr>
                <w:rFonts w:ascii="Arial Narrow" w:hAnsi="Arial Narrow" w:cs="Arial"/>
                <w:b/>
                <w:sz w:val="20"/>
                <w:szCs w:val="20"/>
              </w:rPr>
              <w:t>Max. Amount</w:t>
            </w:r>
          </w:p>
        </w:tc>
        <w:tc>
          <w:tcPr>
            <w:tcW w:w="977" w:type="pct"/>
            <w:vAlign w:val="center"/>
          </w:tcPr>
          <w:p w14:paraId="431A9B40" w14:textId="77777777" w:rsidR="00425894" w:rsidRPr="00276BCA" w:rsidRDefault="00425894" w:rsidP="00425894">
            <w:pPr>
              <w:keepLines/>
              <w:spacing w:before="0" w:after="0"/>
              <w:jc w:val="center"/>
              <w:rPr>
                <w:rFonts w:ascii="Arial Narrow" w:hAnsi="Arial Narrow" w:cs="Arial"/>
                <w:b/>
                <w:sz w:val="20"/>
                <w:szCs w:val="20"/>
              </w:rPr>
            </w:pPr>
            <w:proofErr w:type="gramStart"/>
            <w:r w:rsidRPr="00276BCA">
              <w:rPr>
                <w:rFonts w:ascii="Arial Narrow" w:hAnsi="Arial Narrow" w:cs="Arial"/>
                <w:b/>
                <w:sz w:val="20"/>
                <w:szCs w:val="20"/>
              </w:rPr>
              <w:t>№.of</w:t>
            </w:r>
            <w:proofErr w:type="gramEnd"/>
            <w:r w:rsidRPr="00276BCA">
              <w:rPr>
                <w:rFonts w:ascii="Arial Narrow" w:hAnsi="Arial Narrow" w:cs="Arial"/>
                <w:b/>
                <w:sz w:val="20"/>
                <w:szCs w:val="20"/>
              </w:rPr>
              <w:t xml:space="preserve"> </w:t>
            </w:r>
            <w:proofErr w:type="spellStart"/>
            <w:r w:rsidRPr="00276BCA">
              <w:rPr>
                <w:rFonts w:ascii="Arial Narrow" w:hAnsi="Arial Narrow" w:cs="Arial"/>
                <w:b/>
                <w:sz w:val="20"/>
                <w:szCs w:val="20"/>
              </w:rPr>
              <w:t>Rpts</w:t>
            </w:r>
            <w:proofErr w:type="spellEnd"/>
          </w:p>
        </w:tc>
      </w:tr>
      <w:tr w:rsidR="00425894" w:rsidRPr="00276BCA" w14:paraId="5A931204" w14:textId="77777777" w:rsidTr="00E524D5">
        <w:trPr>
          <w:cantSplit/>
          <w:trHeight w:val="20"/>
        </w:trPr>
        <w:tc>
          <w:tcPr>
            <w:tcW w:w="2205" w:type="pct"/>
            <w:vAlign w:val="center"/>
          </w:tcPr>
          <w:p w14:paraId="4052E3E6" w14:textId="77777777" w:rsidR="00425894" w:rsidRPr="00276BCA" w:rsidRDefault="00425894" w:rsidP="00425894">
            <w:pPr>
              <w:keepNext/>
              <w:spacing w:before="0" w:after="0"/>
              <w:rPr>
                <w:rFonts w:ascii="Arial Narrow" w:hAnsi="Arial Narrow" w:cs="Arial"/>
                <w:sz w:val="20"/>
                <w:szCs w:val="20"/>
              </w:rPr>
            </w:pPr>
            <w:r w:rsidRPr="00276BCA">
              <w:rPr>
                <w:rFonts w:ascii="Arial Narrow" w:hAnsi="Arial Narrow" w:cs="Arial"/>
                <w:sz w:val="20"/>
                <w:szCs w:val="20"/>
              </w:rPr>
              <w:t>ZOLBETUXIMAB</w:t>
            </w:r>
          </w:p>
          <w:p w14:paraId="46FDC3E6" w14:textId="77777777" w:rsidR="00425894" w:rsidRPr="00276BCA" w:rsidRDefault="00425894" w:rsidP="00425894">
            <w:pPr>
              <w:keepLines/>
              <w:spacing w:before="0" w:after="0"/>
              <w:rPr>
                <w:rFonts w:ascii="Arial Narrow" w:hAnsi="Arial Narrow" w:cs="Arial"/>
                <w:b/>
                <w:bCs/>
                <w:sz w:val="20"/>
                <w:szCs w:val="20"/>
              </w:rPr>
            </w:pPr>
            <w:r w:rsidRPr="00276BCA">
              <w:rPr>
                <w:rFonts w:ascii="Arial Narrow" w:hAnsi="Arial Narrow" w:cs="Arial"/>
                <w:sz w:val="20"/>
                <w:szCs w:val="20"/>
              </w:rPr>
              <w:t>Injection</w:t>
            </w:r>
          </w:p>
        </w:tc>
        <w:tc>
          <w:tcPr>
            <w:tcW w:w="909" w:type="pct"/>
            <w:vAlign w:val="center"/>
          </w:tcPr>
          <w:p w14:paraId="10512420" w14:textId="77777777" w:rsidR="00425894" w:rsidRPr="00276BCA" w:rsidRDefault="00425894" w:rsidP="00425894">
            <w:pPr>
              <w:keepLines/>
              <w:spacing w:before="0" w:after="0"/>
              <w:jc w:val="center"/>
              <w:rPr>
                <w:rFonts w:ascii="Arial Narrow" w:hAnsi="Arial Narrow" w:cs="Arial"/>
                <w:b/>
                <w:sz w:val="20"/>
                <w:szCs w:val="20"/>
              </w:rPr>
            </w:pPr>
            <w:r w:rsidRPr="00276BCA">
              <w:rPr>
                <w:rFonts w:ascii="Arial Narrow" w:hAnsi="Arial Narrow" w:cs="Arial"/>
                <w:sz w:val="20"/>
                <w:szCs w:val="20"/>
              </w:rPr>
              <w:t>NEW (Public)</w:t>
            </w:r>
            <w:r w:rsidRPr="00276BCA">
              <w:rPr>
                <w:rFonts w:ascii="Arial Narrow" w:hAnsi="Arial Narrow" w:cs="Arial"/>
                <w:sz w:val="20"/>
                <w:szCs w:val="20"/>
              </w:rPr>
              <w:br/>
              <w:t>NEW (Private)</w:t>
            </w:r>
          </w:p>
        </w:tc>
        <w:tc>
          <w:tcPr>
            <w:tcW w:w="909" w:type="pct"/>
            <w:vAlign w:val="center"/>
          </w:tcPr>
          <w:p w14:paraId="13E3A3BD" w14:textId="77777777" w:rsidR="00425894" w:rsidRPr="00276BCA" w:rsidRDefault="00425894" w:rsidP="00425894">
            <w:pPr>
              <w:keepLines/>
              <w:spacing w:before="0" w:after="0"/>
              <w:jc w:val="center"/>
              <w:rPr>
                <w:rFonts w:ascii="Arial Narrow" w:hAnsi="Arial Narrow" w:cs="Arial"/>
                <w:b/>
                <w:sz w:val="20"/>
                <w:szCs w:val="20"/>
              </w:rPr>
            </w:pPr>
            <w:r w:rsidRPr="00276BCA">
              <w:rPr>
                <w:rFonts w:ascii="Arial Narrow" w:hAnsi="Arial Narrow" w:cs="Arial"/>
                <w:sz w:val="20"/>
                <w:szCs w:val="20"/>
              </w:rPr>
              <w:t xml:space="preserve"> 1,400 mg</w:t>
            </w:r>
          </w:p>
        </w:tc>
        <w:tc>
          <w:tcPr>
            <w:tcW w:w="977" w:type="pct"/>
            <w:vAlign w:val="center"/>
          </w:tcPr>
          <w:p w14:paraId="1F0D4169" w14:textId="77777777" w:rsidR="00425894" w:rsidRPr="00276BCA" w:rsidRDefault="00425894" w:rsidP="00425894">
            <w:pPr>
              <w:keepLines/>
              <w:spacing w:before="0" w:after="0"/>
              <w:jc w:val="center"/>
              <w:rPr>
                <w:rFonts w:ascii="Arial Narrow" w:hAnsi="Arial Narrow" w:cs="Arial"/>
                <w:b/>
                <w:sz w:val="20"/>
                <w:szCs w:val="20"/>
              </w:rPr>
            </w:pPr>
            <w:r w:rsidRPr="00276BCA">
              <w:rPr>
                <w:rFonts w:ascii="Arial Narrow" w:hAnsi="Arial Narrow" w:cs="Arial"/>
                <w:sz w:val="20"/>
                <w:szCs w:val="20"/>
              </w:rPr>
              <w:t>0</w:t>
            </w:r>
          </w:p>
        </w:tc>
      </w:tr>
      <w:tr w:rsidR="00425894" w:rsidRPr="00276BCA" w14:paraId="0D09A0D8" w14:textId="77777777" w:rsidTr="00E524D5">
        <w:trPr>
          <w:cantSplit/>
          <w:trHeight w:val="20"/>
        </w:trPr>
        <w:tc>
          <w:tcPr>
            <w:tcW w:w="5000" w:type="pct"/>
            <w:gridSpan w:val="4"/>
            <w:vAlign w:val="center"/>
          </w:tcPr>
          <w:p w14:paraId="5726F81F" w14:textId="77777777" w:rsidR="00425894" w:rsidRPr="00276BCA" w:rsidRDefault="00425894" w:rsidP="00425894">
            <w:pPr>
              <w:keepLines/>
              <w:spacing w:before="0" w:after="0"/>
              <w:rPr>
                <w:rFonts w:ascii="Arial Narrow" w:hAnsi="Arial Narrow" w:cs="Arial"/>
                <w:b/>
                <w:bCs/>
                <w:color w:val="FF0000"/>
                <w:sz w:val="20"/>
                <w:szCs w:val="20"/>
              </w:rPr>
            </w:pPr>
            <w:r w:rsidRPr="00276BCA">
              <w:rPr>
                <w:rFonts w:ascii="Arial Narrow" w:hAnsi="Arial Narrow" w:cs="Arial"/>
                <w:b/>
                <w:bCs/>
                <w:sz w:val="20"/>
                <w:szCs w:val="20"/>
              </w:rPr>
              <w:t xml:space="preserve">Available brands </w:t>
            </w:r>
          </w:p>
        </w:tc>
      </w:tr>
      <w:tr w:rsidR="00425894" w:rsidRPr="00276BCA" w14:paraId="04983979" w14:textId="77777777" w:rsidTr="00E524D5">
        <w:trPr>
          <w:cantSplit/>
          <w:trHeight w:val="20"/>
        </w:trPr>
        <w:tc>
          <w:tcPr>
            <w:tcW w:w="5000" w:type="pct"/>
            <w:gridSpan w:val="4"/>
            <w:vAlign w:val="center"/>
          </w:tcPr>
          <w:p w14:paraId="456C414E" w14:textId="77777777" w:rsidR="00425894" w:rsidRPr="00276BCA" w:rsidRDefault="00425894" w:rsidP="00425894">
            <w:pPr>
              <w:keepNext/>
              <w:spacing w:before="0" w:after="0"/>
              <w:rPr>
                <w:rFonts w:ascii="Arial Narrow" w:hAnsi="Arial Narrow" w:cs="Arial"/>
                <w:sz w:val="20"/>
                <w:szCs w:val="20"/>
              </w:rPr>
            </w:pPr>
            <w:proofErr w:type="spellStart"/>
            <w:r w:rsidRPr="00276BCA">
              <w:rPr>
                <w:rFonts w:ascii="Arial Narrow" w:hAnsi="Arial Narrow" w:cs="Arial"/>
                <w:sz w:val="20"/>
                <w:szCs w:val="20"/>
              </w:rPr>
              <w:t>Vyloy</w:t>
            </w:r>
            <w:proofErr w:type="spellEnd"/>
          </w:p>
          <w:p w14:paraId="65122812" w14:textId="77777777" w:rsidR="00425894" w:rsidRPr="00276BCA" w:rsidRDefault="00425894" w:rsidP="00425894">
            <w:pPr>
              <w:keepLines/>
              <w:spacing w:before="0" w:after="0"/>
              <w:rPr>
                <w:rFonts w:ascii="Arial Narrow" w:hAnsi="Arial Narrow" w:cs="Arial"/>
                <w:color w:val="FF0000"/>
                <w:sz w:val="20"/>
                <w:szCs w:val="20"/>
              </w:rPr>
            </w:pPr>
            <w:proofErr w:type="spellStart"/>
            <w:r w:rsidRPr="00276BCA">
              <w:rPr>
                <w:rFonts w:ascii="Arial Narrow" w:hAnsi="Arial Narrow" w:cs="Arial"/>
                <w:sz w:val="20"/>
                <w:szCs w:val="20"/>
              </w:rPr>
              <w:t>zolbetuximab</w:t>
            </w:r>
            <w:proofErr w:type="spellEnd"/>
            <w:r w:rsidRPr="00276BCA">
              <w:rPr>
                <w:rFonts w:ascii="Arial Narrow" w:hAnsi="Arial Narrow" w:cs="Arial"/>
                <w:sz w:val="20"/>
                <w:szCs w:val="20"/>
              </w:rPr>
              <w:t xml:space="preserve"> 100 mg injection, 1 vial </w:t>
            </w:r>
          </w:p>
        </w:tc>
      </w:tr>
      <w:tr w:rsidR="00425894" w:rsidRPr="00276BCA" w14:paraId="0BCDE9EA" w14:textId="77777777" w:rsidTr="00E524D5">
        <w:tblPrEx>
          <w:tblCellMar>
            <w:top w:w="15" w:type="dxa"/>
            <w:bottom w:w="15" w:type="dxa"/>
          </w:tblCellMar>
          <w:tblLook w:val="04A0" w:firstRow="1" w:lastRow="0" w:firstColumn="1" w:lastColumn="0" w:noHBand="0" w:noVBand="1"/>
        </w:tblPrEx>
        <w:trPr>
          <w:trHeight w:val="20"/>
        </w:trPr>
        <w:tc>
          <w:tcPr>
            <w:tcW w:w="5000" w:type="pct"/>
            <w:gridSpan w:val="4"/>
            <w:tcBorders>
              <w:top w:val="single" w:sz="4" w:space="0" w:color="auto"/>
              <w:left w:val="single" w:sz="4" w:space="0" w:color="auto"/>
              <w:right w:val="single" w:sz="4" w:space="0" w:color="auto"/>
            </w:tcBorders>
            <w:vAlign w:val="center"/>
          </w:tcPr>
          <w:p w14:paraId="5EE17EE4" w14:textId="77777777" w:rsidR="00425894" w:rsidRPr="00276BCA" w:rsidRDefault="00425894" w:rsidP="00425894">
            <w:pPr>
              <w:spacing w:before="0" w:after="0"/>
              <w:rPr>
                <w:rFonts w:ascii="Arial Narrow" w:hAnsi="Arial Narrow" w:cs="Arial"/>
                <w:sz w:val="20"/>
                <w:szCs w:val="20"/>
              </w:rPr>
            </w:pPr>
          </w:p>
        </w:tc>
      </w:tr>
      <w:tr w:rsidR="004E5816" w:rsidRPr="00276BCA" w14:paraId="0EC621EB" w14:textId="77777777" w:rsidTr="00E524D5">
        <w:tblPrEx>
          <w:tblCellMar>
            <w:top w:w="15" w:type="dxa"/>
            <w:bottom w:w="15" w:type="dxa"/>
          </w:tblCellMar>
          <w:tblLook w:val="04A0" w:firstRow="1" w:lastRow="0" w:firstColumn="1" w:lastColumn="0" w:noHBand="0" w:noVBand="1"/>
        </w:tblPrEx>
        <w:trPr>
          <w:trHeight w:val="20"/>
        </w:trPr>
        <w:tc>
          <w:tcPr>
            <w:tcW w:w="4999" w:type="pct"/>
            <w:gridSpan w:val="4"/>
            <w:tcBorders>
              <w:top w:val="single" w:sz="4" w:space="0" w:color="auto"/>
              <w:left w:val="single" w:sz="4" w:space="0" w:color="auto"/>
              <w:bottom w:val="single" w:sz="4" w:space="0" w:color="auto"/>
              <w:right w:val="single" w:sz="4" w:space="0" w:color="auto"/>
            </w:tcBorders>
            <w:vAlign w:val="center"/>
          </w:tcPr>
          <w:p w14:paraId="45C76DA5" w14:textId="77777777" w:rsidR="004E5816" w:rsidRPr="00276BCA" w:rsidRDefault="004E5816" w:rsidP="00425894">
            <w:pPr>
              <w:keepLines/>
              <w:spacing w:before="0" w:after="0"/>
              <w:rPr>
                <w:rFonts w:ascii="Arial Narrow" w:hAnsi="Arial Narrow" w:cs="Arial"/>
                <w:sz w:val="20"/>
                <w:szCs w:val="20"/>
              </w:rPr>
            </w:pPr>
            <w:r w:rsidRPr="00276BCA">
              <w:rPr>
                <w:rFonts w:ascii="Arial Narrow" w:hAnsi="Arial Narrow" w:cs="Arial"/>
                <w:b/>
                <w:sz w:val="20"/>
                <w:szCs w:val="20"/>
              </w:rPr>
              <w:t>Category / Program:</w:t>
            </w:r>
            <w:r w:rsidRPr="00276BCA">
              <w:rPr>
                <w:rFonts w:ascii="Arial Narrow" w:hAnsi="Arial Narrow" w:cs="Arial"/>
                <w:sz w:val="20"/>
                <w:szCs w:val="20"/>
              </w:rPr>
              <w:t xml:space="preserve"> </w:t>
            </w:r>
            <w:r w:rsidRPr="00276BCA">
              <w:rPr>
                <w:rFonts w:ascii="Arial Narrow" w:hAnsi="Arial Narrow"/>
                <w:sz w:val="20"/>
                <w:szCs w:val="20"/>
              </w:rPr>
              <w:fldChar w:fldCharType="begin">
                <w:ffData>
                  <w:name w:val=""/>
                  <w:enabled/>
                  <w:calcOnExit w:val="0"/>
                  <w:checkBox>
                    <w:sizeAuto/>
                    <w:default w:val="1"/>
                  </w:checkBox>
                </w:ffData>
              </w:fldChar>
            </w:r>
            <w:r w:rsidRPr="00276BCA">
              <w:rPr>
                <w:rFonts w:ascii="Arial Narrow" w:hAnsi="Arial Narrow"/>
                <w:sz w:val="20"/>
                <w:szCs w:val="20"/>
              </w:rPr>
              <w:instrText xml:space="preserve"> FORMCHECKBOX </w:instrText>
            </w:r>
            <w:r w:rsidRPr="00276BCA">
              <w:rPr>
                <w:rFonts w:ascii="Arial Narrow" w:hAnsi="Arial Narrow"/>
                <w:sz w:val="20"/>
                <w:szCs w:val="20"/>
              </w:rPr>
            </w:r>
            <w:r w:rsidRPr="00276BCA">
              <w:rPr>
                <w:rFonts w:ascii="Arial Narrow" w:hAnsi="Arial Narrow"/>
                <w:sz w:val="20"/>
                <w:szCs w:val="20"/>
              </w:rPr>
              <w:fldChar w:fldCharType="separate"/>
            </w:r>
            <w:r w:rsidRPr="00276BCA">
              <w:rPr>
                <w:rFonts w:ascii="Arial Narrow" w:hAnsi="Arial Narrow"/>
                <w:sz w:val="20"/>
                <w:szCs w:val="20"/>
              </w:rPr>
              <w:fldChar w:fldCharType="end"/>
            </w:r>
            <w:r w:rsidRPr="00276BCA">
              <w:rPr>
                <w:rFonts w:ascii="Arial Narrow" w:eastAsia="Calibri" w:hAnsi="Arial Narrow" w:cs="Arial"/>
                <w:sz w:val="20"/>
                <w:szCs w:val="20"/>
              </w:rPr>
              <w:t>Section 100 – Efficient Funding of Chemotherapy – Public (IP)/ Private (IV)</w:t>
            </w:r>
          </w:p>
        </w:tc>
      </w:tr>
      <w:tr w:rsidR="004E5816" w:rsidRPr="00276BCA" w14:paraId="5DA6EE1B" w14:textId="77777777" w:rsidTr="00E524D5">
        <w:tblPrEx>
          <w:tblCellMar>
            <w:top w:w="15" w:type="dxa"/>
            <w:bottom w:w="15" w:type="dxa"/>
          </w:tblCellMar>
          <w:tblLook w:val="04A0" w:firstRow="1" w:lastRow="0" w:firstColumn="1" w:lastColumn="0" w:noHBand="0" w:noVBand="1"/>
        </w:tblPrEx>
        <w:trPr>
          <w:trHeight w:val="20"/>
        </w:trPr>
        <w:tc>
          <w:tcPr>
            <w:tcW w:w="4999" w:type="pct"/>
            <w:gridSpan w:val="4"/>
            <w:tcBorders>
              <w:top w:val="single" w:sz="4" w:space="0" w:color="auto"/>
              <w:left w:val="single" w:sz="4" w:space="0" w:color="auto"/>
              <w:bottom w:val="single" w:sz="4" w:space="0" w:color="auto"/>
              <w:right w:val="single" w:sz="4" w:space="0" w:color="auto"/>
            </w:tcBorders>
            <w:vAlign w:val="center"/>
          </w:tcPr>
          <w:p w14:paraId="19D363C3" w14:textId="77777777" w:rsidR="004E5816" w:rsidRPr="00276BCA" w:rsidRDefault="004E5816" w:rsidP="00425894">
            <w:pPr>
              <w:keepLines/>
              <w:spacing w:before="0" w:after="0"/>
              <w:rPr>
                <w:rFonts w:ascii="Arial Narrow" w:hAnsi="Arial Narrow" w:cs="Arial"/>
                <w:b/>
                <w:sz w:val="20"/>
                <w:szCs w:val="20"/>
              </w:rPr>
            </w:pPr>
            <w:r w:rsidRPr="00276BCA">
              <w:rPr>
                <w:rFonts w:ascii="Arial Narrow" w:hAnsi="Arial Narrow" w:cs="Arial"/>
                <w:b/>
                <w:sz w:val="20"/>
                <w:szCs w:val="20"/>
              </w:rPr>
              <w:t xml:space="preserve">Prescriber type: </w:t>
            </w:r>
            <w:r w:rsidRPr="00276BCA">
              <w:rPr>
                <w:rFonts w:ascii="Arial Narrow" w:hAnsi="Arial Narrow"/>
                <w:sz w:val="20"/>
                <w:szCs w:val="20"/>
              </w:rPr>
              <w:fldChar w:fldCharType="begin">
                <w:ffData>
                  <w:name w:val=""/>
                  <w:enabled/>
                  <w:calcOnExit w:val="0"/>
                  <w:checkBox>
                    <w:sizeAuto/>
                    <w:default w:val="1"/>
                  </w:checkBox>
                </w:ffData>
              </w:fldChar>
            </w:r>
            <w:r w:rsidRPr="00276BCA">
              <w:rPr>
                <w:rFonts w:ascii="Arial Narrow" w:hAnsi="Arial Narrow"/>
                <w:sz w:val="20"/>
                <w:szCs w:val="20"/>
              </w:rPr>
              <w:instrText xml:space="preserve"> FORMCHECKBOX </w:instrText>
            </w:r>
            <w:r w:rsidRPr="00276BCA">
              <w:rPr>
                <w:rFonts w:ascii="Arial Narrow" w:hAnsi="Arial Narrow"/>
                <w:sz w:val="20"/>
                <w:szCs w:val="20"/>
              </w:rPr>
            </w:r>
            <w:r w:rsidRPr="00276BCA">
              <w:rPr>
                <w:rFonts w:ascii="Arial Narrow" w:hAnsi="Arial Narrow"/>
                <w:sz w:val="20"/>
                <w:szCs w:val="20"/>
              </w:rPr>
              <w:fldChar w:fldCharType="separate"/>
            </w:r>
            <w:r w:rsidRPr="00276BCA">
              <w:rPr>
                <w:rFonts w:ascii="Arial Narrow" w:hAnsi="Arial Narrow"/>
                <w:sz w:val="20"/>
                <w:szCs w:val="20"/>
              </w:rPr>
              <w:fldChar w:fldCharType="end"/>
            </w:r>
            <w:r w:rsidRPr="00276BCA">
              <w:rPr>
                <w:rFonts w:ascii="Arial Narrow" w:hAnsi="Arial Narrow" w:cs="Arial"/>
                <w:sz w:val="20"/>
                <w:szCs w:val="20"/>
              </w:rPr>
              <w:t>Medical Practitioners</w:t>
            </w:r>
          </w:p>
        </w:tc>
      </w:tr>
      <w:tr w:rsidR="004E5816" w:rsidRPr="00276BCA" w14:paraId="0EB71162" w14:textId="77777777" w:rsidTr="00E524D5">
        <w:tblPrEx>
          <w:tblCellMar>
            <w:top w:w="15" w:type="dxa"/>
            <w:bottom w:w="15" w:type="dxa"/>
          </w:tblCellMar>
          <w:tblLook w:val="04A0" w:firstRow="1" w:lastRow="0" w:firstColumn="1" w:lastColumn="0" w:noHBand="0" w:noVBand="1"/>
        </w:tblPrEx>
        <w:trPr>
          <w:trHeight w:val="20"/>
        </w:trPr>
        <w:tc>
          <w:tcPr>
            <w:tcW w:w="4999" w:type="pct"/>
            <w:gridSpan w:val="4"/>
            <w:tcBorders>
              <w:top w:val="single" w:sz="4" w:space="0" w:color="auto"/>
              <w:left w:val="single" w:sz="4" w:space="0" w:color="auto"/>
              <w:bottom w:val="single" w:sz="4" w:space="0" w:color="auto"/>
              <w:right w:val="single" w:sz="4" w:space="0" w:color="auto"/>
            </w:tcBorders>
            <w:vAlign w:val="center"/>
          </w:tcPr>
          <w:p w14:paraId="49BA64BA" w14:textId="77777777" w:rsidR="004E5816" w:rsidRPr="00276BCA" w:rsidRDefault="004E5816" w:rsidP="00425894">
            <w:pPr>
              <w:keepLines/>
              <w:spacing w:before="0" w:after="0"/>
              <w:rPr>
                <w:rFonts w:ascii="Arial Narrow" w:eastAsia="Calibri" w:hAnsi="Arial Narrow" w:cs="Arial"/>
                <w:color w:val="FF0000"/>
                <w:sz w:val="20"/>
                <w:szCs w:val="20"/>
              </w:rPr>
            </w:pPr>
            <w:r w:rsidRPr="00276BCA">
              <w:rPr>
                <w:rFonts w:ascii="Arial Narrow" w:hAnsi="Arial Narrow" w:cs="Arial"/>
                <w:b/>
                <w:sz w:val="20"/>
                <w:szCs w:val="20"/>
              </w:rPr>
              <w:t xml:space="preserve">Benefit type: </w:t>
            </w:r>
            <w:r w:rsidRPr="00276BCA">
              <w:rPr>
                <w:rFonts w:ascii="Arial Narrow" w:hAnsi="Arial Narrow"/>
                <w:sz w:val="20"/>
                <w:szCs w:val="20"/>
              </w:rPr>
              <w:fldChar w:fldCharType="begin">
                <w:ffData>
                  <w:name w:val=""/>
                  <w:enabled/>
                  <w:calcOnExit w:val="0"/>
                  <w:checkBox>
                    <w:sizeAuto/>
                    <w:default w:val="1"/>
                  </w:checkBox>
                </w:ffData>
              </w:fldChar>
            </w:r>
            <w:r w:rsidRPr="00276BCA">
              <w:rPr>
                <w:rFonts w:ascii="Arial Narrow" w:hAnsi="Arial Narrow"/>
                <w:sz w:val="20"/>
                <w:szCs w:val="20"/>
              </w:rPr>
              <w:instrText xml:space="preserve"> FORMCHECKBOX </w:instrText>
            </w:r>
            <w:r w:rsidRPr="00276BCA">
              <w:rPr>
                <w:rFonts w:ascii="Arial Narrow" w:hAnsi="Arial Narrow"/>
                <w:sz w:val="20"/>
                <w:szCs w:val="20"/>
              </w:rPr>
            </w:r>
            <w:r w:rsidRPr="00276BCA">
              <w:rPr>
                <w:rFonts w:ascii="Arial Narrow" w:hAnsi="Arial Narrow"/>
                <w:sz w:val="20"/>
                <w:szCs w:val="20"/>
              </w:rPr>
              <w:fldChar w:fldCharType="separate"/>
            </w:r>
            <w:r w:rsidRPr="00276BCA">
              <w:rPr>
                <w:rFonts w:ascii="Arial Narrow" w:hAnsi="Arial Narrow"/>
                <w:sz w:val="20"/>
                <w:szCs w:val="20"/>
              </w:rPr>
              <w:fldChar w:fldCharType="end"/>
            </w:r>
            <w:r w:rsidRPr="00276BCA">
              <w:rPr>
                <w:rFonts w:ascii="Arial Narrow" w:eastAsia="Calibri" w:hAnsi="Arial Narrow" w:cs="Arial"/>
                <w:sz w:val="20"/>
                <w:szCs w:val="20"/>
              </w:rPr>
              <w:t>Authority Required (Streamlined) [new code]</w:t>
            </w:r>
          </w:p>
        </w:tc>
      </w:tr>
      <w:tr w:rsidR="004E5816" w:rsidRPr="00276BCA" w14:paraId="4A922166" w14:textId="77777777" w:rsidTr="00E524D5">
        <w:tblPrEx>
          <w:tblCellMar>
            <w:top w:w="15" w:type="dxa"/>
            <w:bottom w:w="15" w:type="dxa"/>
          </w:tblCellMar>
          <w:tblLook w:val="04A0" w:firstRow="1" w:lastRow="0" w:firstColumn="1" w:lastColumn="0" w:noHBand="0" w:noVBand="1"/>
        </w:tblPrEx>
        <w:trPr>
          <w:trHeight w:val="20"/>
        </w:trPr>
        <w:tc>
          <w:tcPr>
            <w:tcW w:w="4999" w:type="pct"/>
            <w:gridSpan w:val="4"/>
            <w:tcBorders>
              <w:top w:val="single" w:sz="4" w:space="0" w:color="auto"/>
              <w:left w:val="single" w:sz="4" w:space="0" w:color="auto"/>
              <w:bottom w:val="single" w:sz="4" w:space="0" w:color="auto"/>
              <w:right w:val="single" w:sz="4" w:space="0" w:color="auto"/>
            </w:tcBorders>
            <w:vAlign w:val="center"/>
          </w:tcPr>
          <w:p w14:paraId="6B5F8585" w14:textId="77777777" w:rsidR="004E5816" w:rsidRPr="00276BCA" w:rsidRDefault="004E5816" w:rsidP="00425894">
            <w:pPr>
              <w:keepLines/>
              <w:spacing w:before="0" w:after="0"/>
              <w:rPr>
                <w:rFonts w:ascii="Arial Narrow" w:hAnsi="Arial Narrow" w:cs="Arial"/>
                <w:b/>
                <w:sz w:val="20"/>
                <w:szCs w:val="20"/>
              </w:rPr>
            </w:pPr>
            <w:r w:rsidRPr="00276BCA">
              <w:rPr>
                <w:rFonts w:ascii="Arial Narrow" w:hAnsi="Arial Narrow" w:cs="Arial"/>
                <w:b/>
                <w:sz w:val="20"/>
                <w:szCs w:val="20"/>
              </w:rPr>
              <w:t xml:space="preserve">Prescribing rule level:  </w:t>
            </w:r>
          </w:p>
        </w:tc>
      </w:tr>
      <w:tr w:rsidR="004E5816" w:rsidRPr="00276BCA" w14:paraId="1F22CB26" w14:textId="77777777" w:rsidTr="00E524D5">
        <w:tblPrEx>
          <w:tblCellMar>
            <w:top w:w="15" w:type="dxa"/>
            <w:bottom w:w="15" w:type="dxa"/>
          </w:tblCellMar>
          <w:tblLook w:val="04A0" w:firstRow="1" w:lastRow="0" w:firstColumn="1" w:lastColumn="0" w:noHBand="0" w:noVBand="1"/>
        </w:tblPrEx>
        <w:trPr>
          <w:trHeight w:val="20"/>
        </w:trPr>
        <w:tc>
          <w:tcPr>
            <w:tcW w:w="4999" w:type="pct"/>
            <w:gridSpan w:val="4"/>
            <w:tcBorders>
              <w:top w:val="single" w:sz="4" w:space="0" w:color="auto"/>
              <w:left w:val="single" w:sz="4" w:space="0" w:color="auto"/>
              <w:bottom w:val="single" w:sz="4" w:space="0" w:color="auto"/>
              <w:right w:val="single" w:sz="4" w:space="0" w:color="auto"/>
            </w:tcBorders>
            <w:vAlign w:val="center"/>
          </w:tcPr>
          <w:p w14:paraId="2E393520" w14:textId="77777777" w:rsidR="004E5816" w:rsidRPr="00276BCA" w:rsidRDefault="004E5816" w:rsidP="00425894">
            <w:pPr>
              <w:keepLines/>
              <w:spacing w:before="0" w:after="0"/>
              <w:rPr>
                <w:rFonts w:ascii="Arial Narrow" w:hAnsi="Arial Narrow" w:cs="Arial"/>
                <w:b/>
                <w:sz w:val="20"/>
                <w:szCs w:val="20"/>
              </w:rPr>
            </w:pPr>
            <w:r w:rsidRPr="00276BCA">
              <w:rPr>
                <w:rFonts w:ascii="Arial Narrow" w:hAnsi="Arial Narrow" w:cs="Arial"/>
                <w:b/>
                <w:sz w:val="20"/>
                <w:szCs w:val="20"/>
              </w:rPr>
              <w:t xml:space="preserve">Administrative Advice: </w:t>
            </w:r>
          </w:p>
          <w:p w14:paraId="63B7D993" w14:textId="77777777" w:rsidR="004E5816" w:rsidRPr="00276BCA" w:rsidRDefault="004E5816" w:rsidP="00425894">
            <w:pPr>
              <w:keepLines/>
              <w:spacing w:before="0" w:after="0"/>
              <w:rPr>
                <w:rFonts w:ascii="Arial Narrow" w:hAnsi="Arial Narrow" w:cs="Arial"/>
                <w:bCs/>
                <w:sz w:val="20"/>
                <w:szCs w:val="20"/>
              </w:rPr>
            </w:pPr>
            <w:r w:rsidRPr="00276BCA">
              <w:rPr>
                <w:rFonts w:ascii="Arial Narrow" w:hAnsi="Arial Narrow" w:cs="Arial"/>
                <w:bCs/>
                <w:sz w:val="20"/>
                <w:szCs w:val="20"/>
              </w:rPr>
              <w:t>No increase in the maximum number of repeats may be authorised.</w:t>
            </w:r>
          </w:p>
        </w:tc>
      </w:tr>
      <w:tr w:rsidR="004E5816" w:rsidRPr="00276BCA" w14:paraId="4580A362" w14:textId="77777777" w:rsidTr="00E524D5">
        <w:tblPrEx>
          <w:tblCellMar>
            <w:top w:w="15" w:type="dxa"/>
            <w:bottom w:w="15" w:type="dxa"/>
          </w:tblCellMar>
          <w:tblLook w:val="04A0" w:firstRow="1" w:lastRow="0" w:firstColumn="1" w:lastColumn="0" w:noHBand="0" w:noVBand="1"/>
        </w:tblPrEx>
        <w:trPr>
          <w:trHeight w:val="20"/>
        </w:trPr>
        <w:tc>
          <w:tcPr>
            <w:tcW w:w="4999"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A0D10C" w14:textId="77777777" w:rsidR="004E5816" w:rsidRPr="00276BCA" w:rsidRDefault="004E5816" w:rsidP="00425894">
            <w:pPr>
              <w:keepLines/>
              <w:spacing w:before="0" w:after="0"/>
              <w:rPr>
                <w:rFonts w:ascii="Arial Narrow" w:eastAsia="Times New Roman" w:hAnsi="Arial Narrow"/>
                <w:b/>
                <w:bCs/>
                <w:sz w:val="20"/>
                <w:szCs w:val="20"/>
                <w:lang w:eastAsia="en-AU"/>
              </w:rPr>
            </w:pPr>
            <w:r w:rsidRPr="00276BCA">
              <w:rPr>
                <w:rFonts w:ascii="Arial Narrow" w:hAnsi="Arial Narrow"/>
                <w:b/>
                <w:sz w:val="20"/>
                <w:szCs w:val="20"/>
              </w:rPr>
              <w:t>Restriction Summary [new1] / Treatment of Concept: [new1A]</w:t>
            </w:r>
          </w:p>
        </w:tc>
      </w:tr>
      <w:tr w:rsidR="004E5816" w:rsidRPr="00276BCA" w14:paraId="241C9F79" w14:textId="77777777" w:rsidTr="00E524D5">
        <w:tblPrEx>
          <w:tblCellMar>
            <w:top w:w="15" w:type="dxa"/>
            <w:bottom w:w="15" w:type="dxa"/>
          </w:tblCellMar>
        </w:tblPrEx>
        <w:trPr>
          <w:cantSplit/>
          <w:trHeight w:val="20"/>
        </w:trPr>
        <w:tc>
          <w:tcPr>
            <w:tcW w:w="4999" w:type="pct"/>
            <w:gridSpan w:val="4"/>
            <w:vAlign w:val="center"/>
            <w:hideMark/>
          </w:tcPr>
          <w:p w14:paraId="31EB1F4D" w14:textId="77777777" w:rsidR="004E5816" w:rsidRPr="00276BCA" w:rsidRDefault="004E5816" w:rsidP="00425894">
            <w:pPr>
              <w:keepLines/>
              <w:spacing w:before="0" w:after="0"/>
              <w:rPr>
                <w:rFonts w:ascii="Arial Narrow" w:eastAsia="Times New Roman" w:hAnsi="Arial Narrow"/>
                <w:i/>
                <w:iCs/>
                <w:sz w:val="20"/>
                <w:szCs w:val="20"/>
                <w:lang w:eastAsia="en-AU"/>
              </w:rPr>
            </w:pPr>
            <w:r w:rsidRPr="00276BCA">
              <w:rPr>
                <w:rFonts w:ascii="Arial Narrow" w:eastAsia="Times New Roman" w:hAnsi="Arial Narrow"/>
                <w:b/>
                <w:bCs/>
                <w:sz w:val="20"/>
                <w:szCs w:val="20"/>
                <w:lang w:eastAsia="en-AU"/>
              </w:rPr>
              <w:t xml:space="preserve">Indication: </w:t>
            </w:r>
            <w:r w:rsidRPr="00276BCA">
              <w:rPr>
                <w:rFonts w:ascii="Arial Narrow" w:eastAsia="Times New Roman" w:hAnsi="Arial Narrow"/>
                <w:sz w:val="20"/>
                <w:szCs w:val="20"/>
                <w:lang w:eastAsia="en-AU"/>
              </w:rPr>
              <w:t>Locally advanced, unresectable, or metastatic gastric or gastro-oesophageal junction cancers – first line treatment</w:t>
            </w:r>
          </w:p>
        </w:tc>
      </w:tr>
      <w:tr w:rsidR="004E5816" w:rsidRPr="00276BCA" w14:paraId="674849DD" w14:textId="77777777" w:rsidTr="00E524D5">
        <w:tblPrEx>
          <w:tblCellMar>
            <w:top w:w="15" w:type="dxa"/>
            <w:bottom w:w="15" w:type="dxa"/>
          </w:tblCellMar>
        </w:tblPrEx>
        <w:trPr>
          <w:cantSplit/>
          <w:trHeight w:val="20"/>
        </w:trPr>
        <w:tc>
          <w:tcPr>
            <w:tcW w:w="4999" w:type="pct"/>
            <w:gridSpan w:val="4"/>
            <w:vAlign w:val="center"/>
            <w:hideMark/>
          </w:tcPr>
          <w:p w14:paraId="25B68CE7" w14:textId="77777777" w:rsidR="004E5816" w:rsidRPr="00276BCA" w:rsidRDefault="004E5816" w:rsidP="00425894">
            <w:pPr>
              <w:spacing w:before="0" w:after="0"/>
              <w:rPr>
                <w:rFonts w:ascii="Arial Narrow" w:eastAsia="Times New Roman" w:hAnsi="Arial Narrow"/>
                <w:sz w:val="20"/>
                <w:szCs w:val="20"/>
                <w:lang w:eastAsia="en-AU"/>
              </w:rPr>
            </w:pPr>
            <w:r w:rsidRPr="00276BCA">
              <w:rPr>
                <w:rFonts w:ascii="Arial Narrow" w:eastAsia="Times New Roman" w:hAnsi="Arial Narrow"/>
                <w:b/>
                <w:bCs/>
                <w:sz w:val="20"/>
                <w:szCs w:val="20"/>
                <w:lang w:eastAsia="en-AU"/>
              </w:rPr>
              <w:t>Treatment Phase:</w:t>
            </w:r>
            <w:r w:rsidRPr="00276BCA">
              <w:rPr>
                <w:rFonts w:ascii="Arial Narrow" w:eastAsia="Times New Roman" w:hAnsi="Arial Narrow"/>
                <w:sz w:val="20"/>
                <w:szCs w:val="20"/>
                <w:lang w:eastAsia="en-AU"/>
              </w:rPr>
              <w:t xml:space="preserve"> Initial treatment (loading dose)</w:t>
            </w:r>
          </w:p>
        </w:tc>
      </w:tr>
      <w:tr w:rsidR="004E5816" w:rsidRPr="00276BCA" w14:paraId="499313A0" w14:textId="77777777" w:rsidTr="00E524D5">
        <w:tblPrEx>
          <w:tblCellMar>
            <w:top w:w="15" w:type="dxa"/>
            <w:bottom w:w="15" w:type="dxa"/>
          </w:tblCellMar>
        </w:tblPrEx>
        <w:trPr>
          <w:cantSplit/>
          <w:trHeight w:val="20"/>
        </w:trPr>
        <w:tc>
          <w:tcPr>
            <w:tcW w:w="4999" w:type="pct"/>
            <w:gridSpan w:val="4"/>
            <w:vAlign w:val="center"/>
            <w:hideMark/>
          </w:tcPr>
          <w:p w14:paraId="3EE3F0A1" w14:textId="77777777" w:rsidR="004E5816" w:rsidRPr="00276BCA" w:rsidRDefault="004E5816" w:rsidP="00425894">
            <w:pPr>
              <w:spacing w:before="0" w:after="0"/>
              <w:rPr>
                <w:rFonts w:ascii="Arial Narrow" w:eastAsia="Times New Roman" w:hAnsi="Arial Narrow"/>
                <w:sz w:val="20"/>
                <w:szCs w:val="20"/>
                <w:lang w:eastAsia="en-AU"/>
              </w:rPr>
            </w:pPr>
            <w:r w:rsidRPr="00276BCA">
              <w:rPr>
                <w:rFonts w:ascii="Arial Narrow" w:eastAsia="Times New Roman" w:hAnsi="Arial Narrow"/>
                <w:b/>
                <w:bCs/>
                <w:color w:val="333333"/>
                <w:sz w:val="20"/>
                <w:szCs w:val="20"/>
                <w:lang w:eastAsia="en-AU"/>
              </w:rPr>
              <w:t xml:space="preserve">Clinical criteria: </w:t>
            </w:r>
          </w:p>
        </w:tc>
      </w:tr>
      <w:tr w:rsidR="004E5816" w:rsidRPr="00276BCA" w14:paraId="2B07C1CE" w14:textId="77777777" w:rsidTr="00E524D5">
        <w:tblPrEx>
          <w:tblCellMar>
            <w:top w:w="15" w:type="dxa"/>
            <w:bottom w:w="15" w:type="dxa"/>
          </w:tblCellMar>
        </w:tblPrEx>
        <w:trPr>
          <w:cantSplit/>
          <w:trHeight w:val="20"/>
        </w:trPr>
        <w:tc>
          <w:tcPr>
            <w:tcW w:w="4999" w:type="pct"/>
            <w:gridSpan w:val="4"/>
            <w:vAlign w:val="center"/>
            <w:hideMark/>
          </w:tcPr>
          <w:p w14:paraId="73F577F4" w14:textId="77777777" w:rsidR="004E5816" w:rsidRPr="00276BCA" w:rsidRDefault="004E5816" w:rsidP="00425894">
            <w:pPr>
              <w:spacing w:before="0" w:after="0"/>
              <w:rPr>
                <w:rFonts w:ascii="Arial Narrow" w:eastAsia="Times New Roman" w:hAnsi="Arial Narrow"/>
                <w:color w:val="333333"/>
                <w:sz w:val="20"/>
                <w:szCs w:val="20"/>
                <w:lang w:eastAsia="en-AU"/>
              </w:rPr>
            </w:pPr>
            <w:r w:rsidRPr="00276BCA">
              <w:rPr>
                <w:rFonts w:ascii="Arial Narrow" w:eastAsia="Times New Roman" w:hAnsi="Arial Narrow"/>
                <w:color w:val="333333"/>
                <w:sz w:val="20"/>
                <w:szCs w:val="20"/>
                <w:lang w:eastAsia="en-AU"/>
              </w:rPr>
              <w:t>Patient must have WHO performance status no higher than 1.</w:t>
            </w:r>
          </w:p>
        </w:tc>
      </w:tr>
      <w:tr w:rsidR="004E5816" w:rsidRPr="00276BCA" w14:paraId="1BF1658B" w14:textId="77777777" w:rsidTr="00E524D5">
        <w:tblPrEx>
          <w:tblCellMar>
            <w:top w:w="15" w:type="dxa"/>
            <w:bottom w:w="15" w:type="dxa"/>
          </w:tblCellMar>
        </w:tblPrEx>
        <w:trPr>
          <w:cantSplit/>
          <w:trHeight w:val="20"/>
        </w:trPr>
        <w:tc>
          <w:tcPr>
            <w:tcW w:w="4999" w:type="pct"/>
            <w:gridSpan w:val="4"/>
            <w:vAlign w:val="center"/>
            <w:hideMark/>
          </w:tcPr>
          <w:p w14:paraId="75C183FD" w14:textId="77777777" w:rsidR="004E5816" w:rsidRPr="00276BCA" w:rsidRDefault="004E5816" w:rsidP="00425894">
            <w:pPr>
              <w:spacing w:before="0" w:after="0"/>
              <w:rPr>
                <w:rFonts w:ascii="Arial Narrow" w:eastAsia="Times New Roman" w:hAnsi="Arial Narrow"/>
                <w:color w:val="333333"/>
                <w:sz w:val="20"/>
                <w:szCs w:val="20"/>
                <w:lang w:eastAsia="en-AU"/>
              </w:rPr>
            </w:pPr>
            <w:r w:rsidRPr="00276BCA">
              <w:rPr>
                <w:rFonts w:ascii="Arial Narrow" w:eastAsia="Times New Roman" w:hAnsi="Arial Narrow"/>
                <w:b/>
                <w:bCs/>
                <w:color w:val="333333"/>
                <w:sz w:val="20"/>
                <w:szCs w:val="20"/>
                <w:lang w:eastAsia="en-AU"/>
              </w:rPr>
              <w:t>AND</w:t>
            </w:r>
          </w:p>
        </w:tc>
      </w:tr>
      <w:tr w:rsidR="004E5816" w:rsidRPr="00276BCA" w14:paraId="063D8871" w14:textId="77777777" w:rsidTr="00E524D5">
        <w:tblPrEx>
          <w:tblCellMar>
            <w:top w:w="15" w:type="dxa"/>
            <w:bottom w:w="15" w:type="dxa"/>
          </w:tblCellMar>
          <w:tblLook w:val="04A0" w:firstRow="1" w:lastRow="0" w:firstColumn="1" w:lastColumn="0" w:noHBand="0" w:noVBand="1"/>
        </w:tblPrEx>
        <w:trPr>
          <w:cantSplit/>
          <w:trHeight w:val="20"/>
        </w:trPr>
        <w:tc>
          <w:tcPr>
            <w:tcW w:w="4999" w:type="pct"/>
            <w:gridSpan w:val="4"/>
            <w:vAlign w:val="center"/>
            <w:hideMark/>
          </w:tcPr>
          <w:p w14:paraId="7332FDBF" w14:textId="77777777" w:rsidR="004E5816" w:rsidRPr="00276BCA" w:rsidRDefault="004E5816" w:rsidP="00425894">
            <w:pPr>
              <w:spacing w:before="0" w:after="0"/>
              <w:rPr>
                <w:rFonts w:ascii="Arial Narrow" w:eastAsia="Times New Roman" w:hAnsi="Arial Narrow"/>
                <w:color w:val="333333"/>
                <w:sz w:val="20"/>
                <w:szCs w:val="20"/>
                <w:lang w:eastAsia="en-AU"/>
              </w:rPr>
            </w:pPr>
            <w:r w:rsidRPr="00276BCA">
              <w:rPr>
                <w:rFonts w:ascii="Arial Narrow" w:eastAsia="Times New Roman" w:hAnsi="Arial Narrow"/>
                <w:b/>
                <w:bCs/>
                <w:color w:val="333333"/>
                <w:sz w:val="20"/>
                <w:szCs w:val="20"/>
                <w:lang w:eastAsia="en-AU"/>
              </w:rPr>
              <w:t>Clinical criteria:</w:t>
            </w:r>
          </w:p>
        </w:tc>
      </w:tr>
      <w:tr w:rsidR="004E5816" w:rsidRPr="00276BCA" w14:paraId="1839A80A" w14:textId="77777777" w:rsidTr="00E524D5">
        <w:tblPrEx>
          <w:tblCellMar>
            <w:top w:w="15" w:type="dxa"/>
            <w:bottom w:w="15" w:type="dxa"/>
          </w:tblCellMar>
          <w:tblLook w:val="04A0" w:firstRow="1" w:lastRow="0" w:firstColumn="1" w:lastColumn="0" w:noHBand="0" w:noVBand="1"/>
        </w:tblPrEx>
        <w:trPr>
          <w:cantSplit/>
          <w:trHeight w:val="20"/>
        </w:trPr>
        <w:tc>
          <w:tcPr>
            <w:tcW w:w="4999" w:type="pct"/>
            <w:gridSpan w:val="4"/>
            <w:vAlign w:val="center"/>
          </w:tcPr>
          <w:p w14:paraId="291B5286" w14:textId="77777777" w:rsidR="004E5816" w:rsidRPr="00276BCA" w:rsidRDefault="004E5816" w:rsidP="00425894">
            <w:pPr>
              <w:spacing w:before="0" w:after="0"/>
              <w:rPr>
                <w:rFonts w:ascii="Arial Narrow" w:eastAsia="Times New Roman" w:hAnsi="Arial Narrow"/>
                <w:color w:val="FF0000"/>
                <w:sz w:val="20"/>
                <w:szCs w:val="20"/>
                <w:lang w:eastAsia="en-AU"/>
              </w:rPr>
            </w:pPr>
            <w:r w:rsidRPr="00276BCA">
              <w:rPr>
                <w:rFonts w:ascii="Arial Narrow" w:eastAsia="Times New Roman" w:hAnsi="Arial Narrow"/>
                <w:sz w:val="20"/>
                <w:szCs w:val="20"/>
                <w:lang w:eastAsia="en-AU"/>
              </w:rPr>
              <w:t xml:space="preserve">The condition must have evidence of Claudin 18 (CLDN18) expression of at least 75% as demonstrated by immunohistochemistry in tumour material– document this evidence in the patient’s medical records. </w:t>
            </w:r>
          </w:p>
        </w:tc>
      </w:tr>
      <w:tr w:rsidR="004E5816" w:rsidRPr="00276BCA" w14:paraId="02B84FEC" w14:textId="77777777" w:rsidTr="00E524D5">
        <w:tblPrEx>
          <w:tblCellMar>
            <w:top w:w="15" w:type="dxa"/>
            <w:bottom w:w="15" w:type="dxa"/>
          </w:tblCellMar>
          <w:tblLook w:val="04A0" w:firstRow="1" w:lastRow="0" w:firstColumn="1" w:lastColumn="0" w:noHBand="0" w:noVBand="1"/>
        </w:tblPrEx>
        <w:trPr>
          <w:cantSplit/>
          <w:trHeight w:val="20"/>
        </w:trPr>
        <w:tc>
          <w:tcPr>
            <w:tcW w:w="4999" w:type="pct"/>
            <w:gridSpan w:val="4"/>
            <w:vAlign w:val="center"/>
            <w:hideMark/>
          </w:tcPr>
          <w:p w14:paraId="79D1DA80" w14:textId="77777777" w:rsidR="004E5816" w:rsidRPr="00276BCA" w:rsidRDefault="004E5816" w:rsidP="00425894">
            <w:pPr>
              <w:spacing w:before="0" w:after="0"/>
              <w:rPr>
                <w:rFonts w:ascii="Arial Narrow" w:eastAsia="Times New Roman" w:hAnsi="Arial Narrow"/>
                <w:color w:val="333333"/>
                <w:sz w:val="20"/>
                <w:szCs w:val="20"/>
                <w:lang w:eastAsia="en-AU"/>
              </w:rPr>
            </w:pPr>
            <w:r w:rsidRPr="00276BCA">
              <w:rPr>
                <w:rFonts w:ascii="Arial Narrow" w:eastAsia="Times New Roman" w:hAnsi="Arial Narrow"/>
                <w:b/>
                <w:bCs/>
                <w:color w:val="333333"/>
                <w:sz w:val="20"/>
                <w:szCs w:val="20"/>
                <w:lang w:eastAsia="en-AU"/>
              </w:rPr>
              <w:t>AND</w:t>
            </w:r>
          </w:p>
        </w:tc>
      </w:tr>
      <w:tr w:rsidR="004E5816" w:rsidRPr="00276BCA" w14:paraId="1F3012AB" w14:textId="77777777" w:rsidTr="00E524D5">
        <w:tblPrEx>
          <w:tblCellMar>
            <w:top w:w="15" w:type="dxa"/>
            <w:bottom w:w="15" w:type="dxa"/>
          </w:tblCellMar>
          <w:tblLook w:val="04A0" w:firstRow="1" w:lastRow="0" w:firstColumn="1" w:lastColumn="0" w:noHBand="0" w:noVBand="1"/>
        </w:tblPrEx>
        <w:trPr>
          <w:cantSplit/>
          <w:trHeight w:val="20"/>
        </w:trPr>
        <w:tc>
          <w:tcPr>
            <w:tcW w:w="4999" w:type="pct"/>
            <w:gridSpan w:val="4"/>
            <w:vAlign w:val="center"/>
          </w:tcPr>
          <w:p w14:paraId="44AF9691" w14:textId="77777777" w:rsidR="004E5816" w:rsidRPr="00276BCA" w:rsidRDefault="004E5816" w:rsidP="00425894">
            <w:pPr>
              <w:spacing w:before="0" w:after="0"/>
              <w:rPr>
                <w:rFonts w:ascii="Arial Narrow" w:eastAsia="Times New Roman" w:hAnsi="Arial Narrow"/>
                <w:b/>
                <w:bCs/>
                <w:sz w:val="20"/>
                <w:szCs w:val="20"/>
                <w:lang w:eastAsia="en-AU"/>
              </w:rPr>
            </w:pPr>
            <w:r w:rsidRPr="00276BCA">
              <w:rPr>
                <w:rFonts w:ascii="Arial Narrow" w:eastAsia="Times New Roman" w:hAnsi="Arial Narrow"/>
                <w:b/>
                <w:bCs/>
                <w:sz w:val="20"/>
                <w:szCs w:val="20"/>
                <w:lang w:eastAsia="en-AU"/>
              </w:rPr>
              <w:t>Clinical criteria:</w:t>
            </w:r>
          </w:p>
        </w:tc>
      </w:tr>
      <w:tr w:rsidR="004E5816" w:rsidRPr="00276BCA" w14:paraId="79F95895" w14:textId="77777777" w:rsidTr="00E524D5">
        <w:tblPrEx>
          <w:tblCellMar>
            <w:top w:w="15" w:type="dxa"/>
            <w:bottom w:w="15" w:type="dxa"/>
          </w:tblCellMar>
          <w:tblLook w:val="04A0" w:firstRow="1" w:lastRow="0" w:firstColumn="1" w:lastColumn="0" w:noHBand="0" w:noVBand="1"/>
        </w:tblPrEx>
        <w:trPr>
          <w:cantSplit/>
          <w:trHeight w:val="20"/>
        </w:trPr>
        <w:tc>
          <w:tcPr>
            <w:tcW w:w="4999" w:type="pct"/>
            <w:gridSpan w:val="4"/>
            <w:vAlign w:val="center"/>
          </w:tcPr>
          <w:p w14:paraId="11475E4D" w14:textId="77777777" w:rsidR="004E5816" w:rsidRPr="00276BCA" w:rsidRDefault="004E5816" w:rsidP="00425894">
            <w:pPr>
              <w:spacing w:before="0" w:after="0"/>
              <w:rPr>
                <w:rFonts w:ascii="Arial Narrow" w:eastAsia="Times New Roman" w:hAnsi="Arial Narrow"/>
                <w:b/>
                <w:bCs/>
                <w:sz w:val="20"/>
                <w:szCs w:val="20"/>
                <w:lang w:eastAsia="en-AU"/>
              </w:rPr>
            </w:pPr>
            <w:r w:rsidRPr="00276BCA">
              <w:rPr>
                <w:rFonts w:ascii="Arial Narrow" w:eastAsia="Times New Roman" w:hAnsi="Arial Narrow"/>
                <w:sz w:val="20"/>
                <w:szCs w:val="20"/>
                <w:lang w:eastAsia="en-AU"/>
              </w:rPr>
              <w:t>Patient must be untreated for this indication</w:t>
            </w:r>
          </w:p>
        </w:tc>
      </w:tr>
      <w:tr w:rsidR="004E5816" w:rsidRPr="00276BCA" w14:paraId="0B507765" w14:textId="77777777" w:rsidTr="00E524D5">
        <w:tblPrEx>
          <w:tblCellMar>
            <w:top w:w="15" w:type="dxa"/>
            <w:bottom w:w="15" w:type="dxa"/>
          </w:tblCellMar>
          <w:tblLook w:val="04A0" w:firstRow="1" w:lastRow="0" w:firstColumn="1" w:lastColumn="0" w:noHBand="0" w:noVBand="1"/>
        </w:tblPrEx>
        <w:trPr>
          <w:cantSplit/>
          <w:trHeight w:val="20"/>
        </w:trPr>
        <w:tc>
          <w:tcPr>
            <w:tcW w:w="4999" w:type="pct"/>
            <w:gridSpan w:val="4"/>
            <w:vAlign w:val="center"/>
          </w:tcPr>
          <w:p w14:paraId="34FA8F19" w14:textId="77777777" w:rsidR="004E5816" w:rsidRPr="00276BCA" w:rsidRDefault="004E5816" w:rsidP="00425894">
            <w:pPr>
              <w:spacing w:before="0" w:after="0"/>
              <w:rPr>
                <w:rFonts w:ascii="Arial Narrow" w:eastAsia="Times New Roman" w:hAnsi="Arial Narrow"/>
                <w:i/>
                <w:iCs/>
                <w:color w:val="333333"/>
                <w:sz w:val="20"/>
                <w:szCs w:val="20"/>
                <w:lang w:eastAsia="en-AU"/>
              </w:rPr>
            </w:pPr>
            <w:r w:rsidRPr="00276BCA">
              <w:rPr>
                <w:rFonts w:ascii="Arial Narrow" w:eastAsia="Times New Roman" w:hAnsi="Arial Narrow"/>
                <w:b/>
                <w:bCs/>
                <w:color w:val="333333"/>
                <w:sz w:val="20"/>
                <w:szCs w:val="20"/>
                <w:lang w:eastAsia="en-AU"/>
              </w:rPr>
              <w:t>AND</w:t>
            </w:r>
          </w:p>
        </w:tc>
      </w:tr>
      <w:tr w:rsidR="004E5816" w:rsidRPr="00276BCA" w14:paraId="57E67FA6" w14:textId="77777777" w:rsidTr="00E524D5">
        <w:tblPrEx>
          <w:tblCellMar>
            <w:top w:w="15" w:type="dxa"/>
            <w:bottom w:w="15" w:type="dxa"/>
          </w:tblCellMar>
          <w:tblLook w:val="04A0" w:firstRow="1" w:lastRow="0" w:firstColumn="1" w:lastColumn="0" w:noHBand="0" w:noVBand="1"/>
        </w:tblPrEx>
        <w:trPr>
          <w:cantSplit/>
          <w:trHeight w:val="20"/>
        </w:trPr>
        <w:tc>
          <w:tcPr>
            <w:tcW w:w="4999" w:type="pct"/>
            <w:gridSpan w:val="4"/>
            <w:vAlign w:val="center"/>
            <w:hideMark/>
          </w:tcPr>
          <w:p w14:paraId="29164F21" w14:textId="77777777" w:rsidR="004E5816" w:rsidRPr="00276BCA" w:rsidRDefault="004E5816" w:rsidP="00425894">
            <w:pPr>
              <w:spacing w:before="0" w:after="0"/>
              <w:rPr>
                <w:rFonts w:ascii="Arial Narrow" w:eastAsia="Times New Roman" w:hAnsi="Arial Narrow"/>
                <w:color w:val="333333"/>
                <w:sz w:val="20"/>
                <w:szCs w:val="20"/>
                <w:lang w:eastAsia="en-AU"/>
              </w:rPr>
            </w:pPr>
            <w:r w:rsidRPr="00276BCA">
              <w:rPr>
                <w:rFonts w:ascii="Arial Narrow" w:eastAsia="Times New Roman" w:hAnsi="Arial Narrow"/>
                <w:b/>
                <w:bCs/>
                <w:color w:val="333333"/>
                <w:sz w:val="20"/>
                <w:szCs w:val="20"/>
                <w:lang w:eastAsia="en-AU"/>
              </w:rPr>
              <w:t xml:space="preserve">Clinical criteria: </w:t>
            </w:r>
          </w:p>
        </w:tc>
      </w:tr>
      <w:tr w:rsidR="004E5816" w:rsidRPr="00276BCA" w14:paraId="3DC6C7F9" w14:textId="77777777" w:rsidTr="00E524D5">
        <w:tblPrEx>
          <w:tblCellMar>
            <w:top w:w="15" w:type="dxa"/>
            <w:bottom w:w="15" w:type="dxa"/>
          </w:tblCellMar>
          <w:tblLook w:val="04A0" w:firstRow="1" w:lastRow="0" w:firstColumn="1" w:lastColumn="0" w:noHBand="0" w:noVBand="1"/>
        </w:tblPrEx>
        <w:trPr>
          <w:cantSplit/>
          <w:trHeight w:val="20"/>
        </w:trPr>
        <w:tc>
          <w:tcPr>
            <w:tcW w:w="4999" w:type="pct"/>
            <w:gridSpan w:val="4"/>
            <w:vAlign w:val="center"/>
            <w:hideMark/>
          </w:tcPr>
          <w:p w14:paraId="06A33221" w14:textId="77777777" w:rsidR="004E5816" w:rsidRPr="00276BCA" w:rsidRDefault="004E5816" w:rsidP="00425894">
            <w:pPr>
              <w:spacing w:before="0" w:after="0"/>
              <w:rPr>
                <w:rFonts w:ascii="Arial Narrow" w:eastAsia="Times New Roman" w:hAnsi="Arial Narrow"/>
                <w:color w:val="333333"/>
                <w:sz w:val="20"/>
                <w:szCs w:val="20"/>
                <w:lang w:eastAsia="en-AU"/>
              </w:rPr>
            </w:pPr>
            <w:r w:rsidRPr="00276BCA">
              <w:rPr>
                <w:rFonts w:ascii="Arial Narrow" w:eastAsia="Times New Roman" w:hAnsi="Arial Narrow"/>
                <w:color w:val="333333"/>
                <w:sz w:val="20"/>
                <w:szCs w:val="20"/>
                <w:lang w:eastAsia="en-AU"/>
              </w:rPr>
              <w:t xml:space="preserve">The condition must be human epidermal growth factor receptor 2 (HER2) negative. </w:t>
            </w:r>
          </w:p>
        </w:tc>
      </w:tr>
      <w:tr w:rsidR="004E5816" w:rsidRPr="00276BCA" w14:paraId="2669ECA6" w14:textId="77777777" w:rsidTr="00E524D5">
        <w:tblPrEx>
          <w:tblCellMar>
            <w:top w:w="15" w:type="dxa"/>
            <w:bottom w:w="15" w:type="dxa"/>
          </w:tblCellMar>
          <w:tblLook w:val="04A0" w:firstRow="1" w:lastRow="0" w:firstColumn="1" w:lastColumn="0" w:noHBand="0" w:noVBand="1"/>
        </w:tblPrEx>
        <w:trPr>
          <w:cantSplit/>
          <w:trHeight w:val="20"/>
        </w:trPr>
        <w:tc>
          <w:tcPr>
            <w:tcW w:w="4999" w:type="pct"/>
            <w:gridSpan w:val="4"/>
            <w:vAlign w:val="center"/>
          </w:tcPr>
          <w:p w14:paraId="275FEF3E" w14:textId="77777777" w:rsidR="004E5816" w:rsidRPr="00276BCA" w:rsidRDefault="004E5816" w:rsidP="00425894">
            <w:pPr>
              <w:spacing w:before="0" w:after="0"/>
              <w:rPr>
                <w:rFonts w:ascii="Arial Narrow" w:eastAsia="Times New Roman" w:hAnsi="Arial Narrow"/>
                <w:color w:val="FF0000"/>
                <w:sz w:val="20"/>
                <w:szCs w:val="20"/>
                <w:lang w:eastAsia="en-AU"/>
              </w:rPr>
            </w:pPr>
            <w:r w:rsidRPr="00276BCA">
              <w:rPr>
                <w:rFonts w:ascii="Arial Narrow" w:hAnsi="Arial Narrow" w:cs="Arial Narrow"/>
                <w:b/>
                <w:bCs/>
                <w:iCs/>
                <w:sz w:val="20"/>
                <w:szCs w:val="20"/>
              </w:rPr>
              <w:t>AND</w:t>
            </w:r>
          </w:p>
        </w:tc>
      </w:tr>
      <w:tr w:rsidR="004E5816" w:rsidRPr="00276BCA" w14:paraId="4585EB6C" w14:textId="77777777" w:rsidTr="00E524D5">
        <w:tblPrEx>
          <w:tblCellMar>
            <w:top w:w="15" w:type="dxa"/>
            <w:bottom w:w="15" w:type="dxa"/>
          </w:tblCellMar>
          <w:tblLook w:val="04A0" w:firstRow="1" w:lastRow="0" w:firstColumn="1" w:lastColumn="0" w:noHBand="0" w:noVBand="1"/>
        </w:tblPrEx>
        <w:trPr>
          <w:cantSplit/>
          <w:trHeight w:val="20"/>
        </w:trPr>
        <w:tc>
          <w:tcPr>
            <w:tcW w:w="4999" w:type="pct"/>
            <w:gridSpan w:val="4"/>
            <w:vAlign w:val="center"/>
          </w:tcPr>
          <w:p w14:paraId="00B54788" w14:textId="77777777" w:rsidR="004E5816" w:rsidRPr="00276BCA" w:rsidRDefault="004E5816" w:rsidP="00425894">
            <w:pPr>
              <w:spacing w:before="0" w:after="0"/>
              <w:rPr>
                <w:rFonts w:ascii="Arial Narrow" w:hAnsi="Arial Narrow" w:cs="Arial Narrow"/>
                <w:b/>
                <w:bCs/>
                <w:sz w:val="20"/>
                <w:szCs w:val="20"/>
              </w:rPr>
            </w:pPr>
            <w:r w:rsidRPr="00276BCA">
              <w:rPr>
                <w:rFonts w:ascii="Arial Narrow" w:eastAsia="Times New Roman" w:hAnsi="Arial Narrow"/>
                <w:b/>
                <w:bCs/>
                <w:color w:val="333333"/>
                <w:sz w:val="20"/>
                <w:szCs w:val="20"/>
                <w:lang w:eastAsia="en-AU"/>
              </w:rPr>
              <w:t>Clinical criteria:</w:t>
            </w:r>
          </w:p>
        </w:tc>
      </w:tr>
      <w:tr w:rsidR="004E5816" w:rsidRPr="00276BCA" w14:paraId="65993674" w14:textId="77777777" w:rsidTr="00E524D5">
        <w:tblPrEx>
          <w:tblCellMar>
            <w:top w:w="15" w:type="dxa"/>
            <w:bottom w:w="15" w:type="dxa"/>
          </w:tblCellMar>
          <w:tblLook w:val="04A0" w:firstRow="1" w:lastRow="0" w:firstColumn="1" w:lastColumn="0" w:noHBand="0" w:noVBand="1"/>
        </w:tblPrEx>
        <w:trPr>
          <w:cantSplit/>
          <w:trHeight w:val="20"/>
        </w:trPr>
        <w:tc>
          <w:tcPr>
            <w:tcW w:w="4999" w:type="pct"/>
            <w:gridSpan w:val="4"/>
            <w:vAlign w:val="center"/>
          </w:tcPr>
          <w:p w14:paraId="0C34EDF3" w14:textId="77777777" w:rsidR="004E5816" w:rsidRPr="00276BCA" w:rsidRDefault="004E5816" w:rsidP="00425894">
            <w:pPr>
              <w:spacing w:before="0" w:after="0"/>
              <w:rPr>
                <w:rFonts w:ascii="Arial Narrow" w:hAnsi="Arial Narrow" w:cs="Arial Narrow"/>
                <w:b/>
                <w:bCs/>
                <w:sz w:val="20"/>
                <w:szCs w:val="20"/>
              </w:rPr>
            </w:pPr>
            <w:r w:rsidRPr="00276BCA">
              <w:rPr>
                <w:rFonts w:ascii="Arial Narrow" w:eastAsia="Times New Roman" w:hAnsi="Arial Narrow"/>
                <w:color w:val="333333"/>
                <w:sz w:val="20"/>
                <w:szCs w:val="20"/>
                <w:lang w:eastAsia="en-AU"/>
              </w:rPr>
              <w:t xml:space="preserve">The treatment must be initiated in combination with platinum-based chemotherapy plus </w:t>
            </w:r>
            <w:r w:rsidRPr="00276BCA">
              <w:rPr>
                <w:rFonts w:ascii="Arial Narrow" w:eastAsia="Times New Roman" w:hAnsi="Arial Narrow"/>
                <w:sz w:val="20"/>
                <w:szCs w:val="20"/>
                <w:lang w:eastAsia="en-AU"/>
              </w:rPr>
              <w:t>a fluoropyrimidine drug</w:t>
            </w:r>
          </w:p>
        </w:tc>
      </w:tr>
    </w:tbl>
    <w:p w14:paraId="41CADC4D" w14:textId="77777777" w:rsidR="00425894" w:rsidRPr="00276BCA" w:rsidRDefault="00425894" w:rsidP="00425894">
      <w:pPr>
        <w:spacing w:after="120"/>
        <w:ind w:left="720" w:hanging="720"/>
        <w:rPr>
          <w:rFonts w:eastAsia="Times New Roman" w:cs="Arial"/>
          <w:b/>
          <w:bCs/>
          <w:snapToGrid w:val="0"/>
          <w:szCs w:val="24"/>
          <w:lang w:eastAsia="en-AU"/>
        </w:rPr>
      </w:pPr>
      <w:r w:rsidRPr="00276BCA">
        <w:rPr>
          <w:rFonts w:eastAsia="Times New Roman" w:cs="Arial"/>
          <w:b/>
          <w:bCs/>
          <w:snapToGrid w:val="0"/>
          <w:szCs w:val="24"/>
          <w:lang w:eastAsia="en-AU"/>
        </w:rPr>
        <w:t>Continuing (Q3W and Q2W regimen)</w:t>
      </w: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3790"/>
        <w:gridCol w:w="1568"/>
        <w:gridCol w:w="1568"/>
        <w:gridCol w:w="2005"/>
      </w:tblGrid>
      <w:tr w:rsidR="00425894" w:rsidRPr="00276BCA" w14:paraId="663830A0" w14:textId="77777777" w:rsidTr="00E524D5">
        <w:trPr>
          <w:cantSplit/>
          <w:trHeight w:val="20"/>
        </w:trPr>
        <w:tc>
          <w:tcPr>
            <w:tcW w:w="3790" w:type="dxa"/>
            <w:vAlign w:val="center"/>
          </w:tcPr>
          <w:p w14:paraId="1E725FD9" w14:textId="77777777" w:rsidR="00425894" w:rsidRPr="00276BCA" w:rsidRDefault="00425894" w:rsidP="00425894">
            <w:pPr>
              <w:keepLines/>
              <w:spacing w:before="0" w:after="0"/>
              <w:rPr>
                <w:rFonts w:ascii="Arial Narrow" w:hAnsi="Arial Narrow" w:cs="Arial"/>
                <w:b/>
                <w:bCs/>
                <w:sz w:val="20"/>
                <w:szCs w:val="20"/>
              </w:rPr>
            </w:pPr>
            <w:r w:rsidRPr="00276BCA">
              <w:rPr>
                <w:rFonts w:ascii="Arial Narrow" w:hAnsi="Arial Narrow" w:cs="Arial"/>
                <w:b/>
                <w:bCs/>
                <w:sz w:val="20"/>
                <w:szCs w:val="20"/>
              </w:rPr>
              <w:t>MEDICINAL PRODUCT</w:t>
            </w:r>
          </w:p>
        </w:tc>
        <w:tc>
          <w:tcPr>
            <w:tcW w:w="1568" w:type="dxa"/>
            <w:vAlign w:val="center"/>
          </w:tcPr>
          <w:p w14:paraId="24D3D490" w14:textId="77777777" w:rsidR="00425894" w:rsidRPr="00276BCA" w:rsidRDefault="00425894" w:rsidP="00425894">
            <w:pPr>
              <w:keepLines/>
              <w:spacing w:before="0" w:after="0"/>
              <w:jc w:val="center"/>
              <w:rPr>
                <w:rFonts w:ascii="Arial Narrow" w:hAnsi="Arial Narrow" w:cs="Arial"/>
                <w:b/>
                <w:sz w:val="20"/>
                <w:szCs w:val="20"/>
              </w:rPr>
            </w:pPr>
            <w:r w:rsidRPr="00276BCA">
              <w:rPr>
                <w:rFonts w:ascii="Arial Narrow" w:hAnsi="Arial Narrow" w:cs="Arial"/>
                <w:b/>
                <w:sz w:val="20"/>
                <w:szCs w:val="20"/>
              </w:rPr>
              <w:t>PBS item code</w:t>
            </w:r>
          </w:p>
        </w:tc>
        <w:tc>
          <w:tcPr>
            <w:tcW w:w="1568" w:type="dxa"/>
            <w:vAlign w:val="center"/>
          </w:tcPr>
          <w:p w14:paraId="6D8E4BC9" w14:textId="77777777" w:rsidR="00425894" w:rsidRPr="00276BCA" w:rsidRDefault="00425894" w:rsidP="00425894">
            <w:pPr>
              <w:keepLines/>
              <w:spacing w:before="0" w:after="0"/>
              <w:jc w:val="center"/>
              <w:rPr>
                <w:rFonts w:ascii="Arial Narrow" w:hAnsi="Arial Narrow" w:cs="Arial"/>
                <w:b/>
                <w:sz w:val="20"/>
                <w:szCs w:val="20"/>
              </w:rPr>
            </w:pPr>
            <w:r w:rsidRPr="00276BCA">
              <w:rPr>
                <w:rFonts w:ascii="Arial Narrow" w:hAnsi="Arial Narrow" w:cs="Arial"/>
                <w:b/>
                <w:sz w:val="20"/>
                <w:szCs w:val="20"/>
              </w:rPr>
              <w:t>Max. Amount</w:t>
            </w:r>
          </w:p>
        </w:tc>
        <w:tc>
          <w:tcPr>
            <w:tcW w:w="2005" w:type="dxa"/>
            <w:vAlign w:val="center"/>
          </w:tcPr>
          <w:p w14:paraId="06FE560F" w14:textId="77777777" w:rsidR="00425894" w:rsidRPr="00276BCA" w:rsidRDefault="00425894" w:rsidP="00425894">
            <w:pPr>
              <w:keepLines/>
              <w:spacing w:before="0" w:after="0"/>
              <w:jc w:val="center"/>
              <w:rPr>
                <w:rFonts w:ascii="Arial Narrow" w:hAnsi="Arial Narrow" w:cs="Arial"/>
                <w:b/>
                <w:sz w:val="20"/>
                <w:szCs w:val="20"/>
              </w:rPr>
            </w:pPr>
            <w:proofErr w:type="gramStart"/>
            <w:r w:rsidRPr="00276BCA">
              <w:rPr>
                <w:rFonts w:ascii="Arial Narrow" w:hAnsi="Arial Narrow" w:cs="Arial"/>
                <w:b/>
                <w:sz w:val="20"/>
                <w:szCs w:val="20"/>
              </w:rPr>
              <w:t>№.of</w:t>
            </w:r>
            <w:proofErr w:type="gramEnd"/>
            <w:r w:rsidRPr="00276BCA">
              <w:rPr>
                <w:rFonts w:ascii="Arial Narrow" w:hAnsi="Arial Narrow" w:cs="Arial"/>
                <w:b/>
                <w:sz w:val="20"/>
                <w:szCs w:val="20"/>
              </w:rPr>
              <w:t xml:space="preserve"> </w:t>
            </w:r>
            <w:proofErr w:type="spellStart"/>
            <w:r w:rsidRPr="00276BCA">
              <w:rPr>
                <w:rFonts w:ascii="Arial Narrow" w:hAnsi="Arial Narrow" w:cs="Arial"/>
                <w:b/>
                <w:sz w:val="20"/>
                <w:szCs w:val="20"/>
              </w:rPr>
              <w:t>Rpts</w:t>
            </w:r>
            <w:proofErr w:type="spellEnd"/>
          </w:p>
        </w:tc>
      </w:tr>
      <w:tr w:rsidR="00425894" w:rsidRPr="00276BCA" w14:paraId="29DE5EC6" w14:textId="77777777" w:rsidTr="00E524D5">
        <w:trPr>
          <w:cantSplit/>
          <w:trHeight w:val="20"/>
        </w:trPr>
        <w:tc>
          <w:tcPr>
            <w:tcW w:w="3790" w:type="dxa"/>
            <w:vAlign w:val="center"/>
          </w:tcPr>
          <w:p w14:paraId="14AE464A" w14:textId="77777777" w:rsidR="00425894" w:rsidRPr="00276BCA" w:rsidRDefault="00425894" w:rsidP="00425894">
            <w:pPr>
              <w:keepNext/>
              <w:spacing w:before="0" w:after="0"/>
              <w:rPr>
                <w:rFonts w:ascii="Arial Narrow" w:hAnsi="Arial Narrow" w:cs="Arial"/>
                <w:sz w:val="20"/>
                <w:szCs w:val="20"/>
              </w:rPr>
            </w:pPr>
            <w:r w:rsidRPr="00276BCA">
              <w:rPr>
                <w:rFonts w:ascii="Arial Narrow" w:hAnsi="Arial Narrow" w:cs="Arial"/>
                <w:sz w:val="20"/>
                <w:szCs w:val="20"/>
              </w:rPr>
              <w:t>ZOLBETUXIMAB</w:t>
            </w:r>
          </w:p>
          <w:p w14:paraId="7CCB4864" w14:textId="77777777" w:rsidR="00425894" w:rsidRPr="00276BCA" w:rsidRDefault="00425894" w:rsidP="00425894">
            <w:pPr>
              <w:keepLines/>
              <w:spacing w:before="0" w:after="0"/>
              <w:rPr>
                <w:rFonts w:ascii="Arial Narrow" w:hAnsi="Arial Narrow" w:cs="Arial"/>
                <w:b/>
                <w:bCs/>
                <w:sz w:val="20"/>
                <w:szCs w:val="20"/>
              </w:rPr>
            </w:pPr>
            <w:r w:rsidRPr="00276BCA">
              <w:rPr>
                <w:rFonts w:ascii="Arial Narrow" w:hAnsi="Arial Narrow" w:cs="Arial"/>
                <w:sz w:val="20"/>
                <w:szCs w:val="20"/>
              </w:rPr>
              <w:t>Injection</w:t>
            </w:r>
          </w:p>
        </w:tc>
        <w:tc>
          <w:tcPr>
            <w:tcW w:w="1568" w:type="dxa"/>
            <w:vAlign w:val="center"/>
          </w:tcPr>
          <w:p w14:paraId="1DA5176C" w14:textId="77777777" w:rsidR="00425894" w:rsidRPr="00276BCA" w:rsidRDefault="00425894" w:rsidP="00425894">
            <w:pPr>
              <w:keepLines/>
              <w:spacing w:before="0" w:after="0"/>
              <w:jc w:val="center"/>
              <w:rPr>
                <w:rFonts w:ascii="Arial Narrow" w:hAnsi="Arial Narrow" w:cs="Arial"/>
                <w:b/>
                <w:sz w:val="20"/>
                <w:szCs w:val="20"/>
              </w:rPr>
            </w:pPr>
            <w:r w:rsidRPr="00276BCA">
              <w:rPr>
                <w:rFonts w:ascii="Arial Narrow" w:hAnsi="Arial Narrow" w:cs="Arial"/>
                <w:sz w:val="20"/>
                <w:szCs w:val="20"/>
              </w:rPr>
              <w:t>NEW (Public)</w:t>
            </w:r>
            <w:r w:rsidRPr="00276BCA">
              <w:rPr>
                <w:rFonts w:ascii="Arial Narrow" w:hAnsi="Arial Narrow" w:cs="Arial"/>
                <w:sz w:val="20"/>
                <w:szCs w:val="20"/>
              </w:rPr>
              <w:br/>
              <w:t>NEW (Private)</w:t>
            </w:r>
          </w:p>
        </w:tc>
        <w:tc>
          <w:tcPr>
            <w:tcW w:w="1568" w:type="dxa"/>
            <w:vAlign w:val="center"/>
          </w:tcPr>
          <w:p w14:paraId="61803DB5" w14:textId="77777777" w:rsidR="00425894" w:rsidRPr="00276BCA" w:rsidRDefault="00425894" w:rsidP="00425894">
            <w:pPr>
              <w:keepLines/>
              <w:spacing w:before="0" w:after="0"/>
              <w:jc w:val="center"/>
              <w:rPr>
                <w:rFonts w:ascii="Arial Narrow" w:hAnsi="Arial Narrow" w:cs="Arial"/>
                <w:sz w:val="20"/>
                <w:szCs w:val="20"/>
              </w:rPr>
            </w:pPr>
            <w:r w:rsidRPr="00276BCA">
              <w:rPr>
                <w:rFonts w:ascii="Arial Narrow" w:hAnsi="Arial Narrow" w:cs="Arial"/>
                <w:sz w:val="20"/>
                <w:szCs w:val="20"/>
              </w:rPr>
              <w:t xml:space="preserve"> 1,050 mg</w:t>
            </w:r>
          </w:p>
        </w:tc>
        <w:tc>
          <w:tcPr>
            <w:tcW w:w="2005" w:type="dxa"/>
            <w:vAlign w:val="center"/>
          </w:tcPr>
          <w:p w14:paraId="0FCC40CB" w14:textId="77777777" w:rsidR="00425894" w:rsidRPr="00276BCA" w:rsidRDefault="00425894" w:rsidP="00425894">
            <w:pPr>
              <w:keepLines/>
              <w:spacing w:before="0" w:after="0"/>
              <w:jc w:val="center"/>
              <w:rPr>
                <w:rFonts w:ascii="Arial Narrow" w:hAnsi="Arial Narrow" w:cs="Arial"/>
                <w:sz w:val="20"/>
                <w:szCs w:val="20"/>
              </w:rPr>
            </w:pPr>
            <w:r w:rsidRPr="00276BCA">
              <w:rPr>
                <w:rFonts w:ascii="Arial Narrow" w:hAnsi="Arial Narrow" w:cs="Arial"/>
                <w:sz w:val="20"/>
                <w:szCs w:val="20"/>
              </w:rPr>
              <w:t>12</w:t>
            </w:r>
          </w:p>
        </w:tc>
      </w:tr>
      <w:tr w:rsidR="00425894" w:rsidRPr="00276BCA" w14:paraId="749AEA48" w14:textId="77777777" w:rsidTr="00E524D5">
        <w:trPr>
          <w:cantSplit/>
          <w:trHeight w:val="20"/>
        </w:trPr>
        <w:tc>
          <w:tcPr>
            <w:tcW w:w="8931" w:type="dxa"/>
            <w:gridSpan w:val="4"/>
            <w:vAlign w:val="center"/>
          </w:tcPr>
          <w:p w14:paraId="52E6A027" w14:textId="77777777" w:rsidR="00425894" w:rsidRPr="00276BCA" w:rsidRDefault="00425894" w:rsidP="00425894">
            <w:pPr>
              <w:keepLines/>
              <w:spacing w:before="0" w:after="0"/>
              <w:rPr>
                <w:rFonts w:ascii="Arial Narrow" w:hAnsi="Arial Narrow" w:cs="Arial"/>
                <w:b/>
                <w:bCs/>
                <w:color w:val="FF0000"/>
                <w:sz w:val="20"/>
                <w:szCs w:val="20"/>
              </w:rPr>
            </w:pPr>
            <w:r w:rsidRPr="00276BCA">
              <w:rPr>
                <w:rFonts w:ascii="Arial Narrow" w:hAnsi="Arial Narrow" w:cs="Arial"/>
                <w:b/>
                <w:bCs/>
                <w:sz w:val="20"/>
                <w:szCs w:val="20"/>
              </w:rPr>
              <w:t xml:space="preserve">Available brands </w:t>
            </w:r>
          </w:p>
        </w:tc>
      </w:tr>
      <w:tr w:rsidR="00425894" w:rsidRPr="00276BCA" w14:paraId="6D862726" w14:textId="77777777" w:rsidTr="00E524D5">
        <w:trPr>
          <w:cantSplit/>
          <w:trHeight w:val="20"/>
        </w:trPr>
        <w:tc>
          <w:tcPr>
            <w:tcW w:w="8931" w:type="dxa"/>
            <w:gridSpan w:val="4"/>
            <w:vAlign w:val="center"/>
          </w:tcPr>
          <w:p w14:paraId="761ABE7E" w14:textId="77777777" w:rsidR="00425894" w:rsidRPr="00276BCA" w:rsidRDefault="00425894" w:rsidP="00425894">
            <w:pPr>
              <w:keepNext/>
              <w:spacing w:before="0" w:after="0"/>
              <w:rPr>
                <w:rFonts w:ascii="Arial Narrow" w:hAnsi="Arial Narrow" w:cs="Arial"/>
                <w:sz w:val="20"/>
                <w:szCs w:val="20"/>
              </w:rPr>
            </w:pPr>
            <w:proofErr w:type="spellStart"/>
            <w:r w:rsidRPr="00276BCA">
              <w:rPr>
                <w:rFonts w:ascii="Arial Narrow" w:hAnsi="Arial Narrow" w:cs="Arial"/>
                <w:sz w:val="20"/>
                <w:szCs w:val="20"/>
              </w:rPr>
              <w:t>Vyloy</w:t>
            </w:r>
            <w:proofErr w:type="spellEnd"/>
          </w:p>
          <w:p w14:paraId="7B0AEF2A" w14:textId="77777777" w:rsidR="00425894" w:rsidRPr="00276BCA" w:rsidRDefault="00425894" w:rsidP="00425894">
            <w:pPr>
              <w:keepLines/>
              <w:spacing w:before="0" w:after="0"/>
              <w:rPr>
                <w:rFonts w:ascii="Arial Narrow" w:hAnsi="Arial Narrow" w:cs="Arial"/>
                <w:color w:val="FF0000"/>
                <w:sz w:val="20"/>
                <w:szCs w:val="20"/>
              </w:rPr>
            </w:pPr>
            <w:proofErr w:type="spellStart"/>
            <w:r w:rsidRPr="00276BCA">
              <w:rPr>
                <w:rFonts w:ascii="Arial Narrow" w:hAnsi="Arial Narrow" w:cs="Arial"/>
                <w:sz w:val="20"/>
                <w:szCs w:val="20"/>
              </w:rPr>
              <w:t>zolbetuximab</w:t>
            </w:r>
            <w:proofErr w:type="spellEnd"/>
            <w:r w:rsidRPr="00276BCA">
              <w:rPr>
                <w:rFonts w:ascii="Arial Narrow" w:hAnsi="Arial Narrow" w:cs="Arial"/>
                <w:sz w:val="20"/>
                <w:szCs w:val="20"/>
              </w:rPr>
              <w:t xml:space="preserve"> 100 mg injection, 1 vial </w:t>
            </w:r>
          </w:p>
        </w:tc>
      </w:tr>
      <w:tr w:rsidR="00425894" w:rsidRPr="00276BCA" w14:paraId="589470C9" w14:textId="77777777" w:rsidTr="00E524D5">
        <w:tblPrEx>
          <w:tblCellMar>
            <w:top w:w="15" w:type="dxa"/>
            <w:bottom w:w="15" w:type="dxa"/>
          </w:tblCellMar>
          <w:tblLook w:val="04A0" w:firstRow="1" w:lastRow="0" w:firstColumn="1" w:lastColumn="0" w:noHBand="0" w:noVBand="1"/>
        </w:tblPrEx>
        <w:trPr>
          <w:trHeight w:val="20"/>
        </w:trPr>
        <w:tc>
          <w:tcPr>
            <w:tcW w:w="8931" w:type="dxa"/>
            <w:gridSpan w:val="4"/>
            <w:tcBorders>
              <w:top w:val="single" w:sz="4" w:space="0" w:color="auto"/>
              <w:left w:val="single" w:sz="4" w:space="0" w:color="auto"/>
              <w:right w:val="single" w:sz="4" w:space="0" w:color="auto"/>
            </w:tcBorders>
            <w:vAlign w:val="center"/>
          </w:tcPr>
          <w:p w14:paraId="4E98D79D" w14:textId="77777777" w:rsidR="00425894" w:rsidRPr="00276BCA" w:rsidRDefault="00425894" w:rsidP="00425894">
            <w:pPr>
              <w:spacing w:before="0" w:after="0"/>
              <w:rPr>
                <w:rFonts w:ascii="Arial Narrow" w:hAnsi="Arial Narrow" w:cs="Arial"/>
                <w:sz w:val="20"/>
                <w:szCs w:val="20"/>
              </w:rPr>
            </w:pPr>
          </w:p>
        </w:tc>
      </w:tr>
      <w:tr w:rsidR="004E5816" w:rsidRPr="00276BCA" w14:paraId="46680DF6" w14:textId="77777777" w:rsidTr="00E524D5">
        <w:tblPrEx>
          <w:tblCellMar>
            <w:top w:w="15" w:type="dxa"/>
            <w:bottom w:w="15" w:type="dxa"/>
          </w:tblCellMar>
          <w:tblLook w:val="04A0" w:firstRow="1" w:lastRow="0" w:firstColumn="1" w:lastColumn="0" w:noHBand="0" w:noVBand="1"/>
        </w:tblPrEx>
        <w:trPr>
          <w:trHeight w:val="20"/>
        </w:trPr>
        <w:tc>
          <w:tcPr>
            <w:tcW w:w="8931" w:type="dxa"/>
            <w:gridSpan w:val="4"/>
            <w:tcBorders>
              <w:top w:val="single" w:sz="4" w:space="0" w:color="auto"/>
              <w:left w:val="single" w:sz="4" w:space="0" w:color="auto"/>
              <w:bottom w:val="single" w:sz="4" w:space="0" w:color="auto"/>
              <w:right w:val="single" w:sz="4" w:space="0" w:color="auto"/>
            </w:tcBorders>
            <w:vAlign w:val="center"/>
          </w:tcPr>
          <w:p w14:paraId="435C48F7" w14:textId="77777777" w:rsidR="004E5816" w:rsidRPr="00276BCA" w:rsidRDefault="004E5816" w:rsidP="00425894">
            <w:pPr>
              <w:keepLines/>
              <w:spacing w:before="0" w:after="0"/>
              <w:rPr>
                <w:rFonts w:ascii="Arial Narrow" w:hAnsi="Arial Narrow" w:cs="Arial"/>
                <w:sz w:val="20"/>
                <w:szCs w:val="20"/>
              </w:rPr>
            </w:pPr>
            <w:r w:rsidRPr="00276BCA">
              <w:rPr>
                <w:rFonts w:ascii="Arial Narrow" w:hAnsi="Arial Narrow" w:cs="Arial"/>
                <w:b/>
                <w:sz w:val="20"/>
                <w:szCs w:val="20"/>
              </w:rPr>
              <w:t>Category / Program:</w:t>
            </w:r>
            <w:r w:rsidRPr="00276BCA">
              <w:rPr>
                <w:rFonts w:ascii="Arial Narrow" w:hAnsi="Arial Narrow" w:cs="Arial"/>
                <w:sz w:val="20"/>
                <w:szCs w:val="20"/>
              </w:rPr>
              <w:t xml:space="preserve"> </w:t>
            </w:r>
            <w:r w:rsidRPr="00276BCA">
              <w:rPr>
                <w:rFonts w:ascii="Arial Narrow" w:hAnsi="Arial Narrow"/>
                <w:sz w:val="20"/>
                <w:szCs w:val="20"/>
              </w:rPr>
              <w:fldChar w:fldCharType="begin">
                <w:ffData>
                  <w:name w:val=""/>
                  <w:enabled/>
                  <w:calcOnExit w:val="0"/>
                  <w:checkBox>
                    <w:sizeAuto/>
                    <w:default w:val="1"/>
                  </w:checkBox>
                </w:ffData>
              </w:fldChar>
            </w:r>
            <w:r w:rsidRPr="00276BCA">
              <w:rPr>
                <w:rFonts w:ascii="Arial Narrow" w:hAnsi="Arial Narrow"/>
                <w:sz w:val="20"/>
                <w:szCs w:val="20"/>
              </w:rPr>
              <w:instrText xml:space="preserve"> FORMCHECKBOX </w:instrText>
            </w:r>
            <w:r w:rsidRPr="00276BCA">
              <w:rPr>
                <w:rFonts w:ascii="Arial Narrow" w:hAnsi="Arial Narrow"/>
                <w:sz w:val="20"/>
                <w:szCs w:val="20"/>
              </w:rPr>
            </w:r>
            <w:r w:rsidRPr="00276BCA">
              <w:rPr>
                <w:rFonts w:ascii="Arial Narrow" w:hAnsi="Arial Narrow"/>
                <w:sz w:val="20"/>
                <w:szCs w:val="20"/>
              </w:rPr>
              <w:fldChar w:fldCharType="separate"/>
            </w:r>
            <w:r w:rsidRPr="00276BCA">
              <w:rPr>
                <w:rFonts w:ascii="Arial Narrow" w:hAnsi="Arial Narrow"/>
                <w:sz w:val="20"/>
                <w:szCs w:val="20"/>
              </w:rPr>
              <w:fldChar w:fldCharType="end"/>
            </w:r>
            <w:r w:rsidRPr="00276BCA">
              <w:rPr>
                <w:rFonts w:ascii="Arial Narrow" w:eastAsia="Calibri" w:hAnsi="Arial Narrow" w:cs="Arial"/>
                <w:sz w:val="20"/>
                <w:szCs w:val="20"/>
              </w:rPr>
              <w:t>Section 100 – Efficient Funding of Chemotherapy – Public (IP)/ Private (IV)</w:t>
            </w:r>
          </w:p>
        </w:tc>
      </w:tr>
      <w:tr w:rsidR="004E5816" w:rsidRPr="00276BCA" w14:paraId="5B487E29" w14:textId="77777777" w:rsidTr="00E524D5">
        <w:tblPrEx>
          <w:tblCellMar>
            <w:top w:w="15" w:type="dxa"/>
            <w:bottom w:w="15" w:type="dxa"/>
          </w:tblCellMar>
          <w:tblLook w:val="04A0" w:firstRow="1" w:lastRow="0" w:firstColumn="1" w:lastColumn="0" w:noHBand="0" w:noVBand="1"/>
        </w:tblPrEx>
        <w:trPr>
          <w:trHeight w:val="20"/>
        </w:trPr>
        <w:tc>
          <w:tcPr>
            <w:tcW w:w="8931" w:type="dxa"/>
            <w:gridSpan w:val="4"/>
            <w:tcBorders>
              <w:top w:val="single" w:sz="4" w:space="0" w:color="auto"/>
              <w:left w:val="single" w:sz="4" w:space="0" w:color="auto"/>
              <w:bottom w:val="single" w:sz="4" w:space="0" w:color="auto"/>
              <w:right w:val="single" w:sz="4" w:space="0" w:color="auto"/>
            </w:tcBorders>
            <w:vAlign w:val="center"/>
          </w:tcPr>
          <w:p w14:paraId="2A5A0A43" w14:textId="77777777" w:rsidR="004E5816" w:rsidRPr="00276BCA" w:rsidRDefault="004E5816" w:rsidP="00425894">
            <w:pPr>
              <w:keepLines/>
              <w:spacing w:before="0" w:after="0"/>
              <w:rPr>
                <w:rFonts w:ascii="Arial Narrow" w:hAnsi="Arial Narrow" w:cs="Arial"/>
                <w:b/>
                <w:sz w:val="20"/>
                <w:szCs w:val="20"/>
              </w:rPr>
            </w:pPr>
            <w:r w:rsidRPr="00276BCA">
              <w:rPr>
                <w:rFonts w:ascii="Arial Narrow" w:hAnsi="Arial Narrow" w:cs="Arial"/>
                <w:b/>
                <w:sz w:val="20"/>
                <w:szCs w:val="20"/>
              </w:rPr>
              <w:t xml:space="preserve">Prescriber type: </w:t>
            </w:r>
            <w:r w:rsidRPr="00276BCA">
              <w:rPr>
                <w:rFonts w:ascii="Arial Narrow" w:hAnsi="Arial Narrow"/>
                <w:sz w:val="20"/>
                <w:szCs w:val="20"/>
              </w:rPr>
              <w:fldChar w:fldCharType="begin">
                <w:ffData>
                  <w:name w:val=""/>
                  <w:enabled/>
                  <w:calcOnExit w:val="0"/>
                  <w:checkBox>
                    <w:sizeAuto/>
                    <w:default w:val="1"/>
                  </w:checkBox>
                </w:ffData>
              </w:fldChar>
            </w:r>
            <w:r w:rsidRPr="00276BCA">
              <w:rPr>
                <w:rFonts w:ascii="Arial Narrow" w:hAnsi="Arial Narrow"/>
                <w:sz w:val="20"/>
                <w:szCs w:val="20"/>
              </w:rPr>
              <w:instrText xml:space="preserve"> FORMCHECKBOX </w:instrText>
            </w:r>
            <w:r w:rsidRPr="00276BCA">
              <w:rPr>
                <w:rFonts w:ascii="Arial Narrow" w:hAnsi="Arial Narrow"/>
                <w:sz w:val="20"/>
                <w:szCs w:val="20"/>
              </w:rPr>
            </w:r>
            <w:r w:rsidRPr="00276BCA">
              <w:rPr>
                <w:rFonts w:ascii="Arial Narrow" w:hAnsi="Arial Narrow"/>
                <w:sz w:val="20"/>
                <w:szCs w:val="20"/>
              </w:rPr>
              <w:fldChar w:fldCharType="separate"/>
            </w:r>
            <w:r w:rsidRPr="00276BCA">
              <w:rPr>
                <w:rFonts w:ascii="Arial Narrow" w:hAnsi="Arial Narrow"/>
                <w:sz w:val="20"/>
                <w:szCs w:val="20"/>
              </w:rPr>
              <w:fldChar w:fldCharType="end"/>
            </w:r>
            <w:r w:rsidRPr="00276BCA">
              <w:rPr>
                <w:rFonts w:ascii="Arial Narrow" w:hAnsi="Arial Narrow" w:cs="Arial"/>
                <w:sz w:val="20"/>
                <w:szCs w:val="20"/>
              </w:rPr>
              <w:t>Medical Practitioners</w:t>
            </w:r>
          </w:p>
        </w:tc>
      </w:tr>
      <w:tr w:rsidR="004E5816" w:rsidRPr="00276BCA" w14:paraId="267044CE" w14:textId="77777777" w:rsidTr="00E524D5">
        <w:tblPrEx>
          <w:tblCellMar>
            <w:top w:w="15" w:type="dxa"/>
            <w:bottom w:w="15" w:type="dxa"/>
          </w:tblCellMar>
          <w:tblLook w:val="04A0" w:firstRow="1" w:lastRow="0" w:firstColumn="1" w:lastColumn="0" w:noHBand="0" w:noVBand="1"/>
        </w:tblPrEx>
        <w:trPr>
          <w:trHeight w:val="20"/>
        </w:trPr>
        <w:tc>
          <w:tcPr>
            <w:tcW w:w="8931" w:type="dxa"/>
            <w:gridSpan w:val="4"/>
            <w:tcBorders>
              <w:top w:val="single" w:sz="4" w:space="0" w:color="auto"/>
              <w:left w:val="single" w:sz="4" w:space="0" w:color="auto"/>
              <w:bottom w:val="single" w:sz="4" w:space="0" w:color="auto"/>
              <w:right w:val="single" w:sz="4" w:space="0" w:color="auto"/>
            </w:tcBorders>
            <w:vAlign w:val="center"/>
          </w:tcPr>
          <w:p w14:paraId="77B99AB0" w14:textId="77777777" w:rsidR="004E5816" w:rsidRPr="00276BCA" w:rsidRDefault="004E5816" w:rsidP="00425894">
            <w:pPr>
              <w:keepLines/>
              <w:spacing w:before="0" w:after="0"/>
              <w:rPr>
                <w:rFonts w:ascii="Arial Narrow" w:eastAsia="Calibri" w:hAnsi="Arial Narrow" w:cs="Arial"/>
                <w:color w:val="FF0000"/>
                <w:sz w:val="20"/>
                <w:szCs w:val="20"/>
              </w:rPr>
            </w:pPr>
            <w:r w:rsidRPr="00276BCA">
              <w:rPr>
                <w:rFonts w:ascii="Arial Narrow" w:hAnsi="Arial Narrow" w:cs="Arial"/>
                <w:b/>
                <w:sz w:val="20"/>
                <w:szCs w:val="20"/>
              </w:rPr>
              <w:t xml:space="preserve">Benefit type: </w:t>
            </w:r>
            <w:r w:rsidRPr="00276BCA">
              <w:rPr>
                <w:rFonts w:ascii="Arial Narrow" w:hAnsi="Arial Narrow"/>
                <w:sz w:val="20"/>
                <w:szCs w:val="20"/>
              </w:rPr>
              <w:fldChar w:fldCharType="begin">
                <w:ffData>
                  <w:name w:val=""/>
                  <w:enabled/>
                  <w:calcOnExit w:val="0"/>
                  <w:checkBox>
                    <w:sizeAuto/>
                    <w:default w:val="1"/>
                  </w:checkBox>
                </w:ffData>
              </w:fldChar>
            </w:r>
            <w:r w:rsidRPr="00276BCA">
              <w:rPr>
                <w:rFonts w:ascii="Arial Narrow" w:hAnsi="Arial Narrow"/>
                <w:sz w:val="20"/>
                <w:szCs w:val="20"/>
              </w:rPr>
              <w:instrText xml:space="preserve"> FORMCHECKBOX </w:instrText>
            </w:r>
            <w:r w:rsidRPr="00276BCA">
              <w:rPr>
                <w:rFonts w:ascii="Arial Narrow" w:hAnsi="Arial Narrow"/>
                <w:sz w:val="20"/>
                <w:szCs w:val="20"/>
              </w:rPr>
            </w:r>
            <w:r w:rsidRPr="00276BCA">
              <w:rPr>
                <w:rFonts w:ascii="Arial Narrow" w:hAnsi="Arial Narrow"/>
                <w:sz w:val="20"/>
                <w:szCs w:val="20"/>
              </w:rPr>
              <w:fldChar w:fldCharType="separate"/>
            </w:r>
            <w:r w:rsidRPr="00276BCA">
              <w:rPr>
                <w:rFonts w:ascii="Arial Narrow" w:hAnsi="Arial Narrow"/>
                <w:sz w:val="20"/>
                <w:szCs w:val="20"/>
              </w:rPr>
              <w:fldChar w:fldCharType="end"/>
            </w:r>
            <w:r w:rsidRPr="00276BCA">
              <w:rPr>
                <w:rFonts w:ascii="Arial Narrow" w:eastAsia="Calibri" w:hAnsi="Arial Narrow" w:cs="Arial"/>
                <w:sz w:val="20"/>
                <w:szCs w:val="20"/>
              </w:rPr>
              <w:t>Authority Required (Streamlined) [new code]</w:t>
            </w:r>
          </w:p>
        </w:tc>
      </w:tr>
      <w:tr w:rsidR="004E5816" w:rsidRPr="00276BCA" w14:paraId="5D6D9C1A" w14:textId="77777777" w:rsidTr="00E524D5">
        <w:tblPrEx>
          <w:tblCellMar>
            <w:top w:w="15" w:type="dxa"/>
            <w:bottom w:w="15" w:type="dxa"/>
          </w:tblCellMar>
          <w:tblLook w:val="04A0" w:firstRow="1" w:lastRow="0" w:firstColumn="1" w:lastColumn="0" w:noHBand="0" w:noVBand="1"/>
        </w:tblPrEx>
        <w:trPr>
          <w:trHeight w:val="20"/>
        </w:trPr>
        <w:tc>
          <w:tcPr>
            <w:tcW w:w="8931" w:type="dxa"/>
            <w:gridSpan w:val="4"/>
            <w:tcBorders>
              <w:top w:val="single" w:sz="4" w:space="0" w:color="auto"/>
              <w:left w:val="single" w:sz="4" w:space="0" w:color="auto"/>
              <w:bottom w:val="single" w:sz="4" w:space="0" w:color="auto"/>
              <w:right w:val="single" w:sz="4" w:space="0" w:color="auto"/>
            </w:tcBorders>
            <w:vAlign w:val="center"/>
          </w:tcPr>
          <w:p w14:paraId="4092DE79" w14:textId="77777777" w:rsidR="004E5816" w:rsidRPr="00276BCA" w:rsidRDefault="004E5816" w:rsidP="00425894">
            <w:pPr>
              <w:keepLines/>
              <w:spacing w:before="0" w:after="0"/>
              <w:rPr>
                <w:rFonts w:ascii="Arial Narrow" w:hAnsi="Arial Narrow" w:cs="Arial"/>
                <w:b/>
                <w:sz w:val="20"/>
                <w:szCs w:val="20"/>
              </w:rPr>
            </w:pPr>
            <w:r w:rsidRPr="00276BCA">
              <w:rPr>
                <w:rFonts w:ascii="Arial Narrow" w:hAnsi="Arial Narrow" w:cs="Arial"/>
                <w:b/>
                <w:sz w:val="20"/>
                <w:szCs w:val="20"/>
              </w:rPr>
              <w:t xml:space="preserve">Prescribing rule level:  </w:t>
            </w:r>
          </w:p>
        </w:tc>
      </w:tr>
      <w:tr w:rsidR="004E5816" w:rsidRPr="00276BCA" w14:paraId="4AAE8A33" w14:textId="77777777" w:rsidTr="00E524D5">
        <w:tblPrEx>
          <w:tblCellMar>
            <w:top w:w="15" w:type="dxa"/>
            <w:bottom w:w="15" w:type="dxa"/>
          </w:tblCellMar>
          <w:tblLook w:val="04A0" w:firstRow="1" w:lastRow="0" w:firstColumn="1" w:lastColumn="0" w:noHBand="0" w:noVBand="1"/>
        </w:tblPrEx>
        <w:trPr>
          <w:trHeight w:val="20"/>
        </w:trPr>
        <w:tc>
          <w:tcPr>
            <w:tcW w:w="8931" w:type="dxa"/>
            <w:gridSpan w:val="4"/>
            <w:tcBorders>
              <w:top w:val="single" w:sz="4" w:space="0" w:color="auto"/>
              <w:left w:val="single" w:sz="4" w:space="0" w:color="auto"/>
              <w:bottom w:val="single" w:sz="4" w:space="0" w:color="auto"/>
              <w:right w:val="single" w:sz="4" w:space="0" w:color="auto"/>
            </w:tcBorders>
            <w:vAlign w:val="center"/>
          </w:tcPr>
          <w:p w14:paraId="17A8C25C" w14:textId="77777777" w:rsidR="004E5816" w:rsidRPr="00276BCA" w:rsidRDefault="004E5816" w:rsidP="00425894">
            <w:pPr>
              <w:keepLines/>
              <w:spacing w:before="0" w:after="0"/>
              <w:rPr>
                <w:rFonts w:ascii="Arial Narrow" w:hAnsi="Arial Narrow" w:cs="Arial"/>
                <w:b/>
                <w:sz w:val="20"/>
                <w:szCs w:val="20"/>
              </w:rPr>
            </w:pPr>
            <w:r w:rsidRPr="00276BCA">
              <w:rPr>
                <w:rFonts w:ascii="Arial Narrow" w:hAnsi="Arial Narrow" w:cs="Arial"/>
                <w:b/>
                <w:sz w:val="20"/>
                <w:szCs w:val="20"/>
              </w:rPr>
              <w:t xml:space="preserve">Administrative Advice: </w:t>
            </w:r>
          </w:p>
          <w:p w14:paraId="4034F52D" w14:textId="77777777" w:rsidR="004E5816" w:rsidRPr="00276BCA" w:rsidRDefault="004E5816" w:rsidP="00425894">
            <w:pPr>
              <w:keepLines/>
              <w:spacing w:before="0" w:after="0"/>
              <w:rPr>
                <w:rFonts w:ascii="Arial Narrow" w:hAnsi="Arial Narrow" w:cs="Arial"/>
                <w:b/>
                <w:sz w:val="20"/>
                <w:szCs w:val="20"/>
              </w:rPr>
            </w:pPr>
            <w:r w:rsidRPr="00276BCA">
              <w:rPr>
                <w:rFonts w:ascii="Arial Narrow" w:hAnsi="Arial Narrow" w:cs="Arial"/>
                <w:bCs/>
                <w:sz w:val="20"/>
                <w:szCs w:val="20"/>
              </w:rPr>
              <w:lastRenderedPageBreak/>
              <w:t>No increase in the maximum number of repeats may be authorised.</w:t>
            </w:r>
          </w:p>
        </w:tc>
      </w:tr>
      <w:tr w:rsidR="004E5816" w:rsidRPr="00276BCA" w14:paraId="223510FD" w14:textId="77777777" w:rsidTr="00E524D5">
        <w:tblPrEx>
          <w:tblCellMar>
            <w:top w:w="15" w:type="dxa"/>
            <w:bottom w:w="15" w:type="dxa"/>
          </w:tblCellMar>
          <w:tblLook w:val="04A0" w:firstRow="1" w:lastRow="0" w:firstColumn="1" w:lastColumn="0" w:noHBand="0" w:noVBand="1"/>
        </w:tblPrEx>
        <w:trPr>
          <w:trHeight w:val="20"/>
        </w:trPr>
        <w:tc>
          <w:tcPr>
            <w:tcW w:w="893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D0896D" w14:textId="77777777" w:rsidR="004E5816" w:rsidRPr="00276BCA" w:rsidRDefault="004E5816" w:rsidP="00425894">
            <w:pPr>
              <w:keepLines/>
              <w:spacing w:before="0" w:after="0"/>
              <w:rPr>
                <w:rFonts w:ascii="Arial Narrow" w:eastAsia="Times New Roman" w:hAnsi="Arial Narrow"/>
                <w:b/>
                <w:bCs/>
                <w:sz w:val="20"/>
                <w:szCs w:val="20"/>
                <w:lang w:eastAsia="en-AU"/>
              </w:rPr>
            </w:pPr>
            <w:r w:rsidRPr="00276BCA">
              <w:rPr>
                <w:rFonts w:ascii="Arial Narrow" w:hAnsi="Arial Narrow"/>
                <w:b/>
                <w:sz w:val="20"/>
                <w:szCs w:val="20"/>
              </w:rPr>
              <w:lastRenderedPageBreak/>
              <w:t>Restriction Summary [new2] / Treatment of Concept: [new2]</w:t>
            </w:r>
          </w:p>
        </w:tc>
      </w:tr>
      <w:tr w:rsidR="004E5816" w:rsidRPr="00276BCA" w14:paraId="0110DF0C" w14:textId="77777777" w:rsidTr="00E524D5">
        <w:tblPrEx>
          <w:tblCellMar>
            <w:top w:w="15" w:type="dxa"/>
            <w:bottom w:w="15" w:type="dxa"/>
          </w:tblCellMar>
        </w:tblPrEx>
        <w:trPr>
          <w:cantSplit/>
          <w:trHeight w:val="20"/>
        </w:trPr>
        <w:tc>
          <w:tcPr>
            <w:tcW w:w="8931" w:type="dxa"/>
            <w:gridSpan w:val="4"/>
            <w:vAlign w:val="center"/>
            <w:hideMark/>
          </w:tcPr>
          <w:p w14:paraId="783AC127" w14:textId="77777777" w:rsidR="004E5816" w:rsidRPr="00276BCA" w:rsidRDefault="004E5816" w:rsidP="00425894">
            <w:pPr>
              <w:keepLines/>
              <w:spacing w:before="0" w:after="0"/>
              <w:rPr>
                <w:rFonts w:ascii="Arial Narrow" w:eastAsia="Times New Roman" w:hAnsi="Arial Narrow"/>
                <w:sz w:val="20"/>
                <w:szCs w:val="20"/>
                <w:lang w:eastAsia="en-AU"/>
              </w:rPr>
            </w:pPr>
            <w:r w:rsidRPr="00276BCA">
              <w:rPr>
                <w:rFonts w:ascii="Arial Narrow" w:eastAsia="Times New Roman" w:hAnsi="Arial Narrow"/>
                <w:b/>
                <w:bCs/>
                <w:sz w:val="20"/>
                <w:szCs w:val="20"/>
                <w:lang w:eastAsia="en-AU"/>
              </w:rPr>
              <w:t xml:space="preserve">Indication: </w:t>
            </w:r>
            <w:r w:rsidRPr="00276BCA">
              <w:rPr>
                <w:rFonts w:ascii="Arial Narrow" w:eastAsia="Times New Roman" w:hAnsi="Arial Narrow"/>
                <w:sz w:val="20"/>
                <w:szCs w:val="20"/>
                <w:lang w:eastAsia="en-AU"/>
              </w:rPr>
              <w:t>Locally advanced, unresectable, or metastatic gastric or gastro-oesophageal junction cancers – first line treatment</w:t>
            </w:r>
          </w:p>
        </w:tc>
      </w:tr>
      <w:tr w:rsidR="004E5816" w:rsidRPr="00276BCA" w14:paraId="63F25775" w14:textId="77777777" w:rsidTr="00E524D5">
        <w:tblPrEx>
          <w:tblCellMar>
            <w:top w:w="15" w:type="dxa"/>
            <w:bottom w:w="15" w:type="dxa"/>
          </w:tblCellMar>
        </w:tblPrEx>
        <w:trPr>
          <w:cantSplit/>
          <w:trHeight w:val="20"/>
        </w:trPr>
        <w:tc>
          <w:tcPr>
            <w:tcW w:w="8931" w:type="dxa"/>
            <w:gridSpan w:val="4"/>
            <w:vAlign w:val="center"/>
            <w:hideMark/>
          </w:tcPr>
          <w:p w14:paraId="4038F3EB" w14:textId="77777777" w:rsidR="004E5816" w:rsidRPr="00276BCA" w:rsidRDefault="004E5816" w:rsidP="00425894">
            <w:pPr>
              <w:spacing w:before="0" w:after="0"/>
              <w:rPr>
                <w:rFonts w:ascii="Arial Narrow" w:eastAsia="Times New Roman" w:hAnsi="Arial Narrow"/>
                <w:sz w:val="20"/>
                <w:szCs w:val="20"/>
                <w:lang w:eastAsia="en-AU"/>
              </w:rPr>
            </w:pPr>
            <w:r w:rsidRPr="00276BCA">
              <w:rPr>
                <w:rFonts w:ascii="Arial Narrow" w:eastAsia="Times New Roman" w:hAnsi="Arial Narrow"/>
                <w:b/>
                <w:bCs/>
                <w:sz w:val="20"/>
                <w:szCs w:val="20"/>
                <w:lang w:eastAsia="en-AU"/>
              </w:rPr>
              <w:t>Treatment Phase:</w:t>
            </w:r>
            <w:r w:rsidRPr="00276BCA">
              <w:rPr>
                <w:rFonts w:ascii="Arial Narrow" w:eastAsia="Times New Roman" w:hAnsi="Arial Narrow"/>
                <w:sz w:val="20"/>
                <w:szCs w:val="20"/>
                <w:lang w:eastAsia="en-AU"/>
              </w:rPr>
              <w:t xml:space="preserve"> Continuing treatment </w:t>
            </w:r>
          </w:p>
        </w:tc>
      </w:tr>
      <w:tr w:rsidR="004E5816" w:rsidRPr="00276BCA" w14:paraId="3A5A02A1" w14:textId="77777777" w:rsidTr="00E524D5">
        <w:tblPrEx>
          <w:tblCellMar>
            <w:top w:w="15" w:type="dxa"/>
            <w:bottom w:w="15" w:type="dxa"/>
          </w:tblCellMar>
        </w:tblPrEx>
        <w:trPr>
          <w:cantSplit/>
          <w:trHeight w:val="20"/>
        </w:trPr>
        <w:tc>
          <w:tcPr>
            <w:tcW w:w="8931" w:type="dxa"/>
            <w:gridSpan w:val="4"/>
            <w:vAlign w:val="center"/>
            <w:hideMark/>
          </w:tcPr>
          <w:p w14:paraId="49C58A5E" w14:textId="77777777" w:rsidR="004E5816" w:rsidRPr="00276BCA" w:rsidRDefault="004E5816" w:rsidP="00425894">
            <w:pPr>
              <w:spacing w:before="0" w:after="0"/>
              <w:rPr>
                <w:rFonts w:ascii="Arial Narrow" w:eastAsia="Times New Roman" w:hAnsi="Arial Narrow"/>
                <w:sz w:val="20"/>
                <w:szCs w:val="20"/>
                <w:lang w:eastAsia="en-AU"/>
              </w:rPr>
            </w:pPr>
            <w:r w:rsidRPr="00276BCA">
              <w:rPr>
                <w:rFonts w:ascii="Arial Narrow" w:eastAsia="Times New Roman" w:hAnsi="Arial Narrow"/>
                <w:b/>
                <w:bCs/>
                <w:color w:val="333333"/>
                <w:sz w:val="20"/>
                <w:szCs w:val="20"/>
                <w:lang w:eastAsia="en-AU"/>
              </w:rPr>
              <w:t>Clinical criteria:</w:t>
            </w:r>
          </w:p>
        </w:tc>
      </w:tr>
      <w:tr w:rsidR="004E5816" w:rsidRPr="00276BCA" w14:paraId="636803F9" w14:textId="77777777" w:rsidTr="00E524D5">
        <w:tblPrEx>
          <w:tblCellMar>
            <w:top w:w="15" w:type="dxa"/>
            <w:bottom w:w="15" w:type="dxa"/>
          </w:tblCellMar>
        </w:tblPrEx>
        <w:trPr>
          <w:cantSplit/>
          <w:trHeight w:val="20"/>
        </w:trPr>
        <w:tc>
          <w:tcPr>
            <w:tcW w:w="8931" w:type="dxa"/>
            <w:gridSpan w:val="4"/>
            <w:vAlign w:val="center"/>
            <w:hideMark/>
          </w:tcPr>
          <w:p w14:paraId="3434A9EF" w14:textId="77777777" w:rsidR="004E5816" w:rsidRPr="00276BCA" w:rsidRDefault="004E5816" w:rsidP="00425894">
            <w:pPr>
              <w:spacing w:before="0" w:after="0"/>
              <w:rPr>
                <w:rFonts w:ascii="Arial Narrow" w:eastAsia="Times New Roman" w:hAnsi="Arial Narrow"/>
                <w:color w:val="333333"/>
                <w:sz w:val="20"/>
                <w:szCs w:val="20"/>
                <w:lang w:eastAsia="en-AU"/>
              </w:rPr>
            </w:pPr>
            <w:r w:rsidRPr="00276BCA">
              <w:rPr>
                <w:rFonts w:ascii="Arial Narrow" w:eastAsia="Times New Roman" w:hAnsi="Arial Narrow"/>
                <w:color w:val="333333"/>
                <w:sz w:val="20"/>
                <w:szCs w:val="20"/>
                <w:lang w:eastAsia="en-AU"/>
              </w:rPr>
              <w:t>Patient must have previously received PBS-subsidised treatment with this drug for this condition.</w:t>
            </w:r>
          </w:p>
        </w:tc>
      </w:tr>
      <w:tr w:rsidR="004E5816" w:rsidRPr="00276BCA" w14:paraId="720F7A49" w14:textId="77777777" w:rsidTr="00E524D5">
        <w:tblPrEx>
          <w:tblCellMar>
            <w:top w:w="15" w:type="dxa"/>
            <w:bottom w:w="15" w:type="dxa"/>
          </w:tblCellMar>
        </w:tblPrEx>
        <w:trPr>
          <w:cantSplit/>
          <w:trHeight w:val="20"/>
        </w:trPr>
        <w:tc>
          <w:tcPr>
            <w:tcW w:w="8931" w:type="dxa"/>
            <w:gridSpan w:val="4"/>
            <w:vAlign w:val="center"/>
            <w:hideMark/>
          </w:tcPr>
          <w:p w14:paraId="0506D469" w14:textId="77777777" w:rsidR="004E5816" w:rsidRPr="00276BCA" w:rsidRDefault="004E5816" w:rsidP="00425894">
            <w:pPr>
              <w:spacing w:before="0" w:after="0"/>
              <w:rPr>
                <w:rFonts w:ascii="Arial Narrow" w:eastAsia="Times New Roman" w:hAnsi="Arial Narrow"/>
                <w:color w:val="333333"/>
                <w:sz w:val="20"/>
                <w:szCs w:val="20"/>
                <w:lang w:eastAsia="en-AU"/>
              </w:rPr>
            </w:pPr>
            <w:r w:rsidRPr="00276BCA">
              <w:rPr>
                <w:rFonts w:ascii="Arial Narrow" w:eastAsia="Times New Roman" w:hAnsi="Arial Narrow"/>
                <w:b/>
                <w:bCs/>
                <w:color w:val="333333"/>
                <w:sz w:val="20"/>
                <w:szCs w:val="20"/>
                <w:lang w:eastAsia="en-AU"/>
              </w:rPr>
              <w:t>AND</w:t>
            </w:r>
          </w:p>
        </w:tc>
      </w:tr>
      <w:tr w:rsidR="004E5816" w:rsidRPr="00276BCA" w14:paraId="086677A0" w14:textId="77777777" w:rsidTr="00E524D5">
        <w:tblPrEx>
          <w:tblCellMar>
            <w:top w:w="15" w:type="dxa"/>
            <w:bottom w:w="15" w:type="dxa"/>
          </w:tblCellMar>
          <w:tblLook w:val="04A0" w:firstRow="1" w:lastRow="0" w:firstColumn="1" w:lastColumn="0" w:noHBand="0" w:noVBand="1"/>
        </w:tblPrEx>
        <w:trPr>
          <w:cantSplit/>
          <w:trHeight w:val="20"/>
        </w:trPr>
        <w:tc>
          <w:tcPr>
            <w:tcW w:w="8931" w:type="dxa"/>
            <w:gridSpan w:val="4"/>
            <w:vAlign w:val="center"/>
            <w:hideMark/>
          </w:tcPr>
          <w:p w14:paraId="016E8810" w14:textId="77777777" w:rsidR="004E5816" w:rsidRPr="00276BCA" w:rsidRDefault="004E5816" w:rsidP="00425894">
            <w:pPr>
              <w:spacing w:before="0" w:after="0"/>
              <w:rPr>
                <w:rFonts w:ascii="Arial Narrow" w:eastAsia="Times New Roman" w:hAnsi="Arial Narrow"/>
                <w:color w:val="333333"/>
                <w:sz w:val="20"/>
                <w:szCs w:val="20"/>
                <w:lang w:eastAsia="en-AU"/>
              </w:rPr>
            </w:pPr>
            <w:r w:rsidRPr="00276BCA">
              <w:rPr>
                <w:rFonts w:ascii="Arial Narrow" w:eastAsia="Times New Roman" w:hAnsi="Arial Narrow"/>
                <w:b/>
                <w:bCs/>
                <w:color w:val="333333"/>
                <w:sz w:val="20"/>
                <w:szCs w:val="20"/>
                <w:lang w:eastAsia="en-AU"/>
              </w:rPr>
              <w:t xml:space="preserve">Clinical criteria: </w:t>
            </w:r>
          </w:p>
        </w:tc>
      </w:tr>
      <w:tr w:rsidR="004E5816" w:rsidRPr="00276BCA" w14:paraId="757263FF" w14:textId="77777777" w:rsidTr="00E524D5">
        <w:tblPrEx>
          <w:tblCellMar>
            <w:top w:w="15" w:type="dxa"/>
            <w:bottom w:w="15" w:type="dxa"/>
          </w:tblCellMar>
          <w:tblLook w:val="04A0" w:firstRow="1" w:lastRow="0" w:firstColumn="1" w:lastColumn="0" w:noHBand="0" w:noVBand="1"/>
        </w:tblPrEx>
        <w:trPr>
          <w:cantSplit/>
          <w:trHeight w:val="20"/>
        </w:trPr>
        <w:tc>
          <w:tcPr>
            <w:tcW w:w="8931" w:type="dxa"/>
            <w:gridSpan w:val="4"/>
            <w:vAlign w:val="center"/>
          </w:tcPr>
          <w:p w14:paraId="727E6194" w14:textId="77777777" w:rsidR="004E5816" w:rsidRPr="00276BCA" w:rsidRDefault="004E5816" w:rsidP="00425894">
            <w:pPr>
              <w:spacing w:before="0" w:after="0"/>
              <w:rPr>
                <w:rFonts w:ascii="Arial Narrow" w:eastAsia="Times New Roman" w:hAnsi="Arial Narrow"/>
                <w:color w:val="FF0000"/>
                <w:sz w:val="20"/>
                <w:szCs w:val="20"/>
                <w:lang w:eastAsia="en-AU"/>
              </w:rPr>
            </w:pPr>
            <w:r w:rsidRPr="00276BCA">
              <w:rPr>
                <w:rFonts w:ascii="Arial Narrow" w:eastAsia="Times New Roman" w:hAnsi="Arial Narrow"/>
                <w:sz w:val="20"/>
                <w:szCs w:val="20"/>
                <w:lang w:eastAsia="en-AU"/>
              </w:rPr>
              <w:t>The condition must not have progressed while receiving PBS-subsidised treatment with this drug for this condition.</w:t>
            </w:r>
          </w:p>
        </w:tc>
      </w:tr>
      <w:tr w:rsidR="004E5816" w:rsidRPr="00276BCA" w14:paraId="7939A33C" w14:textId="77777777" w:rsidTr="00E524D5">
        <w:tblPrEx>
          <w:tblCellMar>
            <w:top w:w="15" w:type="dxa"/>
            <w:bottom w:w="15" w:type="dxa"/>
          </w:tblCellMar>
          <w:tblLook w:val="04A0" w:firstRow="1" w:lastRow="0" w:firstColumn="1" w:lastColumn="0" w:noHBand="0" w:noVBand="1"/>
        </w:tblPrEx>
        <w:trPr>
          <w:cantSplit/>
          <w:trHeight w:val="20"/>
        </w:trPr>
        <w:tc>
          <w:tcPr>
            <w:tcW w:w="8931" w:type="dxa"/>
            <w:gridSpan w:val="4"/>
            <w:vAlign w:val="center"/>
            <w:hideMark/>
          </w:tcPr>
          <w:p w14:paraId="1D1CE994" w14:textId="77777777" w:rsidR="004E5816" w:rsidRPr="00276BCA" w:rsidRDefault="004E5816" w:rsidP="00425894">
            <w:pPr>
              <w:spacing w:before="0" w:after="0"/>
              <w:rPr>
                <w:rFonts w:ascii="Arial Narrow" w:eastAsia="Times New Roman" w:hAnsi="Arial Narrow"/>
                <w:color w:val="333333"/>
                <w:sz w:val="20"/>
                <w:szCs w:val="20"/>
                <w:lang w:eastAsia="en-AU"/>
              </w:rPr>
            </w:pPr>
            <w:r w:rsidRPr="00276BCA">
              <w:rPr>
                <w:rFonts w:ascii="Arial Narrow" w:eastAsia="Times New Roman" w:hAnsi="Arial Narrow"/>
                <w:b/>
                <w:bCs/>
                <w:color w:val="333333"/>
                <w:sz w:val="20"/>
                <w:szCs w:val="20"/>
                <w:lang w:eastAsia="en-AU"/>
              </w:rPr>
              <w:t>AND</w:t>
            </w:r>
          </w:p>
        </w:tc>
      </w:tr>
      <w:tr w:rsidR="004E5816" w:rsidRPr="00276BCA" w14:paraId="2EA76927" w14:textId="77777777" w:rsidTr="00E524D5">
        <w:tblPrEx>
          <w:tblCellMar>
            <w:top w:w="15" w:type="dxa"/>
            <w:bottom w:w="15" w:type="dxa"/>
          </w:tblCellMar>
          <w:tblLook w:val="04A0" w:firstRow="1" w:lastRow="0" w:firstColumn="1" w:lastColumn="0" w:noHBand="0" w:noVBand="1"/>
        </w:tblPrEx>
        <w:trPr>
          <w:cantSplit/>
          <w:trHeight w:val="20"/>
        </w:trPr>
        <w:tc>
          <w:tcPr>
            <w:tcW w:w="8931" w:type="dxa"/>
            <w:gridSpan w:val="4"/>
            <w:vAlign w:val="center"/>
            <w:hideMark/>
          </w:tcPr>
          <w:p w14:paraId="0ECECD52" w14:textId="77777777" w:rsidR="004E5816" w:rsidRPr="00276BCA" w:rsidRDefault="004E5816" w:rsidP="00425894">
            <w:pPr>
              <w:spacing w:before="0" w:after="0"/>
              <w:rPr>
                <w:rFonts w:ascii="Arial Narrow" w:eastAsia="Times New Roman" w:hAnsi="Arial Narrow"/>
                <w:color w:val="333333"/>
                <w:sz w:val="20"/>
                <w:szCs w:val="20"/>
                <w:lang w:eastAsia="en-AU"/>
              </w:rPr>
            </w:pPr>
            <w:r w:rsidRPr="00276BCA">
              <w:rPr>
                <w:rFonts w:ascii="Arial Narrow" w:eastAsia="Times New Roman" w:hAnsi="Arial Narrow"/>
                <w:b/>
                <w:bCs/>
                <w:color w:val="333333"/>
                <w:sz w:val="20"/>
                <w:szCs w:val="20"/>
                <w:lang w:eastAsia="en-AU"/>
              </w:rPr>
              <w:t xml:space="preserve">Clinical criteria: </w:t>
            </w:r>
          </w:p>
        </w:tc>
      </w:tr>
      <w:tr w:rsidR="004E5816" w:rsidRPr="00276BCA" w14:paraId="7CB8D771" w14:textId="77777777" w:rsidTr="00E524D5">
        <w:tblPrEx>
          <w:tblCellMar>
            <w:top w:w="15" w:type="dxa"/>
            <w:bottom w:w="15" w:type="dxa"/>
          </w:tblCellMar>
          <w:tblLook w:val="04A0" w:firstRow="1" w:lastRow="0" w:firstColumn="1" w:lastColumn="0" w:noHBand="0" w:noVBand="1"/>
        </w:tblPrEx>
        <w:trPr>
          <w:cantSplit/>
          <w:trHeight w:val="20"/>
        </w:trPr>
        <w:tc>
          <w:tcPr>
            <w:tcW w:w="8931" w:type="dxa"/>
            <w:gridSpan w:val="4"/>
            <w:vAlign w:val="center"/>
            <w:hideMark/>
          </w:tcPr>
          <w:p w14:paraId="483A3966" w14:textId="77777777" w:rsidR="004E5816" w:rsidRPr="00276BCA" w:rsidRDefault="004E5816" w:rsidP="00425894">
            <w:pPr>
              <w:spacing w:before="0" w:after="0"/>
              <w:rPr>
                <w:rFonts w:ascii="Arial Narrow" w:eastAsia="Times New Roman" w:hAnsi="Arial Narrow"/>
                <w:color w:val="333333"/>
                <w:sz w:val="20"/>
                <w:szCs w:val="20"/>
                <w:lang w:eastAsia="en-AU"/>
              </w:rPr>
            </w:pPr>
            <w:r w:rsidRPr="00276BCA">
              <w:rPr>
                <w:rFonts w:ascii="Arial Narrow" w:eastAsia="Times New Roman" w:hAnsi="Arial Narrow"/>
                <w:color w:val="333333"/>
                <w:sz w:val="20"/>
                <w:szCs w:val="20"/>
                <w:lang w:eastAsia="en-AU"/>
              </w:rPr>
              <w:t xml:space="preserve">The treatment must be initiated in combination with platinum-based chemotherapy plus </w:t>
            </w:r>
            <w:r w:rsidRPr="00276BCA">
              <w:rPr>
                <w:rFonts w:ascii="Arial Narrow" w:eastAsia="Times New Roman" w:hAnsi="Arial Narrow"/>
                <w:sz w:val="20"/>
                <w:szCs w:val="20"/>
                <w:lang w:eastAsia="en-AU"/>
              </w:rPr>
              <w:t>a fluoropyrimidine drug,</w:t>
            </w:r>
          </w:p>
        </w:tc>
      </w:tr>
      <w:tr w:rsidR="004E5816" w:rsidRPr="00276BCA" w14:paraId="486979DB" w14:textId="77777777" w:rsidTr="00E524D5">
        <w:tblPrEx>
          <w:tblCellMar>
            <w:top w:w="15" w:type="dxa"/>
            <w:bottom w:w="15" w:type="dxa"/>
          </w:tblCellMar>
          <w:tblLook w:val="04A0" w:firstRow="1" w:lastRow="0" w:firstColumn="1" w:lastColumn="0" w:noHBand="0" w:noVBand="1"/>
        </w:tblPrEx>
        <w:trPr>
          <w:cantSplit/>
          <w:trHeight w:val="20"/>
        </w:trPr>
        <w:tc>
          <w:tcPr>
            <w:tcW w:w="8931" w:type="dxa"/>
            <w:gridSpan w:val="4"/>
            <w:vAlign w:val="center"/>
            <w:hideMark/>
          </w:tcPr>
          <w:p w14:paraId="318EA555" w14:textId="77777777" w:rsidR="004E5816" w:rsidRPr="00276BCA" w:rsidRDefault="004E5816" w:rsidP="00425894">
            <w:pPr>
              <w:keepNext/>
              <w:spacing w:before="0" w:after="0"/>
              <w:rPr>
                <w:rFonts w:ascii="Arial Narrow" w:eastAsia="Times New Roman" w:hAnsi="Arial Narrow"/>
                <w:color w:val="333333"/>
                <w:sz w:val="20"/>
                <w:szCs w:val="20"/>
                <w:lang w:eastAsia="en-AU"/>
              </w:rPr>
            </w:pPr>
            <w:r w:rsidRPr="00276BCA">
              <w:rPr>
                <w:rFonts w:ascii="Arial Narrow" w:eastAsia="Times New Roman" w:hAnsi="Arial Narrow"/>
                <w:b/>
                <w:bCs/>
                <w:color w:val="333333"/>
                <w:sz w:val="20"/>
                <w:szCs w:val="20"/>
                <w:lang w:eastAsia="en-AU"/>
              </w:rPr>
              <w:t>Treatment criteria:</w:t>
            </w:r>
          </w:p>
        </w:tc>
      </w:tr>
      <w:tr w:rsidR="004E5816" w:rsidRPr="00276BCA" w14:paraId="4CC6ACAF" w14:textId="77777777" w:rsidTr="00E524D5">
        <w:tblPrEx>
          <w:tblCellMar>
            <w:top w:w="15" w:type="dxa"/>
            <w:bottom w:w="15" w:type="dxa"/>
          </w:tblCellMar>
          <w:tblLook w:val="04A0" w:firstRow="1" w:lastRow="0" w:firstColumn="1" w:lastColumn="0" w:noHBand="0" w:noVBand="1"/>
        </w:tblPrEx>
        <w:trPr>
          <w:cantSplit/>
          <w:trHeight w:val="20"/>
        </w:trPr>
        <w:tc>
          <w:tcPr>
            <w:tcW w:w="8931" w:type="dxa"/>
            <w:gridSpan w:val="4"/>
            <w:vAlign w:val="center"/>
            <w:hideMark/>
          </w:tcPr>
          <w:p w14:paraId="43486E92" w14:textId="77777777" w:rsidR="004E5816" w:rsidRPr="00276BCA" w:rsidRDefault="004E5816" w:rsidP="00425894">
            <w:pPr>
              <w:autoSpaceDE w:val="0"/>
              <w:autoSpaceDN w:val="0"/>
              <w:adjustRightInd w:val="0"/>
              <w:spacing w:before="0" w:after="0"/>
              <w:rPr>
                <w:rFonts w:ascii="Arial Narrow" w:hAnsi="Arial Narrow" w:cs="Arial Narrow"/>
                <w:color w:val="FF0000"/>
                <w:sz w:val="20"/>
                <w:szCs w:val="20"/>
              </w:rPr>
            </w:pPr>
            <w:r w:rsidRPr="00276BCA">
              <w:rPr>
                <w:rFonts w:ascii="Arial Narrow" w:hAnsi="Arial Narrow" w:cs="Open Sans"/>
                <w:color w:val="222222"/>
                <w:sz w:val="20"/>
                <w:szCs w:val="20"/>
              </w:rPr>
              <w:t>Patient must be undergoing treatment with this drug administered at a dose of 600 mg/m</w:t>
            </w:r>
            <w:r w:rsidRPr="00276BCA">
              <w:rPr>
                <w:rFonts w:ascii="Arial Narrow" w:hAnsi="Arial Narrow" w:cs="Open Sans"/>
                <w:color w:val="222222"/>
                <w:sz w:val="20"/>
                <w:szCs w:val="20"/>
                <w:vertAlign w:val="superscript"/>
              </w:rPr>
              <w:t>2</w:t>
            </w:r>
            <w:r w:rsidRPr="00276BCA">
              <w:rPr>
                <w:rFonts w:ascii="Arial Narrow" w:hAnsi="Arial Narrow" w:cs="Open Sans"/>
                <w:color w:val="222222"/>
                <w:sz w:val="20"/>
                <w:szCs w:val="20"/>
              </w:rPr>
              <w:t xml:space="preserve"> once every 3 weeks - prescribe up to 8 repeat </w:t>
            </w:r>
            <w:proofErr w:type="gramStart"/>
            <w:r w:rsidRPr="00276BCA">
              <w:rPr>
                <w:rFonts w:ascii="Arial Narrow" w:hAnsi="Arial Narrow" w:cs="Open Sans"/>
                <w:color w:val="222222"/>
                <w:sz w:val="20"/>
                <w:szCs w:val="20"/>
              </w:rPr>
              <w:t>prescriptions;</w:t>
            </w:r>
            <w:proofErr w:type="gramEnd"/>
            <w:r w:rsidRPr="00276BCA">
              <w:rPr>
                <w:rFonts w:ascii="Arial Narrow" w:hAnsi="Arial Narrow" w:cs="Open Sans"/>
                <w:color w:val="222222"/>
                <w:sz w:val="20"/>
                <w:szCs w:val="20"/>
              </w:rPr>
              <w:t xml:space="preserve"> OR</w:t>
            </w:r>
          </w:p>
        </w:tc>
      </w:tr>
      <w:tr w:rsidR="004E5816" w:rsidRPr="00276BCA" w14:paraId="2CFFECB7" w14:textId="77777777" w:rsidTr="00E524D5">
        <w:tblPrEx>
          <w:tblCellMar>
            <w:top w:w="15" w:type="dxa"/>
            <w:bottom w:w="15" w:type="dxa"/>
          </w:tblCellMar>
          <w:tblLook w:val="04A0" w:firstRow="1" w:lastRow="0" w:firstColumn="1" w:lastColumn="0" w:noHBand="0" w:noVBand="1"/>
        </w:tblPrEx>
        <w:trPr>
          <w:cantSplit/>
          <w:trHeight w:val="20"/>
        </w:trPr>
        <w:tc>
          <w:tcPr>
            <w:tcW w:w="8931" w:type="dxa"/>
            <w:gridSpan w:val="4"/>
            <w:vAlign w:val="center"/>
          </w:tcPr>
          <w:p w14:paraId="0BE360A9" w14:textId="77777777" w:rsidR="004E5816" w:rsidRPr="00276BCA" w:rsidRDefault="004E5816" w:rsidP="00425894">
            <w:pPr>
              <w:autoSpaceDE w:val="0"/>
              <w:autoSpaceDN w:val="0"/>
              <w:adjustRightInd w:val="0"/>
              <w:spacing w:before="0" w:after="0"/>
              <w:rPr>
                <w:rFonts w:ascii="Arial Narrow" w:hAnsi="Arial Narrow" w:cs="Open Sans"/>
                <w:color w:val="222222"/>
                <w:sz w:val="20"/>
                <w:szCs w:val="20"/>
              </w:rPr>
            </w:pPr>
            <w:r w:rsidRPr="00276BCA">
              <w:rPr>
                <w:rFonts w:ascii="Arial Narrow" w:hAnsi="Arial Narrow" w:cs="Open Sans"/>
                <w:color w:val="222222"/>
                <w:sz w:val="20"/>
                <w:szCs w:val="20"/>
              </w:rPr>
              <w:t>Patient must be undergoing treatment with this drug administered at a dose of 400 mg/m</w:t>
            </w:r>
            <w:r w:rsidRPr="00276BCA">
              <w:rPr>
                <w:rFonts w:ascii="Arial Narrow" w:hAnsi="Arial Narrow" w:cs="Open Sans"/>
                <w:color w:val="222222"/>
                <w:sz w:val="20"/>
                <w:szCs w:val="20"/>
                <w:vertAlign w:val="superscript"/>
              </w:rPr>
              <w:t>2</w:t>
            </w:r>
            <w:r w:rsidRPr="00276BCA">
              <w:rPr>
                <w:rFonts w:ascii="Arial Narrow" w:hAnsi="Arial Narrow" w:cs="Open Sans"/>
                <w:color w:val="222222"/>
                <w:sz w:val="20"/>
                <w:szCs w:val="20"/>
              </w:rPr>
              <w:t xml:space="preserve"> once every 2 weeks - prescribe up to 12 repeat prescriptions.</w:t>
            </w:r>
          </w:p>
        </w:tc>
      </w:tr>
    </w:tbl>
    <w:p w14:paraId="71290098" w14:textId="77777777" w:rsidR="00425894" w:rsidRPr="00276BCA" w:rsidRDefault="00425894" w:rsidP="00425894">
      <w:pPr>
        <w:spacing w:after="120"/>
      </w:pPr>
      <w:r w:rsidRPr="00276BCA">
        <w:rPr>
          <w:b/>
          <w:bCs/>
        </w:rPr>
        <w:t>Grandfathering (Q3W and Q2W regimen)</w:t>
      </w: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Recommended listing"/>
      </w:tblPr>
      <w:tblGrid>
        <w:gridCol w:w="8931"/>
      </w:tblGrid>
      <w:tr w:rsidR="00425894" w:rsidRPr="00276BCA" w14:paraId="629865D8" w14:textId="77777777" w:rsidTr="00E858DF">
        <w:trPr>
          <w:cantSplit/>
          <w:trHeight w:val="20"/>
        </w:trPr>
        <w:tc>
          <w:tcPr>
            <w:tcW w:w="8931" w:type="dxa"/>
            <w:shd w:val="clear" w:color="auto" w:fill="BFBFBF" w:themeFill="background1" w:themeFillShade="BF"/>
          </w:tcPr>
          <w:p w14:paraId="4D08B86F" w14:textId="77777777" w:rsidR="00425894" w:rsidRPr="00276BCA" w:rsidRDefault="00425894" w:rsidP="00425894">
            <w:pPr>
              <w:autoSpaceDE w:val="0"/>
              <w:autoSpaceDN w:val="0"/>
              <w:adjustRightInd w:val="0"/>
              <w:spacing w:before="0" w:after="0"/>
              <w:rPr>
                <w:rFonts w:ascii="Arial Narrow" w:hAnsi="Arial Narrow" w:cs="Open Sans"/>
                <w:color w:val="222222"/>
                <w:sz w:val="20"/>
                <w:szCs w:val="20"/>
              </w:rPr>
            </w:pPr>
            <w:r w:rsidRPr="00276BCA">
              <w:rPr>
                <w:rFonts w:ascii="Arial Narrow" w:hAnsi="Arial Narrow"/>
                <w:b/>
                <w:sz w:val="20"/>
                <w:szCs w:val="20"/>
              </w:rPr>
              <w:t>Restriction Summary [new3] / Treatment of Concept: [new3A]</w:t>
            </w:r>
          </w:p>
        </w:tc>
      </w:tr>
      <w:tr w:rsidR="004E5816" w:rsidRPr="00276BCA" w14:paraId="25DFA046" w14:textId="77777777" w:rsidTr="00E524D5">
        <w:trPr>
          <w:cantSplit/>
          <w:trHeight w:val="20"/>
        </w:trPr>
        <w:tc>
          <w:tcPr>
            <w:tcW w:w="8931" w:type="dxa"/>
            <w:vAlign w:val="center"/>
            <w:hideMark/>
          </w:tcPr>
          <w:p w14:paraId="7BD1420B" w14:textId="77777777" w:rsidR="004E5816" w:rsidRPr="00276BCA" w:rsidRDefault="004E5816" w:rsidP="00425894">
            <w:pPr>
              <w:keepLines/>
              <w:spacing w:before="0" w:after="0"/>
              <w:rPr>
                <w:rFonts w:ascii="Arial Narrow" w:eastAsia="Times New Roman" w:hAnsi="Arial Narrow"/>
                <w:sz w:val="20"/>
                <w:szCs w:val="20"/>
                <w:lang w:eastAsia="en-AU"/>
              </w:rPr>
            </w:pPr>
            <w:r w:rsidRPr="00276BCA">
              <w:rPr>
                <w:rFonts w:ascii="Arial Narrow" w:eastAsia="Times New Roman" w:hAnsi="Arial Narrow"/>
                <w:b/>
                <w:bCs/>
                <w:sz w:val="20"/>
                <w:szCs w:val="20"/>
                <w:lang w:eastAsia="en-AU"/>
              </w:rPr>
              <w:t xml:space="preserve">Indication: </w:t>
            </w:r>
            <w:r w:rsidRPr="00276BCA">
              <w:rPr>
                <w:rFonts w:ascii="Arial Narrow" w:eastAsia="Times New Roman" w:hAnsi="Arial Narrow"/>
                <w:sz w:val="20"/>
                <w:szCs w:val="20"/>
                <w:lang w:eastAsia="en-AU"/>
              </w:rPr>
              <w:t>Locally advanced, unresectable, or metastatic gastric or gastro-oesophageal junction cancers – first line treatment</w:t>
            </w:r>
          </w:p>
        </w:tc>
      </w:tr>
      <w:tr w:rsidR="004E5816" w:rsidRPr="00276BCA" w14:paraId="3A0884CD" w14:textId="77777777" w:rsidTr="00E524D5">
        <w:trPr>
          <w:cantSplit/>
          <w:trHeight w:val="20"/>
        </w:trPr>
        <w:tc>
          <w:tcPr>
            <w:tcW w:w="8931" w:type="dxa"/>
            <w:vAlign w:val="center"/>
            <w:hideMark/>
          </w:tcPr>
          <w:p w14:paraId="1F0265CF" w14:textId="77777777" w:rsidR="004E5816" w:rsidRPr="00276BCA" w:rsidRDefault="004E5816" w:rsidP="00425894">
            <w:pPr>
              <w:spacing w:before="0" w:after="0"/>
              <w:rPr>
                <w:rFonts w:ascii="Arial Narrow" w:eastAsia="Times New Roman" w:hAnsi="Arial Narrow"/>
                <w:sz w:val="20"/>
                <w:szCs w:val="20"/>
                <w:lang w:eastAsia="en-AU"/>
              </w:rPr>
            </w:pPr>
            <w:r w:rsidRPr="00276BCA">
              <w:rPr>
                <w:rFonts w:ascii="Arial Narrow" w:eastAsia="Times New Roman" w:hAnsi="Arial Narrow"/>
                <w:b/>
                <w:bCs/>
                <w:sz w:val="20"/>
                <w:szCs w:val="20"/>
                <w:lang w:eastAsia="en-AU"/>
              </w:rPr>
              <w:t>Treatment Phase:</w:t>
            </w:r>
            <w:r w:rsidRPr="00276BCA">
              <w:rPr>
                <w:rFonts w:ascii="Arial Narrow" w:eastAsia="Times New Roman" w:hAnsi="Arial Narrow"/>
                <w:sz w:val="20"/>
                <w:szCs w:val="20"/>
                <w:lang w:eastAsia="en-AU"/>
              </w:rPr>
              <w:t xml:space="preserve"> </w:t>
            </w:r>
            <w:r w:rsidRPr="00276BCA">
              <w:rPr>
                <w:rFonts w:ascii="Arial Narrow" w:hAnsi="Arial Narrow" w:cs="Segoe UI"/>
                <w:sz w:val="20"/>
                <w:szCs w:val="20"/>
              </w:rPr>
              <w:t xml:space="preserve">Transitioning from non-PBS to PBS-subsided treatment - Grandfather arrangements </w:t>
            </w:r>
          </w:p>
        </w:tc>
      </w:tr>
      <w:tr w:rsidR="004E5816" w:rsidRPr="00276BCA" w14:paraId="6A66DD74" w14:textId="77777777" w:rsidTr="00E524D5">
        <w:trPr>
          <w:cantSplit/>
          <w:trHeight w:val="20"/>
        </w:trPr>
        <w:tc>
          <w:tcPr>
            <w:tcW w:w="8931" w:type="dxa"/>
            <w:vAlign w:val="center"/>
          </w:tcPr>
          <w:p w14:paraId="4518FB20" w14:textId="77777777" w:rsidR="004E5816" w:rsidRPr="00276BCA" w:rsidRDefault="004E5816" w:rsidP="00425894">
            <w:pPr>
              <w:spacing w:before="0" w:after="0"/>
              <w:rPr>
                <w:rFonts w:ascii="Arial Narrow" w:eastAsia="Times New Roman" w:hAnsi="Arial Narrow"/>
                <w:b/>
                <w:bCs/>
                <w:sz w:val="20"/>
                <w:szCs w:val="20"/>
                <w:lang w:eastAsia="en-AU"/>
              </w:rPr>
            </w:pPr>
            <w:r w:rsidRPr="00276BCA">
              <w:rPr>
                <w:rFonts w:ascii="Arial Narrow" w:eastAsia="Times New Roman" w:hAnsi="Arial Narrow"/>
                <w:b/>
                <w:bCs/>
                <w:sz w:val="20"/>
                <w:szCs w:val="20"/>
                <w:lang w:eastAsia="en-AU"/>
              </w:rPr>
              <w:t xml:space="preserve">Clinical criteria: </w:t>
            </w:r>
          </w:p>
        </w:tc>
      </w:tr>
      <w:tr w:rsidR="004E5816" w:rsidRPr="00276BCA" w14:paraId="7E06F241" w14:textId="77777777" w:rsidTr="00E524D5">
        <w:trPr>
          <w:cantSplit/>
          <w:trHeight w:val="20"/>
        </w:trPr>
        <w:tc>
          <w:tcPr>
            <w:tcW w:w="8931" w:type="dxa"/>
            <w:vAlign w:val="center"/>
          </w:tcPr>
          <w:p w14:paraId="5437DC30" w14:textId="77777777" w:rsidR="004E5816" w:rsidRPr="00276BCA" w:rsidRDefault="004E5816" w:rsidP="00425894">
            <w:pPr>
              <w:spacing w:before="0" w:after="0"/>
              <w:rPr>
                <w:rFonts w:ascii="Arial Narrow" w:eastAsia="Times New Roman" w:hAnsi="Arial Narrow"/>
                <w:b/>
                <w:bCs/>
                <w:sz w:val="20"/>
                <w:szCs w:val="20"/>
                <w:lang w:eastAsia="en-AU"/>
              </w:rPr>
            </w:pPr>
            <w:r w:rsidRPr="00276BCA">
              <w:rPr>
                <w:rFonts w:ascii="Arial Narrow" w:hAnsi="Arial Narrow" w:cs="Segoe UI"/>
                <w:sz w:val="20"/>
                <w:szCs w:val="20"/>
              </w:rPr>
              <w:t>Patient must have previously received non-PBS-subsidised treatment with this drug for this condition prior to [date of listing]</w:t>
            </w:r>
          </w:p>
        </w:tc>
      </w:tr>
      <w:tr w:rsidR="004E5816" w:rsidRPr="00276BCA" w14:paraId="040E6A5A" w14:textId="77777777" w:rsidTr="00E524D5">
        <w:trPr>
          <w:cantSplit/>
          <w:trHeight w:val="20"/>
        </w:trPr>
        <w:tc>
          <w:tcPr>
            <w:tcW w:w="8931" w:type="dxa"/>
            <w:vAlign w:val="center"/>
          </w:tcPr>
          <w:p w14:paraId="72676805" w14:textId="77777777" w:rsidR="004E5816" w:rsidRPr="00276BCA" w:rsidRDefault="004E5816" w:rsidP="00425894">
            <w:pPr>
              <w:spacing w:before="0" w:after="0"/>
              <w:rPr>
                <w:rFonts w:ascii="Arial Narrow" w:eastAsia="Times New Roman" w:hAnsi="Arial Narrow"/>
                <w:b/>
                <w:bCs/>
                <w:sz w:val="20"/>
                <w:szCs w:val="20"/>
                <w:lang w:eastAsia="en-AU"/>
              </w:rPr>
            </w:pPr>
            <w:r w:rsidRPr="00276BCA">
              <w:rPr>
                <w:rFonts w:ascii="Arial Narrow" w:eastAsia="Times New Roman" w:hAnsi="Arial Narrow"/>
                <w:b/>
                <w:bCs/>
                <w:sz w:val="20"/>
                <w:szCs w:val="20"/>
                <w:lang w:eastAsia="en-AU"/>
              </w:rPr>
              <w:t>AND</w:t>
            </w:r>
          </w:p>
        </w:tc>
      </w:tr>
      <w:tr w:rsidR="004E5816" w:rsidRPr="00276BCA" w14:paraId="7113254A" w14:textId="77777777" w:rsidTr="00E524D5">
        <w:trPr>
          <w:cantSplit/>
          <w:trHeight w:val="20"/>
        </w:trPr>
        <w:tc>
          <w:tcPr>
            <w:tcW w:w="8931" w:type="dxa"/>
            <w:vAlign w:val="center"/>
            <w:hideMark/>
          </w:tcPr>
          <w:p w14:paraId="3F7B1CF8" w14:textId="77777777" w:rsidR="004E5816" w:rsidRPr="00276BCA" w:rsidRDefault="004E5816" w:rsidP="00425894">
            <w:pPr>
              <w:spacing w:before="0" w:after="0"/>
              <w:rPr>
                <w:rFonts w:ascii="Arial Narrow" w:eastAsia="Times New Roman" w:hAnsi="Arial Narrow"/>
                <w:sz w:val="20"/>
                <w:szCs w:val="20"/>
                <w:lang w:eastAsia="en-AU"/>
              </w:rPr>
            </w:pPr>
            <w:r w:rsidRPr="00276BCA">
              <w:rPr>
                <w:rFonts w:ascii="Arial Narrow" w:eastAsia="Times New Roman" w:hAnsi="Arial Narrow"/>
                <w:b/>
                <w:bCs/>
                <w:sz w:val="20"/>
                <w:szCs w:val="20"/>
                <w:lang w:eastAsia="en-AU"/>
              </w:rPr>
              <w:t xml:space="preserve">Clinical criteria: </w:t>
            </w:r>
          </w:p>
        </w:tc>
      </w:tr>
      <w:tr w:rsidR="004E5816" w:rsidRPr="00276BCA" w14:paraId="6AA86679" w14:textId="77777777" w:rsidTr="00E524D5">
        <w:trPr>
          <w:cantSplit/>
          <w:trHeight w:val="20"/>
        </w:trPr>
        <w:tc>
          <w:tcPr>
            <w:tcW w:w="8931" w:type="dxa"/>
            <w:vAlign w:val="center"/>
            <w:hideMark/>
          </w:tcPr>
          <w:p w14:paraId="0B8AE60E" w14:textId="77777777" w:rsidR="004E5816" w:rsidRPr="00276BCA" w:rsidRDefault="004E5816" w:rsidP="00425894">
            <w:pPr>
              <w:spacing w:before="0" w:after="0"/>
              <w:rPr>
                <w:rFonts w:ascii="Arial Narrow" w:eastAsia="Times New Roman" w:hAnsi="Arial Narrow"/>
                <w:sz w:val="20"/>
                <w:szCs w:val="20"/>
                <w:lang w:eastAsia="en-AU"/>
              </w:rPr>
            </w:pPr>
            <w:r w:rsidRPr="00276BCA">
              <w:rPr>
                <w:rFonts w:ascii="Arial Narrow" w:eastAsia="Times New Roman" w:hAnsi="Arial Narrow"/>
                <w:sz w:val="20"/>
                <w:szCs w:val="20"/>
                <w:lang w:eastAsia="en-AU"/>
              </w:rPr>
              <w:t>Patient must have had a WHO performance status score of no greater than 1 at treatment initiation with this drug</w:t>
            </w:r>
          </w:p>
        </w:tc>
      </w:tr>
      <w:tr w:rsidR="004E5816" w:rsidRPr="00276BCA" w14:paraId="634D50A7" w14:textId="77777777" w:rsidTr="00E524D5">
        <w:trPr>
          <w:cantSplit/>
          <w:trHeight w:val="20"/>
        </w:trPr>
        <w:tc>
          <w:tcPr>
            <w:tcW w:w="8931" w:type="dxa"/>
            <w:vAlign w:val="center"/>
            <w:hideMark/>
          </w:tcPr>
          <w:p w14:paraId="3E0BBC8D" w14:textId="77777777" w:rsidR="004E5816" w:rsidRPr="00276BCA" w:rsidRDefault="004E5816" w:rsidP="00425894">
            <w:pPr>
              <w:spacing w:before="0" w:after="0"/>
              <w:rPr>
                <w:rFonts w:ascii="Arial Narrow" w:eastAsia="Times New Roman" w:hAnsi="Arial Narrow"/>
                <w:sz w:val="20"/>
                <w:szCs w:val="20"/>
                <w:lang w:eastAsia="en-AU"/>
              </w:rPr>
            </w:pPr>
            <w:r w:rsidRPr="00276BCA">
              <w:rPr>
                <w:rFonts w:ascii="Arial Narrow" w:eastAsia="Times New Roman" w:hAnsi="Arial Narrow"/>
                <w:b/>
                <w:bCs/>
                <w:sz w:val="20"/>
                <w:szCs w:val="20"/>
                <w:lang w:eastAsia="en-AU"/>
              </w:rPr>
              <w:t>AND</w:t>
            </w:r>
          </w:p>
        </w:tc>
      </w:tr>
      <w:tr w:rsidR="004E5816" w:rsidRPr="00276BCA" w14:paraId="1E8C38DE" w14:textId="77777777" w:rsidTr="00E524D5">
        <w:trPr>
          <w:cantSplit/>
          <w:trHeight w:val="20"/>
        </w:trPr>
        <w:tc>
          <w:tcPr>
            <w:tcW w:w="8931" w:type="dxa"/>
            <w:vAlign w:val="center"/>
            <w:hideMark/>
          </w:tcPr>
          <w:p w14:paraId="531D1A71" w14:textId="77777777" w:rsidR="004E5816" w:rsidRPr="00276BCA" w:rsidRDefault="004E5816" w:rsidP="00425894">
            <w:pPr>
              <w:spacing w:before="0" w:after="0"/>
              <w:rPr>
                <w:rFonts w:ascii="Arial Narrow" w:eastAsia="Times New Roman" w:hAnsi="Arial Narrow"/>
                <w:sz w:val="20"/>
                <w:szCs w:val="20"/>
                <w:lang w:eastAsia="en-AU"/>
              </w:rPr>
            </w:pPr>
            <w:r w:rsidRPr="00276BCA">
              <w:rPr>
                <w:rFonts w:ascii="Arial Narrow" w:eastAsia="Times New Roman" w:hAnsi="Arial Narrow"/>
                <w:b/>
                <w:bCs/>
                <w:sz w:val="20"/>
                <w:szCs w:val="20"/>
                <w:lang w:eastAsia="en-AU"/>
              </w:rPr>
              <w:t>Clinical criteria:</w:t>
            </w:r>
          </w:p>
        </w:tc>
      </w:tr>
      <w:tr w:rsidR="004E5816" w:rsidRPr="00276BCA" w14:paraId="5DCC0C94" w14:textId="77777777" w:rsidTr="00E524D5">
        <w:trPr>
          <w:cantSplit/>
          <w:trHeight w:val="20"/>
        </w:trPr>
        <w:tc>
          <w:tcPr>
            <w:tcW w:w="8931" w:type="dxa"/>
            <w:vAlign w:val="center"/>
          </w:tcPr>
          <w:p w14:paraId="1C17F2D8" w14:textId="77777777" w:rsidR="004E5816" w:rsidRPr="00276BCA" w:rsidRDefault="004E5816" w:rsidP="00425894">
            <w:pPr>
              <w:spacing w:before="0" w:after="0"/>
              <w:rPr>
                <w:rFonts w:ascii="Arial Narrow" w:eastAsia="Times New Roman" w:hAnsi="Arial Narrow"/>
                <w:sz w:val="20"/>
                <w:szCs w:val="20"/>
                <w:lang w:eastAsia="en-AU"/>
              </w:rPr>
            </w:pPr>
            <w:r w:rsidRPr="00276BCA">
              <w:rPr>
                <w:rFonts w:ascii="Arial Narrow" w:eastAsia="Times New Roman" w:hAnsi="Arial Narrow"/>
                <w:sz w:val="20"/>
                <w:szCs w:val="20"/>
                <w:lang w:eastAsia="en-AU"/>
              </w:rPr>
              <w:t xml:space="preserve">The condition must have had evidence of Claudin 18 (CLDN18) expression of at least 75% as demonstrated by immunohistochemistry in tumour material at treatment initiation with this drug– document this evidence in the patient’s medical records. </w:t>
            </w:r>
          </w:p>
        </w:tc>
      </w:tr>
      <w:tr w:rsidR="004E5816" w:rsidRPr="00276BCA" w14:paraId="64A1C46A" w14:textId="77777777" w:rsidTr="00E524D5">
        <w:trPr>
          <w:cantSplit/>
          <w:trHeight w:val="20"/>
        </w:trPr>
        <w:tc>
          <w:tcPr>
            <w:tcW w:w="8931" w:type="dxa"/>
            <w:vAlign w:val="center"/>
            <w:hideMark/>
          </w:tcPr>
          <w:p w14:paraId="689CDB9B" w14:textId="77777777" w:rsidR="004E5816" w:rsidRPr="00276BCA" w:rsidRDefault="004E5816" w:rsidP="00425894">
            <w:pPr>
              <w:spacing w:before="0" w:after="0"/>
              <w:rPr>
                <w:rFonts w:ascii="Arial Narrow" w:eastAsia="Times New Roman" w:hAnsi="Arial Narrow"/>
                <w:sz w:val="20"/>
                <w:szCs w:val="20"/>
                <w:lang w:eastAsia="en-AU"/>
              </w:rPr>
            </w:pPr>
            <w:r w:rsidRPr="00276BCA">
              <w:rPr>
                <w:rFonts w:ascii="Arial Narrow" w:eastAsia="Times New Roman" w:hAnsi="Arial Narrow"/>
                <w:b/>
                <w:bCs/>
                <w:sz w:val="20"/>
                <w:szCs w:val="20"/>
                <w:lang w:eastAsia="en-AU"/>
              </w:rPr>
              <w:t>AND</w:t>
            </w:r>
          </w:p>
        </w:tc>
      </w:tr>
      <w:tr w:rsidR="004E5816" w:rsidRPr="00276BCA" w14:paraId="0D783560" w14:textId="77777777" w:rsidTr="00E524D5">
        <w:trPr>
          <w:cantSplit/>
          <w:trHeight w:val="20"/>
        </w:trPr>
        <w:tc>
          <w:tcPr>
            <w:tcW w:w="8931" w:type="dxa"/>
            <w:vAlign w:val="center"/>
          </w:tcPr>
          <w:p w14:paraId="67AA5B29" w14:textId="77777777" w:rsidR="004E5816" w:rsidRPr="00276BCA" w:rsidRDefault="004E5816" w:rsidP="00425894">
            <w:pPr>
              <w:spacing w:before="0" w:after="0"/>
              <w:rPr>
                <w:rFonts w:ascii="Arial Narrow" w:eastAsia="Times New Roman" w:hAnsi="Arial Narrow"/>
                <w:b/>
                <w:bCs/>
                <w:sz w:val="20"/>
                <w:szCs w:val="20"/>
                <w:lang w:eastAsia="en-AU"/>
              </w:rPr>
            </w:pPr>
            <w:r w:rsidRPr="00276BCA">
              <w:rPr>
                <w:rFonts w:ascii="Arial Narrow" w:eastAsia="Times New Roman" w:hAnsi="Arial Narrow"/>
                <w:b/>
                <w:bCs/>
                <w:sz w:val="20"/>
                <w:szCs w:val="20"/>
                <w:lang w:eastAsia="en-AU"/>
              </w:rPr>
              <w:t>Clinical criteria:</w:t>
            </w:r>
          </w:p>
        </w:tc>
      </w:tr>
      <w:tr w:rsidR="004E5816" w:rsidRPr="00276BCA" w14:paraId="56E61B89" w14:textId="77777777" w:rsidTr="00E524D5">
        <w:trPr>
          <w:cantSplit/>
          <w:trHeight w:val="20"/>
        </w:trPr>
        <w:tc>
          <w:tcPr>
            <w:tcW w:w="8931" w:type="dxa"/>
            <w:vAlign w:val="center"/>
          </w:tcPr>
          <w:p w14:paraId="55FFF1A5" w14:textId="77777777" w:rsidR="004E5816" w:rsidRPr="00276BCA" w:rsidRDefault="004E5816" w:rsidP="00425894">
            <w:pPr>
              <w:spacing w:before="0" w:after="0"/>
              <w:rPr>
                <w:rFonts w:ascii="Arial Narrow" w:eastAsia="Times New Roman" w:hAnsi="Arial Narrow"/>
                <w:sz w:val="20"/>
                <w:szCs w:val="20"/>
                <w:lang w:eastAsia="en-AU"/>
              </w:rPr>
            </w:pPr>
            <w:r w:rsidRPr="00276BCA">
              <w:rPr>
                <w:rFonts w:ascii="Arial Narrow" w:eastAsia="Times New Roman" w:hAnsi="Arial Narrow"/>
                <w:sz w:val="20"/>
                <w:szCs w:val="20"/>
                <w:lang w:eastAsia="en-AU"/>
              </w:rPr>
              <w:t>Patient must have been untreated for this indication prior to initiating treatment with this drug.</w:t>
            </w:r>
          </w:p>
        </w:tc>
      </w:tr>
      <w:tr w:rsidR="004E5816" w:rsidRPr="00276BCA" w14:paraId="50423150" w14:textId="77777777" w:rsidTr="00E524D5">
        <w:trPr>
          <w:cantSplit/>
          <w:trHeight w:val="20"/>
        </w:trPr>
        <w:tc>
          <w:tcPr>
            <w:tcW w:w="8931" w:type="dxa"/>
            <w:vAlign w:val="center"/>
          </w:tcPr>
          <w:p w14:paraId="2CAEFD8F" w14:textId="77777777" w:rsidR="004E5816" w:rsidRPr="00276BCA" w:rsidRDefault="004E5816" w:rsidP="00425894">
            <w:pPr>
              <w:spacing w:before="0" w:after="0"/>
              <w:rPr>
                <w:rFonts w:ascii="Arial Narrow" w:eastAsia="Times New Roman" w:hAnsi="Arial Narrow"/>
                <w:sz w:val="20"/>
                <w:szCs w:val="20"/>
                <w:lang w:eastAsia="en-AU"/>
              </w:rPr>
            </w:pPr>
            <w:r w:rsidRPr="00276BCA">
              <w:rPr>
                <w:rFonts w:ascii="Arial Narrow" w:eastAsia="Times New Roman" w:hAnsi="Arial Narrow"/>
                <w:b/>
                <w:bCs/>
                <w:sz w:val="20"/>
                <w:szCs w:val="20"/>
                <w:lang w:eastAsia="en-AU"/>
              </w:rPr>
              <w:t>AND</w:t>
            </w:r>
          </w:p>
        </w:tc>
      </w:tr>
      <w:tr w:rsidR="004E5816" w:rsidRPr="00276BCA" w14:paraId="632A30F7" w14:textId="77777777" w:rsidTr="00E524D5">
        <w:trPr>
          <w:cantSplit/>
          <w:trHeight w:val="20"/>
        </w:trPr>
        <w:tc>
          <w:tcPr>
            <w:tcW w:w="8931" w:type="dxa"/>
            <w:vAlign w:val="center"/>
            <w:hideMark/>
          </w:tcPr>
          <w:p w14:paraId="1474E2B7" w14:textId="77777777" w:rsidR="004E5816" w:rsidRPr="00276BCA" w:rsidRDefault="004E5816" w:rsidP="00425894">
            <w:pPr>
              <w:spacing w:before="0" w:after="0"/>
              <w:rPr>
                <w:rFonts w:ascii="Arial Narrow" w:eastAsia="Times New Roman" w:hAnsi="Arial Narrow"/>
                <w:sz w:val="20"/>
                <w:szCs w:val="20"/>
                <w:lang w:eastAsia="en-AU"/>
              </w:rPr>
            </w:pPr>
            <w:r w:rsidRPr="00276BCA">
              <w:rPr>
                <w:rFonts w:ascii="Arial Narrow" w:eastAsia="Times New Roman" w:hAnsi="Arial Narrow"/>
                <w:b/>
                <w:bCs/>
                <w:sz w:val="20"/>
                <w:szCs w:val="20"/>
                <w:lang w:eastAsia="en-AU"/>
              </w:rPr>
              <w:t xml:space="preserve">Clinical criteria: </w:t>
            </w:r>
          </w:p>
        </w:tc>
      </w:tr>
      <w:tr w:rsidR="004E5816" w:rsidRPr="00276BCA" w14:paraId="78712D0D" w14:textId="77777777" w:rsidTr="00E524D5">
        <w:trPr>
          <w:cantSplit/>
          <w:trHeight w:val="20"/>
        </w:trPr>
        <w:tc>
          <w:tcPr>
            <w:tcW w:w="8931" w:type="dxa"/>
            <w:vAlign w:val="center"/>
            <w:hideMark/>
          </w:tcPr>
          <w:p w14:paraId="348F4C5C" w14:textId="77777777" w:rsidR="004E5816" w:rsidRPr="00276BCA" w:rsidRDefault="004E5816" w:rsidP="00425894">
            <w:pPr>
              <w:spacing w:before="0" w:after="0"/>
              <w:rPr>
                <w:rFonts w:ascii="Arial Narrow" w:eastAsia="Times New Roman" w:hAnsi="Arial Narrow"/>
                <w:sz w:val="20"/>
                <w:szCs w:val="20"/>
                <w:lang w:eastAsia="en-AU"/>
              </w:rPr>
            </w:pPr>
            <w:r w:rsidRPr="00276BCA">
              <w:rPr>
                <w:rFonts w:ascii="Arial Narrow" w:eastAsia="Times New Roman" w:hAnsi="Arial Narrow"/>
                <w:sz w:val="20"/>
                <w:szCs w:val="20"/>
                <w:lang w:eastAsia="en-AU"/>
              </w:rPr>
              <w:t>The condition must be human epidermal growth factor receptor 2 (HER2) negative.</w:t>
            </w:r>
          </w:p>
        </w:tc>
      </w:tr>
      <w:tr w:rsidR="004E5816" w:rsidRPr="00276BCA" w14:paraId="509B8E82" w14:textId="77777777" w:rsidTr="00E524D5">
        <w:trPr>
          <w:cantSplit/>
          <w:trHeight w:val="20"/>
        </w:trPr>
        <w:tc>
          <w:tcPr>
            <w:tcW w:w="8931" w:type="dxa"/>
            <w:vAlign w:val="center"/>
          </w:tcPr>
          <w:p w14:paraId="579A2C1F" w14:textId="77777777" w:rsidR="004E5816" w:rsidRPr="00276BCA" w:rsidRDefault="004E5816" w:rsidP="00425894">
            <w:pPr>
              <w:spacing w:before="0" w:after="0"/>
              <w:rPr>
                <w:rFonts w:ascii="Arial Narrow" w:eastAsia="Times New Roman" w:hAnsi="Arial Narrow"/>
                <w:sz w:val="20"/>
                <w:szCs w:val="20"/>
                <w:lang w:eastAsia="en-AU"/>
              </w:rPr>
            </w:pPr>
            <w:r w:rsidRPr="00276BCA">
              <w:rPr>
                <w:rFonts w:ascii="Arial Narrow" w:hAnsi="Arial Narrow" w:cs="Arial Narrow"/>
                <w:b/>
                <w:bCs/>
                <w:sz w:val="20"/>
                <w:szCs w:val="20"/>
              </w:rPr>
              <w:t>AND</w:t>
            </w:r>
          </w:p>
        </w:tc>
      </w:tr>
      <w:tr w:rsidR="004E5816" w:rsidRPr="00276BCA" w14:paraId="6606179F" w14:textId="77777777" w:rsidTr="00E524D5">
        <w:trPr>
          <w:cantSplit/>
          <w:trHeight w:val="20"/>
        </w:trPr>
        <w:tc>
          <w:tcPr>
            <w:tcW w:w="8931" w:type="dxa"/>
            <w:vAlign w:val="center"/>
          </w:tcPr>
          <w:p w14:paraId="556D87F8" w14:textId="77777777" w:rsidR="004E5816" w:rsidRPr="00276BCA" w:rsidRDefault="004E5816" w:rsidP="00425894">
            <w:pPr>
              <w:spacing w:before="0" w:after="0"/>
              <w:rPr>
                <w:rFonts w:ascii="Arial Narrow" w:hAnsi="Arial Narrow" w:cs="Arial Narrow"/>
                <w:b/>
                <w:bCs/>
                <w:sz w:val="20"/>
                <w:szCs w:val="20"/>
              </w:rPr>
            </w:pPr>
            <w:r w:rsidRPr="00276BCA">
              <w:rPr>
                <w:rFonts w:ascii="Arial Narrow" w:eastAsia="Times New Roman" w:hAnsi="Arial Narrow"/>
                <w:b/>
                <w:bCs/>
                <w:sz w:val="20"/>
                <w:szCs w:val="20"/>
                <w:lang w:eastAsia="en-AU"/>
              </w:rPr>
              <w:t>Clinical criteria:</w:t>
            </w:r>
          </w:p>
        </w:tc>
      </w:tr>
      <w:tr w:rsidR="004E5816" w:rsidRPr="00276BCA" w14:paraId="118795CB" w14:textId="77777777" w:rsidTr="00E524D5">
        <w:trPr>
          <w:cantSplit/>
          <w:trHeight w:val="20"/>
        </w:trPr>
        <w:tc>
          <w:tcPr>
            <w:tcW w:w="8931" w:type="dxa"/>
            <w:vAlign w:val="center"/>
          </w:tcPr>
          <w:p w14:paraId="30D5B4D8" w14:textId="77777777" w:rsidR="004E5816" w:rsidRPr="00276BCA" w:rsidRDefault="004E5816" w:rsidP="00425894">
            <w:pPr>
              <w:spacing w:before="0" w:after="0"/>
              <w:rPr>
                <w:rFonts w:ascii="Arial Narrow" w:eastAsia="Times New Roman" w:hAnsi="Arial Narrow"/>
                <w:sz w:val="20"/>
                <w:szCs w:val="20"/>
                <w:lang w:eastAsia="en-AU"/>
              </w:rPr>
            </w:pPr>
            <w:r w:rsidRPr="00276BCA">
              <w:rPr>
                <w:rFonts w:ascii="Arial Narrow" w:eastAsia="Times New Roman" w:hAnsi="Arial Narrow"/>
                <w:sz w:val="20"/>
                <w:szCs w:val="20"/>
                <w:lang w:eastAsia="en-AU"/>
              </w:rPr>
              <w:t>The treatment must be initiated in combination with platinum-based chemotherapy plus a fluoropyrimidine drug</w:t>
            </w:r>
          </w:p>
        </w:tc>
      </w:tr>
      <w:tr w:rsidR="004E5816" w:rsidRPr="00276BCA" w14:paraId="0A1EBF82" w14:textId="77777777" w:rsidTr="00E524D5">
        <w:trPr>
          <w:cantSplit/>
          <w:trHeight w:val="20"/>
        </w:trPr>
        <w:tc>
          <w:tcPr>
            <w:tcW w:w="8931" w:type="dxa"/>
            <w:vAlign w:val="center"/>
          </w:tcPr>
          <w:p w14:paraId="67B79D69" w14:textId="77777777" w:rsidR="004E5816" w:rsidRPr="00276BCA" w:rsidRDefault="004E5816" w:rsidP="00425894">
            <w:pPr>
              <w:spacing w:before="0" w:after="0"/>
              <w:rPr>
                <w:rFonts w:ascii="Arial Narrow" w:eastAsia="Times New Roman" w:hAnsi="Arial Narrow"/>
                <w:sz w:val="20"/>
                <w:szCs w:val="20"/>
                <w:lang w:eastAsia="en-AU"/>
              </w:rPr>
            </w:pPr>
            <w:r w:rsidRPr="00276BCA">
              <w:rPr>
                <w:rFonts w:ascii="Arial Narrow" w:eastAsia="Times New Roman" w:hAnsi="Arial Narrow"/>
                <w:b/>
                <w:bCs/>
                <w:color w:val="333333"/>
                <w:sz w:val="20"/>
                <w:szCs w:val="20"/>
                <w:lang w:eastAsia="en-AU"/>
              </w:rPr>
              <w:t>AND</w:t>
            </w:r>
          </w:p>
        </w:tc>
      </w:tr>
      <w:tr w:rsidR="004E5816" w:rsidRPr="00276BCA" w14:paraId="660F2E85" w14:textId="77777777" w:rsidTr="00E524D5">
        <w:trPr>
          <w:cantSplit/>
          <w:trHeight w:val="20"/>
        </w:trPr>
        <w:tc>
          <w:tcPr>
            <w:tcW w:w="8931" w:type="dxa"/>
            <w:vAlign w:val="center"/>
          </w:tcPr>
          <w:p w14:paraId="60A2F148" w14:textId="77777777" w:rsidR="004E5816" w:rsidRPr="00276BCA" w:rsidRDefault="004E5816" w:rsidP="00425894">
            <w:pPr>
              <w:spacing w:before="0" w:after="0"/>
              <w:rPr>
                <w:rFonts w:ascii="Arial Narrow" w:eastAsia="Times New Roman" w:hAnsi="Arial Narrow"/>
                <w:sz w:val="20"/>
                <w:szCs w:val="20"/>
                <w:lang w:eastAsia="en-AU"/>
              </w:rPr>
            </w:pPr>
            <w:r w:rsidRPr="00276BCA">
              <w:rPr>
                <w:rFonts w:ascii="Arial Narrow" w:eastAsia="Times New Roman" w:hAnsi="Arial Narrow"/>
                <w:b/>
                <w:bCs/>
                <w:color w:val="333333"/>
                <w:sz w:val="20"/>
                <w:szCs w:val="20"/>
                <w:lang w:eastAsia="en-AU"/>
              </w:rPr>
              <w:t xml:space="preserve">Clinical criteria: </w:t>
            </w:r>
          </w:p>
        </w:tc>
      </w:tr>
      <w:tr w:rsidR="004E5816" w:rsidRPr="00276BCA" w14:paraId="1C1711E4" w14:textId="77777777" w:rsidTr="00E524D5">
        <w:trPr>
          <w:cantSplit/>
          <w:trHeight w:val="20"/>
        </w:trPr>
        <w:tc>
          <w:tcPr>
            <w:tcW w:w="8931" w:type="dxa"/>
            <w:vAlign w:val="center"/>
          </w:tcPr>
          <w:p w14:paraId="011BA1B3" w14:textId="77777777" w:rsidR="004E5816" w:rsidRPr="00276BCA" w:rsidRDefault="004E5816" w:rsidP="00425894">
            <w:pPr>
              <w:spacing w:before="0" w:after="0"/>
              <w:rPr>
                <w:rFonts w:ascii="Arial Narrow" w:eastAsia="Times New Roman" w:hAnsi="Arial Narrow"/>
                <w:sz w:val="20"/>
                <w:szCs w:val="20"/>
                <w:lang w:eastAsia="en-AU"/>
              </w:rPr>
            </w:pPr>
            <w:r w:rsidRPr="00276BCA">
              <w:rPr>
                <w:rFonts w:ascii="Arial Narrow" w:eastAsia="Times New Roman" w:hAnsi="Arial Narrow"/>
                <w:sz w:val="20"/>
                <w:szCs w:val="20"/>
                <w:lang w:eastAsia="en-AU"/>
              </w:rPr>
              <w:t>The condition must not have progressed while receiving PBS-subsidised treatment with this drug for this condition.</w:t>
            </w:r>
          </w:p>
        </w:tc>
      </w:tr>
      <w:tr w:rsidR="004E5816" w:rsidRPr="00276BCA" w14:paraId="47A5783D" w14:textId="77777777" w:rsidTr="00E524D5">
        <w:trPr>
          <w:cantSplit/>
          <w:trHeight w:val="20"/>
        </w:trPr>
        <w:tc>
          <w:tcPr>
            <w:tcW w:w="8931" w:type="dxa"/>
            <w:vAlign w:val="center"/>
            <w:hideMark/>
          </w:tcPr>
          <w:p w14:paraId="388B00AB" w14:textId="77777777" w:rsidR="004E5816" w:rsidRPr="00276BCA" w:rsidRDefault="004E5816" w:rsidP="00425894">
            <w:pPr>
              <w:keepNext/>
              <w:spacing w:before="0" w:after="0"/>
              <w:rPr>
                <w:rFonts w:ascii="Arial Narrow" w:eastAsia="Times New Roman" w:hAnsi="Arial Narrow"/>
                <w:sz w:val="20"/>
                <w:szCs w:val="20"/>
                <w:lang w:eastAsia="en-AU"/>
              </w:rPr>
            </w:pPr>
            <w:r w:rsidRPr="00276BCA">
              <w:rPr>
                <w:rFonts w:ascii="Arial Narrow" w:eastAsia="Times New Roman" w:hAnsi="Arial Narrow"/>
                <w:b/>
                <w:bCs/>
                <w:sz w:val="20"/>
                <w:szCs w:val="20"/>
                <w:lang w:eastAsia="en-AU"/>
              </w:rPr>
              <w:lastRenderedPageBreak/>
              <w:t>Treatment criteria:</w:t>
            </w:r>
          </w:p>
        </w:tc>
      </w:tr>
      <w:tr w:rsidR="004E5816" w:rsidRPr="00276BCA" w14:paraId="459798BE" w14:textId="77777777" w:rsidTr="00E524D5">
        <w:trPr>
          <w:cantSplit/>
          <w:trHeight w:val="20"/>
        </w:trPr>
        <w:tc>
          <w:tcPr>
            <w:tcW w:w="8931" w:type="dxa"/>
            <w:vAlign w:val="center"/>
            <w:hideMark/>
          </w:tcPr>
          <w:p w14:paraId="2602698A" w14:textId="77777777" w:rsidR="004E5816" w:rsidRPr="00276BCA" w:rsidRDefault="004E5816" w:rsidP="00425894">
            <w:pPr>
              <w:autoSpaceDE w:val="0"/>
              <w:autoSpaceDN w:val="0"/>
              <w:adjustRightInd w:val="0"/>
              <w:spacing w:before="0" w:after="0"/>
              <w:rPr>
                <w:rFonts w:ascii="Arial Narrow" w:hAnsi="Arial Narrow" w:cs="Arial Narrow"/>
                <w:sz w:val="20"/>
                <w:szCs w:val="20"/>
              </w:rPr>
            </w:pPr>
            <w:r w:rsidRPr="00276BCA">
              <w:rPr>
                <w:rFonts w:ascii="Arial Narrow" w:hAnsi="Arial Narrow" w:cs="Open Sans"/>
                <w:color w:val="222222"/>
                <w:sz w:val="20"/>
                <w:szCs w:val="20"/>
              </w:rPr>
              <w:t>Patient must be undergoing treatment with this drug administered at a dose of 600 mg/m</w:t>
            </w:r>
            <w:r w:rsidRPr="00276BCA">
              <w:rPr>
                <w:rFonts w:ascii="Arial Narrow" w:hAnsi="Arial Narrow" w:cs="Open Sans"/>
                <w:color w:val="222222"/>
                <w:sz w:val="20"/>
                <w:szCs w:val="20"/>
                <w:vertAlign w:val="superscript"/>
              </w:rPr>
              <w:t>2</w:t>
            </w:r>
            <w:r w:rsidRPr="00276BCA">
              <w:rPr>
                <w:rFonts w:ascii="Arial Narrow" w:hAnsi="Arial Narrow" w:cs="Open Sans"/>
                <w:color w:val="222222"/>
                <w:sz w:val="20"/>
                <w:szCs w:val="20"/>
              </w:rPr>
              <w:t xml:space="preserve"> once every 3 weeks - prescribe up to 8 repeat </w:t>
            </w:r>
            <w:proofErr w:type="gramStart"/>
            <w:r w:rsidRPr="00276BCA">
              <w:rPr>
                <w:rFonts w:ascii="Arial Narrow" w:hAnsi="Arial Narrow" w:cs="Open Sans"/>
                <w:color w:val="222222"/>
                <w:sz w:val="20"/>
                <w:szCs w:val="20"/>
              </w:rPr>
              <w:t>prescriptions;</w:t>
            </w:r>
            <w:proofErr w:type="gramEnd"/>
            <w:r w:rsidRPr="00276BCA">
              <w:rPr>
                <w:rFonts w:ascii="Arial Narrow" w:hAnsi="Arial Narrow" w:cs="Open Sans"/>
                <w:color w:val="222222"/>
                <w:sz w:val="20"/>
                <w:szCs w:val="20"/>
              </w:rPr>
              <w:t xml:space="preserve"> OR</w:t>
            </w:r>
          </w:p>
        </w:tc>
      </w:tr>
      <w:tr w:rsidR="004E5816" w:rsidRPr="00276BCA" w14:paraId="74048DB7" w14:textId="77777777" w:rsidTr="00E524D5">
        <w:trPr>
          <w:cantSplit/>
          <w:trHeight w:val="20"/>
        </w:trPr>
        <w:tc>
          <w:tcPr>
            <w:tcW w:w="8931" w:type="dxa"/>
            <w:vAlign w:val="center"/>
          </w:tcPr>
          <w:p w14:paraId="112282E7" w14:textId="77777777" w:rsidR="004E5816" w:rsidRPr="00276BCA" w:rsidRDefault="004E5816" w:rsidP="00425894">
            <w:pPr>
              <w:autoSpaceDE w:val="0"/>
              <w:autoSpaceDN w:val="0"/>
              <w:adjustRightInd w:val="0"/>
              <w:spacing w:before="0" w:after="0"/>
              <w:rPr>
                <w:rFonts w:ascii="Arial Narrow" w:hAnsi="Arial Narrow" w:cs="Open Sans"/>
                <w:color w:val="222222"/>
                <w:sz w:val="20"/>
                <w:szCs w:val="20"/>
              </w:rPr>
            </w:pPr>
            <w:r w:rsidRPr="00276BCA">
              <w:rPr>
                <w:rFonts w:ascii="Arial Narrow" w:hAnsi="Arial Narrow" w:cs="Open Sans"/>
                <w:color w:val="222222"/>
                <w:sz w:val="20"/>
                <w:szCs w:val="20"/>
              </w:rPr>
              <w:t>Patient must be undergoing treatment with this drug administered at a dose of 400 mg/m</w:t>
            </w:r>
            <w:r w:rsidRPr="00276BCA">
              <w:rPr>
                <w:rFonts w:ascii="Arial Narrow" w:hAnsi="Arial Narrow" w:cs="Open Sans"/>
                <w:color w:val="222222"/>
                <w:sz w:val="20"/>
                <w:szCs w:val="20"/>
                <w:vertAlign w:val="superscript"/>
              </w:rPr>
              <w:t>2</w:t>
            </w:r>
            <w:r w:rsidRPr="00276BCA">
              <w:rPr>
                <w:rFonts w:ascii="Arial Narrow" w:hAnsi="Arial Narrow" w:cs="Open Sans"/>
                <w:color w:val="222222"/>
                <w:sz w:val="20"/>
                <w:szCs w:val="20"/>
              </w:rPr>
              <w:t xml:space="preserve"> once every 2 weeks - prescribe up to 12 repeat prescriptions.</w:t>
            </w:r>
          </w:p>
        </w:tc>
      </w:tr>
      <w:tr w:rsidR="004E5816" w:rsidRPr="00276BCA" w14:paraId="7F031D5A" w14:textId="77777777" w:rsidTr="00E524D5">
        <w:trPr>
          <w:cantSplit/>
          <w:trHeight w:val="20"/>
        </w:trPr>
        <w:tc>
          <w:tcPr>
            <w:tcW w:w="8931" w:type="dxa"/>
            <w:vAlign w:val="center"/>
          </w:tcPr>
          <w:p w14:paraId="1C3162DD" w14:textId="77777777" w:rsidR="004E5816" w:rsidRPr="00276BCA" w:rsidRDefault="004E5816" w:rsidP="00425894">
            <w:pPr>
              <w:spacing w:before="0" w:after="0"/>
              <w:rPr>
                <w:rFonts w:ascii="Arial Narrow" w:eastAsia="Times New Roman" w:hAnsi="Arial Narrow"/>
                <w:b/>
                <w:bCs/>
                <w:sz w:val="20"/>
                <w:szCs w:val="20"/>
                <w:lang w:eastAsia="en-AU"/>
              </w:rPr>
            </w:pPr>
            <w:r w:rsidRPr="00276BCA">
              <w:rPr>
                <w:rFonts w:ascii="Arial Narrow" w:eastAsia="Times New Roman" w:hAnsi="Arial Narrow"/>
                <w:b/>
                <w:bCs/>
                <w:sz w:val="20"/>
                <w:szCs w:val="20"/>
                <w:lang w:eastAsia="en-AU"/>
              </w:rPr>
              <w:t>Prescribing Instructions:</w:t>
            </w:r>
          </w:p>
          <w:p w14:paraId="2DAA72CE" w14:textId="77777777" w:rsidR="004E5816" w:rsidRPr="00276BCA" w:rsidRDefault="004E5816" w:rsidP="00425894">
            <w:pPr>
              <w:autoSpaceDE w:val="0"/>
              <w:autoSpaceDN w:val="0"/>
              <w:adjustRightInd w:val="0"/>
              <w:spacing w:before="0" w:after="0"/>
              <w:rPr>
                <w:rFonts w:ascii="Arial Narrow" w:eastAsia="Times New Roman" w:hAnsi="Arial Narrow"/>
                <w:sz w:val="20"/>
                <w:szCs w:val="20"/>
                <w:lang w:eastAsia="en-AU"/>
              </w:rPr>
            </w:pPr>
            <w:r w:rsidRPr="00276BCA">
              <w:rPr>
                <w:rFonts w:ascii="Arial Narrow" w:hAnsi="Arial Narrow" w:cs="Segoe UI"/>
                <w:sz w:val="20"/>
                <w:szCs w:val="20"/>
              </w:rPr>
              <w:t>A patient may qualify for PBS-subsidised treatment under this restriction once only. For continuing PBS-subsidised treatment, a Grandfathered patient must qualify under the Continuing treatment criteria.</w:t>
            </w:r>
          </w:p>
        </w:tc>
      </w:tr>
      <w:tr w:rsidR="004E5816" w:rsidRPr="00276BCA" w14:paraId="10A1E7A2" w14:textId="77777777" w:rsidTr="00E524D5">
        <w:trPr>
          <w:cantSplit/>
          <w:trHeight w:val="20"/>
        </w:trPr>
        <w:tc>
          <w:tcPr>
            <w:tcW w:w="8931" w:type="dxa"/>
            <w:vAlign w:val="center"/>
          </w:tcPr>
          <w:p w14:paraId="0A70218C" w14:textId="77777777" w:rsidR="004E5816" w:rsidRPr="00276BCA" w:rsidRDefault="004E5816" w:rsidP="00425894">
            <w:pPr>
              <w:spacing w:before="0" w:after="0"/>
              <w:rPr>
                <w:rFonts w:ascii="Arial Narrow" w:eastAsia="Times New Roman" w:hAnsi="Arial Narrow"/>
                <w:b/>
                <w:bCs/>
                <w:sz w:val="20"/>
                <w:szCs w:val="20"/>
                <w:lang w:eastAsia="en-AU"/>
              </w:rPr>
            </w:pPr>
            <w:r w:rsidRPr="00276BCA">
              <w:rPr>
                <w:rFonts w:ascii="Arial Narrow" w:eastAsia="Times New Roman" w:hAnsi="Arial Narrow"/>
                <w:b/>
                <w:bCs/>
                <w:sz w:val="20"/>
                <w:szCs w:val="20"/>
                <w:lang w:eastAsia="en-AU"/>
              </w:rPr>
              <w:t>Administrative Advice:</w:t>
            </w:r>
          </w:p>
          <w:p w14:paraId="0AC3B275" w14:textId="77777777" w:rsidR="004E5816" w:rsidRPr="00276BCA" w:rsidRDefault="004E5816" w:rsidP="00425894">
            <w:pPr>
              <w:spacing w:before="0" w:after="0"/>
              <w:rPr>
                <w:rFonts w:ascii="Arial Narrow" w:eastAsia="Times New Roman" w:hAnsi="Arial Narrow"/>
                <w:b/>
                <w:bCs/>
                <w:sz w:val="20"/>
                <w:szCs w:val="20"/>
                <w:lang w:eastAsia="en-AU"/>
              </w:rPr>
            </w:pPr>
            <w:r w:rsidRPr="00276BCA">
              <w:rPr>
                <w:rFonts w:ascii="Arial Narrow" w:hAnsi="Arial Narrow"/>
                <w:sz w:val="20"/>
                <w:szCs w:val="20"/>
              </w:rPr>
              <w:t>This grandfather restriction will cease to operate from 12 months after the date specified in the clinical criteria.</w:t>
            </w:r>
          </w:p>
        </w:tc>
      </w:tr>
    </w:tbl>
    <w:p w14:paraId="630E878A" w14:textId="77777777" w:rsidR="00425894" w:rsidRPr="00276BCA" w:rsidRDefault="00425894" w:rsidP="00425894">
      <w:pPr>
        <w:jc w:val="left"/>
        <w:rPr>
          <w:b/>
          <w:i/>
          <w:iCs/>
          <w:snapToGrid w:val="0"/>
          <w:lang w:val="en-GB"/>
        </w:rPr>
      </w:pPr>
      <w:r w:rsidRPr="00276BCA">
        <w:rPr>
          <w:b/>
          <w:i/>
          <w:iCs/>
          <w:snapToGrid w:val="0"/>
          <w:lang w:val="en-GB"/>
        </w:rPr>
        <w:t>These restrictions may be subject to further review. Should there be any changes made to the restriction the sponsor will be informed.</w:t>
      </w:r>
    </w:p>
    <w:p w14:paraId="720FE028" w14:textId="77777777" w:rsidR="00C755E3" w:rsidRPr="00276BCA" w:rsidRDefault="00C755E3" w:rsidP="005A6FD2">
      <w:pPr>
        <w:keepNext/>
        <w:keepLines/>
        <w:numPr>
          <w:ilvl w:val="0"/>
          <w:numId w:val="15"/>
        </w:numPr>
        <w:tabs>
          <w:tab w:val="left" w:pos="1077"/>
        </w:tabs>
        <w:spacing w:before="240" w:after="120"/>
        <w:jc w:val="left"/>
        <w:outlineLvl w:val="0"/>
        <w:rPr>
          <w:rFonts w:ascii="Calibri" w:eastAsia="Times New Roman" w:hAnsi="Calibri" w:cs="Arial"/>
          <w:b/>
          <w:bCs/>
          <w:snapToGrid w:val="0"/>
          <w:sz w:val="32"/>
          <w:szCs w:val="32"/>
          <w:lang w:eastAsia="en-AU"/>
        </w:rPr>
      </w:pPr>
      <w:r w:rsidRPr="00276BCA">
        <w:rPr>
          <w:rFonts w:ascii="Calibri" w:eastAsia="Times New Roman" w:hAnsi="Calibri" w:cs="Arial"/>
          <w:b/>
          <w:snapToGrid w:val="0"/>
          <w:sz w:val="32"/>
          <w:szCs w:val="32"/>
          <w:lang w:eastAsia="en-AU"/>
        </w:rPr>
        <w:t>Context for Decision</w:t>
      </w:r>
    </w:p>
    <w:p w14:paraId="66174A80" w14:textId="77777777" w:rsidR="00C755E3" w:rsidRPr="00276BCA" w:rsidRDefault="00C755E3" w:rsidP="00C755E3">
      <w:pPr>
        <w:spacing w:before="0" w:after="120"/>
        <w:ind w:left="720"/>
        <w:rPr>
          <w:rFonts w:ascii="Calibri" w:eastAsia="Times New Roman" w:hAnsi="Calibri" w:cs="Arial"/>
          <w:bCs/>
          <w:szCs w:val="24"/>
          <w:lang w:eastAsia="en-AU"/>
        </w:rPr>
      </w:pPr>
      <w:r w:rsidRPr="00276BCA">
        <w:rPr>
          <w:rFonts w:ascii="Calibri" w:eastAsia="Times New Roman" w:hAnsi="Calibri" w:cs="Arial"/>
          <w:bCs/>
          <w:szCs w:val="24"/>
          <w:lang w:eastAsia="en-AU"/>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69206F7" w14:textId="77777777" w:rsidR="00C755E3" w:rsidRPr="00276BCA" w:rsidRDefault="00C755E3" w:rsidP="005A6FD2">
      <w:pPr>
        <w:keepNext/>
        <w:keepLines/>
        <w:numPr>
          <w:ilvl w:val="0"/>
          <w:numId w:val="15"/>
        </w:numPr>
        <w:tabs>
          <w:tab w:val="left" w:pos="1077"/>
        </w:tabs>
        <w:spacing w:before="240" w:after="120"/>
        <w:jc w:val="left"/>
        <w:outlineLvl w:val="0"/>
        <w:rPr>
          <w:rFonts w:ascii="Calibri" w:eastAsia="Times New Roman" w:hAnsi="Calibri" w:cs="Arial"/>
          <w:b/>
          <w:snapToGrid w:val="0"/>
          <w:sz w:val="32"/>
          <w:szCs w:val="32"/>
          <w:lang w:eastAsia="en-AU"/>
        </w:rPr>
      </w:pPr>
      <w:r w:rsidRPr="00276BCA">
        <w:rPr>
          <w:rFonts w:ascii="Calibri" w:eastAsia="Times New Roman" w:hAnsi="Calibri" w:cs="Arial"/>
          <w:b/>
          <w:snapToGrid w:val="0"/>
          <w:sz w:val="32"/>
          <w:szCs w:val="32"/>
          <w:lang w:eastAsia="en-AU"/>
        </w:rPr>
        <w:t>Sponsor’s Comment</w:t>
      </w:r>
    </w:p>
    <w:p w14:paraId="03608A5F" w14:textId="75CF035F" w:rsidR="00425894" w:rsidRPr="00E524D5" w:rsidRDefault="00E967F7" w:rsidP="000C02B3">
      <w:pPr>
        <w:spacing w:before="0"/>
        <w:ind w:left="709"/>
      </w:pPr>
      <w:r w:rsidRPr="00865A58">
        <w:rPr>
          <w:rFonts w:cstheme="minorHAnsi"/>
          <w:szCs w:val="24"/>
        </w:rPr>
        <w:t xml:space="preserve">Astellas </w:t>
      </w:r>
      <w:r w:rsidR="00057875" w:rsidRPr="00276BCA">
        <w:rPr>
          <w:rFonts w:cstheme="minorHAnsi"/>
          <w:szCs w:val="24"/>
        </w:rPr>
        <w:t>welcomes</w:t>
      </w:r>
      <w:r w:rsidRPr="00865A58">
        <w:rPr>
          <w:rFonts w:cstheme="minorHAnsi"/>
          <w:szCs w:val="24"/>
        </w:rPr>
        <w:t xml:space="preserve"> the Committee’s </w:t>
      </w:r>
      <w:r w:rsidR="00057875" w:rsidRPr="00276BCA">
        <w:rPr>
          <w:rFonts w:cstheme="minorHAnsi"/>
          <w:szCs w:val="24"/>
        </w:rPr>
        <w:t xml:space="preserve">positive recommendation </w:t>
      </w:r>
      <w:r w:rsidRPr="00865A58">
        <w:rPr>
          <w:rFonts w:cstheme="minorHAnsi"/>
          <w:szCs w:val="24"/>
        </w:rPr>
        <w:t xml:space="preserve">of </w:t>
      </w:r>
      <w:proofErr w:type="spellStart"/>
      <w:r w:rsidRPr="00865A58">
        <w:rPr>
          <w:rFonts w:cstheme="minorHAnsi"/>
          <w:szCs w:val="24"/>
        </w:rPr>
        <w:t>zolbetuximab</w:t>
      </w:r>
      <w:proofErr w:type="spellEnd"/>
      <w:r w:rsidR="00EF749A" w:rsidRPr="00276BCA">
        <w:rPr>
          <w:rFonts w:cstheme="minorHAnsi"/>
          <w:szCs w:val="24"/>
        </w:rPr>
        <w:t xml:space="preserve"> and looks forward to working closely with the Department to finalise the MBS and PBS restrictions, so that patients can access </w:t>
      </w:r>
      <w:proofErr w:type="spellStart"/>
      <w:r w:rsidR="00EF749A" w:rsidRPr="00276BCA">
        <w:rPr>
          <w:rFonts w:cstheme="minorHAnsi"/>
          <w:szCs w:val="24"/>
        </w:rPr>
        <w:t>zolbetuximab</w:t>
      </w:r>
      <w:proofErr w:type="spellEnd"/>
      <w:r w:rsidR="00EF749A" w:rsidRPr="00276BCA">
        <w:rPr>
          <w:rFonts w:cstheme="minorHAnsi"/>
          <w:szCs w:val="24"/>
        </w:rPr>
        <w:t xml:space="preserve"> as soon as possible.</w:t>
      </w:r>
      <w:r w:rsidRPr="00865A58">
        <w:rPr>
          <w:rFonts w:cstheme="minorHAnsi"/>
          <w:szCs w:val="24"/>
        </w:rPr>
        <w:t xml:space="preserve"> </w:t>
      </w:r>
      <w:r w:rsidR="00057875" w:rsidRPr="00276BCA">
        <w:rPr>
          <w:rFonts w:cstheme="minorHAnsi"/>
          <w:szCs w:val="24"/>
        </w:rPr>
        <w:t>T</w:t>
      </w:r>
      <w:r w:rsidRPr="00865A58">
        <w:rPr>
          <w:rFonts w:cstheme="minorHAnsi"/>
          <w:szCs w:val="24"/>
        </w:rPr>
        <w:t xml:space="preserve">he SPOTLIGHT and GLOW studies showed no meaningful difference in patient-reported quality of life </w:t>
      </w:r>
      <w:r w:rsidR="002B5D50" w:rsidRPr="00276BCA">
        <w:rPr>
          <w:rFonts w:cstheme="minorHAnsi"/>
          <w:szCs w:val="24"/>
        </w:rPr>
        <w:t>(</w:t>
      </w:r>
      <w:proofErr w:type="spellStart"/>
      <w:r w:rsidR="002B5D50" w:rsidRPr="00276BCA">
        <w:rPr>
          <w:rFonts w:cstheme="minorHAnsi"/>
          <w:szCs w:val="24"/>
        </w:rPr>
        <w:t>HRQoL</w:t>
      </w:r>
      <w:proofErr w:type="spellEnd"/>
      <w:r w:rsidR="002B5D50" w:rsidRPr="00276BCA">
        <w:rPr>
          <w:rFonts w:cstheme="minorHAnsi"/>
          <w:szCs w:val="24"/>
        </w:rPr>
        <w:t xml:space="preserve">) </w:t>
      </w:r>
      <w:r w:rsidRPr="00865A58">
        <w:rPr>
          <w:rFonts w:cstheme="minorHAnsi"/>
          <w:szCs w:val="24"/>
        </w:rPr>
        <w:t xml:space="preserve">between </w:t>
      </w:r>
      <w:proofErr w:type="spellStart"/>
      <w:r w:rsidRPr="00865A58">
        <w:rPr>
          <w:rFonts w:cstheme="minorHAnsi"/>
          <w:szCs w:val="24"/>
        </w:rPr>
        <w:t>zolbetuximab</w:t>
      </w:r>
      <w:proofErr w:type="spellEnd"/>
      <w:r w:rsidRPr="00865A58">
        <w:rPr>
          <w:rFonts w:cstheme="minorHAnsi"/>
          <w:szCs w:val="24"/>
        </w:rPr>
        <w:t xml:space="preserve"> plus chemotherapy and chemotherapy alone. </w:t>
      </w:r>
      <w:r w:rsidR="00057875" w:rsidRPr="00865A58">
        <w:rPr>
          <w:rFonts w:eastAsia="Times New Roman" w:cstheme="minorHAnsi"/>
          <w:color w:val="000000"/>
          <w:szCs w:val="24"/>
          <w:lang w:eastAsia="en-GB"/>
        </w:rPr>
        <w:t xml:space="preserve">During </w:t>
      </w:r>
      <w:r w:rsidR="002B5D50" w:rsidRPr="00276BCA">
        <w:rPr>
          <w:rFonts w:eastAsia="Times New Roman" w:cstheme="minorHAnsi"/>
          <w:color w:val="000000"/>
          <w:szCs w:val="24"/>
          <w:lang w:eastAsia="en-GB"/>
        </w:rPr>
        <w:t xml:space="preserve">the </w:t>
      </w:r>
      <w:r w:rsidR="00057875" w:rsidRPr="00865A58">
        <w:rPr>
          <w:rFonts w:eastAsia="Times New Roman" w:cstheme="minorHAnsi"/>
          <w:color w:val="000000"/>
          <w:szCs w:val="24"/>
          <w:lang w:eastAsia="en-GB"/>
        </w:rPr>
        <w:t xml:space="preserve">clinical studies, nausea and vomiting </w:t>
      </w:r>
      <w:r w:rsidR="002B5D50" w:rsidRPr="00276BCA">
        <w:rPr>
          <w:rFonts w:eastAsia="Times New Roman" w:cstheme="minorHAnsi"/>
          <w:color w:val="000000"/>
          <w:szCs w:val="24"/>
          <w:lang w:eastAsia="en-GB"/>
        </w:rPr>
        <w:t xml:space="preserve">(N&amp;V) </w:t>
      </w:r>
      <w:r w:rsidR="00057875" w:rsidRPr="00865A58">
        <w:rPr>
          <w:rFonts w:eastAsia="Times New Roman" w:cstheme="minorHAnsi"/>
          <w:color w:val="000000"/>
          <w:szCs w:val="24"/>
          <w:lang w:eastAsia="en-GB"/>
        </w:rPr>
        <w:t xml:space="preserve">occurred more often during the first cycle of treatment but decreased in incidence with subsequent cycles of treatment and during clinical studies, no clinically meaningful deteriorations were observed in </w:t>
      </w:r>
      <w:proofErr w:type="spellStart"/>
      <w:r w:rsidR="00057875" w:rsidRPr="00865A58">
        <w:rPr>
          <w:rFonts w:eastAsia="Times New Roman" w:cstheme="minorHAnsi"/>
          <w:color w:val="000000"/>
          <w:szCs w:val="24"/>
          <w:lang w:eastAsia="en-GB"/>
        </w:rPr>
        <w:t>HRQoL</w:t>
      </w:r>
      <w:proofErr w:type="spellEnd"/>
      <w:r w:rsidR="00057875" w:rsidRPr="00865A58">
        <w:rPr>
          <w:rFonts w:eastAsia="Times New Roman" w:cstheme="minorHAnsi"/>
          <w:color w:val="000000"/>
          <w:szCs w:val="24"/>
          <w:lang w:eastAsia="en-GB"/>
        </w:rPr>
        <w:t xml:space="preserve"> scores and the early worsening of nausea/vomiting, later returned to baseline levels. Despite nausea/vomiting, no clinically meaningful differences between treatment arms were observed.</w:t>
      </w:r>
      <w:r w:rsidR="002B5D50" w:rsidRPr="00276BCA">
        <w:rPr>
          <w:rFonts w:eastAsia="Times New Roman" w:cstheme="minorHAnsi"/>
          <w:color w:val="000000"/>
          <w:szCs w:val="24"/>
          <w:lang w:eastAsia="en-GB"/>
        </w:rPr>
        <w:t xml:space="preserve"> No dose reduction for </w:t>
      </w:r>
      <w:proofErr w:type="spellStart"/>
      <w:r w:rsidR="002B5D50" w:rsidRPr="00276BCA">
        <w:rPr>
          <w:rFonts w:cstheme="minorHAnsi"/>
          <w:szCs w:val="24"/>
        </w:rPr>
        <w:t>zolbetuximab</w:t>
      </w:r>
      <w:proofErr w:type="spellEnd"/>
      <w:r w:rsidR="002B5D50" w:rsidRPr="00276BCA">
        <w:rPr>
          <w:rFonts w:eastAsia="Times New Roman" w:cstheme="minorHAnsi"/>
          <w:color w:val="000000"/>
          <w:szCs w:val="24"/>
          <w:lang w:eastAsia="en-GB"/>
        </w:rPr>
        <w:t xml:space="preserve"> is recommended. Adverse reactions (including N&amp;V) for </w:t>
      </w:r>
      <w:proofErr w:type="spellStart"/>
      <w:r w:rsidR="002B5D50" w:rsidRPr="00276BCA">
        <w:rPr>
          <w:rFonts w:cstheme="minorHAnsi"/>
          <w:szCs w:val="24"/>
        </w:rPr>
        <w:t>zolbetuximab</w:t>
      </w:r>
      <w:proofErr w:type="spellEnd"/>
      <w:r w:rsidR="002B5D50" w:rsidRPr="00276BCA">
        <w:rPr>
          <w:rFonts w:eastAsia="Times New Roman" w:cstheme="minorHAnsi"/>
          <w:color w:val="000000"/>
          <w:szCs w:val="24"/>
          <w:lang w:eastAsia="en-GB"/>
        </w:rPr>
        <w:t xml:space="preserve"> are managed by infusion rate reduction, interruption, and/or discontinuation.</w:t>
      </w:r>
    </w:p>
    <w:sectPr w:rsidR="00425894" w:rsidRPr="00E524D5" w:rsidSect="00E04E8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362A" w14:textId="77777777" w:rsidR="00016598" w:rsidRDefault="00016598" w:rsidP="00BA3306">
      <w:pPr>
        <w:spacing w:before="0" w:after="0"/>
      </w:pPr>
      <w:r>
        <w:separator/>
      </w:r>
    </w:p>
    <w:p w14:paraId="0195C978" w14:textId="77777777" w:rsidR="00016598" w:rsidRDefault="00016598"/>
  </w:endnote>
  <w:endnote w:type="continuationSeparator" w:id="0">
    <w:p w14:paraId="4F7C5936" w14:textId="77777777" w:rsidR="00016598" w:rsidRDefault="00016598" w:rsidP="00BA3306">
      <w:pPr>
        <w:spacing w:before="0" w:after="0"/>
      </w:pPr>
      <w:r>
        <w:continuationSeparator/>
      </w:r>
    </w:p>
    <w:p w14:paraId="70773FC9" w14:textId="77777777" w:rsidR="00016598" w:rsidRDefault="00016598"/>
  </w:endnote>
  <w:endnote w:type="continuationNotice" w:id="1">
    <w:p w14:paraId="364F6F8B" w14:textId="77777777" w:rsidR="00016598" w:rsidRDefault="0001659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_HKSCS-ExtB">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8EA3" w14:textId="7DA043C0" w:rsidR="00E36329" w:rsidRDefault="0025748A">
    <w:pPr>
      <w:pStyle w:val="Footer"/>
    </w:pPr>
    <w:r>
      <w:rPr>
        <w:noProof/>
      </w:rPr>
      <mc:AlternateContent>
        <mc:Choice Requires="wps">
          <w:drawing>
            <wp:anchor distT="0" distB="0" distL="0" distR="0" simplePos="0" relativeHeight="251658244" behindDoc="0" locked="0" layoutInCell="1" allowOverlap="1" wp14:anchorId="085424E6" wp14:editId="563CA9C2">
              <wp:simplePos x="635" y="635"/>
              <wp:positionH relativeFrom="page">
                <wp:align>center</wp:align>
              </wp:positionH>
              <wp:positionV relativeFrom="page">
                <wp:align>bottom</wp:align>
              </wp:positionV>
              <wp:extent cx="622300" cy="452755"/>
              <wp:effectExtent l="0" t="0" r="6350" b="0"/>
              <wp:wrapNone/>
              <wp:docPr id="5790614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07624BD" w14:textId="4F6C0BC0" w:rsidR="0025748A" w:rsidRPr="0025748A" w:rsidRDefault="0025748A" w:rsidP="0025748A">
                          <w:pPr>
                            <w:spacing w:after="0"/>
                            <w:rPr>
                              <w:rFonts w:ascii="Aptos" w:eastAsia="Aptos" w:hAnsi="Aptos" w:cs="Aptos"/>
                              <w:noProof/>
                              <w:color w:val="FF0000"/>
                              <w:szCs w:val="24"/>
                            </w:rPr>
                          </w:pPr>
                          <w:r w:rsidRPr="0025748A">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5424E6"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007624BD" w14:textId="4F6C0BC0" w:rsidR="0025748A" w:rsidRPr="0025748A" w:rsidRDefault="0025748A" w:rsidP="0025748A">
                    <w:pPr>
                      <w:spacing w:after="0"/>
                      <w:rPr>
                        <w:rFonts w:ascii="Aptos" w:eastAsia="Aptos" w:hAnsi="Aptos" w:cs="Aptos"/>
                        <w:noProof/>
                        <w:color w:val="FF0000"/>
                        <w:szCs w:val="24"/>
                      </w:rPr>
                    </w:pPr>
                    <w:r w:rsidRPr="0025748A">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7BE5" w14:textId="4B6A77F0" w:rsidR="00F978D4" w:rsidRDefault="0025748A" w:rsidP="00C96DE4">
    <w:pPr>
      <w:pStyle w:val="Footer"/>
      <w:jc w:val="center"/>
    </w:pPr>
    <w:r>
      <w:rPr>
        <w:noProof/>
      </w:rPr>
      <mc:AlternateContent>
        <mc:Choice Requires="wps">
          <w:drawing>
            <wp:anchor distT="0" distB="0" distL="0" distR="0" simplePos="0" relativeHeight="251658245" behindDoc="0" locked="0" layoutInCell="1" allowOverlap="1" wp14:anchorId="4E880AD4" wp14:editId="2880AB7E">
              <wp:simplePos x="635" y="635"/>
              <wp:positionH relativeFrom="page">
                <wp:align>center</wp:align>
              </wp:positionH>
              <wp:positionV relativeFrom="page">
                <wp:align>bottom</wp:align>
              </wp:positionV>
              <wp:extent cx="622300" cy="452755"/>
              <wp:effectExtent l="0" t="0" r="6350" b="0"/>
              <wp:wrapNone/>
              <wp:docPr id="5289169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7598B1F" w14:textId="313AEC7E" w:rsidR="0025748A" w:rsidRPr="0025748A" w:rsidRDefault="0025748A" w:rsidP="0025748A">
                          <w:pPr>
                            <w:spacing w:after="0"/>
                            <w:rPr>
                              <w:rFonts w:ascii="Aptos" w:eastAsia="Aptos" w:hAnsi="Aptos" w:cs="Aptos"/>
                              <w:noProof/>
                              <w:color w:val="FF0000"/>
                              <w:szCs w:val="24"/>
                            </w:rPr>
                          </w:pPr>
                          <w:r w:rsidRPr="0025748A">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880AD4"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27598B1F" w14:textId="313AEC7E" w:rsidR="0025748A" w:rsidRPr="0025748A" w:rsidRDefault="0025748A" w:rsidP="0025748A">
                    <w:pPr>
                      <w:spacing w:after="0"/>
                      <w:rPr>
                        <w:rFonts w:ascii="Aptos" w:eastAsia="Aptos" w:hAnsi="Aptos" w:cs="Aptos"/>
                        <w:noProof/>
                        <w:color w:val="FF0000"/>
                        <w:szCs w:val="24"/>
                      </w:rPr>
                    </w:pPr>
                    <w:r w:rsidRPr="0025748A">
                      <w:rPr>
                        <w:rFonts w:ascii="Aptos" w:eastAsia="Aptos" w:hAnsi="Aptos" w:cs="Aptos"/>
                        <w:noProof/>
                        <w:color w:val="FF0000"/>
                        <w:szCs w:val="24"/>
                      </w:rPr>
                      <w:t>OFFICIAL</w:t>
                    </w:r>
                  </w:p>
                </w:txbxContent>
              </v:textbox>
              <w10:wrap anchorx="page" anchory="page"/>
            </v:shape>
          </w:pict>
        </mc:Fallback>
      </mc:AlternateContent>
    </w:r>
  </w:p>
  <w:sdt>
    <w:sdtPr>
      <w:id w:val="952905317"/>
      <w:docPartObj>
        <w:docPartGallery w:val="Page Numbers (Bottom of Page)"/>
        <w:docPartUnique/>
      </w:docPartObj>
    </w:sdtPr>
    <w:sdtEndPr>
      <w:rPr>
        <w:b/>
        <w:bCs/>
        <w:noProof/>
      </w:rPr>
    </w:sdtEndPr>
    <w:sdtContent>
      <w:p w14:paraId="2F19BD20" w14:textId="35BA1D4A" w:rsidR="00C96DE4" w:rsidRDefault="00C96DE4" w:rsidP="00C96DE4">
        <w:pPr>
          <w:pStyle w:val="Footer"/>
          <w:jc w:val="center"/>
        </w:pPr>
      </w:p>
      <w:p w14:paraId="27A182A0" w14:textId="63A80138" w:rsidR="00227D10" w:rsidRPr="00EC79E8" w:rsidRDefault="00BA14F1" w:rsidP="00C96DE4">
        <w:pPr>
          <w:pStyle w:val="Footer"/>
          <w:jc w:val="center"/>
          <w:rPr>
            <w:b/>
            <w:bCs/>
          </w:rPr>
        </w:pPr>
        <w:r>
          <w:rPr>
            <w:b/>
            <w:bCs/>
          </w:rPr>
          <w:fldChar w:fldCharType="begin"/>
        </w:r>
        <w:r>
          <w:rPr>
            <w:b/>
            <w:bCs/>
          </w:rPr>
          <w:instrText xml:space="preserve"> PAGE  \* Arabic  \* MERGEFORMAT </w:instrText>
        </w:r>
        <w:r>
          <w:rPr>
            <w:b/>
            <w:bCs/>
          </w:rPr>
          <w:fldChar w:fldCharType="separate"/>
        </w:r>
        <w:r>
          <w:rPr>
            <w:b/>
            <w:bCs/>
            <w:noProof/>
          </w:rPr>
          <w:t>53</w:t>
        </w:r>
        <w:r>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CFA9" w14:textId="77C1FEC7" w:rsidR="0046142D" w:rsidRDefault="0025748A" w:rsidP="0046142D">
    <w:pPr>
      <w:pStyle w:val="Footer"/>
      <w:tabs>
        <w:tab w:val="clear" w:pos="4513"/>
        <w:tab w:val="clear" w:pos="9026"/>
        <w:tab w:val="left" w:pos="3876"/>
      </w:tabs>
    </w:pPr>
    <w:r>
      <w:rPr>
        <w:noProof/>
      </w:rPr>
      <mc:AlternateContent>
        <mc:Choice Requires="wps">
          <w:drawing>
            <wp:anchor distT="0" distB="0" distL="0" distR="0" simplePos="0" relativeHeight="251658243" behindDoc="0" locked="0" layoutInCell="1" allowOverlap="1" wp14:anchorId="68580A55" wp14:editId="5AD6886E">
              <wp:simplePos x="635" y="635"/>
              <wp:positionH relativeFrom="page">
                <wp:align>center</wp:align>
              </wp:positionH>
              <wp:positionV relativeFrom="page">
                <wp:align>bottom</wp:align>
              </wp:positionV>
              <wp:extent cx="622300" cy="452755"/>
              <wp:effectExtent l="0" t="0" r="6350" b="0"/>
              <wp:wrapNone/>
              <wp:docPr id="107488991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4E01DFF" w14:textId="44EB8B8A" w:rsidR="0025748A" w:rsidRPr="0025748A" w:rsidRDefault="0025748A" w:rsidP="0025748A">
                          <w:pPr>
                            <w:spacing w:after="0"/>
                            <w:rPr>
                              <w:rFonts w:ascii="Aptos" w:eastAsia="Aptos" w:hAnsi="Aptos" w:cs="Aptos"/>
                              <w:noProof/>
                              <w:color w:val="FF0000"/>
                              <w:szCs w:val="24"/>
                            </w:rPr>
                          </w:pPr>
                          <w:r w:rsidRPr="0025748A">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580A55"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35.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textbox style="mso-fit-shape-to-text:t" inset="0,0,0,15pt">
                <w:txbxContent>
                  <w:p w14:paraId="24E01DFF" w14:textId="44EB8B8A" w:rsidR="0025748A" w:rsidRPr="0025748A" w:rsidRDefault="0025748A" w:rsidP="0025748A">
                    <w:pPr>
                      <w:spacing w:after="0"/>
                      <w:rPr>
                        <w:rFonts w:ascii="Aptos" w:eastAsia="Aptos" w:hAnsi="Aptos" w:cs="Aptos"/>
                        <w:noProof/>
                        <w:color w:val="FF0000"/>
                        <w:szCs w:val="24"/>
                      </w:rPr>
                    </w:pPr>
                    <w:r w:rsidRPr="0025748A">
                      <w:rPr>
                        <w:rFonts w:ascii="Aptos" w:eastAsia="Aptos" w:hAnsi="Aptos" w:cs="Aptos"/>
                        <w:noProof/>
                        <w:color w:val="FF0000"/>
                        <w:szCs w:val="24"/>
                      </w:rPr>
                      <w:t>OFFICIAL</w:t>
                    </w:r>
                  </w:p>
                </w:txbxContent>
              </v:textbox>
              <w10:wrap anchorx="page" anchory="page"/>
            </v:shape>
          </w:pict>
        </mc:Fallback>
      </mc:AlternateContent>
    </w:r>
    <w:r w:rsidR="0046142D">
      <w:tab/>
    </w:r>
    <w:r w:rsidR="0046142D" w:rsidRPr="00A07327">
      <w:fldChar w:fldCharType="begin"/>
    </w:r>
    <w:r w:rsidR="0046142D" w:rsidRPr="00A07327">
      <w:instrText xml:space="preserve"> PAGE   \* MERGEFORMAT </w:instrText>
    </w:r>
    <w:r w:rsidR="0046142D" w:rsidRPr="00A07327">
      <w:fldChar w:fldCharType="separate"/>
    </w:r>
    <w:r w:rsidR="0046142D">
      <w:t>1</w:t>
    </w:r>
    <w:r w:rsidR="0046142D" w:rsidRPr="00A0732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EBE1" w14:textId="77777777" w:rsidR="00016598" w:rsidRDefault="00016598" w:rsidP="00BA3306">
      <w:pPr>
        <w:spacing w:before="0" w:after="0"/>
      </w:pPr>
      <w:r>
        <w:separator/>
      </w:r>
    </w:p>
    <w:p w14:paraId="3BD5F8BF" w14:textId="77777777" w:rsidR="00016598" w:rsidRDefault="00016598"/>
  </w:footnote>
  <w:footnote w:type="continuationSeparator" w:id="0">
    <w:p w14:paraId="19D2CB29" w14:textId="77777777" w:rsidR="00016598" w:rsidRDefault="00016598" w:rsidP="00BA3306">
      <w:pPr>
        <w:spacing w:before="0" w:after="0"/>
      </w:pPr>
      <w:r>
        <w:continuationSeparator/>
      </w:r>
    </w:p>
    <w:p w14:paraId="46C8B498" w14:textId="77777777" w:rsidR="00016598" w:rsidRDefault="00016598"/>
  </w:footnote>
  <w:footnote w:type="continuationNotice" w:id="1">
    <w:p w14:paraId="4B3ADAD2" w14:textId="77777777" w:rsidR="00016598" w:rsidRDefault="00016598">
      <w:pPr>
        <w:spacing w:before="0" w:after="0"/>
      </w:pPr>
    </w:p>
  </w:footnote>
  <w:footnote w:id="2">
    <w:p w14:paraId="346DE4B0" w14:textId="3DD23EE1" w:rsidR="00D73A57" w:rsidRDefault="00D73A57" w:rsidP="009E14E4">
      <w:pPr>
        <w:pStyle w:val="FootnoteText"/>
        <w:jc w:val="left"/>
      </w:pPr>
      <w:r>
        <w:rPr>
          <w:rStyle w:val="FootnoteReference"/>
        </w:rPr>
        <w:footnoteRef/>
      </w:r>
      <w:r>
        <w:t xml:space="preserve"> FDA, Zolbetuximab prescribing</w:t>
      </w:r>
      <w:r w:rsidR="009E14E4">
        <w:t xml:space="preserve"> information</w:t>
      </w:r>
      <w:r>
        <w:t>,</w:t>
      </w:r>
      <w:r w:rsidR="009E14E4">
        <w:t xml:space="preserve"> </w:t>
      </w:r>
      <w:r w:rsidRPr="00D73A57">
        <w:t>https://www.accessdata.fda.gov/drugsatfda_docs/label/2024/761365s000lbl.pdf</w:t>
      </w:r>
    </w:p>
  </w:footnote>
  <w:footnote w:id="3">
    <w:p w14:paraId="5BF0C95F" w14:textId="77777777" w:rsidR="00D73A57" w:rsidRDefault="00D73A57" w:rsidP="00D73A57">
      <w:pPr>
        <w:pStyle w:val="FootnoteText"/>
      </w:pPr>
      <w:r>
        <w:rPr>
          <w:rStyle w:val="FootnoteReference"/>
        </w:rPr>
        <w:footnoteRef/>
      </w:r>
      <w:r>
        <w:t xml:space="preserve"> European Medicine Agency (EMA), Zolbetuximab: EPAR – Product Information, September 2024, Accessed: November 2024, </w:t>
      </w:r>
      <w:hyperlink r:id="rId1" w:history="1">
        <w:r w:rsidRPr="00F64303">
          <w:rPr>
            <w:rStyle w:val="Hyperlink"/>
          </w:rPr>
          <w:t>https://www.ema.europa.eu/en/documents/product-information/vyloy-epar-product-information_en.pdf</w:t>
        </w:r>
      </w:hyperlink>
      <w:r>
        <w:t xml:space="preserve"> </w:t>
      </w:r>
    </w:p>
  </w:footnote>
  <w:footnote w:id="4">
    <w:p w14:paraId="15A910F0" w14:textId="03AF6B8F" w:rsidR="00F10A0A" w:rsidRPr="0016579F" w:rsidRDefault="00F10A0A" w:rsidP="00F10A0A">
      <w:pPr>
        <w:pStyle w:val="FootnoteText"/>
        <w:rPr>
          <w:rStyle w:val="Hyperlink"/>
        </w:rPr>
      </w:pPr>
      <w:r>
        <w:rPr>
          <w:rStyle w:val="FootnoteReference"/>
        </w:rPr>
        <w:footnoteRef/>
      </w:r>
      <w:r w:rsidRPr="0007744A">
        <w:t xml:space="preserve"> Cancer Australia</w:t>
      </w:r>
      <w:r>
        <w:t>.</w:t>
      </w:r>
      <w:r w:rsidRPr="0007744A">
        <w:t xml:space="preserve"> Stomach </w:t>
      </w:r>
      <w:r>
        <w:t>cancer statistics</w:t>
      </w:r>
      <w:r w:rsidR="00CA4839">
        <w:t>,</w:t>
      </w:r>
      <w:r>
        <w:t xml:space="preserve"> </w:t>
      </w:r>
      <w:hyperlink r:id="rId2" w:history="1">
        <w:r w:rsidRPr="0016579F">
          <w:rPr>
            <w:rStyle w:val="Hyperlink"/>
          </w:rPr>
          <w:t>https://www.canceraustralia.gov.au/cancer-types/stomach-cancer/statistics</w:t>
        </w:r>
      </w:hyperlink>
      <w:r w:rsidR="0016579F" w:rsidRPr="0016579F">
        <w:rPr>
          <w:rStyle w:val="Hyperlink"/>
        </w:rPr>
        <w:t xml:space="preserve"> </w:t>
      </w:r>
      <w:r w:rsidRPr="0016579F">
        <w:rPr>
          <w:rStyle w:val="Hyperlink"/>
          <w:color w:val="auto"/>
          <w:u w:val="none"/>
        </w:rPr>
        <w:t>Accessed on 11th Nov 2024.</w:t>
      </w:r>
    </w:p>
  </w:footnote>
  <w:footnote w:id="5">
    <w:p w14:paraId="6F5BAFDD" w14:textId="39D0A235" w:rsidR="0076607B" w:rsidRDefault="0076607B" w:rsidP="0076607B">
      <w:pPr>
        <w:pStyle w:val="FootnoteText"/>
      </w:pPr>
      <w:r>
        <w:rPr>
          <w:rStyle w:val="FootnoteReference"/>
        </w:rPr>
        <w:footnoteRef/>
      </w:r>
      <w:r>
        <w:t xml:space="preserve"> </w:t>
      </w:r>
      <w:r w:rsidRPr="002F3E73">
        <w:t xml:space="preserve">Casamayor, M., Morlock, R., </w:t>
      </w:r>
      <w:r w:rsidR="0016579F">
        <w:t>et al</w:t>
      </w:r>
      <w:r w:rsidR="001B4A3B">
        <w:t>., (</w:t>
      </w:r>
      <w:r w:rsidR="0016579F">
        <w:t>2018)</w:t>
      </w:r>
      <w:r w:rsidR="001B4A3B">
        <w:t>, ’</w:t>
      </w:r>
      <w:r w:rsidRPr="002F3E73">
        <w:t>Targeted literature review of the global burden of gastric cancer</w:t>
      </w:r>
      <w:r w:rsidR="0016579F">
        <w:t xml:space="preserve">’, </w:t>
      </w:r>
      <w:r w:rsidRPr="00661AFC">
        <w:rPr>
          <w:i/>
          <w:iCs/>
        </w:rPr>
        <w:t>Ecancermedicalscience</w:t>
      </w:r>
      <w:r w:rsidR="0016579F">
        <w:t>,</w:t>
      </w:r>
      <w:r w:rsidRPr="002F3E73">
        <w:t xml:space="preserve"> 12, 883</w:t>
      </w:r>
      <w:r w:rsidR="0016579F">
        <w:t>,</w:t>
      </w:r>
      <w:r w:rsidRPr="002F3E73">
        <w:t xml:space="preserve"> </w:t>
      </w:r>
      <w:r w:rsidR="0016579F" w:rsidRPr="00233501">
        <w:rPr>
          <w:rStyle w:val="Hyperlink"/>
        </w:rPr>
        <w:t>https://doi.org:10.3332/ecancer.2018.883</w:t>
      </w:r>
      <w:r w:rsidR="0016579F">
        <w:t xml:space="preserve"> </w:t>
      </w:r>
    </w:p>
  </w:footnote>
  <w:footnote w:id="6">
    <w:p w14:paraId="3B062638" w14:textId="4EBC8352" w:rsidR="00834B02" w:rsidRDefault="00834B02">
      <w:pPr>
        <w:pStyle w:val="FootnoteText"/>
      </w:pPr>
      <w:r>
        <w:rPr>
          <w:rStyle w:val="FootnoteReference"/>
        </w:rPr>
        <w:footnoteRef/>
      </w:r>
      <w:r>
        <w:t xml:space="preserve"> </w:t>
      </w:r>
      <w:r w:rsidR="00AF313E">
        <w:t>NCCN Gastric Cancer Guidelines (Version 5.2024)</w:t>
      </w:r>
      <w:r w:rsidR="00CA4839">
        <w:t>,</w:t>
      </w:r>
      <w:r w:rsidRPr="00834B02">
        <w:t xml:space="preserve"> </w:t>
      </w:r>
      <w:hyperlink r:id="rId3" w:history="1">
        <w:r w:rsidR="00AF313E" w:rsidRPr="00883FB3">
          <w:rPr>
            <w:rStyle w:val="Hyperlink"/>
          </w:rPr>
          <w:t>https://www.nccn.org/professionals/physician_gls/pdf/gastric.pdf</w:t>
        </w:r>
      </w:hyperlink>
      <w:r w:rsidR="00AF313E">
        <w:t xml:space="preserve"> </w:t>
      </w:r>
    </w:p>
  </w:footnote>
  <w:footnote w:id="7">
    <w:p w14:paraId="11537ACF" w14:textId="6C58084B" w:rsidR="00045E58" w:rsidRDefault="00045E58" w:rsidP="00045E58">
      <w:pPr>
        <w:pStyle w:val="FootnoteText"/>
      </w:pPr>
      <w:r>
        <w:rPr>
          <w:rStyle w:val="FootnoteReference"/>
        </w:rPr>
        <w:footnoteRef/>
      </w:r>
      <w:r>
        <w:t xml:space="preserve"> </w:t>
      </w:r>
      <w:hyperlink r:id="rId4" w:history="1">
        <w:r w:rsidRPr="006B6E6F">
          <w:rPr>
            <w:rStyle w:val="Hyperlink"/>
          </w:rPr>
          <w:t>https://www.pbs.gov.au/industry/listing/elements/pbac-meetings/agenda/pdf/2024/PBAC-meeting-agenda-November-2024-v6.PDF</w:t>
        </w:r>
      </w:hyperlink>
      <w:r>
        <w:t>. Accessed 24 December 2024.</w:t>
      </w:r>
    </w:p>
  </w:footnote>
  <w:footnote w:id="8">
    <w:p w14:paraId="611270DF" w14:textId="3F9039F9" w:rsidR="0095318C" w:rsidRPr="0095318C" w:rsidRDefault="0095318C">
      <w:pPr>
        <w:pStyle w:val="FootnoteText"/>
        <w:rPr>
          <w:i/>
          <w:iCs/>
        </w:rPr>
      </w:pPr>
      <w:r w:rsidRPr="0095318C">
        <w:rPr>
          <w:rStyle w:val="FootnoteReference"/>
          <w:i/>
          <w:iCs/>
        </w:rPr>
        <w:footnoteRef/>
      </w:r>
      <w:r w:rsidRPr="0095318C">
        <w:rPr>
          <w:i/>
          <w:iCs/>
        </w:rPr>
        <w:t xml:space="preserve"> </w:t>
      </w:r>
      <w:r w:rsidRPr="0095318C">
        <w:rPr>
          <w:rFonts w:cs="Arial"/>
          <w:bCs/>
          <w:i/>
          <w:iCs/>
          <w:snapToGrid w:val="0"/>
          <w:sz w:val="16"/>
        </w:rPr>
        <w:t>Cherny NI, Dafni U, Bogaerts J, et al: ESMO-Magnitude of Clinical Benefit Scale version 1.1. Annals of Oncology 28:2340-2366, 2017</w:t>
      </w:r>
    </w:p>
  </w:footnote>
  <w:footnote w:id="9">
    <w:p w14:paraId="48C36EC8" w14:textId="309717EB" w:rsidR="00122E2F" w:rsidRDefault="00122E2F">
      <w:pPr>
        <w:pStyle w:val="FootnoteText"/>
      </w:pPr>
      <w:r>
        <w:rPr>
          <w:rStyle w:val="FootnoteReference"/>
        </w:rPr>
        <w:footnoteRef/>
      </w:r>
      <w:r>
        <w:t xml:space="preserve"> </w:t>
      </w:r>
      <w:r w:rsidR="00333575">
        <w:t>NICE [GID-TA11316], ‘</w:t>
      </w:r>
      <w:r w:rsidR="00333575" w:rsidRPr="00333575">
        <w:t>Zolbetuximab with chemotherapy for untreated claudin 18.2-positive HER2 negative unresectable advanced gastric or gastro-oesophageal junction adenocarcinoma</w:t>
      </w:r>
      <w:r w:rsidR="00333575">
        <w:t xml:space="preserve">’. Available at: </w:t>
      </w:r>
      <w:hyperlink r:id="rId5" w:history="1">
        <w:r w:rsidR="00347747" w:rsidRPr="00376F6D">
          <w:rPr>
            <w:rStyle w:val="Hyperlink"/>
          </w:rPr>
          <w:t>https://www.nice.org.uk/guidance/gid-ta11316/documents/committee-papers</w:t>
        </w:r>
      </w:hyperlink>
      <w:r w:rsidR="00347747">
        <w:t xml:space="preserve"> </w:t>
      </w:r>
      <w:r w:rsidR="00FB4D0D">
        <w:t xml:space="preserve"> </w:t>
      </w:r>
    </w:p>
  </w:footnote>
  <w:footnote w:id="10">
    <w:p w14:paraId="19B2554D" w14:textId="50ED2AF5" w:rsidR="00E32BE9" w:rsidRDefault="00E32BE9">
      <w:pPr>
        <w:pStyle w:val="FootnoteText"/>
      </w:pPr>
      <w:r>
        <w:rPr>
          <w:rStyle w:val="FootnoteReference"/>
        </w:rPr>
        <w:footnoteRef/>
      </w:r>
      <w:r>
        <w:t xml:space="preserve"> </w:t>
      </w:r>
      <w:r w:rsidR="00FB2256" w:rsidRPr="00FB2256">
        <w:t>Shah</w:t>
      </w:r>
      <w:r w:rsidR="00FB2256">
        <w:t>,</w:t>
      </w:r>
      <w:r w:rsidR="00FB2256" w:rsidRPr="00FB2256">
        <w:t xml:space="preserve"> M</w:t>
      </w:r>
      <w:r w:rsidR="00FB2256">
        <w:t>.</w:t>
      </w:r>
      <w:r w:rsidR="00FB2256" w:rsidRPr="00FB2256">
        <w:t>, Shitara</w:t>
      </w:r>
      <w:r w:rsidR="00FB2256">
        <w:t>,</w:t>
      </w:r>
      <w:r w:rsidR="00FB2256" w:rsidRPr="00FB2256">
        <w:t xml:space="preserve"> K</w:t>
      </w:r>
      <w:r w:rsidR="00FB2256">
        <w:t>.</w:t>
      </w:r>
      <w:r w:rsidR="00FB2256" w:rsidRPr="00FB2256">
        <w:t xml:space="preserve">, </w:t>
      </w:r>
      <w:r w:rsidR="00FB2256">
        <w:t>et al., (2023), ‘</w:t>
      </w:r>
      <w:r w:rsidR="00FB2256" w:rsidRPr="00FB2256">
        <w:t>Zolbetuximab plus CAPOX in CLDN18.2-positive gastric or gastroesophageal junction adenocarcinoma: the randomized, phase 3 GLOW trial</w:t>
      </w:r>
      <w:r w:rsidR="00FB2256">
        <w:t>’</w:t>
      </w:r>
      <w:r w:rsidR="00FB2256" w:rsidRPr="00FB2256">
        <w:t xml:space="preserve">. </w:t>
      </w:r>
      <w:r w:rsidR="00FB2256" w:rsidRPr="00FB2256">
        <w:rPr>
          <w:i/>
        </w:rPr>
        <w:t>Nat Med</w:t>
      </w:r>
      <w:r w:rsidR="00FB2256">
        <w:rPr>
          <w:i/>
        </w:rPr>
        <w:t>,</w:t>
      </w:r>
      <w:r w:rsidR="00FB2256" w:rsidRPr="00FB2256">
        <w:t xml:space="preserve"> 29(8):2133-2141</w:t>
      </w:r>
      <w:r w:rsidR="00FB2256">
        <w:t>,</w:t>
      </w:r>
      <w:r w:rsidR="00FB2256" w:rsidRPr="00FB2256">
        <w:t xml:space="preserve"> </w:t>
      </w:r>
      <w:r w:rsidR="00FB2256">
        <w:t xml:space="preserve"> </w:t>
      </w:r>
      <w:hyperlink r:id="rId6" w:history="1">
        <w:r w:rsidR="00FB2256" w:rsidRPr="00DD6B9E">
          <w:rPr>
            <w:rStyle w:val="Hyperlink"/>
          </w:rPr>
          <w:t>https://pubmed.ncbi.nlm.nih.gov/37524953/</w:t>
        </w:r>
      </w:hyperlink>
      <w:r w:rsidR="00FB2256">
        <w:t xml:space="preserve"> </w:t>
      </w:r>
    </w:p>
  </w:footnote>
  <w:footnote w:id="11">
    <w:p w14:paraId="48584C4F" w14:textId="462172DC" w:rsidR="00867D83" w:rsidRPr="00B16F5D" w:rsidRDefault="00867D83" w:rsidP="00867D83">
      <w:pPr>
        <w:pStyle w:val="FootnoteText"/>
        <w:rPr>
          <w:i/>
          <w:iCs/>
        </w:rPr>
      </w:pPr>
      <w:r>
        <w:rPr>
          <w:rStyle w:val="FootnoteReference"/>
        </w:rPr>
        <w:footnoteRef/>
      </w:r>
      <w:r w:rsidRPr="002425ED">
        <w:t xml:space="preserve"> </w:t>
      </w:r>
      <w:r w:rsidR="00E81C3C" w:rsidRPr="006F1AD9">
        <w:t>Moraes, F</w:t>
      </w:r>
      <w:r w:rsidR="006F1AD9" w:rsidRPr="006F1AD9">
        <w:t>.C.A </w:t>
      </w:r>
      <w:r w:rsidR="006F1AD9" w:rsidRPr="00401AF6">
        <w:t>et al.</w:t>
      </w:r>
      <w:r w:rsidR="006F1AD9">
        <w:t xml:space="preserve"> (</w:t>
      </w:r>
      <w:r w:rsidR="00B90FD6">
        <w:t>2024)</w:t>
      </w:r>
      <w:r w:rsidR="006F1AD9" w:rsidRPr="006F1AD9">
        <w:t> Efficacy and safety of Zolbetuximab plus chemotherapy for advanced CLDN18.2-positive gastric or gastro-oesophageal adenocarcinoma: a meta-analysis of randomized clinical trials. </w:t>
      </w:r>
      <w:r w:rsidR="006F1AD9" w:rsidRPr="006F1AD9">
        <w:rPr>
          <w:i/>
          <w:iCs/>
        </w:rPr>
        <w:t>BMC Cancer</w:t>
      </w:r>
      <w:r w:rsidR="006F1AD9" w:rsidRPr="006F1AD9">
        <w:t> </w:t>
      </w:r>
      <w:r w:rsidR="006F1AD9" w:rsidRPr="006F1AD9">
        <w:rPr>
          <w:b/>
          <w:bCs/>
        </w:rPr>
        <w:t>24</w:t>
      </w:r>
      <w:r w:rsidR="006F1AD9" w:rsidRPr="006F1AD9">
        <w:t>, 240 .</w:t>
      </w:r>
    </w:p>
  </w:footnote>
  <w:footnote w:id="12">
    <w:p w14:paraId="76F39E31" w14:textId="054A9624" w:rsidR="00B63736" w:rsidRDefault="00B63736" w:rsidP="00B63736">
      <w:pPr>
        <w:pStyle w:val="FootnoteText"/>
        <w:jc w:val="left"/>
      </w:pPr>
      <w:r>
        <w:rPr>
          <w:rStyle w:val="FootnoteReference"/>
        </w:rPr>
        <w:footnoteRef/>
      </w:r>
      <w:r w:rsidRPr="001E6E73">
        <w:rPr>
          <w:lang w:val="de-DE"/>
        </w:rPr>
        <w:t xml:space="preserve"> Wang, G., Huang, Y., et al. </w:t>
      </w:r>
      <w:r>
        <w:t>(2024), ‘</w:t>
      </w:r>
      <w:r w:rsidRPr="00500152">
        <w:t>Immunotherapy and targeted therapy as first-line treatment for advanced gastric cancer</w:t>
      </w:r>
      <w:r>
        <w:t xml:space="preserve">’, </w:t>
      </w:r>
      <w:r>
        <w:rPr>
          <w:i/>
          <w:iCs/>
        </w:rPr>
        <w:t>Critical Review in Oncology/Hematology, 198</w:t>
      </w:r>
      <w:r w:rsidR="00CA4839">
        <w:rPr>
          <w:i/>
          <w:iCs/>
        </w:rPr>
        <w:t>,</w:t>
      </w:r>
      <w:r>
        <w:rPr>
          <w:i/>
          <w:iCs/>
        </w:rPr>
        <w:t xml:space="preserve"> </w:t>
      </w:r>
      <w:hyperlink r:id="rId7" w:history="1">
        <w:r w:rsidRPr="00357904">
          <w:rPr>
            <w:rStyle w:val="Hyperlink"/>
          </w:rPr>
          <w:t>https://www.sciencedirect.com/science/article/pii/S1040842823002858?via%3Dihub</w:t>
        </w:r>
      </w:hyperlink>
      <w:r>
        <w:t xml:space="preserve"> </w:t>
      </w:r>
    </w:p>
  </w:footnote>
  <w:footnote w:id="13">
    <w:p w14:paraId="7B08ADED" w14:textId="77777777" w:rsidR="00B63736" w:rsidRPr="00500152" w:rsidRDefault="00B63736" w:rsidP="00B63736">
      <w:pPr>
        <w:pStyle w:val="FootnoteText"/>
        <w:jc w:val="left"/>
      </w:pPr>
      <w:r>
        <w:rPr>
          <w:rStyle w:val="FootnoteReference"/>
        </w:rPr>
        <w:footnoteRef/>
      </w:r>
      <w:r w:rsidRPr="00B73A8D">
        <w:rPr>
          <w:lang w:val="es-CO"/>
        </w:rPr>
        <w:t xml:space="preserve"> Zhang, Z., Xie, T., et al. </w:t>
      </w:r>
      <w:r>
        <w:t xml:space="preserve">(2024), ‘Immune checkpoint inhibitors or anti-claudin 18.2 antibodies? A network meta-analysis for the optimized first-line therapy of HER2-negative gastric cancer’, </w:t>
      </w:r>
      <w:r>
        <w:rPr>
          <w:i/>
          <w:iCs/>
        </w:rPr>
        <w:t xml:space="preserve">Ther Adv Med Oncol, </w:t>
      </w:r>
      <w:r>
        <w:t>16:1-10,</w:t>
      </w:r>
      <w:r w:rsidRPr="00500152">
        <w:t xml:space="preserve"> </w:t>
      </w:r>
      <w:hyperlink r:id="rId8" w:history="1">
        <w:r w:rsidRPr="00357904">
          <w:rPr>
            <w:rStyle w:val="Hyperlink"/>
          </w:rPr>
          <w:t>https://journals.sagepub.com/doi/10.1177/17588359241231253</w:t>
        </w:r>
      </w:hyperlink>
      <w:r>
        <w:t xml:space="preserve"> </w:t>
      </w:r>
    </w:p>
  </w:footnote>
  <w:footnote w:id="14">
    <w:p w14:paraId="291EA329" w14:textId="77777777" w:rsidR="00D10B4F" w:rsidRDefault="00D10B4F" w:rsidP="00D10B4F">
      <w:pPr>
        <w:pStyle w:val="FootnoteText"/>
      </w:pPr>
      <w:r>
        <w:rPr>
          <w:rStyle w:val="FootnoteReference"/>
        </w:rPr>
        <w:footnoteRef/>
      </w:r>
      <w:r>
        <w:t xml:space="preserve"> </w:t>
      </w:r>
      <w:r w:rsidRPr="00C6547E">
        <w:t>Dooley, M., Singh, S.</w:t>
      </w:r>
      <w:r>
        <w:t>,</w:t>
      </w:r>
      <w:r w:rsidRPr="00C6547E">
        <w:t xml:space="preserve"> </w:t>
      </w:r>
      <w:r>
        <w:t>and</w:t>
      </w:r>
      <w:r w:rsidRPr="00C6547E">
        <w:t xml:space="preserve"> Michael, M.</w:t>
      </w:r>
      <w:r>
        <w:t>, (2004), ‘</w:t>
      </w:r>
      <w:r w:rsidRPr="00C6547E">
        <w:t>Implications of dose rounding of chemotherapy to the nearest vial size.</w:t>
      </w:r>
      <w:r>
        <w:t>’</w:t>
      </w:r>
      <w:r w:rsidRPr="00C6547E">
        <w:t xml:space="preserve"> </w:t>
      </w:r>
      <w:r w:rsidRPr="00D226A9">
        <w:rPr>
          <w:i/>
          <w:iCs/>
        </w:rPr>
        <w:t>Support Care Cancer</w:t>
      </w:r>
      <w:r>
        <w:t xml:space="preserve">, </w:t>
      </w:r>
      <w:r w:rsidRPr="00C6547E">
        <w:t>12, 653–656</w:t>
      </w:r>
      <w:r>
        <w:t xml:space="preserve">, </w:t>
      </w:r>
      <w:hyperlink r:id="rId9" w:history="1">
        <w:r w:rsidRPr="001379E9">
          <w:rPr>
            <w:rStyle w:val="Hyperlink"/>
          </w:rPr>
          <w:t>https://doi.org/10.1007/s00520-004-0606-5</w:t>
        </w:r>
      </w:hyperlink>
      <w:r>
        <w:t xml:space="preserve"> </w:t>
      </w:r>
    </w:p>
  </w:footnote>
  <w:footnote w:id="15">
    <w:p w14:paraId="2EBB8FBC" w14:textId="77777777" w:rsidR="00425894" w:rsidRPr="007023B5" w:rsidRDefault="00425894" w:rsidP="00425894">
      <w:pPr>
        <w:pStyle w:val="FootnoteText"/>
      </w:pPr>
      <w:r w:rsidRPr="007023B5">
        <w:rPr>
          <w:rStyle w:val="FootnoteReference"/>
        </w:rPr>
        <w:footnoteRef/>
      </w:r>
      <w:r w:rsidRPr="007023B5">
        <w:t xml:space="preserve"> (365.25/12*8.7)/21</w:t>
      </w:r>
    </w:p>
  </w:footnote>
  <w:footnote w:id="16">
    <w:p w14:paraId="6C85F251" w14:textId="77777777" w:rsidR="00425894" w:rsidRDefault="00425894" w:rsidP="00425894">
      <w:pPr>
        <w:pStyle w:val="FootnoteText"/>
      </w:pPr>
      <w:r w:rsidRPr="007023B5">
        <w:rPr>
          <w:rStyle w:val="FootnoteReference"/>
        </w:rPr>
        <w:footnoteRef/>
      </w:r>
      <w:r w:rsidRPr="007023B5">
        <w:t xml:space="preserve"> (365.25/12*8.7)/14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7527" w14:textId="2F77126A" w:rsidR="00E36329" w:rsidRDefault="0025748A">
    <w:pPr>
      <w:pStyle w:val="Header"/>
    </w:pPr>
    <w:r>
      <w:rPr>
        <w:noProof/>
      </w:rPr>
      <mc:AlternateContent>
        <mc:Choice Requires="wps">
          <w:drawing>
            <wp:anchor distT="0" distB="0" distL="0" distR="0" simplePos="0" relativeHeight="251658241" behindDoc="0" locked="0" layoutInCell="1" allowOverlap="1" wp14:anchorId="060A3AF6" wp14:editId="784267A1">
              <wp:simplePos x="635" y="635"/>
              <wp:positionH relativeFrom="page">
                <wp:align>center</wp:align>
              </wp:positionH>
              <wp:positionV relativeFrom="page">
                <wp:align>top</wp:align>
              </wp:positionV>
              <wp:extent cx="622300" cy="452755"/>
              <wp:effectExtent l="0" t="0" r="6350" b="4445"/>
              <wp:wrapNone/>
              <wp:docPr id="1839001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96D9E5F" w14:textId="2D618485" w:rsidR="0025748A" w:rsidRPr="0025748A" w:rsidRDefault="0025748A" w:rsidP="0025748A">
                          <w:pPr>
                            <w:spacing w:after="0"/>
                            <w:rPr>
                              <w:rFonts w:ascii="Aptos" w:eastAsia="Aptos" w:hAnsi="Aptos" w:cs="Aptos"/>
                              <w:noProof/>
                              <w:color w:val="FF0000"/>
                              <w:szCs w:val="24"/>
                            </w:rPr>
                          </w:pPr>
                          <w:r w:rsidRPr="0025748A">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0A3AF6"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696D9E5F" w14:textId="2D618485" w:rsidR="0025748A" w:rsidRPr="0025748A" w:rsidRDefault="0025748A" w:rsidP="0025748A">
                    <w:pPr>
                      <w:spacing w:after="0"/>
                      <w:rPr>
                        <w:rFonts w:ascii="Aptos" w:eastAsia="Aptos" w:hAnsi="Aptos" w:cs="Aptos"/>
                        <w:noProof/>
                        <w:color w:val="FF0000"/>
                        <w:szCs w:val="24"/>
                      </w:rPr>
                    </w:pPr>
                    <w:r w:rsidRPr="0025748A">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BDF5" w14:textId="440AE8A3" w:rsidR="001058FC" w:rsidRPr="00835320" w:rsidRDefault="0025748A" w:rsidP="001058FC">
    <w:pPr>
      <w:pStyle w:val="Header"/>
      <w:jc w:val="center"/>
      <w:rPr>
        <w:i/>
        <w:iCs/>
      </w:rPr>
    </w:pPr>
    <w:r>
      <w:rPr>
        <w:i/>
        <w:iCs/>
        <w:noProof/>
      </w:rPr>
      <mc:AlternateContent>
        <mc:Choice Requires="wps">
          <w:drawing>
            <wp:anchor distT="0" distB="0" distL="0" distR="0" simplePos="0" relativeHeight="251658242" behindDoc="0" locked="0" layoutInCell="1" allowOverlap="1" wp14:anchorId="718B8696" wp14:editId="0157E9B8">
              <wp:simplePos x="635" y="635"/>
              <wp:positionH relativeFrom="page">
                <wp:align>center</wp:align>
              </wp:positionH>
              <wp:positionV relativeFrom="page">
                <wp:align>top</wp:align>
              </wp:positionV>
              <wp:extent cx="622300" cy="452755"/>
              <wp:effectExtent l="0" t="0" r="6350" b="4445"/>
              <wp:wrapNone/>
              <wp:docPr id="18463025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962774B" w14:textId="31876FD5" w:rsidR="0025748A" w:rsidRPr="0025748A" w:rsidRDefault="0025748A" w:rsidP="0025748A">
                          <w:pPr>
                            <w:spacing w:after="0"/>
                            <w:rPr>
                              <w:rFonts w:ascii="Aptos" w:eastAsia="Aptos" w:hAnsi="Aptos" w:cs="Aptos"/>
                              <w:noProof/>
                              <w:color w:val="FF0000"/>
                              <w:szCs w:val="24"/>
                            </w:rPr>
                          </w:pPr>
                          <w:r w:rsidRPr="0025748A">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8B8696"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5962774B" w14:textId="31876FD5" w:rsidR="0025748A" w:rsidRPr="0025748A" w:rsidRDefault="0025748A" w:rsidP="0025748A">
                    <w:pPr>
                      <w:spacing w:after="0"/>
                      <w:rPr>
                        <w:rFonts w:ascii="Aptos" w:eastAsia="Aptos" w:hAnsi="Aptos" w:cs="Aptos"/>
                        <w:noProof/>
                        <w:color w:val="FF0000"/>
                        <w:szCs w:val="24"/>
                      </w:rPr>
                    </w:pPr>
                    <w:r w:rsidRPr="0025748A">
                      <w:rPr>
                        <w:rFonts w:ascii="Aptos" w:eastAsia="Aptos" w:hAnsi="Aptos" w:cs="Aptos"/>
                        <w:noProof/>
                        <w:color w:val="FF0000"/>
                        <w:szCs w:val="24"/>
                      </w:rPr>
                      <w:t>OFFICIAL</w:t>
                    </w:r>
                  </w:p>
                </w:txbxContent>
              </v:textbox>
              <w10:wrap anchorx="page" anchory="page"/>
            </v:shape>
          </w:pict>
        </mc:Fallback>
      </mc:AlternateContent>
    </w:r>
    <w:r w:rsidR="00640137" w:rsidRPr="00640137">
      <w:rPr>
        <w:i/>
        <w:iCs/>
      </w:rPr>
      <w:t xml:space="preserve">Public Summary Document </w:t>
    </w:r>
    <w:r w:rsidR="001058FC" w:rsidRPr="00835320">
      <w:rPr>
        <w:i/>
        <w:iCs/>
      </w:rPr>
      <w:t>– March 2025 PBAC Meeting</w:t>
    </w:r>
    <w:r w:rsidR="005A36AA" w:rsidRPr="005A36AA">
      <w:t xml:space="preserve"> </w:t>
    </w:r>
    <w:r w:rsidR="005A36AA" w:rsidRPr="005A36AA">
      <w:rPr>
        <w:i/>
        <w:iCs/>
      </w:rPr>
      <w:t xml:space="preserve">with ADDENDUM </w:t>
    </w:r>
    <w:r w:rsidR="008D7738">
      <w:rPr>
        <w:i/>
        <w:iCs/>
      </w:rPr>
      <w:t>September</w:t>
    </w:r>
    <w:r w:rsidR="005A36AA" w:rsidRPr="005A36AA">
      <w:rPr>
        <w:i/>
        <w:iCs/>
      </w:rPr>
      <w:t>-2025</w:t>
    </w:r>
    <w:r w:rsidR="005A36AA">
      <w:rPr>
        <w:i/>
        <w:iCs/>
      </w:rPr>
      <w:t xml:space="preserve"> </w:t>
    </w:r>
  </w:p>
  <w:p w14:paraId="6E2209E8" w14:textId="77777777" w:rsidR="00C96DE4" w:rsidRPr="001058FC" w:rsidRDefault="00C96DE4" w:rsidP="001058FC">
    <w:pPr>
      <w:pStyle w:val="Footer"/>
      <w:jc w:val="cent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300B" w14:textId="78DD51A3" w:rsidR="00BC7731" w:rsidRPr="00835320" w:rsidRDefault="0025748A" w:rsidP="00BC7731">
    <w:pPr>
      <w:pStyle w:val="Header"/>
      <w:jc w:val="center"/>
      <w:rPr>
        <w:i/>
        <w:iCs/>
      </w:rPr>
    </w:pPr>
    <w:r>
      <w:rPr>
        <w:i/>
        <w:iCs/>
        <w:noProof/>
      </w:rPr>
      <mc:AlternateContent>
        <mc:Choice Requires="wps">
          <w:drawing>
            <wp:anchor distT="0" distB="0" distL="0" distR="0" simplePos="0" relativeHeight="251658240" behindDoc="0" locked="0" layoutInCell="1" allowOverlap="1" wp14:anchorId="5D91E222" wp14:editId="1F53E3B1">
              <wp:simplePos x="635" y="635"/>
              <wp:positionH relativeFrom="page">
                <wp:align>center</wp:align>
              </wp:positionH>
              <wp:positionV relativeFrom="page">
                <wp:align>top</wp:align>
              </wp:positionV>
              <wp:extent cx="622300" cy="452755"/>
              <wp:effectExtent l="0" t="0" r="6350" b="4445"/>
              <wp:wrapNone/>
              <wp:docPr id="77934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6C9645D" w14:textId="571C305B" w:rsidR="0025748A" w:rsidRPr="0025748A" w:rsidRDefault="0025748A" w:rsidP="0025748A">
                          <w:pPr>
                            <w:spacing w:after="0"/>
                            <w:rPr>
                              <w:rFonts w:ascii="Aptos" w:eastAsia="Aptos" w:hAnsi="Aptos" w:cs="Aptos"/>
                              <w:noProof/>
                              <w:color w:val="FF0000"/>
                              <w:szCs w:val="24"/>
                            </w:rPr>
                          </w:pPr>
                          <w:r w:rsidRPr="0025748A">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91E222"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textbox style="mso-fit-shape-to-text:t" inset="0,15pt,0,0">
                <w:txbxContent>
                  <w:p w14:paraId="66C9645D" w14:textId="571C305B" w:rsidR="0025748A" w:rsidRPr="0025748A" w:rsidRDefault="0025748A" w:rsidP="0025748A">
                    <w:pPr>
                      <w:spacing w:after="0"/>
                      <w:rPr>
                        <w:rFonts w:ascii="Aptos" w:eastAsia="Aptos" w:hAnsi="Aptos" w:cs="Aptos"/>
                        <w:noProof/>
                        <w:color w:val="FF0000"/>
                        <w:szCs w:val="24"/>
                      </w:rPr>
                    </w:pPr>
                    <w:r w:rsidRPr="0025748A">
                      <w:rPr>
                        <w:rFonts w:ascii="Aptos" w:eastAsia="Aptos" w:hAnsi="Aptos" w:cs="Aptos"/>
                        <w:noProof/>
                        <w:color w:val="FF0000"/>
                        <w:szCs w:val="24"/>
                      </w:rPr>
                      <w:t>OFFICIAL</w:t>
                    </w:r>
                  </w:p>
                </w:txbxContent>
              </v:textbox>
              <w10:wrap anchorx="page" anchory="page"/>
            </v:shape>
          </w:pict>
        </mc:Fallback>
      </mc:AlternateContent>
    </w:r>
    <w:r w:rsidR="00BC7731" w:rsidRPr="00835320">
      <w:rPr>
        <w:i/>
        <w:iCs/>
      </w:rPr>
      <w:t>Draft Minutes Template – March 2025 PBAC Meeting</w:t>
    </w:r>
  </w:p>
  <w:p w14:paraId="1D00C9DD" w14:textId="59351556" w:rsidR="00C12402" w:rsidRPr="00BC7731" w:rsidRDefault="00BC7731" w:rsidP="00BC7731">
    <w:pPr>
      <w:pStyle w:val="Footer"/>
      <w:jc w:val="center"/>
      <w:rPr>
        <w:i/>
        <w:iCs/>
      </w:rPr>
    </w:pPr>
    <w:r w:rsidRPr="00835320">
      <w:rPr>
        <w:i/>
        <w:iCs/>
      </w:rPr>
      <w:t>Commercial-In-Confidence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EF624B1C"/>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00403F22"/>
    <w:multiLevelType w:val="hybridMultilevel"/>
    <w:tmpl w:val="D97CF3B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6C6663"/>
    <w:multiLevelType w:val="hybridMultilevel"/>
    <w:tmpl w:val="8592A1F2"/>
    <w:lvl w:ilvl="0" w:tplc="2BEA0572">
      <w:start w:val="1"/>
      <w:numFmt w:val="bullet"/>
      <w:lvlText w:val=""/>
      <w:lvlJc w:val="left"/>
      <w:pPr>
        <w:ind w:left="720" w:hanging="360"/>
      </w:pPr>
      <w:rPr>
        <w:rFonts w:ascii="Symbol" w:hAnsi="Symbol"/>
      </w:rPr>
    </w:lvl>
    <w:lvl w:ilvl="1" w:tplc="64E66C76">
      <w:start w:val="1"/>
      <w:numFmt w:val="bullet"/>
      <w:lvlText w:val=""/>
      <w:lvlJc w:val="left"/>
      <w:pPr>
        <w:ind w:left="720" w:hanging="360"/>
      </w:pPr>
      <w:rPr>
        <w:rFonts w:ascii="Symbol" w:hAnsi="Symbol"/>
      </w:rPr>
    </w:lvl>
    <w:lvl w:ilvl="2" w:tplc="899246FA">
      <w:start w:val="1"/>
      <w:numFmt w:val="bullet"/>
      <w:lvlText w:val=""/>
      <w:lvlJc w:val="left"/>
      <w:pPr>
        <w:ind w:left="720" w:hanging="360"/>
      </w:pPr>
      <w:rPr>
        <w:rFonts w:ascii="Symbol" w:hAnsi="Symbol"/>
      </w:rPr>
    </w:lvl>
    <w:lvl w:ilvl="3" w:tplc="532C10D2">
      <w:start w:val="1"/>
      <w:numFmt w:val="bullet"/>
      <w:lvlText w:val=""/>
      <w:lvlJc w:val="left"/>
      <w:pPr>
        <w:ind w:left="720" w:hanging="360"/>
      </w:pPr>
      <w:rPr>
        <w:rFonts w:ascii="Symbol" w:hAnsi="Symbol"/>
      </w:rPr>
    </w:lvl>
    <w:lvl w:ilvl="4" w:tplc="A0BA99F0">
      <w:start w:val="1"/>
      <w:numFmt w:val="bullet"/>
      <w:lvlText w:val=""/>
      <w:lvlJc w:val="left"/>
      <w:pPr>
        <w:ind w:left="720" w:hanging="360"/>
      </w:pPr>
      <w:rPr>
        <w:rFonts w:ascii="Symbol" w:hAnsi="Symbol"/>
      </w:rPr>
    </w:lvl>
    <w:lvl w:ilvl="5" w:tplc="0DB09B32">
      <w:start w:val="1"/>
      <w:numFmt w:val="bullet"/>
      <w:lvlText w:val=""/>
      <w:lvlJc w:val="left"/>
      <w:pPr>
        <w:ind w:left="720" w:hanging="360"/>
      </w:pPr>
      <w:rPr>
        <w:rFonts w:ascii="Symbol" w:hAnsi="Symbol"/>
      </w:rPr>
    </w:lvl>
    <w:lvl w:ilvl="6" w:tplc="7206EF4A">
      <w:start w:val="1"/>
      <w:numFmt w:val="bullet"/>
      <w:lvlText w:val=""/>
      <w:lvlJc w:val="left"/>
      <w:pPr>
        <w:ind w:left="720" w:hanging="360"/>
      </w:pPr>
      <w:rPr>
        <w:rFonts w:ascii="Symbol" w:hAnsi="Symbol"/>
      </w:rPr>
    </w:lvl>
    <w:lvl w:ilvl="7" w:tplc="A1A02778">
      <w:start w:val="1"/>
      <w:numFmt w:val="bullet"/>
      <w:lvlText w:val=""/>
      <w:lvlJc w:val="left"/>
      <w:pPr>
        <w:ind w:left="720" w:hanging="360"/>
      </w:pPr>
      <w:rPr>
        <w:rFonts w:ascii="Symbol" w:hAnsi="Symbol"/>
      </w:rPr>
    </w:lvl>
    <w:lvl w:ilvl="8" w:tplc="756ADF44">
      <w:start w:val="1"/>
      <w:numFmt w:val="bullet"/>
      <w:lvlText w:val=""/>
      <w:lvlJc w:val="left"/>
      <w:pPr>
        <w:ind w:left="720" w:hanging="360"/>
      </w:pPr>
      <w:rPr>
        <w:rFonts w:ascii="Symbol" w:hAnsi="Symbol"/>
      </w:rPr>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8A073C"/>
    <w:multiLevelType w:val="multilevel"/>
    <w:tmpl w:val="B156A7D0"/>
    <w:styleLink w:val="Style1"/>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asciiTheme="minorHAnsi" w:hAnsiTheme="minorHAnsi" w:hint="default"/>
        <w:b w:val="0"/>
        <w:i w:val="0"/>
        <w:color w:val="auto"/>
        <w:sz w:val="24"/>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3F1894"/>
    <w:multiLevelType w:val="hybridMultilevel"/>
    <w:tmpl w:val="6456D596"/>
    <w:lvl w:ilvl="0" w:tplc="023405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5E833DD"/>
    <w:multiLevelType w:val="hybridMultilevel"/>
    <w:tmpl w:val="2912FFEE"/>
    <w:lvl w:ilvl="0" w:tplc="17E4EA38">
      <w:start w:val="1"/>
      <w:numFmt w:val="bullet"/>
      <w:lvlText w:val=""/>
      <w:lvlJc w:val="left"/>
      <w:pPr>
        <w:ind w:left="720" w:hanging="360"/>
      </w:pPr>
      <w:rPr>
        <w:rFonts w:ascii="Symbol" w:hAnsi="Symbol"/>
      </w:rPr>
    </w:lvl>
    <w:lvl w:ilvl="1" w:tplc="EF947FD4">
      <w:start w:val="1"/>
      <w:numFmt w:val="bullet"/>
      <w:lvlText w:val=""/>
      <w:lvlJc w:val="left"/>
      <w:pPr>
        <w:ind w:left="720" w:hanging="360"/>
      </w:pPr>
      <w:rPr>
        <w:rFonts w:ascii="Symbol" w:hAnsi="Symbol"/>
      </w:rPr>
    </w:lvl>
    <w:lvl w:ilvl="2" w:tplc="FB720D7A">
      <w:start w:val="1"/>
      <w:numFmt w:val="bullet"/>
      <w:lvlText w:val=""/>
      <w:lvlJc w:val="left"/>
      <w:pPr>
        <w:ind w:left="720" w:hanging="360"/>
      </w:pPr>
      <w:rPr>
        <w:rFonts w:ascii="Symbol" w:hAnsi="Symbol"/>
      </w:rPr>
    </w:lvl>
    <w:lvl w:ilvl="3" w:tplc="5DEC7D5A">
      <w:start w:val="1"/>
      <w:numFmt w:val="bullet"/>
      <w:lvlText w:val=""/>
      <w:lvlJc w:val="left"/>
      <w:pPr>
        <w:ind w:left="720" w:hanging="360"/>
      </w:pPr>
      <w:rPr>
        <w:rFonts w:ascii="Symbol" w:hAnsi="Symbol"/>
      </w:rPr>
    </w:lvl>
    <w:lvl w:ilvl="4" w:tplc="4FB09410">
      <w:start w:val="1"/>
      <w:numFmt w:val="bullet"/>
      <w:lvlText w:val=""/>
      <w:lvlJc w:val="left"/>
      <w:pPr>
        <w:ind w:left="720" w:hanging="360"/>
      </w:pPr>
      <w:rPr>
        <w:rFonts w:ascii="Symbol" w:hAnsi="Symbol"/>
      </w:rPr>
    </w:lvl>
    <w:lvl w:ilvl="5" w:tplc="B5643340">
      <w:start w:val="1"/>
      <w:numFmt w:val="bullet"/>
      <w:lvlText w:val=""/>
      <w:lvlJc w:val="left"/>
      <w:pPr>
        <w:ind w:left="720" w:hanging="360"/>
      </w:pPr>
      <w:rPr>
        <w:rFonts w:ascii="Symbol" w:hAnsi="Symbol"/>
      </w:rPr>
    </w:lvl>
    <w:lvl w:ilvl="6" w:tplc="A5DA0BBC">
      <w:start w:val="1"/>
      <w:numFmt w:val="bullet"/>
      <w:lvlText w:val=""/>
      <w:lvlJc w:val="left"/>
      <w:pPr>
        <w:ind w:left="720" w:hanging="360"/>
      </w:pPr>
      <w:rPr>
        <w:rFonts w:ascii="Symbol" w:hAnsi="Symbol"/>
      </w:rPr>
    </w:lvl>
    <w:lvl w:ilvl="7" w:tplc="86CEF32C">
      <w:start w:val="1"/>
      <w:numFmt w:val="bullet"/>
      <w:lvlText w:val=""/>
      <w:lvlJc w:val="left"/>
      <w:pPr>
        <w:ind w:left="720" w:hanging="360"/>
      </w:pPr>
      <w:rPr>
        <w:rFonts w:ascii="Symbol" w:hAnsi="Symbol"/>
      </w:rPr>
    </w:lvl>
    <w:lvl w:ilvl="8" w:tplc="5EE60FAC">
      <w:start w:val="1"/>
      <w:numFmt w:val="bullet"/>
      <w:lvlText w:val=""/>
      <w:lvlJc w:val="left"/>
      <w:pPr>
        <w:ind w:left="720" w:hanging="360"/>
      </w:pPr>
      <w:rPr>
        <w:rFonts w:ascii="Symbol" w:hAnsi="Symbol"/>
      </w:rPr>
    </w:lvl>
  </w:abstractNum>
  <w:abstractNum w:abstractNumId="7" w15:restartNumberingAfterBreak="0">
    <w:nsid w:val="070743FF"/>
    <w:multiLevelType w:val="hybridMultilevel"/>
    <w:tmpl w:val="A35C89B6"/>
    <w:lvl w:ilvl="0" w:tplc="86003412">
      <w:start w:val="1"/>
      <w:numFmt w:val="bullet"/>
      <w:lvlText w:val=""/>
      <w:lvlJc w:val="left"/>
      <w:pPr>
        <w:ind w:left="720" w:hanging="360"/>
      </w:pPr>
      <w:rPr>
        <w:rFonts w:ascii="Symbol" w:hAnsi="Symbol"/>
      </w:rPr>
    </w:lvl>
    <w:lvl w:ilvl="1" w:tplc="FE965C54">
      <w:start w:val="1"/>
      <w:numFmt w:val="bullet"/>
      <w:lvlText w:val=""/>
      <w:lvlJc w:val="left"/>
      <w:pPr>
        <w:ind w:left="720" w:hanging="360"/>
      </w:pPr>
      <w:rPr>
        <w:rFonts w:ascii="Symbol" w:hAnsi="Symbol"/>
      </w:rPr>
    </w:lvl>
    <w:lvl w:ilvl="2" w:tplc="9B48B760">
      <w:start w:val="1"/>
      <w:numFmt w:val="bullet"/>
      <w:lvlText w:val=""/>
      <w:lvlJc w:val="left"/>
      <w:pPr>
        <w:ind w:left="720" w:hanging="360"/>
      </w:pPr>
      <w:rPr>
        <w:rFonts w:ascii="Symbol" w:hAnsi="Symbol"/>
      </w:rPr>
    </w:lvl>
    <w:lvl w:ilvl="3" w:tplc="9488A8B4">
      <w:start w:val="1"/>
      <w:numFmt w:val="bullet"/>
      <w:lvlText w:val=""/>
      <w:lvlJc w:val="left"/>
      <w:pPr>
        <w:ind w:left="720" w:hanging="360"/>
      </w:pPr>
      <w:rPr>
        <w:rFonts w:ascii="Symbol" w:hAnsi="Symbol"/>
      </w:rPr>
    </w:lvl>
    <w:lvl w:ilvl="4" w:tplc="A0D805C0">
      <w:start w:val="1"/>
      <w:numFmt w:val="bullet"/>
      <w:lvlText w:val=""/>
      <w:lvlJc w:val="left"/>
      <w:pPr>
        <w:ind w:left="720" w:hanging="360"/>
      </w:pPr>
      <w:rPr>
        <w:rFonts w:ascii="Symbol" w:hAnsi="Symbol"/>
      </w:rPr>
    </w:lvl>
    <w:lvl w:ilvl="5" w:tplc="DF3EF736">
      <w:start w:val="1"/>
      <w:numFmt w:val="bullet"/>
      <w:lvlText w:val=""/>
      <w:lvlJc w:val="left"/>
      <w:pPr>
        <w:ind w:left="720" w:hanging="360"/>
      </w:pPr>
      <w:rPr>
        <w:rFonts w:ascii="Symbol" w:hAnsi="Symbol"/>
      </w:rPr>
    </w:lvl>
    <w:lvl w:ilvl="6" w:tplc="6A1E99AC">
      <w:start w:val="1"/>
      <w:numFmt w:val="bullet"/>
      <w:lvlText w:val=""/>
      <w:lvlJc w:val="left"/>
      <w:pPr>
        <w:ind w:left="720" w:hanging="360"/>
      </w:pPr>
      <w:rPr>
        <w:rFonts w:ascii="Symbol" w:hAnsi="Symbol"/>
      </w:rPr>
    </w:lvl>
    <w:lvl w:ilvl="7" w:tplc="D7603814">
      <w:start w:val="1"/>
      <w:numFmt w:val="bullet"/>
      <w:lvlText w:val=""/>
      <w:lvlJc w:val="left"/>
      <w:pPr>
        <w:ind w:left="720" w:hanging="360"/>
      </w:pPr>
      <w:rPr>
        <w:rFonts w:ascii="Symbol" w:hAnsi="Symbol"/>
      </w:rPr>
    </w:lvl>
    <w:lvl w:ilvl="8" w:tplc="D63E8148">
      <w:start w:val="1"/>
      <w:numFmt w:val="bullet"/>
      <w:lvlText w:val=""/>
      <w:lvlJc w:val="left"/>
      <w:pPr>
        <w:ind w:left="720" w:hanging="360"/>
      </w:pPr>
      <w:rPr>
        <w:rFonts w:ascii="Symbol" w:hAnsi="Symbol"/>
      </w:rPr>
    </w:lvl>
  </w:abstractNum>
  <w:abstractNum w:abstractNumId="8"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2B6FDA"/>
    <w:multiLevelType w:val="hybridMultilevel"/>
    <w:tmpl w:val="B1102098"/>
    <w:lvl w:ilvl="0" w:tplc="A7BC43DC">
      <w:start w:val="1"/>
      <w:numFmt w:val="bullet"/>
      <w:lvlText w:val=""/>
      <w:lvlJc w:val="left"/>
      <w:pPr>
        <w:ind w:left="1080" w:hanging="360"/>
      </w:pPr>
      <w:rPr>
        <w:rFonts w:ascii="Symbol" w:hAnsi="Symbol"/>
      </w:rPr>
    </w:lvl>
    <w:lvl w:ilvl="1" w:tplc="BF6412F8">
      <w:start w:val="1"/>
      <w:numFmt w:val="bullet"/>
      <w:lvlText w:val=""/>
      <w:lvlJc w:val="left"/>
      <w:pPr>
        <w:ind w:left="1080" w:hanging="360"/>
      </w:pPr>
      <w:rPr>
        <w:rFonts w:ascii="Symbol" w:hAnsi="Symbol"/>
      </w:rPr>
    </w:lvl>
    <w:lvl w:ilvl="2" w:tplc="23F247A4">
      <w:start w:val="1"/>
      <w:numFmt w:val="bullet"/>
      <w:lvlText w:val=""/>
      <w:lvlJc w:val="left"/>
      <w:pPr>
        <w:ind w:left="1080" w:hanging="360"/>
      </w:pPr>
      <w:rPr>
        <w:rFonts w:ascii="Symbol" w:hAnsi="Symbol"/>
      </w:rPr>
    </w:lvl>
    <w:lvl w:ilvl="3" w:tplc="EE8AE8D6">
      <w:start w:val="1"/>
      <w:numFmt w:val="bullet"/>
      <w:lvlText w:val=""/>
      <w:lvlJc w:val="left"/>
      <w:pPr>
        <w:ind w:left="1080" w:hanging="360"/>
      </w:pPr>
      <w:rPr>
        <w:rFonts w:ascii="Symbol" w:hAnsi="Symbol"/>
      </w:rPr>
    </w:lvl>
    <w:lvl w:ilvl="4" w:tplc="F9D860B8">
      <w:start w:val="1"/>
      <w:numFmt w:val="bullet"/>
      <w:lvlText w:val=""/>
      <w:lvlJc w:val="left"/>
      <w:pPr>
        <w:ind w:left="1080" w:hanging="360"/>
      </w:pPr>
      <w:rPr>
        <w:rFonts w:ascii="Symbol" w:hAnsi="Symbol"/>
      </w:rPr>
    </w:lvl>
    <w:lvl w:ilvl="5" w:tplc="106080A8">
      <w:start w:val="1"/>
      <w:numFmt w:val="bullet"/>
      <w:lvlText w:val=""/>
      <w:lvlJc w:val="left"/>
      <w:pPr>
        <w:ind w:left="1080" w:hanging="360"/>
      </w:pPr>
      <w:rPr>
        <w:rFonts w:ascii="Symbol" w:hAnsi="Symbol"/>
      </w:rPr>
    </w:lvl>
    <w:lvl w:ilvl="6" w:tplc="135299AC">
      <w:start w:val="1"/>
      <w:numFmt w:val="bullet"/>
      <w:lvlText w:val=""/>
      <w:lvlJc w:val="left"/>
      <w:pPr>
        <w:ind w:left="1080" w:hanging="360"/>
      </w:pPr>
      <w:rPr>
        <w:rFonts w:ascii="Symbol" w:hAnsi="Symbol"/>
      </w:rPr>
    </w:lvl>
    <w:lvl w:ilvl="7" w:tplc="F3E0991C">
      <w:start w:val="1"/>
      <w:numFmt w:val="bullet"/>
      <w:lvlText w:val=""/>
      <w:lvlJc w:val="left"/>
      <w:pPr>
        <w:ind w:left="1080" w:hanging="360"/>
      </w:pPr>
      <w:rPr>
        <w:rFonts w:ascii="Symbol" w:hAnsi="Symbol"/>
      </w:rPr>
    </w:lvl>
    <w:lvl w:ilvl="8" w:tplc="5CF22356">
      <w:start w:val="1"/>
      <w:numFmt w:val="bullet"/>
      <w:lvlText w:val=""/>
      <w:lvlJc w:val="left"/>
      <w:pPr>
        <w:ind w:left="1080" w:hanging="360"/>
      </w:pPr>
      <w:rPr>
        <w:rFonts w:ascii="Symbol" w:hAnsi="Symbol"/>
      </w:rPr>
    </w:lvl>
  </w:abstractNum>
  <w:abstractNum w:abstractNumId="10" w15:restartNumberingAfterBreak="0">
    <w:nsid w:val="09617AC2"/>
    <w:multiLevelType w:val="multilevel"/>
    <w:tmpl w:val="2EC0CD32"/>
    <w:lvl w:ilvl="0">
      <w:start w:val="1"/>
      <w:numFmt w:val="bullet"/>
      <w:pStyle w:val="MainBodyBulletPoint"/>
      <w:lvlText w:val=""/>
      <w:lvlJc w:val="left"/>
      <w:pPr>
        <w:ind w:left="1080" w:hanging="360"/>
      </w:pPr>
      <w:rPr>
        <w:rFonts w:ascii="Symbol" w:hAnsi="Symbol" w:hint="default"/>
      </w:rPr>
    </w:lvl>
    <w:lvl w:ilvl="1">
      <w:start w:val="1"/>
      <w:numFmt w:val="bullet"/>
      <w:lvlText w:val="o"/>
      <w:lvlJc w:val="left"/>
      <w:pPr>
        <w:ind w:left="1684"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1848CD"/>
    <w:multiLevelType w:val="hybridMultilevel"/>
    <w:tmpl w:val="3D7AD9D6"/>
    <w:lvl w:ilvl="0" w:tplc="A38CB382">
      <w:start w:val="1"/>
      <w:numFmt w:val="bullet"/>
      <w:lvlText w:val=""/>
      <w:lvlJc w:val="left"/>
      <w:pPr>
        <w:ind w:left="720" w:hanging="360"/>
      </w:pPr>
      <w:rPr>
        <w:rFonts w:ascii="Symbol" w:hAnsi="Symbol"/>
      </w:rPr>
    </w:lvl>
    <w:lvl w:ilvl="1" w:tplc="12A216D0">
      <w:start w:val="1"/>
      <w:numFmt w:val="bullet"/>
      <w:lvlText w:val=""/>
      <w:lvlJc w:val="left"/>
      <w:pPr>
        <w:ind w:left="720" w:hanging="360"/>
      </w:pPr>
      <w:rPr>
        <w:rFonts w:ascii="Symbol" w:hAnsi="Symbol"/>
      </w:rPr>
    </w:lvl>
    <w:lvl w:ilvl="2" w:tplc="676E3D1A">
      <w:start w:val="1"/>
      <w:numFmt w:val="bullet"/>
      <w:lvlText w:val=""/>
      <w:lvlJc w:val="left"/>
      <w:pPr>
        <w:ind w:left="720" w:hanging="360"/>
      </w:pPr>
      <w:rPr>
        <w:rFonts w:ascii="Symbol" w:hAnsi="Symbol"/>
      </w:rPr>
    </w:lvl>
    <w:lvl w:ilvl="3" w:tplc="74B48AEE">
      <w:start w:val="1"/>
      <w:numFmt w:val="bullet"/>
      <w:lvlText w:val=""/>
      <w:lvlJc w:val="left"/>
      <w:pPr>
        <w:ind w:left="720" w:hanging="360"/>
      </w:pPr>
      <w:rPr>
        <w:rFonts w:ascii="Symbol" w:hAnsi="Symbol"/>
      </w:rPr>
    </w:lvl>
    <w:lvl w:ilvl="4" w:tplc="723A85F6">
      <w:start w:val="1"/>
      <w:numFmt w:val="bullet"/>
      <w:lvlText w:val=""/>
      <w:lvlJc w:val="left"/>
      <w:pPr>
        <w:ind w:left="720" w:hanging="360"/>
      </w:pPr>
      <w:rPr>
        <w:rFonts w:ascii="Symbol" w:hAnsi="Symbol"/>
      </w:rPr>
    </w:lvl>
    <w:lvl w:ilvl="5" w:tplc="964679CC">
      <w:start w:val="1"/>
      <w:numFmt w:val="bullet"/>
      <w:lvlText w:val=""/>
      <w:lvlJc w:val="left"/>
      <w:pPr>
        <w:ind w:left="720" w:hanging="360"/>
      </w:pPr>
      <w:rPr>
        <w:rFonts w:ascii="Symbol" w:hAnsi="Symbol"/>
      </w:rPr>
    </w:lvl>
    <w:lvl w:ilvl="6" w:tplc="2800E4C0">
      <w:start w:val="1"/>
      <w:numFmt w:val="bullet"/>
      <w:lvlText w:val=""/>
      <w:lvlJc w:val="left"/>
      <w:pPr>
        <w:ind w:left="720" w:hanging="360"/>
      </w:pPr>
      <w:rPr>
        <w:rFonts w:ascii="Symbol" w:hAnsi="Symbol"/>
      </w:rPr>
    </w:lvl>
    <w:lvl w:ilvl="7" w:tplc="4208B334">
      <w:start w:val="1"/>
      <w:numFmt w:val="bullet"/>
      <w:lvlText w:val=""/>
      <w:lvlJc w:val="left"/>
      <w:pPr>
        <w:ind w:left="720" w:hanging="360"/>
      </w:pPr>
      <w:rPr>
        <w:rFonts w:ascii="Symbol" w:hAnsi="Symbol"/>
      </w:rPr>
    </w:lvl>
    <w:lvl w:ilvl="8" w:tplc="7C0C411C">
      <w:start w:val="1"/>
      <w:numFmt w:val="bullet"/>
      <w:lvlText w:val=""/>
      <w:lvlJc w:val="left"/>
      <w:pPr>
        <w:ind w:left="720" w:hanging="360"/>
      </w:pPr>
      <w:rPr>
        <w:rFonts w:ascii="Symbol" w:hAnsi="Symbol"/>
      </w:rPr>
    </w:lvl>
  </w:abstractNum>
  <w:abstractNum w:abstractNumId="13" w15:restartNumberingAfterBreak="0">
    <w:nsid w:val="0FC8240B"/>
    <w:multiLevelType w:val="hybridMultilevel"/>
    <w:tmpl w:val="C96A6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482B50"/>
    <w:multiLevelType w:val="hybridMultilevel"/>
    <w:tmpl w:val="9B186174"/>
    <w:lvl w:ilvl="0" w:tplc="01602A08">
      <w:start w:val="1"/>
      <w:numFmt w:val="bullet"/>
      <w:lvlText w:val=""/>
      <w:lvlJc w:val="left"/>
      <w:pPr>
        <w:ind w:left="720" w:hanging="360"/>
      </w:pPr>
      <w:rPr>
        <w:rFonts w:ascii="Symbol" w:hAnsi="Symbol"/>
      </w:rPr>
    </w:lvl>
    <w:lvl w:ilvl="1" w:tplc="F1864888">
      <w:start w:val="1"/>
      <w:numFmt w:val="bullet"/>
      <w:lvlText w:val=""/>
      <w:lvlJc w:val="left"/>
      <w:pPr>
        <w:ind w:left="720" w:hanging="360"/>
      </w:pPr>
      <w:rPr>
        <w:rFonts w:ascii="Symbol" w:hAnsi="Symbol"/>
      </w:rPr>
    </w:lvl>
    <w:lvl w:ilvl="2" w:tplc="F2568722">
      <w:start w:val="1"/>
      <w:numFmt w:val="bullet"/>
      <w:lvlText w:val=""/>
      <w:lvlJc w:val="left"/>
      <w:pPr>
        <w:ind w:left="720" w:hanging="360"/>
      </w:pPr>
      <w:rPr>
        <w:rFonts w:ascii="Symbol" w:hAnsi="Symbol"/>
      </w:rPr>
    </w:lvl>
    <w:lvl w:ilvl="3" w:tplc="988E290E">
      <w:start w:val="1"/>
      <w:numFmt w:val="bullet"/>
      <w:lvlText w:val=""/>
      <w:lvlJc w:val="left"/>
      <w:pPr>
        <w:ind w:left="720" w:hanging="360"/>
      </w:pPr>
      <w:rPr>
        <w:rFonts w:ascii="Symbol" w:hAnsi="Symbol"/>
      </w:rPr>
    </w:lvl>
    <w:lvl w:ilvl="4" w:tplc="8CAAFCFA">
      <w:start w:val="1"/>
      <w:numFmt w:val="bullet"/>
      <w:lvlText w:val=""/>
      <w:lvlJc w:val="left"/>
      <w:pPr>
        <w:ind w:left="720" w:hanging="360"/>
      </w:pPr>
      <w:rPr>
        <w:rFonts w:ascii="Symbol" w:hAnsi="Symbol"/>
      </w:rPr>
    </w:lvl>
    <w:lvl w:ilvl="5" w:tplc="CC4E4E18">
      <w:start w:val="1"/>
      <w:numFmt w:val="bullet"/>
      <w:lvlText w:val=""/>
      <w:lvlJc w:val="left"/>
      <w:pPr>
        <w:ind w:left="720" w:hanging="360"/>
      </w:pPr>
      <w:rPr>
        <w:rFonts w:ascii="Symbol" w:hAnsi="Symbol"/>
      </w:rPr>
    </w:lvl>
    <w:lvl w:ilvl="6" w:tplc="4BE8950C">
      <w:start w:val="1"/>
      <w:numFmt w:val="bullet"/>
      <w:lvlText w:val=""/>
      <w:lvlJc w:val="left"/>
      <w:pPr>
        <w:ind w:left="720" w:hanging="360"/>
      </w:pPr>
      <w:rPr>
        <w:rFonts w:ascii="Symbol" w:hAnsi="Symbol"/>
      </w:rPr>
    </w:lvl>
    <w:lvl w:ilvl="7" w:tplc="71CE4818">
      <w:start w:val="1"/>
      <w:numFmt w:val="bullet"/>
      <w:lvlText w:val=""/>
      <w:lvlJc w:val="left"/>
      <w:pPr>
        <w:ind w:left="720" w:hanging="360"/>
      </w:pPr>
      <w:rPr>
        <w:rFonts w:ascii="Symbol" w:hAnsi="Symbol"/>
      </w:rPr>
    </w:lvl>
    <w:lvl w:ilvl="8" w:tplc="37E83978">
      <w:start w:val="1"/>
      <w:numFmt w:val="bullet"/>
      <w:lvlText w:val=""/>
      <w:lvlJc w:val="left"/>
      <w:pPr>
        <w:ind w:left="720" w:hanging="360"/>
      </w:pPr>
      <w:rPr>
        <w:rFonts w:ascii="Symbol" w:hAnsi="Symbol"/>
      </w:rPr>
    </w:lvl>
  </w:abstractNum>
  <w:abstractNum w:abstractNumId="16" w15:restartNumberingAfterBreak="0">
    <w:nsid w:val="1161720A"/>
    <w:multiLevelType w:val="hybridMultilevel"/>
    <w:tmpl w:val="96DE5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634013"/>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15354C71"/>
    <w:multiLevelType w:val="multilevel"/>
    <w:tmpl w:val="8122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4D6A1A"/>
    <w:multiLevelType w:val="hybridMultilevel"/>
    <w:tmpl w:val="8EAA9A18"/>
    <w:lvl w:ilvl="0" w:tplc="1F100062">
      <w:start w:val="1"/>
      <w:numFmt w:val="bullet"/>
      <w:lvlText w:val=""/>
      <w:lvlJc w:val="left"/>
      <w:pPr>
        <w:tabs>
          <w:tab w:val="num" w:pos="720"/>
        </w:tabs>
        <w:ind w:left="720" w:hanging="360"/>
      </w:pPr>
      <w:rPr>
        <w:rFonts w:ascii="Symbol" w:hAnsi="Symbol" w:hint="default"/>
      </w:rPr>
    </w:lvl>
    <w:lvl w:ilvl="1" w:tplc="2CEEED8E" w:tentative="1">
      <w:start w:val="1"/>
      <w:numFmt w:val="bullet"/>
      <w:lvlText w:val=""/>
      <w:lvlJc w:val="left"/>
      <w:pPr>
        <w:tabs>
          <w:tab w:val="num" w:pos="1440"/>
        </w:tabs>
        <w:ind w:left="1440" w:hanging="360"/>
      </w:pPr>
      <w:rPr>
        <w:rFonts w:ascii="Symbol" w:hAnsi="Symbol" w:hint="default"/>
      </w:rPr>
    </w:lvl>
    <w:lvl w:ilvl="2" w:tplc="232CB2A4" w:tentative="1">
      <w:start w:val="1"/>
      <w:numFmt w:val="bullet"/>
      <w:lvlText w:val=""/>
      <w:lvlJc w:val="left"/>
      <w:pPr>
        <w:tabs>
          <w:tab w:val="num" w:pos="2160"/>
        </w:tabs>
        <w:ind w:left="2160" w:hanging="360"/>
      </w:pPr>
      <w:rPr>
        <w:rFonts w:ascii="Symbol" w:hAnsi="Symbol" w:hint="default"/>
      </w:rPr>
    </w:lvl>
    <w:lvl w:ilvl="3" w:tplc="D53A8C6E" w:tentative="1">
      <w:start w:val="1"/>
      <w:numFmt w:val="bullet"/>
      <w:lvlText w:val=""/>
      <w:lvlJc w:val="left"/>
      <w:pPr>
        <w:tabs>
          <w:tab w:val="num" w:pos="2880"/>
        </w:tabs>
        <w:ind w:left="2880" w:hanging="360"/>
      </w:pPr>
      <w:rPr>
        <w:rFonts w:ascii="Symbol" w:hAnsi="Symbol" w:hint="default"/>
      </w:rPr>
    </w:lvl>
    <w:lvl w:ilvl="4" w:tplc="C1D45F40" w:tentative="1">
      <w:start w:val="1"/>
      <w:numFmt w:val="bullet"/>
      <w:lvlText w:val=""/>
      <w:lvlJc w:val="left"/>
      <w:pPr>
        <w:tabs>
          <w:tab w:val="num" w:pos="3600"/>
        </w:tabs>
        <w:ind w:left="3600" w:hanging="360"/>
      </w:pPr>
      <w:rPr>
        <w:rFonts w:ascii="Symbol" w:hAnsi="Symbol" w:hint="default"/>
      </w:rPr>
    </w:lvl>
    <w:lvl w:ilvl="5" w:tplc="857C8DB2" w:tentative="1">
      <w:start w:val="1"/>
      <w:numFmt w:val="bullet"/>
      <w:lvlText w:val=""/>
      <w:lvlJc w:val="left"/>
      <w:pPr>
        <w:tabs>
          <w:tab w:val="num" w:pos="4320"/>
        </w:tabs>
        <w:ind w:left="4320" w:hanging="360"/>
      </w:pPr>
      <w:rPr>
        <w:rFonts w:ascii="Symbol" w:hAnsi="Symbol" w:hint="default"/>
      </w:rPr>
    </w:lvl>
    <w:lvl w:ilvl="6" w:tplc="8A2EB0E2" w:tentative="1">
      <w:start w:val="1"/>
      <w:numFmt w:val="bullet"/>
      <w:lvlText w:val=""/>
      <w:lvlJc w:val="left"/>
      <w:pPr>
        <w:tabs>
          <w:tab w:val="num" w:pos="5040"/>
        </w:tabs>
        <w:ind w:left="5040" w:hanging="360"/>
      </w:pPr>
      <w:rPr>
        <w:rFonts w:ascii="Symbol" w:hAnsi="Symbol" w:hint="default"/>
      </w:rPr>
    </w:lvl>
    <w:lvl w:ilvl="7" w:tplc="5B44D8E8" w:tentative="1">
      <w:start w:val="1"/>
      <w:numFmt w:val="bullet"/>
      <w:lvlText w:val=""/>
      <w:lvlJc w:val="left"/>
      <w:pPr>
        <w:tabs>
          <w:tab w:val="num" w:pos="5760"/>
        </w:tabs>
        <w:ind w:left="5760" w:hanging="360"/>
      </w:pPr>
      <w:rPr>
        <w:rFonts w:ascii="Symbol" w:hAnsi="Symbol" w:hint="default"/>
      </w:rPr>
    </w:lvl>
    <w:lvl w:ilvl="8" w:tplc="D38C589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17072181"/>
    <w:multiLevelType w:val="hybridMultilevel"/>
    <w:tmpl w:val="72605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7A13F97"/>
    <w:multiLevelType w:val="hybridMultilevel"/>
    <w:tmpl w:val="9F2C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A490F8C"/>
    <w:multiLevelType w:val="multilevel"/>
    <w:tmpl w:val="B3ECD226"/>
    <w:lvl w:ilvl="0">
      <w:start w:val="1"/>
      <w:numFmt w:val="decimal"/>
      <w:pStyle w:val="Heading1"/>
      <w:lvlText w:val="%1"/>
      <w:lvlJc w:val="left"/>
      <w:pPr>
        <w:ind w:left="432" w:hanging="432"/>
      </w:pPr>
      <w:rPr>
        <w:rFonts w:hint="default"/>
        <w:b/>
      </w:rPr>
    </w:lvl>
    <w:lvl w:ilvl="1">
      <w:start w:val="1"/>
      <w:numFmt w:val="upperLetter"/>
      <w:pStyle w:val="Heading1subheading"/>
      <w:lvlText w:val="%1%2"/>
      <w:lvlJc w:val="left"/>
      <w:pPr>
        <w:ind w:left="576" w:hanging="576"/>
      </w:pPr>
      <w:rPr>
        <w:rFonts w:hint="default"/>
      </w:rPr>
    </w:lvl>
    <w:lvl w:ilvl="2">
      <w:start w:val="1"/>
      <w:numFmt w:val="decimal"/>
      <w:pStyle w:val="Heading2SECTION2"/>
      <w:lvlText w:val="%1%2.%3"/>
      <w:lvlJc w:val="left"/>
      <w:pPr>
        <w:ind w:left="0" w:firstLine="0"/>
      </w:pPr>
      <w:rPr>
        <w:rFonts w:hint="default"/>
      </w:rPr>
    </w:lvl>
    <w:lvl w:ilvl="3">
      <w:start w:val="1"/>
      <w:numFmt w:val="decimal"/>
      <w:lvlRestart w:val="1"/>
      <w:pStyle w:val="Heading2"/>
      <w:lvlText w:val="%1.%4"/>
      <w:lvlJc w:val="left"/>
      <w:pPr>
        <w:ind w:left="864" w:hanging="864"/>
      </w:pPr>
      <w:rPr>
        <w:rFonts w:hint="default"/>
      </w:rPr>
    </w:lvl>
    <w:lvl w:ilvl="4">
      <w:start w:val="1"/>
      <w:numFmt w:val="decimal"/>
      <w:lvlRestart w:val="3"/>
      <w:pStyle w:val="Heading2Clinical"/>
      <w:lvlText w:val="%1%2.%5"/>
      <w:lvlJc w:val="left"/>
      <w:pPr>
        <w:ind w:left="0" w:firstLine="0"/>
      </w:pPr>
      <w:rPr>
        <w:rFonts w:hint="default"/>
      </w:rPr>
    </w:lvl>
    <w:lvl w:ilvl="5">
      <w:start w:val="1"/>
      <w:numFmt w:val="none"/>
      <w:pStyle w:val="Heading3"/>
      <w:suff w:val="nothing"/>
      <w:lvlText w:val=""/>
      <w:lvlJc w:val="left"/>
      <w:pPr>
        <w:ind w:left="0" w:firstLine="0"/>
      </w:pPr>
      <w:rPr>
        <w:rFonts w:hint="default"/>
      </w:rPr>
    </w:lvl>
    <w:lvl w:ilvl="6">
      <w:start w:val="1"/>
      <w:numFmt w:val="none"/>
      <w:pStyle w:val="Heading4"/>
      <w:suff w:val="nothing"/>
      <w:lvlText w:val=""/>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1B56570E"/>
    <w:multiLevelType w:val="hybridMultilevel"/>
    <w:tmpl w:val="D35C1268"/>
    <w:lvl w:ilvl="0" w:tplc="9CACE232">
      <w:start w:val="1"/>
      <w:numFmt w:val="bullet"/>
      <w:lvlText w:val=""/>
      <w:lvlJc w:val="left"/>
      <w:pPr>
        <w:ind w:left="720" w:hanging="360"/>
      </w:pPr>
      <w:rPr>
        <w:rFonts w:ascii="Symbol" w:hAnsi="Symbol"/>
      </w:rPr>
    </w:lvl>
    <w:lvl w:ilvl="1" w:tplc="508C8946">
      <w:start w:val="1"/>
      <w:numFmt w:val="bullet"/>
      <w:lvlText w:val=""/>
      <w:lvlJc w:val="left"/>
      <w:pPr>
        <w:ind w:left="720" w:hanging="360"/>
      </w:pPr>
      <w:rPr>
        <w:rFonts w:ascii="Symbol" w:hAnsi="Symbol"/>
      </w:rPr>
    </w:lvl>
    <w:lvl w:ilvl="2" w:tplc="AB68438A">
      <w:start w:val="1"/>
      <w:numFmt w:val="bullet"/>
      <w:lvlText w:val=""/>
      <w:lvlJc w:val="left"/>
      <w:pPr>
        <w:ind w:left="720" w:hanging="360"/>
      </w:pPr>
      <w:rPr>
        <w:rFonts w:ascii="Symbol" w:hAnsi="Symbol"/>
      </w:rPr>
    </w:lvl>
    <w:lvl w:ilvl="3" w:tplc="8CB22CE2">
      <w:start w:val="1"/>
      <w:numFmt w:val="bullet"/>
      <w:lvlText w:val=""/>
      <w:lvlJc w:val="left"/>
      <w:pPr>
        <w:ind w:left="720" w:hanging="360"/>
      </w:pPr>
      <w:rPr>
        <w:rFonts w:ascii="Symbol" w:hAnsi="Symbol"/>
      </w:rPr>
    </w:lvl>
    <w:lvl w:ilvl="4" w:tplc="61544D6C">
      <w:start w:val="1"/>
      <w:numFmt w:val="bullet"/>
      <w:lvlText w:val=""/>
      <w:lvlJc w:val="left"/>
      <w:pPr>
        <w:ind w:left="720" w:hanging="360"/>
      </w:pPr>
      <w:rPr>
        <w:rFonts w:ascii="Symbol" w:hAnsi="Symbol"/>
      </w:rPr>
    </w:lvl>
    <w:lvl w:ilvl="5" w:tplc="A94C3942">
      <w:start w:val="1"/>
      <w:numFmt w:val="bullet"/>
      <w:lvlText w:val=""/>
      <w:lvlJc w:val="left"/>
      <w:pPr>
        <w:ind w:left="720" w:hanging="360"/>
      </w:pPr>
      <w:rPr>
        <w:rFonts w:ascii="Symbol" w:hAnsi="Symbol"/>
      </w:rPr>
    </w:lvl>
    <w:lvl w:ilvl="6" w:tplc="084A45A0">
      <w:start w:val="1"/>
      <w:numFmt w:val="bullet"/>
      <w:lvlText w:val=""/>
      <w:lvlJc w:val="left"/>
      <w:pPr>
        <w:ind w:left="720" w:hanging="360"/>
      </w:pPr>
      <w:rPr>
        <w:rFonts w:ascii="Symbol" w:hAnsi="Symbol"/>
      </w:rPr>
    </w:lvl>
    <w:lvl w:ilvl="7" w:tplc="8640C376">
      <w:start w:val="1"/>
      <w:numFmt w:val="bullet"/>
      <w:lvlText w:val=""/>
      <w:lvlJc w:val="left"/>
      <w:pPr>
        <w:ind w:left="720" w:hanging="360"/>
      </w:pPr>
      <w:rPr>
        <w:rFonts w:ascii="Symbol" w:hAnsi="Symbol"/>
      </w:rPr>
    </w:lvl>
    <w:lvl w:ilvl="8" w:tplc="3E28F3F8">
      <w:start w:val="1"/>
      <w:numFmt w:val="bullet"/>
      <w:lvlText w:val=""/>
      <w:lvlJc w:val="left"/>
      <w:pPr>
        <w:ind w:left="720" w:hanging="360"/>
      </w:pPr>
      <w:rPr>
        <w:rFonts w:ascii="Symbol" w:hAnsi="Symbol"/>
      </w:rPr>
    </w:lvl>
  </w:abstractNum>
  <w:abstractNum w:abstractNumId="24" w15:restartNumberingAfterBreak="0">
    <w:nsid w:val="1B864E25"/>
    <w:multiLevelType w:val="multilevel"/>
    <w:tmpl w:val="FFFFFFFF"/>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E5E28A8"/>
    <w:multiLevelType w:val="hybridMultilevel"/>
    <w:tmpl w:val="FB30FD7E"/>
    <w:lvl w:ilvl="0" w:tplc="7BA6F9F2">
      <w:start w:val="1"/>
      <w:numFmt w:val="bullet"/>
      <w:lvlText w:val=""/>
      <w:lvlJc w:val="left"/>
      <w:pPr>
        <w:ind w:left="720" w:hanging="360"/>
      </w:pPr>
      <w:rPr>
        <w:rFonts w:ascii="Symbol" w:hAnsi="Symbol"/>
      </w:rPr>
    </w:lvl>
    <w:lvl w:ilvl="1" w:tplc="81E82354">
      <w:start w:val="1"/>
      <w:numFmt w:val="bullet"/>
      <w:lvlText w:val=""/>
      <w:lvlJc w:val="left"/>
      <w:pPr>
        <w:ind w:left="720" w:hanging="360"/>
      </w:pPr>
      <w:rPr>
        <w:rFonts w:ascii="Symbol" w:hAnsi="Symbol"/>
      </w:rPr>
    </w:lvl>
    <w:lvl w:ilvl="2" w:tplc="9FB2F8AA">
      <w:start w:val="1"/>
      <w:numFmt w:val="bullet"/>
      <w:lvlText w:val=""/>
      <w:lvlJc w:val="left"/>
      <w:pPr>
        <w:ind w:left="720" w:hanging="360"/>
      </w:pPr>
      <w:rPr>
        <w:rFonts w:ascii="Symbol" w:hAnsi="Symbol"/>
      </w:rPr>
    </w:lvl>
    <w:lvl w:ilvl="3" w:tplc="461E484E">
      <w:start w:val="1"/>
      <w:numFmt w:val="bullet"/>
      <w:lvlText w:val=""/>
      <w:lvlJc w:val="left"/>
      <w:pPr>
        <w:ind w:left="720" w:hanging="360"/>
      </w:pPr>
      <w:rPr>
        <w:rFonts w:ascii="Symbol" w:hAnsi="Symbol"/>
      </w:rPr>
    </w:lvl>
    <w:lvl w:ilvl="4" w:tplc="4EC07B28">
      <w:start w:val="1"/>
      <w:numFmt w:val="bullet"/>
      <w:lvlText w:val=""/>
      <w:lvlJc w:val="left"/>
      <w:pPr>
        <w:ind w:left="720" w:hanging="360"/>
      </w:pPr>
      <w:rPr>
        <w:rFonts w:ascii="Symbol" w:hAnsi="Symbol"/>
      </w:rPr>
    </w:lvl>
    <w:lvl w:ilvl="5" w:tplc="29D89BCC">
      <w:start w:val="1"/>
      <w:numFmt w:val="bullet"/>
      <w:lvlText w:val=""/>
      <w:lvlJc w:val="left"/>
      <w:pPr>
        <w:ind w:left="720" w:hanging="360"/>
      </w:pPr>
      <w:rPr>
        <w:rFonts w:ascii="Symbol" w:hAnsi="Symbol"/>
      </w:rPr>
    </w:lvl>
    <w:lvl w:ilvl="6" w:tplc="4CC2FD56">
      <w:start w:val="1"/>
      <w:numFmt w:val="bullet"/>
      <w:lvlText w:val=""/>
      <w:lvlJc w:val="left"/>
      <w:pPr>
        <w:ind w:left="720" w:hanging="360"/>
      </w:pPr>
      <w:rPr>
        <w:rFonts w:ascii="Symbol" w:hAnsi="Symbol"/>
      </w:rPr>
    </w:lvl>
    <w:lvl w:ilvl="7" w:tplc="5F165946">
      <w:start w:val="1"/>
      <w:numFmt w:val="bullet"/>
      <w:lvlText w:val=""/>
      <w:lvlJc w:val="left"/>
      <w:pPr>
        <w:ind w:left="720" w:hanging="360"/>
      </w:pPr>
      <w:rPr>
        <w:rFonts w:ascii="Symbol" w:hAnsi="Symbol"/>
      </w:rPr>
    </w:lvl>
    <w:lvl w:ilvl="8" w:tplc="6C8CA786">
      <w:start w:val="1"/>
      <w:numFmt w:val="bullet"/>
      <w:lvlText w:val=""/>
      <w:lvlJc w:val="left"/>
      <w:pPr>
        <w:ind w:left="720" w:hanging="360"/>
      </w:pPr>
      <w:rPr>
        <w:rFonts w:ascii="Symbol" w:hAnsi="Symbol"/>
      </w:rPr>
    </w:lvl>
  </w:abstractNum>
  <w:abstractNum w:abstractNumId="26" w15:restartNumberingAfterBreak="0">
    <w:nsid w:val="1EC515E9"/>
    <w:multiLevelType w:val="hybridMultilevel"/>
    <w:tmpl w:val="6B982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ECF2E66"/>
    <w:multiLevelType w:val="hybridMultilevel"/>
    <w:tmpl w:val="8D24140A"/>
    <w:lvl w:ilvl="0" w:tplc="36D86874">
      <w:start w:val="1"/>
      <w:numFmt w:val="bullet"/>
      <w:lvlText w:val=""/>
      <w:lvlJc w:val="left"/>
      <w:pPr>
        <w:ind w:left="720" w:hanging="360"/>
      </w:pPr>
      <w:rPr>
        <w:rFonts w:ascii="Symbol" w:hAnsi="Symbol"/>
      </w:rPr>
    </w:lvl>
    <w:lvl w:ilvl="1" w:tplc="B00C48FC">
      <w:start w:val="1"/>
      <w:numFmt w:val="bullet"/>
      <w:lvlText w:val=""/>
      <w:lvlJc w:val="left"/>
      <w:pPr>
        <w:ind w:left="720" w:hanging="360"/>
      </w:pPr>
      <w:rPr>
        <w:rFonts w:ascii="Symbol" w:hAnsi="Symbol"/>
      </w:rPr>
    </w:lvl>
    <w:lvl w:ilvl="2" w:tplc="5B206A9C">
      <w:start w:val="1"/>
      <w:numFmt w:val="bullet"/>
      <w:lvlText w:val=""/>
      <w:lvlJc w:val="left"/>
      <w:pPr>
        <w:ind w:left="720" w:hanging="360"/>
      </w:pPr>
      <w:rPr>
        <w:rFonts w:ascii="Symbol" w:hAnsi="Symbol"/>
      </w:rPr>
    </w:lvl>
    <w:lvl w:ilvl="3" w:tplc="7DE89DD0">
      <w:start w:val="1"/>
      <w:numFmt w:val="bullet"/>
      <w:lvlText w:val=""/>
      <w:lvlJc w:val="left"/>
      <w:pPr>
        <w:ind w:left="720" w:hanging="360"/>
      </w:pPr>
      <w:rPr>
        <w:rFonts w:ascii="Symbol" w:hAnsi="Symbol"/>
      </w:rPr>
    </w:lvl>
    <w:lvl w:ilvl="4" w:tplc="B0C87092">
      <w:start w:val="1"/>
      <w:numFmt w:val="bullet"/>
      <w:lvlText w:val=""/>
      <w:lvlJc w:val="left"/>
      <w:pPr>
        <w:ind w:left="720" w:hanging="360"/>
      </w:pPr>
      <w:rPr>
        <w:rFonts w:ascii="Symbol" w:hAnsi="Symbol"/>
      </w:rPr>
    </w:lvl>
    <w:lvl w:ilvl="5" w:tplc="2DE41456">
      <w:start w:val="1"/>
      <w:numFmt w:val="bullet"/>
      <w:lvlText w:val=""/>
      <w:lvlJc w:val="left"/>
      <w:pPr>
        <w:ind w:left="720" w:hanging="360"/>
      </w:pPr>
      <w:rPr>
        <w:rFonts w:ascii="Symbol" w:hAnsi="Symbol"/>
      </w:rPr>
    </w:lvl>
    <w:lvl w:ilvl="6" w:tplc="7D14E5CA">
      <w:start w:val="1"/>
      <w:numFmt w:val="bullet"/>
      <w:lvlText w:val=""/>
      <w:lvlJc w:val="left"/>
      <w:pPr>
        <w:ind w:left="720" w:hanging="360"/>
      </w:pPr>
      <w:rPr>
        <w:rFonts w:ascii="Symbol" w:hAnsi="Symbol"/>
      </w:rPr>
    </w:lvl>
    <w:lvl w:ilvl="7" w:tplc="3D5659C0">
      <w:start w:val="1"/>
      <w:numFmt w:val="bullet"/>
      <w:lvlText w:val=""/>
      <w:lvlJc w:val="left"/>
      <w:pPr>
        <w:ind w:left="720" w:hanging="360"/>
      </w:pPr>
      <w:rPr>
        <w:rFonts w:ascii="Symbol" w:hAnsi="Symbol"/>
      </w:rPr>
    </w:lvl>
    <w:lvl w:ilvl="8" w:tplc="A0126870">
      <w:start w:val="1"/>
      <w:numFmt w:val="bullet"/>
      <w:lvlText w:val=""/>
      <w:lvlJc w:val="left"/>
      <w:pPr>
        <w:ind w:left="720" w:hanging="360"/>
      </w:pPr>
      <w:rPr>
        <w:rFonts w:ascii="Symbol" w:hAnsi="Symbol"/>
      </w:rPr>
    </w:lvl>
  </w:abstractNum>
  <w:abstractNum w:abstractNumId="28" w15:restartNumberingAfterBreak="0">
    <w:nsid w:val="1FB219F8"/>
    <w:multiLevelType w:val="hybridMultilevel"/>
    <w:tmpl w:val="B0EE4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24F5DEC"/>
    <w:multiLevelType w:val="hybridMultilevel"/>
    <w:tmpl w:val="C910F4DC"/>
    <w:lvl w:ilvl="0" w:tplc="44CC9602">
      <w:start w:val="1"/>
      <w:numFmt w:val="bullet"/>
      <w:lvlText w:val="•"/>
      <w:lvlJc w:val="left"/>
      <w:pPr>
        <w:tabs>
          <w:tab w:val="num" w:pos="720"/>
        </w:tabs>
        <w:ind w:left="720" w:hanging="360"/>
      </w:pPr>
      <w:rPr>
        <w:rFonts w:ascii="Arial" w:hAnsi="Arial" w:hint="default"/>
      </w:rPr>
    </w:lvl>
    <w:lvl w:ilvl="1" w:tplc="356CEEB0" w:tentative="1">
      <w:start w:val="1"/>
      <w:numFmt w:val="bullet"/>
      <w:lvlText w:val="•"/>
      <w:lvlJc w:val="left"/>
      <w:pPr>
        <w:tabs>
          <w:tab w:val="num" w:pos="1440"/>
        </w:tabs>
        <w:ind w:left="1440" w:hanging="360"/>
      </w:pPr>
      <w:rPr>
        <w:rFonts w:ascii="Arial" w:hAnsi="Arial" w:hint="default"/>
      </w:rPr>
    </w:lvl>
    <w:lvl w:ilvl="2" w:tplc="55AADEA4" w:tentative="1">
      <w:start w:val="1"/>
      <w:numFmt w:val="bullet"/>
      <w:lvlText w:val="•"/>
      <w:lvlJc w:val="left"/>
      <w:pPr>
        <w:tabs>
          <w:tab w:val="num" w:pos="2160"/>
        </w:tabs>
        <w:ind w:left="2160" w:hanging="360"/>
      </w:pPr>
      <w:rPr>
        <w:rFonts w:ascii="Arial" w:hAnsi="Arial" w:hint="default"/>
      </w:rPr>
    </w:lvl>
    <w:lvl w:ilvl="3" w:tplc="CC685C4C" w:tentative="1">
      <w:start w:val="1"/>
      <w:numFmt w:val="bullet"/>
      <w:lvlText w:val="•"/>
      <w:lvlJc w:val="left"/>
      <w:pPr>
        <w:tabs>
          <w:tab w:val="num" w:pos="2880"/>
        </w:tabs>
        <w:ind w:left="2880" w:hanging="360"/>
      </w:pPr>
      <w:rPr>
        <w:rFonts w:ascii="Arial" w:hAnsi="Arial" w:hint="default"/>
      </w:rPr>
    </w:lvl>
    <w:lvl w:ilvl="4" w:tplc="41A49D06" w:tentative="1">
      <w:start w:val="1"/>
      <w:numFmt w:val="bullet"/>
      <w:lvlText w:val="•"/>
      <w:lvlJc w:val="left"/>
      <w:pPr>
        <w:tabs>
          <w:tab w:val="num" w:pos="3600"/>
        </w:tabs>
        <w:ind w:left="3600" w:hanging="360"/>
      </w:pPr>
      <w:rPr>
        <w:rFonts w:ascii="Arial" w:hAnsi="Arial" w:hint="default"/>
      </w:rPr>
    </w:lvl>
    <w:lvl w:ilvl="5" w:tplc="91144EE0" w:tentative="1">
      <w:start w:val="1"/>
      <w:numFmt w:val="bullet"/>
      <w:lvlText w:val="•"/>
      <w:lvlJc w:val="left"/>
      <w:pPr>
        <w:tabs>
          <w:tab w:val="num" w:pos="4320"/>
        </w:tabs>
        <w:ind w:left="4320" w:hanging="360"/>
      </w:pPr>
      <w:rPr>
        <w:rFonts w:ascii="Arial" w:hAnsi="Arial" w:hint="default"/>
      </w:rPr>
    </w:lvl>
    <w:lvl w:ilvl="6" w:tplc="580C430E" w:tentative="1">
      <w:start w:val="1"/>
      <w:numFmt w:val="bullet"/>
      <w:lvlText w:val="•"/>
      <w:lvlJc w:val="left"/>
      <w:pPr>
        <w:tabs>
          <w:tab w:val="num" w:pos="5040"/>
        </w:tabs>
        <w:ind w:left="5040" w:hanging="360"/>
      </w:pPr>
      <w:rPr>
        <w:rFonts w:ascii="Arial" w:hAnsi="Arial" w:hint="default"/>
      </w:rPr>
    </w:lvl>
    <w:lvl w:ilvl="7" w:tplc="E4EE0180" w:tentative="1">
      <w:start w:val="1"/>
      <w:numFmt w:val="bullet"/>
      <w:lvlText w:val="•"/>
      <w:lvlJc w:val="left"/>
      <w:pPr>
        <w:tabs>
          <w:tab w:val="num" w:pos="5760"/>
        </w:tabs>
        <w:ind w:left="5760" w:hanging="360"/>
      </w:pPr>
      <w:rPr>
        <w:rFonts w:ascii="Arial" w:hAnsi="Arial" w:hint="default"/>
      </w:rPr>
    </w:lvl>
    <w:lvl w:ilvl="8" w:tplc="FE1AB9C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2C528AB"/>
    <w:multiLevelType w:val="multilevel"/>
    <w:tmpl w:val="E7D8F56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430733D"/>
    <w:multiLevelType w:val="hybridMultilevel"/>
    <w:tmpl w:val="9760DA58"/>
    <w:lvl w:ilvl="0" w:tplc="0BBA3E70">
      <w:start w:val="1"/>
      <w:numFmt w:val="bullet"/>
      <w:lvlText w:val=""/>
      <w:lvlJc w:val="left"/>
      <w:pPr>
        <w:ind w:left="720" w:hanging="360"/>
      </w:pPr>
      <w:rPr>
        <w:rFonts w:ascii="Symbol" w:hAnsi="Symbol"/>
      </w:rPr>
    </w:lvl>
    <w:lvl w:ilvl="1" w:tplc="CAE06BDA">
      <w:start w:val="1"/>
      <w:numFmt w:val="bullet"/>
      <w:lvlText w:val=""/>
      <w:lvlJc w:val="left"/>
      <w:pPr>
        <w:ind w:left="720" w:hanging="360"/>
      </w:pPr>
      <w:rPr>
        <w:rFonts w:ascii="Symbol" w:hAnsi="Symbol"/>
      </w:rPr>
    </w:lvl>
    <w:lvl w:ilvl="2" w:tplc="00CABD22">
      <w:start w:val="1"/>
      <w:numFmt w:val="bullet"/>
      <w:lvlText w:val=""/>
      <w:lvlJc w:val="left"/>
      <w:pPr>
        <w:ind w:left="720" w:hanging="360"/>
      </w:pPr>
      <w:rPr>
        <w:rFonts w:ascii="Symbol" w:hAnsi="Symbol"/>
      </w:rPr>
    </w:lvl>
    <w:lvl w:ilvl="3" w:tplc="645CA9C4">
      <w:start w:val="1"/>
      <w:numFmt w:val="bullet"/>
      <w:lvlText w:val=""/>
      <w:lvlJc w:val="left"/>
      <w:pPr>
        <w:ind w:left="720" w:hanging="360"/>
      </w:pPr>
      <w:rPr>
        <w:rFonts w:ascii="Symbol" w:hAnsi="Symbol"/>
      </w:rPr>
    </w:lvl>
    <w:lvl w:ilvl="4" w:tplc="6BC85E24">
      <w:start w:val="1"/>
      <w:numFmt w:val="bullet"/>
      <w:lvlText w:val=""/>
      <w:lvlJc w:val="left"/>
      <w:pPr>
        <w:ind w:left="720" w:hanging="360"/>
      </w:pPr>
      <w:rPr>
        <w:rFonts w:ascii="Symbol" w:hAnsi="Symbol"/>
      </w:rPr>
    </w:lvl>
    <w:lvl w:ilvl="5" w:tplc="EF042DDC">
      <w:start w:val="1"/>
      <w:numFmt w:val="bullet"/>
      <w:lvlText w:val=""/>
      <w:lvlJc w:val="left"/>
      <w:pPr>
        <w:ind w:left="720" w:hanging="360"/>
      </w:pPr>
      <w:rPr>
        <w:rFonts w:ascii="Symbol" w:hAnsi="Symbol"/>
      </w:rPr>
    </w:lvl>
    <w:lvl w:ilvl="6" w:tplc="BBECCBC2">
      <w:start w:val="1"/>
      <w:numFmt w:val="bullet"/>
      <w:lvlText w:val=""/>
      <w:lvlJc w:val="left"/>
      <w:pPr>
        <w:ind w:left="720" w:hanging="360"/>
      </w:pPr>
      <w:rPr>
        <w:rFonts w:ascii="Symbol" w:hAnsi="Symbol"/>
      </w:rPr>
    </w:lvl>
    <w:lvl w:ilvl="7" w:tplc="7B4484AA">
      <w:start w:val="1"/>
      <w:numFmt w:val="bullet"/>
      <w:lvlText w:val=""/>
      <w:lvlJc w:val="left"/>
      <w:pPr>
        <w:ind w:left="720" w:hanging="360"/>
      </w:pPr>
      <w:rPr>
        <w:rFonts w:ascii="Symbol" w:hAnsi="Symbol"/>
      </w:rPr>
    </w:lvl>
    <w:lvl w:ilvl="8" w:tplc="D0609186">
      <w:start w:val="1"/>
      <w:numFmt w:val="bullet"/>
      <w:lvlText w:val=""/>
      <w:lvlJc w:val="left"/>
      <w:pPr>
        <w:ind w:left="720" w:hanging="360"/>
      </w:pPr>
      <w:rPr>
        <w:rFonts w:ascii="Symbol" w:hAnsi="Symbol"/>
      </w:rPr>
    </w:lvl>
  </w:abstractNum>
  <w:abstractNum w:abstractNumId="34" w15:restartNumberingAfterBreak="0">
    <w:nsid w:val="27575C58"/>
    <w:multiLevelType w:val="multilevel"/>
    <w:tmpl w:val="CBC2638A"/>
    <w:lvl w:ilvl="0">
      <w:start w:val="1"/>
      <w:numFmt w:val="bullet"/>
      <w:pStyle w:val="InstructionBulletpoint"/>
      <w:lvlText w:val=""/>
      <w:lvlJc w:val="left"/>
      <w:pPr>
        <w:ind w:left="720" w:hanging="360"/>
      </w:pPr>
      <w:rPr>
        <w:rFonts w:ascii="Symbol" w:hAnsi="Symbol" w:hint="default"/>
      </w:rPr>
    </w:lvl>
    <w:lvl w:ilvl="1">
      <w:start w:val="1"/>
      <w:numFmt w:val="bullet"/>
      <w:lvlText w:val="o"/>
      <w:lvlJc w:val="left"/>
      <w:pPr>
        <w:ind w:left="1324"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7C15305"/>
    <w:multiLevelType w:val="hybridMultilevel"/>
    <w:tmpl w:val="7E24C2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27D42125"/>
    <w:multiLevelType w:val="hybridMultilevel"/>
    <w:tmpl w:val="465804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B5109C4"/>
    <w:multiLevelType w:val="hybridMultilevel"/>
    <w:tmpl w:val="8D1863DC"/>
    <w:lvl w:ilvl="0" w:tplc="7084F7FC">
      <w:start w:val="1"/>
      <w:numFmt w:val="bullet"/>
      <w:lvlText w:val=""/>
      <w:lvlJc w:val="left"/>
      <w:pPr>
        <w:ind w:left="720" w:hanging="360"/>
      </w:pPr>
      <w:rPr>
        <w:rFonts w:ascii="Symbol" w:hAnsi="Symbol"/>
      </w:rPr>
    </w:lvl>
    <w:lvl w:ilvl="1" w:tplc="16FE9572">
      <w:start w:val="1"/>
      <w:numFmt w:val="bullet"/>
      <w:lvlText w:val=""/>
      <w:lvlJc w:val="left"/>
      <w:pPr>
        <w:ind w:left="720" w:hanging="360"/>
      </w:pPr>
      <w:rPr>
        <w:rFonts w:ascii="Symbol" w:hAnsi="Symbol"/>
      </w:rPr>
    </w:lvl>
    <w:lvl w:ilvl="2" w:tplc="D2EE8336">
      <w:start w:val="1"/>
      <w:numFmt w:val="bullet"/>
      <w:lvlText w:val=""/>
      <w:lvlJc w:val="left"/>
      <w:pPr>
        <w:ind w:left="720" w:hanging="360"/>
      </w:pPr>
      <w:rPr>
        <w:rFonts w:ascii="Symbol" w:hAnsi="Symbol"/>
      </w:rPr>
    </w:lvl>
    <w:lvl w:ilvl="3" w:tplc="1832AC64">
      <w:start w:val="1"/>
      <w:numFmt w:val="bullet"/>
      <w:lvlText w:val=""/>
      <w:lvlJc w:val="left"/>
      <w:pPr>
        <w:ind w:left="720" w:hanging="360"/>
      </w:pPr>
      <w:rPr>
        <w:rFonts w:ascii="Symbol" w:hAnsi="Symbol"/>
      </w:rPr>
    </w:lvl>
    <w:lvl w:ilvl="4" w:tplc="1E9A393E">
      <w:start w:val="1"/>
      <w:numFmt w:val="bullet"/>
      <w:lvlText w:val=""/>
      <w:lvlJc w:val="left"/>
      <w:pPr>
        <w:ind w:left="720" w:hanging="360"/>
      </w:pPr>
      <w:rPr>
        <w:rFonts w:ascii="Symbol" w:hAnsi="Symbol"/>
      </w:rPr>
    </w:lvl>
    <w:lvl w:ilvl="5" w:tplc="90EE6EE2">
      <w:start w:val="1"/>
      <w:numFmt w:val="bullet"/>
      <w:lvlText w:val=""/>
      <w:lvlJc w:val="left"/>
      <w:pPr>
        <w:ind w:left="720" w:hanging="360"/>
      </w:pPr>
      <w:rPr>
        <w:rFonts w:ascii="Symbol" w:hAnsi="Symbol"/>
      </w:rPr>
    </w:lvl>
    <w:lvl w:ilvl="6" w:tplc="4D9CA93A">
      <w:start w:val="1"/>
      <w:numFmt w:val="bullet"/>
      <w:lvlText w:val=""/>
      <w:lvlJc w:val="left"/>
      <w:pPr>
        <w:ind w:left="720" w:hanging="360"/>
      </w:pPr>
      <w:rPr>
        <w:rFonts w:ascii="Symbol" w:hAnsi="Symbol"/>
      </w:rPr>
    </w:lvl>
    <w:lvl w:ilvl="7" w:tplc="AE2EB98C">
      <w:start w:val="1"/>
      <w:numFmt w:val="bullet"/>
      <w:lvlText w:val=""/>
      <w:lvlJc w:val="left"/>
      <w:pPr>
        <w:ind w:left="720" w:hanging="360"/>
      </w:pPr>
      <w:rPr>
        <w:rFonts w:ascii="Symbol" w:hAnsi="Symbol"/>
      </w:rPr>
    </w:lvl>
    <w:lvl w:ilvl="8" w:tplc="DA9ADF72">
      <w:start w:val="1"/>
      <w:numFmt w:val="bullet"/>
      <w:lvlText w:val=""/>
      <w:lvlJc w:val="left"/>
      <w:pPr>
        <w:ind w:left="720" w:hanging="360"/>
      </w:pPr>
      <w:rPr>
        <w:rFonts w:ascii="Symbol" w:hAnsi="Symbol"/>
      </w:rPr>
    </w:lvl>
  </w:abstractNum>
  <w:abstractNum w:abstractNumId="39" w15:restartNumberingAfterBreak="0">
    <w:nsid w:val="2BE64BC5"/>
    <w:multiLevelType w:val="hybridMultilevel"/>
    <w:tmpl w:val="A070850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C963B90"/>
    <w:multiLevelType w:val="hybridMultilevel"/>
    <w:tmpl w:val="6420A1A8"/>
    <w:lvl w:ilvl="0" w:tplc="4B5C5B76">
      <w:start w:val="1"/>
      <w:numFmt w:val="decimal"/>
      <w:lvlText w:val="%1)"/>
      <w:lvlJc w:val="left"/>
      <w:pPr>
        <w:tabs>
          <w:tab w:val="num" w:pos="720"/>
        </w:tabs>
        <w:ind w:left="720" w:hanging="360"/>
      </w:pPr>
    </w:lvl>
    <w:lvl w:ilvl="1" w:tplc="3B047C26" w:tentative="1">
      <w:start w:val="1"/>
      <w:numFmt w:val="decimal"/>
      <w:lvlText w:val="%2)"/>
      <w:lvlJc w:val="left"/>
      <w:pPr>
        <w:tabs>
          <w:tab w:val="num" w:pos="1440"/>
        </w:tabs>
        <w:ind w:left="1440" w:hanging="360"/>
      </w:pPr>
    </w:lvl>
    <w:lvl w:ilvl="2" w:tplc="429A7B50" w:tentative="1">
      <w:start w:val="1"/>
      <w:numFmt w:val="decimal"/>
      <w:lvlText w:val="%3)"/>
      <w:lvlJc w:val="left"/>
      <w:pPr>
        <w:tabs>
          <w:tab w:val="num" w:pos="2160"/>
        </w:tabs>
        <w:ind w:left="2160" w:hanging="360"/>
      </w:pPr>
    </w:lvl>
    <w:lvl w:ilvl="3" w:tplc="3BD47F96" w:tentative="1">
      <w:start w:val="1"/>
      <w:numFmt w:val="decimal"/>
      <w:lvlText w:val="%4)"/>
      <w:lvlJc w:val="left"/>
      <w:pPr>
        <w:tabs>
          <w:tab w:val="num" w:pos="2880"/>
        </w:tabs>
        <w:ind w:left="2880" w:hanging="360"/>
      </w:pPr>
    </w:lvl>
    <w:lvl w:ilvl="4" w:tplc="3D96F202" w:tentative="1">
      <w:start w:val="1"/>
      <w:numFmt w:val="decimal"/>
      <w:lvlText w:val="%5)"/>
      <w:lvlJc w:val="left"/>
      <w:pPr>
        <w:tabs>
          <w:tab w:val="num" w:pos="3600"/>
        </w:tabs>
        <w:ind w:left="3600" w:hanging="360"/>
      </w:pPr>
    </w:lvl>
    <w:lvl w:ilvl="5" w:tplc="F1EEF470" w:tentative="1">
      <w:start w:val="1"/>
      <w:numFmt w:val="decimal"/>
      <w:lvlText w:val="%6)"/>
      <w:lvlJc w:val="left"/>
      <w:pPr>
        <w:tabs>
          <w:tab w:val="num" w:pos="4320"/>
        </w:tabs>
        <w:ind w:left="4320" w:hanging="360"/>
      </w:pPr>
    </w:lvl>
    <w:lvl w:ilvl="6" w:tplc="2CA299DE" w:tentative="1">
      <w:start w:val="1"/>
      <w:numFmt w:val="decimal"/>
      <w:lvlText w:val="%7)"/>
      <w:lvlJc w:val="left"/>
      <w:pPr>
        <w:tabs>
          <w:tab w:val="num" w:pos="5040"/>
        </w:tabs>
        <w:ind w:left="5040" w:hanging="360"/>
      </w:pPr>
    </w:lvl>
    <w:lvl w:ilvl="7" w:tplc="7C042CCC" w:tentative="1">
      <w:start w:val="1"/>
      <w:numFmt w:val="decimal"/>
      <w:lvlText w:val="%8)"/>
      <w:lvlJc w:val="left"/>
      <w:pPr>
        <w:tabs>
          <w:tab w:val="num" w:pos="5760"/>
        </w:tabs>
        <w:ind w:left="5760" w:hanging="360"/>
      </w:pPr>
    </w:lvl>
    <w:lvl w:ilvl="8" w:tplc="161451BC" w:tentative="1">
      <w:start w:val="1"/>
      <w:numFmt w:val="decimal"/>
      <w:lvlText w:val="%9)"/>
      <w:lvlJc w:val="left"/>
      <w:pPr>
        <w:tabs>
          <w:tab w:val="num" w:pos="6480"/>
        </w:tabs>
        <w:ind w:left="6480" w:hanging="360"/>
      </w:pPr>
    </w:lvl>
  </w:abstractNum>
  <w:abstractNum w:abstractNumId="4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FD702D1"/>
    <w:multiLevelType w:val="multilevel"/>
    <w:tmpl w:val="7D6AEE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00C064C"/>
    <w:multiLevelType w:val="hybridMultilevel"/>
    <w:tmpl w:val="7E340CE8"/>
    <w:lvl w:ilvl="0" w:tplc="7C10E7D2">
      <w:start w:val="1"/>
      <w:numFmt w:val="lowerLetter"/>
      <w:lvlText w:val="%1."/>
      <w:lvlJc w:val="left"/>
      <w:pPr>
        <w:ind w:left="1020" w:hanging="360"/>
      </w:pPr>
    </w:lvl>
    <w:lvl w:ilvl="1" w:tplc="FF04E0A2">
      <w:start w:val="1"/>
      <w:numFmt w:val="lowerLetter"/>
      <w:lvlText w:val="%2."/>
      <w:lvlJc w:val="left"/>
      <w:pPr>
        <w:ind w:left="1020" w:hanging="360"/>
      </w:pPr>
    </w:lvl>
    <w:lvl w:ilvl="2" w:tplc="6450C414">
      <w:start w:val="1"/>
      <w:numFmt w:val="lowerLetter"/>
      <w:lvlText w:val="%3."/>
      <w:lvlJc w:val="left"/>
      <w:pPr>
        <w:ind w:left="1020" w:hanging="360"/>
      </w:pPr>
    </w:lvl>
    <w:lvl w:ilvl="3" w:tplc="E7C89AE8">
      <w:start w:val="1"/>
      <w:numFmt w:val="lowerLetter"/>
      <w:lvlText w:val="%4."/>
      <w:lvlJc w:val="left"/>
      <w:pPr>
        <w:ind w:left="1020" w:hanging="360"/>
      </w:pPr>
    </w:lvl>
    <w:lvl w:ilvl="4" w:tplc="5FA2408A">
      <w:start w:val="1"/>
      <w:numFmt w:val="lowerLetter"/>
      <w:lvlText w:val="%5."/>
      <w:lvlJc w:val="left"/>
      <w:pPr>
        <w:ind w:left="1020" w:hanging="360"/>
      </w:pPr>
    </w:lvl>
    <w:lvl w:ilvl="5" w:tplc="730402E6">
      <w:start w:val="1"/>
      <w:numFmt w:val="lowerLetter"/>
      <w:lvlText w:val="%6."/>
      <w:lvlJc w:val="left"/>
      <w:pPr>
        <w:ind w:left="1020" w:hanging="360"/>
      </w:pPr>
    </w:lvl>
    <w:lvl w:ilvl="6" w:tplc="A05454F0">
      <w:start w:val="1"/>
      <w:numFmt w:val="lowerLetter"/>
      <w:lvlText w:val="%7."/>
      <w:lvlJc w:val="left"/>
      <w:pPr>
        <w:ind w:left="1020" w:hanging="360"/>
      </w:pPr>
    </w:lvl>
    <w:lvl w:ilvl="7" w:tplc="0936ACBE">
      <w:start w:val="1"/>
      <w:numFmt w:val="lowerLetter"/>
      <w:lvlText w:val="%8."/>
      <w:lvlJc w:val="left"/>
      <w:pPr>
        <w:ind w:left="1020" w:hanging="360"/>
      </w:pPr>
    </w:lvl>
    <w:lvl w:ilvl="8" w:tplc="A21EC086">
      <w:start w:val="1"/>
      <w:numFmt w:val="lowerLetter"/>
      <w:lvlText w:val="%9."/>
      <w:lvlJc w:val="left"/>
      <w:pPr>
        <w:ind w:left="1020" w:hanging="360"/>
      </w:pPr>
    </w:lvl>
  </w:abstractNum>
  <w:abstractNum w:abstractNumId="44" w15:restartNumberingAfterBreak="0">
    <w:nsid w:val="33310EEA"/>
    <w:multiLevelType w:val="hybridMultilevel"/>
    <w:tmpl w:val="9D74F5B6"/>
    <w:lvl w:ilvl="0" w:tplc="CE84564A">
      <w:start w:val="1"/>
      <w:numFmt w:val="bullet"/>
      <w:lvlText w:val=""/>
      <w:lvlJc w:val="left"/>
      <w:pPr>
        <w:ind w:left="720" w:hanging="360"/>
      </w:pPr>
      <w:rPr>
        <w:rFonts w:ascii="Symbol" w:hAnsi="Symbol"/>
      </w:rPr>
    </w:lvl>
    <w:lvl w:ilvl="1" w:tplc="AF82B382">
      <w:start w:val="1"/>
      <w:numFmt w:val="bullet"/>
      <w:lvlText w:val=""/>
      <w:lvlJc w:val="left"/>
      <w:pPr>
        <w:ind w:left="720" w:hanging="360"/>
      </w:pPr>
      <w:rPr>
        <w:rFonts w:ascii="Symbol" w:hAnsi="Symbol"/>
      </w:rPr>
    </w:lvl>
    <w:lvl w:ilvl="2" w:tplc="EEB07F28">
      <w:start w:val="1"/>
      <w:numFmt w:val="bullet"/>
      <w:lvlText w:val=""/>
      <w:lvlJc w:val="left"/>
      <w:pPr>
        <w:ind w:left="720" w:hanging="360"/>
      </w:pPr>
      <w:rPr>
        <w:rFonts w:ascii="Symbol" w:hAnsi="Symbol"/>
      </w:rPr>
    </w:lvl>
    <w:lvl w:ilvl="3" w:tplc="9E6C167E">
      <w:start w:val="1"/>
      <w:numFmt w:val="bullet"/>
      <w:lvlText w:val=""/>
      <w:lvlJc w:val="left"/>
      <w:pPr>
        <w:ind w:left="720" w:hanging="360"/>
      </w:pPr>
      <w:rPr>
        <w:rFonts w:ascii="Symbol" w:hAnsi="Symbol"/>
      </w:rPr>
    </w:lvl>
    <w:lvl w:ilvl="4" w:tplc="49EEB1A6">
      <w:start w:val="1"/>
      <w:numFmt w:val="bullet"/>
      <w:lvlText w:val=""/>
      <w:lvlJc w:val="left"/>
      <w:pPr>
        <w:ind w:left="720" w:hanging="360"/>
      </w:pPr>
      <w:rPr>
        <w:rFonts w:ascii="Symbol" w:hAnsi="Symbol"/>
      </w:rPr>
    </w:lvl>
    <w:lvl w:ilvl="5" w:tplc="CA8AA23E">
      <w:start w:val="1"/>
      <w:numFmt w:val="bullet"/>
      <w:lvlText w:val=""/>
      <w:lvlJc w:val="left"/>
      <w:pPr>
        <w:ind w:left="720" w:hanging="360"/>
      </w:pPr>
      <w:rPr>
        <w:rFonts w:ascii="Symbol" w:hAnsi="Symbol"/>
      </w:rPr>
    </w:lvl>
    <w:lvl w:ilvl="6" w:tplc="B50E8F48">
      <w:start w:val="1"/>
      <w:numFmt w:val="bullet"/>
      <w:lvlText w:val=""/>
      <w:lvlJc w:val="left"/>
      <w:pPr>
        <w:ind w:left="720" w:hanging="360"/>
      </w:pPr>
      <w:rPr>
        <w:rFonts w:ascii="Symbol" w:hAnsi="Symbol"/>
      </w:rPr>
    </w:lvl>
    <w:lvl w:ilvl="7" w:tplc="21E6F348">
      <w:start w:val="1"/>
      <w:numFmt w:val="bullet"/>
      <w:lvlText w:val=""/>
      <w:lvlJc w:val="left"/>
      <w:pPr>
        <w:ind w:left="720" w:hanging="360"/>
      </w:pPr>
      <w:rPr>
        <w:rFonts w:ascii="Symbol" w:hAnsi="Symbol"/>
      </w:rPr>
    </w:lvl>
    <w:lvl w:ilvl="8" w:tplc="D05859EA">
      <w:start w:val="1"/>
      <w:numFmt w:val="bullet"/>
      <w:lvlText w:val=""/>
      <w:lvlJc w:val="left"/>
      <w:pPr>
        <w:ind w:left="720" w:hanging="360"/>
      </w:pPr>
      <w:rPr>
        <w:rFonts w:ascii="Symbol" w:hAnsi="Symbol"/>
      </w:rPr>
    </w:lvl>
  </w:abstractNum>
  <w:abstractNum w:abstractNumId="45" w15:restartNumberingAfterBreak="0">
    <w:nsid w:val="33AF1040"/>
    <w:multiLevelType w:val="hybridMultilevel"/>
    <w:tmpl w:val="4AAE5F48"/>
    <w:lvl w:ilvl="0" w:tplc="DAC42CD4">
      <w:start w:val="1"/>
      <w:numFmt w:val="bullet"/>
      <w:lvlText w:val=""/>
      <w:lvlJc w:val="left"/>
      <w:pPr>
        <w:ind w:left="720" w:hanging="360"/>
      </w:pPr>
      <w:rPr>
        <w:rFonts w:ascii="Symbol" w:hAnsi="Symbol"/>
      </w:rPr>
    </w:lvl>
    <w:lvl w:ilvl="1" w:tplc="4A00735A">
      <w:start w:val="1"/>
      <w:numFmt w:val="bullet"/>
      <w:lvlText w:val=""/>
      <w:lvlJc w:val="left"/>
      <w:pPr>
        <w:ind w:left="720" w:hanging="360"/>
      </w:pPr>
      <w:rPr>
        <w:rFonts w:ascii="Symbol" w:hAnsi="Symbol"/>
      </w:rPr>
    </w:lvl>
    <w:lvl w:ilvl="2" w:tplc="B178FA36">
      <w:start w:val="1"/>
      <w:numFmt w:val="bullet"/>
      <w:lvlText w:val=""/>
      <w:lvlJc w:val="left"/>
      <w:pPr>
        <w:ind w:left="720" w:hanging="360"/>
      </w:pPr>
      <w:rPr>
        <w:rFonts w:ascii="Symbol" w:hAnsi="Symbol"/>
      </w:rPr>
    </w:lvl>
    <w:lvl w:ilvl="3" w:tplc="8A7AE1A6">
      <w:start w:val="1"/>
      <w:numFmt w:val="bullet"/>
      <w:lvlText w:val=""/>
      <w:lvlJc w:val="left"/>
      <w:pPr>
        <w:ind w:left="720" w:hanging="360"/>
      </w:pPr>
      <w:rPr>
        <w:rFonts w:ascii="Symbol" w:hAnsi="Symbol"/>
      </w:rPr>
    </w:lvl>
    <w:lvl w:ilvl="4" w:tplc="2D2667F6">
      <w:start w:val="1"/>
      <w:numFmt w:val="bullet"/>
      <w:lvlText w:val=""/>
      <w:lvlJc w:val="left"/>
      <w:pPr>
        <w:ind w:left="720" w:hanging="360"/>
      </w:pPr>
      <w:rPr>
        <w:rFonts w:ascii="Symbol" w:hAnsi="Symbol"/>
      </w:rPr>
    </w:lvl>
    <w:lvl w:ilvl="5" w:tplc="D2EE9ABC">
      <w:start w:val="1"/>
      <w:numFmt w:val="bullet"/>
      <w:lvlText w:val=""/>
      <w:lvlJc w:val="left"/>
      <w:pPr>
        <w:ind w:left="720" w:hanging="360"/>
      </w:pPr>
      <w:rPr>
        <w:rFonts w:ascii="Symbol" w:hAnsi="Symbol"/>
      </w:rPr>
    </w:lvl>
    <w:lvl w:ilvl="6" w:tplc="9F82B430">
      <w:start w:val="1"/>
      <w:numFmt w:val="bullet"/>
      <w:lvlText w:val=""/>
      <w:lvlJc w:val="left"/>
      <w:pPr>
        <w:ind w:left="720" w:hanging="360"/>
      </w:pPr>
      <w:rPr>
        <w:rFonts w:ascii="Symbol" w:hAnsi="Symbol"/>
      </w:rPr>
    </w:lvl>
    <w:lvl w:ilvl="7" w:tplc="0B644F68">
      <w:start w:val="1"/>
      <w:numFmt w:val="bullet"/>
      <w:lvlText w:val=""/>
      <w:lvlJc w:val="left"/>
      <w:pPr>
        <w:ind w:left="720" w:hanging="360"/>
      </w:pPr>
      <w:rPr>
        <w:rFonts w:ascii="Symbol" w:hAnsi="Symbol"/>
      </w:rPr>
    </w:lvl>
    <w:lvl w:ilvl="8" w:tplc="A586A34E">
      <w:start w:val="1"/>
      <w:numFmt w:val="bullet"/>
      <w:lvlText w:val=""/>
      <w:lvlJc w:val="left"/>
      <w:pPr>
        <w:ind w:left="720" w:hanging="360"/>
      </w:pPr>
      <w:rPr>
        <w:rFonts w:ascii="Symbol" w:hAnsi="Symbol"/>
      </w:rPr>
    </w:lvl>
  </w:abstractNum>
  <w:abstractNum w:abstractNumId="46" w15:restartNumberingAfterBreak="0">
    <w:nsid w:val="36EE0332"/>
    <w:multiLevelType w:val="hybridMultilevel"/>
    <w:tmpl w:val="919238E6"/>
    <w:lvl w:ilvl="0" w:tplc="46EC3A2E">
      <w:start w:val="1"/>
      <w:numFmt w:val="bullet"/>
      <w:lvlText w:val=""/>
      <w:lvlJc w:val="left"/>
      <w:pPr>
        <w:ind w:left="720" w:hanging="360"/>
      </w:pPr>
      <w:rPr>
        <w:rFonts w:ascii="Symbol" w:hAnsi="Symbol"/>
      </w:rPr>
    </w:lvl>
    <w:lvl w:ilvl="1" w:tplc="83888768">
      <w:start w:val="1"/>
      <w:numFmt w:val="bullet"/>
      <w:lvlText w:val=""/>
      <w:lvlJc w:val="left"/>
      <w:pPr>
        <w:ind w:left="720" w:hanging="360"/>
      </w:pPr>
      <w:rPr>
        <w:rFonts w:ascii="Symbol" w:hAnsi="Symbol"/>
      </w:rPr>
    </w:lvl>
    <w:lvl w:ilvl="2" w:tplc="023AD3F6">
      <w:start w:val="1"/>
      <w:numFmt w:val="bullet"/>
      <w:lvlText w:val=""/>
      <w:lvlJc w:val="left"/>
      <w:pPr>
        <w:ind w:left="720" w:hanging="360"/>
      </w:pPr>
      <w:rPr>
        <w:rFonts w:ascii="Symbol" w:hAnsi="Symbol"/>
      </w:rPr>
    </w:lvl>
    <w:lvl w:ilvl="3" w:tplc="FF609B44">
      <w:start w:val="1"/>
      <w:numFmt w:val="bullet"/>
      <w:lvlText w:val=""/>
      <w:lvlJc w:val="left"/>
      <w:pPr>
        <w:ind w:left="720" w:hanging="360"/>
      </w:pPr>
      <w:rPr>
        <w:rFonts w:ascii="Symbol" w:hAnsi="Symbol"/>
      </w:rPr>
    </w:lvl>
    <w:lvl w:ilvl="4" w:tplc="1492A91C">
      <w:start w:val="1"/>
      <w:numFmt w:val="bullet"/>
      <w:lvlText w:val=""/>
      <w:lvlJc w:val="left"/>
      <w:pPr>
        <w:ind w:left="720" w:hanging="360"/>
      </w:pPr>
      <w:rPr>
        <w:rFonts w:ascii="Symbol" w:hAnsi="Symbol"/>
      </w:rPr>
    </w:lvl>
    <w:lvl w:ilvl="5" w:tplc="4314E4EE">
      <w:start w:val="1"/>
      <w:numFmt w:val="bullet"/>
      <w:lvlText w:val=""/>
      <w:lvlJc w:val="left"/>
      <w:pPr>
        <w:ind w:left="720" w:hanging="360"/>
      </w:pPr>
      <w:rPr>
        <w:rFonts w:ascii="Symbol" w:hAnsi="Symbol"/>
      </w:rPr>
    </w:lvl>
    <w:lvl w:ilvl="6" w:tplc="07F8FCBC">
      <w:start w:val="1"/>
      <w:numFmt w:val="bullet"/>
      <w:lvlText w:val=""/>
      <w:lvlJc w:val="left"/>
      <w:pPr>
        <w:ind w:left="720" w:hanging="360"/>
      </w:pPr>
      <w:rPr>
        <w:rFonts w:ascii="Symbol" w:hAnsi="Symbol"/>
      </w:rPr>
    </w:lvl>
    <w:lvl w:ilvl="7" w:tplc="3A8A460E">
      <w:start w:val="1"/>
      <w:numFmt w:val="bullet"/>
      <w:lvlText w:val=""/>
      <w:lvlJc w:val="left"/>
      <w:pPr>
        <w:ind w:left="720" w:hanging="360"/>
      </w:pPr>
      <w:rPr>
        <w:rFonts w:ascii="Symbol" w:hAnsi="Symbol"/>
      </w:rPr>
    </w:lvl>
    <w:lvl w:ilvl="8" w:tplc="01A8C626">
      <w:start w:val="1"/>
      <w:numFmt w:val="bullet"/>
      <w:lvlText w:val=""/>
      <w:lvlJc w:val="left"/>
      <w:pPr>
        <w:ind w:left="720" w:hanging="360"/>
      </w:pPr>
      <w:rPr>
        <w:rFonts w:ascii="Symbol" w:hAnsi="Symbol"/>
      </w:rPr>
    </w:lvl>
  </w:abstractNum>
  <w:abstractNum w:abstractNumId="47" w15:restartNumberingAfterBreak="0">
    <w:nsid w:val="38096A79"/>
    <w:multiLevelType w:val="multilevel"/>
    <w:tmpl w:val="54C0B3FC"/>
    <w:styleLink w:val="Style3"/>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A55215E"/>
    <w:multiLevelType w:val="hybridMultilevel"/>
    <w:tmpl w:val="AE58D640"/>
    <w:lvl w:ilvl="0" w:tplc="648A5F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A81387A"/>
    <w:multiLevelType w:val="hybridMultilevel"/>
    <w:tmpl w:val="AB6AB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B1D18AE"/>
    <w:multiLevelType w:val="hybridMultilevel"/>
    <w:tmpl w:val="1AF6C02A"/>
    <w:lvl w:ilvl="0" w:tplc="AEA2FFCE">
      <w:start w:val="1"/>
      <w:numFmt w:val="bullet"/>
      <w:lvlText w:val=""/>
      <w:lvlJc w:val="left"/>
      <w:pPr>
        <w:ind w:left="1800" w:hanging="360"/>
      </w:pPr>
      <w:rPr>
        <w:rFonts w:ascii="Symbol" w:hAnsi="Symbol"/>
      </w:rPr>
    </w:lvl>
    <w:lvl w:ilvl="1" w:tplc="18CA7240">
      <w:start w:val="1"/>
      <w:numFmt w:val="bullet"/>
      <w:lvlText w:val=""/>
      <w:lvlJc w:val="left"/>
      <w:pPr>
        <w:ind w:left="1800" w:hanging="360"/>
      </w:pPr>
      <w:rPr>
        <w:rFonts w:ascii="Symbol" w:hAnsi="Symbol"/>
      </w:rPr>
    </w:lvl>
    <w:lvl w:ilvl="2" w:tplc="6A2CB598">
      <w:start w:val="1"/>
      <w:numFmt w:val="bullet"/>
      <w:lvlText w:val=""/>
      <w:lvlJc w:val="left"/>
      <w:pPr>
        <w:ind w:left="1800" w:hanging="360"/>
      </w:pPr>
      <w:rPr>
        <w:rFonts w:ascii="Symbol" w:hAnsi="Symbol"/>
      </w:rPr>
    </w:lvl>
    <w:lvl w:ilvl="3" w:tplc="FFE4795A">
      <w:start w:val="1"/>
      <w:numFmt w:val="bullet"/>
      <w:lvlText w:val=""/>
      <w:lvlJc w:val="left"/>
      <w:pPr>
        <w:ind w:left="1800" w:hanging="360"/>
      </w:pPr>
      <w:rPr>
        <w:rFonts w:ascii="Symbol" w:hAnsi="Symbol"/>
      </w:rPr>
    </w:lvl>
    <w:lvl w:ilvl="4" w:tplc="D35853F2">
      <w:start w:val="1"/>
      <w:numFmt w:val="bullet"/>
      <w:lvlText w:val=""/>
      <w:lvlJc w:val="left"/>
      <w:pPr>
        <w:ind w:left="1800" w:hanging="360"/>
      </w:pPr>
      <w:rPr>
        <w:rFonts w:ascii="Symbol" w:hAnsi="Symbol"/>
      </w:rPr>
    </w:lvl>
    <w:lvl w:ilvl="5" w:tplc="DFF66A44">
      <w:start w:val="1"/>
      <w:numFmt w:val="bullet"/>
      <w:lvlText w:val=""/>
      <w:lvlJc w:val="left"/>
      <w:pPr>
        <w:ind w:left="1800" w:hanging="360"/>
      </w:pPr>
      <w:rPr>
        <w:rFonts w:ascii="Symbol" w:hAnsi="Symbol"/>
      </w:rPr>
    </w:lvl>
    <w:lvl w:ilvl="6" w:tplc="1968FD2A">
      <w:start w:val="1"/>
      <w:numFmt w:val="bullet"/>
      <w:lvlText w:val=""/>
      <w:lvlJc w:val="left"/>
      <w:pPr>
        <w:ind w:left="1800" w:hanging="360"/>
      </w:pPr>
      <w:rPr>
        <w:rFonts w:ascii="Symbol" w:hAnsi="Symbol"/>
      </w:rPr>
    </w:lvl>
    <w:lvl w:ilvl="7" w:tplc="E2020B8C">
      <w:start w:val="1"/>
      <w:numFmt w:val="bullet"/>
      <w:lvlText w:val=""/>
      <w:lvlJc w:val="left"/>
      <w:pPr>
        <w:ind w:left="1800" w:hanging="360"/>
      </w:pPr>
      <w:rPr>
        <w:rFonts w:ascii="Symbol" w:hAnsi="Symbol"/>
      </w:rPr>
    </w:lvl>
    <w:lvl w:ilvl="8" w:tplc="43766B70">
      <w:start w:val="1"/>
      <w:numFmt w:val="bullet"/>
      <w:lvlText w:val=""/>
      <w:lvlJc w:val="left"/>
      <w:pPr>
        <w:ind w:left="1800" w:hanging="360"/>
      </w:pPr>
      <w:rPr>
        <w:rFonts w:ascii="Symbol" w:hAnsi="Symbol"/>
      </w:rPr>
    </w:lvl>
  </w:abstractNum>
  <w:abstractNum w:abstractNumId="51" w15:restartNumberingAfterBreak="0">
    <w:nsid w:val="3DFA6D2D"/>
    <w:multiLevelType w:val="hybridMultilevel"/>
    <w:tmpl w:val="65FE4A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3F0C76B6"/>
    <w:multiLevelType w:val="multilevel"/>
    <w:tmpl w:val="E4287130"/>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F526D9E"/>
    <w:multiLevelType w:val="hybridMultilevel"/>
    <w:tmpl w:val="06F42CD6"/>
    <w:lvl w:ilvl="0" w:tplc="706652C4">
      <w:start w:val="1"/>
      <w:numFmt w:val="bullet"/>
      <w:lvlText w:val=""/>
      <w:lvlJc w:val="left"/>
      <w:pPr>
        <w:ind w:left="720" w:hanging="360"/>
      </w:pPr>
      <w:rPr>
        <w:rFonts w:ascii="Symbol" w:hAnsi="Symbol"/>
      </w:rPr>
    </w:lvl>
    <w:lvl w:ilvl="1" w:tplc="8C38B130">
      <w:start w:val="1"/>
      <w:numFmt w:val="bullet"/>
      <w:lvlText w:val=""/>
      <w:lvlJc w:val="left"/>
      <w:pPr>
        <w:ind w:left="720" w:hanging="360"/>
      </w:pPr>
      <w:rPr>
        <w:rFonts w:ascii="Symbol" w:hAnsi="Symbol"/>
      </w:rPr>
    </w:lvl>
    <w:lvl w:ilvl="2" w:tplc="216C8160">
      <w:start w:val="1"/>
      <w:numFmt w:val="bullet"/>
      <w:lvlText w:val=""/>
      <w:lvlJc w:val="left"/>
      <w:pPr>
        <w:ind w:left="720" w:hanging="360"/>
      </w:pPr>
      <w:rPr>
        <w:rFonts w:ascii="Symbol" w:hAnsi="Symbol"/>
      </w:rPr>
    </w:lvl>
    <w:lvl w:ilvl="3" w:tplc="DCFC6578">
      <w:start w:val="1"/>
      <w:numFmt w:val="bullet"/>
      <w:lvlText w:val=""/>
      <w:lvlJc w:val="left"/>
      <w:pPr>
        <w:ind w:left="720" w:hanging="360"/>
      </w:pPr>
      <w:rPr>
        <w:rFonts w:ascii="Symbol" w:hAnsi="Symbol"/>
      </w:rPr>
    </w:lvl>
    <w:lvl w:ilvl="4" w:tplc="24FE895A">
      <w:start w:val="1"/>
      <w:numFmt w:val="bullet"/>
      <w:lvlText w:val=""/>
      <w:lvlJc w:val="left"/>
      <w:pPr>
        <w:ind w:left="720" w:hanging="360"/>
      </w:pPr>
      <w:rPr>
        <w:rFonts w:ascii="Symbol" w:hAnsi="Symbol"/>
      </w:rPr>
    </w:lvl>
    <w:lvl w:ilvl="5" w:tplc="B21453BC">
      <w:start w:val="1"/>
      <w:numFmt w:val="bullet"/>
      <w:lvlText w:val=""/>
      <w:lvlJc w:val="left"/>
      <w:pPr>
        <w:ind w:left="720" w:hanging="360"/>
      </w:pPr>
      <w:rPr>
        <w:rFonts w:ascii="Symbol" w:hAnsi="Symbol"/>
      </w:rPr>
    </w:lvl>
    <w:lvl w:ilvl="6" w:tplc="C84ED15E">
      <w:start w:val="1"/>
      <w:numFmt w:val="bullet"/>
      <w:lvlText w:val=""/>
      <w:lvlJc w:val="left"/>
      <w:pPr>
        <w:ind w:left="720" w:hanging="360"/>
      </w:pPr>
      <w:rPr>
        <w:rFonts w:ascii="Symbol" w:hAnsi="Symbol"/>
      </w:rPr>
    </w:lvl>
    <w:lvl w:ilvl="7" w:tplc="7DC0927E">
      <w:start w:val="1"/>
      <w:numFmt w:val="bullet"/>
      <w:lvlText w:val=""/>
      <w:lvlJc w:val="left"/>
      <w:pPr>
        <w:ind w:left="720" w:hanging="360"/>
      </w:pPr>
      <w:rPr>
        <w:rFonts w:ascii="Symbol" w:hAnsi="Symbol"/>
      </w:rPr>
    </w:lvl>
    <w:lvl w:ilvl="8" w:tplc="864EDE62">
      <w:start w:val="1"/>
      <w:numFmt w:val="bullet"/>
      <w:lvlText w:val=""/>
      <w:lvlJc w:val="left"/>
      <w:pPr>
        <w:ind w:left="720" w:hanging="360"/>
      </w:pPr>
      <w:rPr>
        <w:rFonts w:ascii="Symbol" w:hAnsi="Symbol"/>
      </w:rPr>
    </w:lvl>
  </w:abstractNum>
  <w:abstractNum w:abstractNumId="54" w15:restartNumberingAfterBreak="0">
    <w:nsid w:val="413C5CC4"/>
    <w:multiLevelType w:val="hybridMultilevel"/>
    <w:tmpl w:val="1416D276"/>
    <w:lvl w:ilvl="0" w:tplc="ACD05322">
      <w:start w:val="1"/>
      <w:numFmt w:val="decimal"/>
      <w:lvlText w:val="%1."/>
      <w:lvlJc w:val="left"/>
      <w:pPr>
        <w:ind w:left="720" w:hanging="360"/>
      </w:pPr>
    </w:lvl>
    <w:lvl w:ilvl="1" w:tplc="D65293AA">
      <w:start w:val="1"/>
      <w:numFmt w:val="decimal"/>
      <w:lvlText w:val="%2."/>
      <w:lvlJc w:val="left"/>
      <w:pPr>
        <w:ind w:left="720" w:hanging="360"/>
      </w:pPr>
    </w:lvl>
    <w:lvl w:ilvl="2" w:tplc="85824904">
      <w:start w:val="1"/>
      <w:numFmt w:val="decimal"/>
      <w:lvlText w:val="%3."/>
      <w:lvlJc w:val="left"/>
      <w:pPr>
        <w:ind w:left="720" w:hanging="360"/>
      </w:pPr>
    </w:lvl>
    <w:lvl w:ilvl="3" w:tplc="8E2A6E86">
      <w:start w:val="1"/>
      <w:numFmt w:val="decimal"/>
      <w:lvlText w:val="%4."/>
      <w:lvlJc w:val="left"/>
      <w:pPr>
        <w:ind w:left="720" w:hanging="360"/>
      </w:pPr>
    </w:lvl>
    <w:lvl w:ilvl="4" w:tplc="86C84E8E">
      <w:start w:val="1"/>
      <w:numFmt w:val="decimal"/>
      <w:lvlText w:val="%5."/>
      <w:lvlJc w:val="left"/>
      <w:pPr>
        <w:ind w:left="720" w:hanging="360"/>
      </w:pPr>
    </w:lvl>
    <w:lvl w:ilvl="5" w:tplc="0464E35E">
      <w:start w:val="1"/>
      <w:numFmt w:val="decimal"/>
      <w:lvlText w:val="%6."/>
      <w:lvlJc w:val="left"/>
      <w:pPr>
        <w:ind w:left="720" w:hanging="360"/>
      </w:pPr>
    </w:lvl>
    <w:lvl w:ilvl="6" w:tplc="40D8198A">
      <w:start w:val="1"/>
      <w:numFmt w:val="decimal"/>
      <w:lvlText w:val="%7."/>
      <w:lvlJc w:val="left"/>
      <w:pPr>
        <w:ind w:left="720" w:hanging="360"/>
      </w:pPr>
    </w:lvl>
    <w:lvl w:ilvl="7" w:tplc="49D27D4A">
      <w:start w:val="1"/>
      <w:numFmt w:val="decimal"/>
      <w:lvlText w:val="%8."/>
      <w:lvlJc w:val="left"/>
      <w:pPr>
        <w:ind w:left="720" w:hanging="360"/>
      </w:pPr>
    </w:lvl>
    <w:lvl w:ilvl="8" w:tplc="10CCB560">
      <w:start w:val="1"/>
      <w:numFmt w:val="decimal"/>
      <w:lvlText w:val="%9."/>
      <w:lvlJc w:val="left"/>
      <w:pPr>
        <w:ind w:left="720" w:hanging="360"/>
      </w:pPr>
    </w:lvl>
  </w:abstractNum>
  <w:abstractNum w:abstractNumId="55" w15:restartNumberingAfterBreak="0">
    <w:nsid w:val="42376C72"/>
    <w:multiLevelType w:val="hybridMultilevel"/>
    <w:tmpl w:val="37B69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2A97E98"/>
    <w:multiLevelType w:val="hybridMultilevel"/>
    <w:tmpl w:val="CE1476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7" w15:restartNumberingAfterBreak="0">
    <w:nsid w:val="43346CF2"/>
    <w:multiLevelType w:val="hybridMultilevel"/>
    <w:tmpl w:val="C144E18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8" w15:restartNumberingAfterBreak="0">
    <w:nsid w:val="43642462"/>
    <w:multiLevelType w:val="hybridMultilevel"/>
    <w:tmpl w:val="76FE7BDC"/>
    <w:lvl w:ilvl="0" w:tplc="BA9C6270">
      <w:start w:val="1"/>
      <w:numFmt w:val="bullet"/>
      <w:lvlText w:val=""/>
      <w:lvlJc w:val="left"/>
      <w:pPr>
        <w:ind w:left="720" w:hanging="360"/>
      </w:pPr>
      <w:rPr>
        <w:rFonts w:ascii="Symbol" w:hAnsi="Symbol"/>
      </w:rPr>
    </w:lvl>
    <w:lvl w:ilvl="1" w:tplc="22CA201E">
      <w:start w:val="1"/>
      <w:numFmt w:val="bullet"/>
      <w:lvlText w:val=""/>
      <w:lvlJc w:val="left"/>
      <w:pPr>
        <w:ind w:left="720" w:hanging="360"/>
      </w:pPr>
      <w:rPr>
        <w:rFonts w:ascii="Symbol" w:hAnsi="Symbol"/>
      </w:rPr>
    </w:lvl>
    <w:lvl w:ilvl="2" w:tplc="DD268E1C">
      <w:start w:val="1"/>
      <w:numFmt w:val="bullet"/>
      <w:lvlText w:val=""/>
      <w:lvlJc w:val="left"/>
      <w:pPr>
        <w:ind w:left="720" w:hanging="360"/>
      </w:pPr>
      <w:rPr>
        <w:rFonts w:ascii="Symbol" w:hAnsi="Symbol"/>
      </w:rPr>
    </w:lvl>
    <w:lvl w:ilvl="3" w:tplc="362CC0F2">
      <w:start w:val="1"/>
      <w:numFmt w:val="bullet"/>
      <w:lvlText w:val=""/>
      <w:lvlJc w:val="left"/>
      <w:pPr>
        <w:ind w:left="720" w:hanging="360"/>
      </w:pPr>
      <w:rPr>
        <w:rFonts w:ascii="Symbol" w:hAnsi="Symbol"/>
      </w:rPr>
    </w:lvl>
    <w:lvl w:ilvl="4" w:tplc="96A265D4">
      <w:start w:val="1"/>
      <w:numFmt w:val="bullet"/>
      <w:lvlText w:val=""/>
      <w:lvlJc w:val="left"/>
      <w:pPr>
        <w:ind w:left="720" w:hanging="360"/>
      </w:pPr>
      <w:rPr>
        <w:rFonts w:ascii="Symbol" w:hAnsi="Symbol"/>
      </w:rPr>
    </w:lvl>
    <w:lvl w:ilvl="5" w:tplc="0EA29EE6">
      <w:start w:val="1"/>
      <w:numFmt w:val="bullet"/>
      <w:lvlText w:val=""/>
      <w:lvlJc w:val="left"/>
      <w:pPr>
        <w:ind w:left="720" w:hanging="360"/>
      </w:pPr>
      <w:rPr>
        <w:rFonts w:ascii="Symbol" w:hAnsi="Symbol"/>
      </w:rPr>
    </w:lvl>
    <w:lvl w:ilvl="6" w:tplc="63AE84A6">
      <w:start w:val="1"/>
      <w:numFmt w:val="bullet"/>
      <w:lvlText w:val=""/>
      <w:lvlJc w:val="left"/>
      <w:pPr>
        <w:ind w:left="720" w:hanging="360"/>
      </w:pPr>
      <w:rPr>
        <w:rFonts w:ascii="Symbol" w:hAnsi="Symbol"/>
      </w:rPr>
    </w:lvl>
    <w:lvl w:ilvl="7" w:tplc="53B6CE00">
      <w:start w:val="1"/>
      <w:numFmt w:val="bullet"/>
      <w:lvlText w:val=""/>
      <w:lvlJc w:val="left"/>
      <w:pPr>
        <w:ind w:left="720" w:hanging="360"/>
      </w:pPr>
      <w:rPr>
        <w:rFonts w:ascii="Symbol" w:hAnsi="Symbol"/>
      </w:rPr>
    </w:lvl>
    <w:lvl w:ilvl="8" w:tplc="89A28434">
      <w:start w:val="1"/>
      <w:numFmt w:val="bullet"/>
      <w:lvlText w:val=""/>
      <w:lvlJc w:val="left"/>
      <w:pPr>
        <w:ind w:left="720" w:hanging="360"/>
      </w:pPr>
      <w:rPr>
        <w:rFonts w:ascii="Symbol" w:hAnsi="Symbol"/>
      </w:rPr>
    </w:lvl>
  </w:abstractNum>
  <w:abstractNum w:abstractNumId="5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C569EE"/>
    <w:multiLevelType w:val="multilevel"/>
    <w:tmpl w:val="110C5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68B16B7"/>
    <w:multiLevelType w:val="hybridMultilevel"/>
    <w:tmpl w:val="4E70AD72"/>
    <w:lvl w:ilvl="0" w:tplc="852AFFE8">
      <w:start w:val="1"/>
      <w:numFmt w:val="bullet"/>
      <w:lvlText w:val="•"/>
      <w:lvlJc w:val="left"/>
      <w:pPr>
        <w:tabs>
          <w:tab w:val="num" w:pos="720"/>
        </w:tabs>
        <w:ind w:left="720" w:hanging="360"/>
      </w:pPr>
      <w:rPr>
        <w:rFonts w:ascii="Arial" w:hAnsi="Arial" w:hint="default"/>
      </w:rPr>
    </w:lvl>
    <w:lvl w:ilvl="1" w:tplc="1DE41D46" w:tentative="1">
      <w:start w:val="1"/>
      <w:numFmt w:val="bullet"/>
      <w:lvlText w:val="•"/>
      <w:lvlJc w:val="left"/>
      <w:pPr>
        <w:tabs>
          <w:tab w:val="num" w:pos="1440"/>
        </w:tabs>
        <w:ind w:left="1440" w:hanging="360"/>
      </w:pPr>
      <w:rPr>
        <w:rFonts w:ascii="Arial" w:hAnsi="Arial" w:hint="default"/>
      </w:rPr>
    </w:lvl>
    <w:lvl w:ilvl="2" w:tplc="7130CF9A" w:tentative="1">
      <w:start w:val="1"/>
      <w:numFmt w:val="bullet"/>
      <w:lvlText w:val="•"/>
      <w:lvlJc w:val="left"/>
      <w:pPr>
        <w:tabs>
          <w:tab w:val="num" w:pos="2160"/>
        </w:tabs>
        <w:ind w:left="2160" w:hanging="360"/>
      </w:pPr>
      <w:rPr>
        <w:rFonts w:ascii="Arial" w:hAnsi="Arial" w:hint="default"/>
      </w:rPr>
    </w:lvl>
    <w:lvl w:ilvl="3" w:tplc="C84A65A8" w:tentative="1">
      <w:start w:val="1"/>
      <w:numFmt w:val="bullet"/>
      <w:lvlText w:val="•"/>
      <w:lvlJc w:val="left"/>
      <w:pPr>
        <w:tabs>
          <w:tab w:val="num" w:pos="2880"/>
        </w:tabs>
        <w:ind w:left="2880" w:hanging="360"/>
      </w:pPr>
      <w:rPr>
        <w:rFonts w:ascii="Arial" w:hAnsi="Arial" w:hint="default"/>
      </w:rPr>
    </w:lvl>
    <w:lvl w:ilvl="4" w:tplc="7EF05F20" w:tentative="1">
      <w:start w:val="1"/>
      <w:numFmt w:val="bullet"/>
      <w:lvlText w:val="•"/>
      <w:lvlJc w:val="left"/>
      <w:pPr>
        <w:tabs>
          <w:tab w:val="num" w:pos="3600"/>
        </w:tabs>
        <w:ind w:left="3600" w:hanging="360"/>
      </w:pPr>
      <w:rPr>
        <w:rFonts w:ascii="Arial" w:hAnsi="Arial" w:hint="default"/>
      </w:rPr>
    </w:lvl>
    <w:lvl w:ilvl="5" w:tplc="E3143886" w:tentative="1">
      <w:start w:val="1"/>
      <w:numFmt w:val="bullet"/>
      <w:lvlText w:val="•"/>
      <w:lvlJc w:val="left"/>
      <w:pPr>
        <w:tabs>
          <w:tab w:val="num" w:pos="4320"/>
        </w:tabs>
        <w:ind w:left="4320" w:hanging="360"/>
      </w:pPr>
      <w:rPr>
        <w:rFonts w:ascii="Arial" w:hAnsi="Arial" w:hint="default"/>
      </w:rPr>
    </w:lvl>
    <w:lvl w:ilvl="6" w:tplc="C854E0F8" w:tentative="1">
      <w:start w:val="1"/>
      <w:numFmt w:val="bullet"/>
      <w:lvlText w:val="•"/>
      <w:lvlJc w:val="left"/>
      <w:pPr>
        <w:tabs>
          <w:tab w:val="num" w:pos="5040"/>
        </w:tabs>
        <w:ind w:left="5040" w:hanging="360"/>
      </w:pPr>
      <w:rPr>
        <w:rFonts w:ascii="Arial" w:hAnsi="Arial" w:hint="default"/>
      </w:rPr>
    </w:lvl>
    <w:lvl w:ilvl="7" w:tplc="367C7C28" w:tentative="1">
      <w:start w:val="1"/>
      <w:numFmt w:val="bullet"/>
      <w:lvlText w:val="•"/>
      <w:lvlJc w:val="left"/>
      <w:pPr>
        <w:tabs>
          <w:tab w:val="num" w:pos="5760"/>
        </w:tabs>
        <w:ind w:left="5760" w:hanging="360"/>
      </w:pPr>
      <w:rPr>
        <w:rFonts w:ascii="Arial" w:hAnsi="Arial" w:hint="default"/>
      </w:rPr>
    </w:lvl>
    <w:lvl w:ilvl="8" w:tplc="981E3D6A"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47095746"/>
    <w:multiLevelType w:val="hybridMultilevel"/>
    <w:tmpl w:val="28BC0FCE"/>
    <w:lvl w:ilvl="0" w:tplc="A26EFB64">
      <w:start w:val="1"/>
      <w:numFmt w:val="bullet"/>
      <w:pStyle w:val="Instructionaltext-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64" w15:restartNumberingAfterBreak="0">
    <w:nsid w:val="48355137"/>
    <w:multiLevelType w:val="hybridMultilevel"/>
    <w:tmpl w:val="DBCCC3EE"/>
    <w:lvl w:ilvl="0" w:tplc="F1DC2098">
      <w:numFmt w:val="bullet"/>
      <w:lvlText w:val="-"/>
      <w:lvlJc w:val="left"/>
      <w:pPr>
        <w:ind w:left="720" w:hanging="360"/>
      </w:pPr>
      <w:rPr>
        <w:rFonts w:ascii="Arial Narrow" w:eastAsia="MS Gothic"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8EE0E7B"/>
    <w:multiLevelType w:val="hybridMultilevel"/>
    <w:tmpl w:val="F75E7EF0"/>
    <w:lvl w:ilvl="0" w:tplc="265ABE10">
      <w:start w:val="244"/>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8F515F3"/>
    <w:multiLevelType w:val="multilevel"/>
    <w:tmpl w:val="2CF07F1E"/>
    <w:styleLink w:val="MSACESBulletpoints"/>
    <w:lvl w:ilvl="0">
      <w:start w:val="1"/>
      <w:numFmt w:val="bullet"/>
      <w:lvlText w:val=""/>
      <w:lvlJc w:val="left"/>
      <w:pPr>
        <w:ind w:left="717" w:hanging="360"/>
      </w:pPr>
      <w:rPr>
        <w:rFonts w:ascii="Symbol" w:hAnsi="Symbol" w:hint="default"/>
      </w:rPr>
    </w:lvl>
    <w:lvl w:ilvl="1">
      <w:start w:val="1"/>
      <w:numFmt w:val="bullet"/>
      <w:lvlText w:val=""/>
      <w:lvlJc w:val="left"/>
      <w:pPr>
        <w:ind w:left="714" w:firstLine="1086"/>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7" w15:restartNumberingAfterBreak="0">
    <w:nsid w:val="494E71EB"/>
    <w:multiLevelType w:val="hybridMultilevel"/>
    <w:tmpl w:val="0FC2E982"/>
    <w:lvl w:ilvl="0" w:tplc="E206C3BA">
      <w:start w:val="1"/>
      <w:numFmt w:val="bullet"/>
      <w:lvlText w:val=""/>
      <w:lvlJc w:val="left"/>
      <w:pPr>
        <w:ind w:left="720" w:hanging="360"/>
      </w:pPr>
      <w:rPr>
        <w:rFonts w:ascii="Symbol" w:hAnsi="Symbol"/>
      </w:rPr>
    </w:lvl>
    <w:lvl w:ilvl="1" w:tplc="3C04CFF2">
      <w:start w:val="1"/>
      <w:numFmt w:val="bullet"/>
      <w:lvlText w:val=""/>
      <w:lvlJc w:val="left"/>
      <w:pPr>
        <w:ind w:left="720" w:hanging="360"/>
      </w:pPr>
      <w:rPr>
        <w:rFonts w:ascii="Symbol" w:hAnsi="Symbol"/>
      </w:rPr>
    </w:lvl>
    <w:lvl w:ilvl="2" w:tplc="316AF7A0">
      <w:start w:val="1"/>
      <w:numFmt w:val="bullet"/>
      <w:lvlText w:val=""/>
      <w:lvlJc w:val="left"/>
      <w:pPr>
        <w:ind w:left="720" w:hanging="360"/>
      </w:pPr>
      <w:rPr>
        <w:rFonts w:ascii="Symbol" w:hAnsi="Symbol"/>
      </w:rPr>
    </w:lvl>
    <w:lvl w:ilvl="3" w:tplc="39166470">
      <w:start w:val="1"/>
      <w:numFmt w:val="bullet"/>
      <w:lvlText w:val=""/>
      <w:lvlJc w:val="left"/>
      <w:pPr>
        <w:ind w:left="720" w:hanging="360"/>
      </w:pPr>
      <w:rPr>
        <w:rFonts w:ascii="Symbol" w:hAnsi="Symbol"/>
      </w:rPr>
    </w:lvl>
    <w:lvl w:ilvl="4" w:tplc="B85649B0">
      <w:start w:val="1"/>
      <w:numFmt w:val="bullet"/>
      <w:lvlText w:val=""/>
      <w:lvlJc w:val="left"/>
      <w:pPr>
        <w:ind w:left="720" w:hanging="360"/>
      </w:pPr>
      <w:rPr>
        <w:rFonts w:ascii="Symbol" w:hAnsi="Symbol"/>
      </w:rPr>
    </w:lvl>
    <w:lvl w:ilvl="5" w:tplc="7BF4CC3E">
      <w:start w:val="1"/>
      <w:numFmt w:val="bullet"/>
      <w:lvlText w:val=""/>
      <w:lvlJc w:val="left"/>
      <w:pPr>
        <w:ind w:left="720" w:hanging="360"/>
      </w:pPr>
      <w:rPr>
        <w:rFonts w:ascii="Symbol" w:hAnsi="Symbol"/>
      </w:rPr>
    </w:lvl>
    <w:lvl w:ilvl="6" w:tplc="1512BE0C">
      <w:start w:val="1"/>
      <w:numFmt w:val="bullet"/>
      <w:lvlText w:val=""/>
      <w:lvlJc w:val="left"/>
      <w:pPr>
        <w:ind w:left="720" w:hanging="360"/>
      </w:pPr>
      <w:rPr>
        <w:rFonts w:ascii="Symbol" w:hAnsi="Symbol"/>
      </w:rPr>
    </w:lvl>
    <w:lvl w:ilvl="7" w:tplc="73062F28">
      <w:start w:val="1"/>
      <w:numFmt w:val="bullet"/>
      <w:lvlText w:val=""/>
      <w:lvlJc w:val="left"/>
      <w:pPr>
        <w:ind w:left="720" w:hanging="360"/>
      </w:pPr>
      <w:rPr>
        <w:rFonts w:ascii="Symbol" w:hAnsi="Symbol"/>
      </w:rPr>
    </w:lvl>
    <w:lvl w:ilvl="8" w:tplc="7DB4E780">
      <w:start w:val="1"/>
      <w:numFmt w:val="bullet"/>
      <w:lvlText w:val=""/>
      <w:lvlJc w:val="left"/>
      <w:pPr>
        <w:ind w:left="720" w:hanging="360"/>
      </w:pPr>
      <w:rPr>
        <w:rFonts w:ascii="Symbol" w:hAnsi="Symbol"/>
      </w:rPr>
    </w:lvl>
  </w:abstractNum>
  <w:abstractNum w:abstractNumId="68" w15:restartNumberingAfterBreak="0">
    <w:nsid w:val="49580192"/>
    <w:multiLevelType w:val="hybridMultilevel"/>
    <w:tmpl w:val="C28C0A66"/>
    <w:lvl w:ilvl="0" w:tplc="3E5CE4CA">
      <w:start w:val="1"/>
      <w:numFmt w:val="bullet"/>
      <w:lvlText w:val=""/>
      <w:lvlJc w:val="left"/>
      <w:pPr>
        <w:ind w:left="1440" w:hanging="360"/>
      </w:pPr>
      <w:rPr>
        <w:rFonts w:ascii="Symbol" w:hAnsi="Symbol"/>
      </w:rPr>
    </w:lvl>
    <w:lvl w:ilvl="1" w:tplc="AB7C2DC2">
      <w:start w:val="1"/>
      <w:numFmt w:val="bullet"/>
      <w:lvlText w:val=""/>
      <w:lvlJc w:val="left"/>
      <w:pPr>
        <w:ind w:left="1440" w:hanging="360"/>
      </w:pPr>
      <w:rPr>
        <w:rFonts w:ascii="Symbol" w:hAnsi="Symbol"/>
      </w:rPr>
    </w:lvl>
    <w:lvl w:ilvl="2" w:tplc="EFECF3C0">
      <w:start w:val="1"/>
      <w:numFmt w:val="bullet"/>
      <w:lvlText w:val=""/>
      <w:lvlJc w:val="left"/>
      <w:pPr>
        <w:ind w:left="1440" w:hanging="360"/>
      </w:pPr>
      <w:rPr>
        <w:rFonts w:ascii="Symbol" w:hAnsi="Symbol"/>
      </w:rPr>
    </w:lvl>
    <w:lvl w:ilvl="3" w:tplc="B8BE0848">
      <w:start w:val="1"/>
      <w:numFmt w:val="bullet"/>
      <w:lvlText w:val=""/>
      <w:lvlJc w:val="left"/>
      <w:pPr>
        <w:ind w:left="1440" w:hanging="360"/>
      </w:pPr>
      <w:rPr>
        <w:rFonts w:ascii="Symbol" w:hAnsi="Symbol"/>
      </w:rPr>
    </w:lvl>
    <w:lvl w:ilvl="4" w:tplc="09E4B566">
      <w:start w:val="1"/>
      <w:numFmt w:val="bullet"/>
      <w:lvlText w:val=""/>
      <w:lvlJc w:val="left"/>
      <w:pPr>
        <w:ind w:left="1440" w:hanging="360"/>
      </w:pPr>
      <w:rPr>
        <w:rFonts w:ascii="Symbol" w:hAnsi="Symbol"/>
      </w:rPr>
    </w:lvl>
    <w:lvl w:ilvl="5" w:tplc="8B56CE1C">
      <w:start w:val="1"/>
      <w:numFmt w:val="bullet"/>
      <w:lvlText w:val=""/>
      <w:lvlJc w:val="left"/>
      <w:pPr>
        <w:ind w:left="1440" w:hanging="360"/>
      </w:pPr>
      <w:rPr>
        <w:rFonts w:ascii="Symbol" w:hAnsi="Symbol"/>
      </w:rPr>
    </w:lvl>
    <w:lvl w:ilvl="6" w:tplc="8CEE32FC">
      <w:start w:val="1"/>
      <w:numFmt w:val="bullet"/>
      <w:lvlText w:val=""/>
      <w:lvlJc w:val="left"/>
      <w:pPr>
        <w:ind w:left="1440" w:hanging="360"/>
      </w:pPr>
      <w:rPr>
        <w:rFonts w:ascii="Symbol" w:hAnsi="Symbol"/>
      </w:rPr>
    </w:lvl>
    <w:lvl w:ilvl="7" w:tplc="3710AD16">
      <w:start w:val="1"/>
      <w:numFmt w:val="bullet"/>
      <w:lvlText w:val=""/>
      <w:lvlJc w:val="left"/>
      <w:pPr>
        <w:ind w:left="1440" w:hanging="360"/>
      </w:pPr>
      <w:rPr>
        <w:rFonts w:ascii="Symbol" w:hAnsi="Symbol"/>
      </w:rPr>
    </w:lvl>
    <w:lvl w:ilvl="8" w:tplc="C5C6D9B2">
      <w:start w:val="1"/>
      <w:numFmt w:val="bullet"/>
      <w:lvlText w:val=""/>
      <w:lvlJc w:val="left"/>
      <w:pPr>
        <w:ind w:left="1440" w:hanging="360"/>
      </w:pPr>
      <w:rPr>
        <w:rFonts w:ascii="Symbol" w:hAnsi="Symbol"/>
      </w:rPr>
    </w:lvl>
  </w:abstractNum>
  <w:abstractNum w:abstractNumId="69" w15:restartNumberingAfterBreak="0">
    <w:nsid w:val="49586927"/>
    <w:multiLevelType w:val="multilevel"/>
    <w:tmpl w:val="33CEB958"/>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bullet"/>
      <w:lvlText w:val=""/>
      <w:lvlJc w:val="left"/>
      <w:pPr>
        <w:ind w:left="360" w:hanging="360"/>
      </w:pPr>
      <w:rPr>
        <w:rFonts w:ascii="Symbol" w:hAnsi="Symbol" w:hint="default"/>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DAC1142"/>
    <w:multiLevelType w:val="multilevel"/>
    <w:tmpl w:val="6EFE96F0"/>
    <w:lvl w:ilvl="0">
      <w:start w:val="3"/>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15:restartNumberingAfterBreak="0">
    <w:nsid w:val="51B54D69"/>
    <w:multiLevelType w:val="hybridMultilevel"/>
    <w:tmpl w:val="07B06E4E"/>
    <w:lvl w:ilvl="0" w:tplc="17186914">
      <w:start w:val="1"/>
      <w:numFmt w:val="bullet"/>
      <w:lvlText w:val=""/>
      <w:lvlJc w:val="left"/>
      <w:pPr>
        <w:ind w:left="720" w:hanging="360"/>
      </w:pPr>
      <w:rPr>
        <w:rFonts w:ascii="Symbol" w:hAnsi="Symbol"/>
      </w:rPr>
    </w:lvl>
    <w:lvl w:ilvl="1" w:tplc="B3E2952E">
      <w:start w:val="1"/>
      <w:numFmt w:val="bullet"/>
      <w:lvlText w:val=""/>
      <w:lvlJc w:val="left"/>
      <w:pPr>
        <w:ind w:left="720" w:hanging="360"/>
      </w:pPr>
      <w:rPr>
        <w:rFonts w:ascii="Symbol" w:hAnsi="Symbol"/>
      </w:rPr>
    </w:lvl>
    <w:lvl w:ilvl="2" w:tplc="81F898D8">
      <w:start w:val="1"/>
      <w:numFmt w:val="bullet"/>
      <w:lvlText w:val=""/>
      <w:lvlJc w:val="left"/>
      <w:pPr>
        <w:ind w:left="720" w:hanging="360"/>
      </w:pPr>
      <w:rPr>
        <w:rFonts w:ascii="Symbol" w:hAnsi="Symbol"/>
      </w:rPr>
    </w:lvl>
    <w:lvl w:ilvl="3" w:tplc="35264E0E">
      <w:start w:val="1"/>
      <w:numFmt w:val="bullet"/>
      <w:lvlText w:val=""/>
      <w:lvlJc w:val="left"/>
      <w:pPr>
        <w:ind w:left="720" w:hanging="360"/>
      </w:pPr>
      <w:rPr>
        <w:rFonts w:ascii="Symbol" w:hAnsi="Symbol"/>
      </w:rPr>
    </w:lvl>
    <w:lvl w:ilvl="4" w:tplc="D382ABCC">
      <w:start w:val="1"/>
      <w:numFmt w:val="bullet"/>
      <w:lvlText w:val=""/>
      <w:lvlJc w:val="left"/>
      <w:pPr>
        <w:ind w:left="720" w:hanging="360"/>
      </w:pPr>
      <w:rPr>
        <w:rFonts w:ascii="Symbol" w:hAnsi="Symbol"/>
      </w:rPr>
    </w:lvl>
    <w:lvl w:ilvl="5" w:tplc="3872D392">
      <w:start w:val="1"/>
      <w:numFmt w:val="bullet"/>
      <w:lvlText w:val=""/>
      <w:lvlJc w:val="left"/>
      <w:pPr>
        <w:ind w:left="720" w:hanging="360"/>
      </w:pPr>
      <w:rPr>
        <w:rFonts w:ascii="Symbol" w:hAnsi="Symbol"/>
      </w:rPr>
    </w:lvl>
    <w:lvl w:ilvl="6" w:tplc="1506CB8E">
      <w:start w:val="1"/>
      <w:numFmt w:val="bullet"/>
      <w:lvlText w:val=""/>
      <w:lvlJc w:val="left"/>
      <w:pPr>
        <w:ind w:left="720" w:hanging="360"/>
      </w:pPr>
      <w:rPr>
        <w:rFonts w:ascii="Symbol" w:hAnsi="Symbol"/>
      </w:rPr>
    </w:lvl>
    <w:lvl w:ilvl="7" w:tplc="C2C46204">
      <w:start w:val="1"/>
      <w:numFmt w:val="bullet"/>
      <w:lvlText w:val=""/>
      <w:lvlJc w:val="left"/>
      <w:pPr>
        <w:ind w:left="720" w:hanging="360"/>
      </w:pPr>
      <w:rPr>
        <w:rFonts w:ascii="Symbol" w:hAnsi="Symbol"/>
      </w:rPr>
    </w:lvl>
    <w:lvl w:ilvl="8" w:tplc="C73000B8">
      <w:start w:val="1"/>
      <w:numFmt w:val="bullet"/>
      <w:lvlText w:val=""/>
      <w:lvlJc w:val="left"/>
      <w:pPr>
        <w:ind w:left="720" w:hanging="360"/>
      </w:pPr>
      <w:rPr>
        <w:rFonts w:ascii="Symbol" w:hAnsi="Symbol"/>
      </w:rPr>
    </w:lvl>
  </w:abstractNum>
  <w:abstractNum w:abstractNumId="72" w15:restartNumberingAfterBreak="0">
    <w:nsid w:val="526D74CA"/>
    <w:multiLevelType w:val="hybridMultilevel"/>
    <w:tmpl w:val="6E646AC4"/>
    <w:lvl w:ilvl="0" w:tplc="4BF69F56">
      <w:start w:val="1"/>
      <w:numFmt w:val="bullet"/>
      <w:lvlText w:val=""/>
      <w:lvlJc w:val="left"/>
      <w:pPr>
        <w:ind w:left="720" w:hanging="360"/>
      </w:pPr>
      <w:rPr>
        <w:rFonts w:ascii="Symbol" w:hAnsi="Symbol"/>
      </w:rPr>
    </w:lvl>
    <w:lvl w:ilvl="1" w:tplc="401612BC">
      <w:start w:val="1"/>
      <w:numFmt w:val="bullet"/>
      <w:lvlText w:val=""/>
      <w:lvlJc w:val="left"/>
      <w:pPr>
        <w:ind w:left="720" w:hanging="360"/>
      </w:pPr>
      <w:rPr>
        <w:rFonts w:ascii="Symbol" w:hAnsi="Symbol"/>
      </w:rPr>
    </w:lvl>
    <w:lvl w:ilvl="2" w:tplc="0A70D784">
      <w:start w:val="1"/>
      <w:numFmt w:val="bullet"/>
      <w:lvlText w:val=""/>
      <w:lvlJc w:val="left"/>
      <w:pPr>
        <w:ind w:left="720" w:hanging="360"/>
      </w:pPr>
      <w:rPr>
        <w:rFonts w:ascii="Symbol" w:hAnsi="Symbol"/>
      </w:rPr>
    </w:lvl>
    <w:lvl w:ilvl="3" w:tplc="69F8A75C">
      <w:start w:val="1"/>
      <w:numFmt w:val="bullet"/>
      <w:lvlText w:val=""/>
      <w:lvlJc w:val="left"/>
      <w:pPr>
        <w:ind w:left="720" w:hanging="360"/>
      </w:pPr>
      <w:rPr>
        <w:rFonts w:ascii="Symbol" w:hAnsi="Symbol"/>
      </w:rPr>
    </w:lvl>
    <w:lvl w:ilvl="4" w:tplc="242C3660">
      <w:start w:val="1"/>
      <w:numFmt w:val="bullet"/>
      <w:lvlText w:val=""/>
      <w:lvlJc w:val="left"/>
      <w:pPr>
        <w:ind w:left="720" w:hanging="360"/>
      </w:pPr>
      <w:rPr>
        <w:rFonts w:ascii="Symbol" w:hAnsi="Symbol"/>
      </w:rPr>
    </w:lvl>
    <w:lvl w:ilvl="5" w:tplc="799CE030">
      <w:start w:val="1"/>
      <w:numFmt w:val="bullet"/>
      <w:lvlText w:val=""/>
      <w:lvlJc w:val="left"/>
      <w:pPr>
        <w:ind w:left="720" w:hanging="360"/>
      </w:pPr>
      <w:rPr>
        <w:rFonts w:ascii="Symbol" w:hAnsi="Symbol"/>
      </w:rPr>
    </w:lvl>
    <w:lvl w:ilvl="6" w:tplc="19FE9EC6">
      <w:start w:val="1"/>
      <w:numFmt w:val="bullet"/>
      <w:lvlText w:val=""/>
      <w:lvlJc w:val="left"/>
      <w:pPr>
        <w:ind w:left="720" w:hanging="360"/>
      </w:pPr>
      <w:rPr>
        <w:rFonts w:ascii="Symbol" w:hAnsi="Symbol"/>
      </w:rPr>
    </w:lvl>
    <w:lvl w:ilvl="7" w:tplc="99F0F0FA">
      <w:start w:val="1"/>
      <w:numFmt w:val="bullet"/>
      <w:lvlText w:val=""/>
      <w:lvlJc w:val="left"/>
      <w:pPr>
        <w:ind w:left="720" w:hanging="360"/>
      </w:pPr>
      <w:rPr>
        <w:rFonts w:ascii="Symbol" w:hAnsi="Symbol"/>
      </w:rPr>
    </w:lvl>
    <w:lvl w:ilvl="8" w:tplc="6B0C10D8">
      <w:start w:val="1"/>
      <w:numFmt w:val="bullet"/>
      <w:lvlText w:val=""/>
      <w:lvlJc w:val="left"/>
      <w:pPr>
        <w:ind w:left="720" w:hanging="360"/>
      </w:pPr>
      <w:rPr>
        <w:rFonts w:ascii="Symbol" w:hAnsi="Symbol"/>
      </w:rPr>
    </w:lvl>
  </w:abstractNum>
  <w:abstractNum w:abstractNumId="73" w15:restartNumberingAfterBreak="0">
    <w:nsid w:val="53022CFF"/>
    <w:multiLevelType w:val="hybridMultilevel"/>
    <w:tmpl w:val="C7DCE748"/>
    <w:lvl w:ilvl="0" w:tplc="63540222">
      <w:start w:val="1"/>
      <w:numFmt w:val="bullet"/>
      <w:lvlText w:val=""/>
      <w:lvlJc w:val="left"/>
      <w:pPr>
        <w:ind w:left="720" w:hanging="360"/>
      </w:pPr>
      <w:rPr>
        <w:rFonts w:ascii="Symbol" w:hAnsi="Symbol"/>
      </w:rPr>
    </w:lvl>
    <w:lvl w:ilvl="1" w:tplc="25F8208C">
      <w:start w:val="1"/>
      <w:numFmt w:val="bullet"/>
      <w:lvlText w:val=""/>
      <w:lvlJc w:val="left"/>
      <w:pPr>
        <w:ind w:left="720" w:hanging="360"/>
      </w:pPr>
      <w:rPr>
        <w:rFonts w:ascii="Symbol" w:hAnsi="Symbol"/>
      </w:rPr>
    </w:lvl>
    <w:lvl w:ilvl="2" w:tplc="DBE227BC">
      <w:start w:val="1"/>
      <w:numFmt w:val="bullet"/>
      <w:lvlText w:val=""/>
      <w:lvlJc w:val="left"/>
      <w:pPr>
        <w:ind w:left="720" w:hanging="360"/>
      </w:pPr>
      <w:rPr>
        <w:rFonts w:ascii="Symbol" w:hAnsi="Symbol"/>
      </w:rPr>
    </w:lvl>
    <w:lvl w:ilvl="3" w:tplc="D0B675DA">
      <w:start w:val="1"/>
      <w:numFmt w:val="bullet"/>
      <w:lvlText w:val=""/>
      <w:lvlJc w:val="left"/>
      <w:pPr>
        <w:ind w:left="720" w:hanging="360"/>
      </w:pPr>
      <w:rPr>
        <w:rFonts w:ascii="Symbol" w:hAnsi="Symbol"/>
      </w:rPr>
    </w:lvl>
    <w:lvl w:ilvl="4" w:tplc="A080F072">
      <w:start w:val="1"/>
      <w:numFmt w:val="bullet"/>
      <w:lvlText w:val=""/>
      <w:lvlJc w:val="left"/>
      <w:pPr>
        <w:ind w:left="720" w:hanging="360"/>
      </w:pPr>
      <w:rPr>
        <w:rFonts w:ascii="Symbol" w:hAnsi="Symbol"/>
      </w:rPr>
    </w:lvl>
    <w:lvl w:ilvl="5" w:tplc="E02A6E14">
      <w:start w:val="1"/>
      <w:numFmt w:val="bullet"/>
      <w:lvlText w:val=""/>
      <w:lvlJc w:val="left"/>
      <w:pPr>
        <w:ind w:left="720" w:hanging="360"/>
      </w:pPr>
      <w:rPr>
        <w:rFonts w:ascii="Symbol" w:hAnsi="Symbol"/>
      </w:rPr>
    </w:lvl>
    <w:lvl w:ilvl="6" w:tplc="61100164">
      <w:start w:val="1"/>
      <w:numFmt w:val="bullet"/>
      <w:lvlText w:val=""/>
      <w:lvlJc w:val="left"/>
      <w:pPr>
        <w:ind w:left="720" w:hanging="360"/>
      </w:pPr>
      <w:rPr>
        <w:rFonts w:ascii="Symbol" w:hAnsi="Symbol"/>
      </w:rPr>
    </w:lvl>
    <w:lvl w:ilvl="7" w:tplc="9DBCA790">
      <w:start w:val="1"/>
      <w:numFmt w:val="bullet"/>
      <w:lvlText w:val=""/>
      <w:lvlJc w:val="left"/>
      <w:pPr>
        <w:ind w:left="720" w:hanging="360"/>
      </w:pPr>
      <w:rPr>
        <w:rFonts w:ascii="Symbol" w:hAnsi="Symbol"/>
      </w:rPr>
    </w:lvl>
    <w:lvl w:ilvl="8" w:tplc="BF34E8EA">
      <w:start w:val="1"/>
      <w:numFmt w:val="bullet"/>
      <w:lvlText w:val=""/>
      <w:lvlJc w:val="left"/>
      <w:pPr>
        <w:ind w:left="720" w:hanging="360"/>
      </w:pPr>
      <w:rPr>
        <w:rFonts w:ascii="Symbol" w:hAnsi="Symbol"/>
      </w:rPr>
    </w:lvl>
  </w:abstractNum>
  <w:abstractNum w:abstractNumId="74" w15:restartNumberingAfterBreak="0">
    <w:nsid w:val="532906A3"/>
    <w:multiLevelType w:val="hybridMultilevel"/>
    <w:tmpl w:val="9BCC5E22"/>
    <w:lvl w:ilvl="0" w:tplc="D4042078">
      <w:start w:val="1"/>
      <w:numFmt w:val="bullet"/>
      <w:lvlText w:val=""/>
      <w:lvlJc w:val="left"/>
      <w:pPr>
        <w:ind w:left="720" w:hanging="360"/>
      </w:pPr>
      <w:rPr>
        <w:rFonts w:ascii="Symbol" w:hAnsi="Symbol"/>
      </w:rPr>
    </w:lvl>
    <w:lvl w:ilvl="1" w:tplc="0BD680D6">
      <w:start w:val="1"/>
      <w:numFmt w:val="bullet"/>
      <w:lvlText w:val=""/>
      <w:lvlJc w:val="left"/>
      <w:pPr>
        <w:ind w:left="720" w:hanging="360"/>
      </w:pPr>
      <w:rPr>
        <w:rFonts w:ascii="Symbol" w:hAnsi="Symbol"/>
      </w:rPr>
    </w:lvl>
    <w:lvl w:ilvl="2" w:tplc="372AAFC8">
      <w:start w:val="1"/>
      <w:numFmt w:val="bullet"/>
      <w:lvlText w:val=""/>
      <w:lvlJc w:val="left"/>
      <w:pPr>
        <w:ind w:left="720" w:hanging="360"/>
      </w:pPr>
      <w:rPr>
        <w:rFonts w:ascii="Symbol" w:hAnsi="Symbol"/>
      </w:rPr>
    </w:lvl>
    <w:lvl w:ilvl="3" w:tplc="34BC8B74">
      <w:start w:val="1"/>
      <w:numFmt w:val="bullet"/>
      <w:lvlText w:val=""/>
      <w:lvlJc w:val="left"/>
      <w:pPr>
        <w:ind w:left="720" w:hanging="360"/>
      </w:pPr>
      <w:rPr>
        <w:rFonts w:ascii="Symbol" w:hAnsi="Symbol"/>
      </w:rPr>
    </w:lvl>
    <w:lvl w:ilvl="4" w:tplc="6A942284">
      <w:start w:val="1"/>
      <w:numFmt w:val="bullet"/>
      <w:lvlText w:val=""/>
      <w:lvlJc w:val="left"/>
      <w:pPr>
        <w:ind w:left="720" w:hanging="360"/>
      </w:pPr>
      <w:rPr>
        <w:rFonts w:ascii="Symbol" w:hAnsi="Symbol"/>
      </w:rPr>
    </w:lvl>
    <w:lvl w:ilvl="5" w:tplc="6F906E86">
      <w:start w:val="1"/>
      <w:numFmt w:val="bullet"/>
      <w:lvlText w:val=""/>
      <w:lvlJc w:val="left"/>
      <w:pPr>
        <w:ind w:left="720" w:hanging="360"/>
      </w:pPr>
      <w:rPr>
        <w:rFonts w:ascii="Symbol" w:hAnsi="Symbol"/>
      </w:rPr>
    </w:lvl>
    <w:lvl w:ilvl="6" w:tplc="A2144A1C">
      <w:start w:val="1"/>
      <w:numFmt w:val="bullet"/>
      <w:lvlText w:val=""/>
      <w:lvlJc w:val="left"/>
      <w:pPr>
        <w:ind w:left="720" w:hanging="360"/>
      </w:pPr>
      <w:rPr>
        <w:rFonts w:ascii="Symbol" w:hAnsi="Symbol"/>
      </w:rPr>
    </w:lvl>
    <w:lvl w:ilvl="7" w:tplc="704CB316">
      <w:start w:val="1"/>
      <w:numFmt w:val="bullet"/>
      <w:lvlText w:val=""/>
      <w:lvlJc w:val="left"/>
      <w:pPr>
        <w:ind w:left="720" w:hanging="360"/>
      </w:pPr>
      <w:rPr>
        <w:rFonts w:ascii="Symbol" w:hAnsi="Symbol"/>
      </w:rPr>
    </w:lvl>
    <w:lvl w:ilvl="8" w:tplc="EE98D1A6">
      <w:start w:val="1"/>
      <w:numFmt w:val="bullet"/>
      <w:lvlText w:val=""/>
      <w:lvlJc w:val="left"/>
      <w:pPr>
        <w:ind w:left="720" w:hanging="360"/>
      </w:pPr>
      <w:rPr>
        <w:rFonts w:ascii="Symbol" w:hAnsi="Symbol"/>
      </w:rPr>
    </w:lvl>
  </w:abstractNum>
  <w:abstractNum w:abstractNumId="75" w15:restartNumberingAfterBreak="0">
    <w:nsid w:val="542435A7"/>
    <w:multiLevelType w:val="hybridMultilevel"/>
    <w:tmpl w:val="17242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7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D42762D"/>
    <w:multiLevelType w:val="hybridMultilevel"/>
    <w:tmpl w:val="4B9ADDAC"/>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5D500702"/>
    <w:multiLevelType w:val="hybridMultilevel"/>
    <w:tmpl w:val="203E702E"/>
    <w:lvl w:ilvl="0" w:tplc="0F94073E">
      <w:start w:val="1"/>
      <w:numFmt w:val="bullet"/>
      <w:lvlText w:val=""/>
      <w:lvlJc w:val="left"/>
      <w:pPr>
        <w:ind w:left="720" w:hanging="360"/>
      </w:pPr>
      <w:rPr>
        <w:rFonts w:ascii="Symbol" w:hAnsi="Symbol"/>
      </w:rPr>
    </w:lvl>
    <w:lvl w:ilvl="1" w:tplc="4A0E7BA2">
      <w:start w:val="1"/>
      <w:numFmt w:val="bullet"/>
      <w:lvlText w:val=""/>
      <w:lvlJc w:val="left"/>
      <w:pPr>
        <w:ind w:left="720" w:hanging="360"/>
      </w:pPr>
      <w:rPr>
        <w:rFonts w:ascii="Symbol" w:hAnsi="Symbol"/>
      </w:rPr>
    </w:lvl>
    <w:lvl w:ilvl="2" w:tplc="66380208">
      <w:start w:val="1"/>
      <w:numFmt w:val="bullet"/>
      <w:lvlText w:val=""/>
      <w:lvlJc w:val="left"/>
      <w:pPr>
        <w:ind w:left="720" w:hanging="360"/>
      </w:pPr>
      <w:rPr>
        <w:rFonts w:ascii="Symbol" w:hAnsi="Symbol"/>
      </w:rPr>
    </w:lvl>
    <w:lvl w:ilvl="3" w:tplc="2C8EC910">
      <w:start w:val="1"/>
      <w:numFmt w:val="bullet"/>
      <w:lvlText w:val=""/>
      <w:lvlJc w:val="left"/>
      <w:pPr>
        <w:ind w:left="720" w:hanging="360"/>
      </w:pPr>
      <w:rPr>
        <w:rFonts w:ascii="Symbol" w:hAnsi="Symbol"/>
      </w:rPr>
    </w:lvl>
    <w:lvl w:ilvl="4" w:tplc="0D2812DE">
      <w:start w:val="1"/>
      <w:numFmt w:val="bullet"/>
      <w:lvlText w:val=""/>
      <w:lvlJc w:val="left"/>
      <w:pPr>
        <w:ind w:left="720" w:hanging="360"/>
      </w:pPr>
      <w:rPr>
        <w:rFonts w:ascii="Symbol" w:hAnsi="Symbol"/>
      </w:rPr>
    </w:lvl>
    <w:lvl w:ilvl="5" w:tplc="4B8A4D8E">
      <w:start w:val="1"/>
      <w:numFmt w:val="bullet"/>
      <w:lvlText w:val=""/>
      <w:lvlJc w:val="left"/>
      <w:pPr>
        <w:ind w:left="720" w:hanging="360"/>
      </w:pPr>
      <w:rPr>
        <w:rFonts w:ascii="Symbol" w:hAnsi="Symbol"/>
      </w:rPr>
    </w:lvl>
    <w:lvl w:ilvl="6" w:tplc="D03AD798">
      <w:start w:val="1"/>
      <w:numFmt w:val="bullet"/>
      <w:lvlText w:val=""/>
      <w:lvlJc w:val="left"/>
      <w:pPr>
        <w:ind w:left="720" w:hanging="360"/>
      </w:pPr>
      <w:rPr>
        <w:rFonts w:ascii="Symbol" w:hAnsi="Symbol"/>
      </w:rPr>
    </w:lvl>
    <w:lvl w:ilvl="7" w:tplc="7CECFF00">
      <w:start w:val="1"/>
      <w:numFmt w:val="bullet"/>
      <w:lvlText w:val=""/>
      <w:lvlJc w:val="left"/>
      <w:pPr>
        <w:ind w:left="720" w:hanging="360"/>
      </w:pPr>
      <w:rPr>
        <w:rFonts w:ascii="Symbol" w:hAnsi="Symbol"/>
      </w:rPr>
    </w:lvl>
    <w:lvl w:ilvl="8" w:tplc="2C008A3E">
      <w:start w:val="1"/>
      <w:numFmt w:val="bullet"/>
      <w:lvlText w:val=""/>
      <w:lvlJc w:val="left"/>
      <w:pPr>
        <w:ind w:left="720" w:hanging="360"/>
      </w:pPr>
      <w:rPr>
        <w:rFonts w:ascii="Symbol" w:hAnsi="Symbol"/>
      </w:rPr>
    </w:lvl>
  </w:abstractNum>
  <w:abstractNum w:abstractNumId="81" w15:restartNumberingAfterBreak="0">
    <w:nsid w:val="5DB12C80"/>
    <w:multiLevelType w:val="hybridMultilevel"/>
    <w:tmpl w:val="C4020986"/>
    <w:lvl w:ilvl="0" w:tplc="DAC69B76">
      <w:start w:val="1"/>
      <w:numFmt w:val="bullet"/>
      <w:lvlText w:val=""/>
      <w:lvlJc w:val="left"/>
      <w:pPr>
        <w:ind w:left="1800" w:hanging="360"/>
      </w:pPr>
      <w:rPr>
        <w:rFonts w:ascii="Symbol" w:hAnsi="Symbol"/>
      </w:rPr>
    </w:lvl>
    <w:lvl w:ilvl="1" w:tplc="761CA5E4">
      <w:start w:val="1"/>
      <w:numFmt w:val="bullet"/>
      <w:lvlText w:val=""/>
      <w:lvlJc w:val="left"/>
      <w:pPr>
        <w:ind w:left="1800" w:hanging="360"/>
      </w:pPr>
      <w:rPr>
        <w:rFonts w:ascii="Symbol" w:hAnsi="Symbol"/>
      </w:rPr>
    </w:lvl>
    <w:lvl w:ilvl="2" w:tplc="99B2BE16">
      <w:start w:val="1"/>
      <w:numFmt w:val="bullet"/>
      <w:lvlText w:val=""/>
      <w:lvlJc w:val="left"/>
      <w:pPr>
        <w:ind w:left="1800" w:hanging="360"/>
      </w:pPr>
      <w:rPr>
        <w:rFonts w:ascii="Symbol" w:hAnsi="Symbol"/>
      </w:rPr>
    </w:lvl>
    <w:lvl w:ilvl="3" w:tplc="FE129A0A">
      <w:start w:val="1"/>
      <w:numFmt w:val="bullet"/>
      <w:lvlText w:val=""/>
      <w:lvlJc w:val="left"/>
      <w:pPr>
        <w:ind w:left="1800" w:hanging="360"/>
      </w:pPr>
      <w:rPr>
        <w:rFonts w:ascii="Symbol" w:hAnsi="Symbol"/>
      </w:rPr>
    </w:lvl>
    <w:lvl w:ilvl="4" w:tplc="03260C3E">
      <w:start w:val="1"/>
      <w:numFmt w:val="bullet"/>
      <w:lvlText w:val=""/>
      <w:lvlJc w:val="left"/>
      <w:pPr>
        <w:ind w:left="1800" w:hanging="360"/>
      </w:pPr>
      <w:rPr>
        <w:rFonts w:ascii="Symbol" w:hAnsi="Symbol"/>
      </w:rPr>
    </w:lvl>
    <w:lvl w:ilvl="5" w:tplc="FE8006CC">
      <w:start w:val="1"/>
      <w:numFmt w:val="bullet"/>
      <w:lvlText w:val=""/>
      <w:lvlJc w:val="left"/>
      <w:pPr>
        <w:ind w:left="1800" w:hanging="360"/>
      </w:pPr>
      <w:rPr>
        <w:rFonts w:ascii="Symbol" w:hAnsi="Symbol"/>
      </w:rPr>
    </w:lvl>
    <w:lvl w:ilvl="6" w:tplc="1648457E">
      <w:start w:val="1"/>
      <w:numFmt w:val="bullet"/>
      <w:lvlText w:val=""/>
      <w:lvlJc w:val="left"/>
      <w:pPr>
        <w:ind w:left="1800" w:hanging="360"/>
      </w:pPr>
      <w:rPr>
        <w:rFonts w:ascii="Symbol" w:hAnsi="Symbol"/>
      </w:rPr>
    </w:lvl>
    <w:lvl w:ilvl="7" w:tplc="530AFC7E">
      <w:start w:val="1"/>
      <w:numFmt w:val="bullet"/>
      <w:lvlText w:val=""/>
      <w:lvlJc w:val="left"/>
      <w:pPr>
        <w:ind w:left="1800" w:hanging="360"/>
      </w:pPr>
      <w:rPr>
        <w:rFonts w:ascii="Symbol" w:hAnsi="Symbol"/>
      </w:rPr>
    </w:lvl>
    <w:lvl w:ilvl="8" w:tplc="0010C1BC">
      <w:start w:val="1"/>
      <w:numFmt w:val="bullet"/>
      <w:lvlText w:val=""/>
      <w:lvlJc w:val="left"/>
      <w:pPr>
        <w:ind w:left="1800" w:hanging="360"/>
      </w:pPr>
      <w:rPr>
        <w:rFonts w:ascii="Symbol" w:hAnsi="Symbol"/>
      </w:rPr>
    </w:lvl>
  </w:abstractNum>
  <w:abstractNum w:abstractNumId="8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3" w15:restartNumberingAfterBreak="0">
    <w:nsid w:val="61BE7D2F"/>
    <w:multiLevelType w:val="hybridMultilevel"/>
    <w:tmpl w:val="8652775A"/>
    <w:lvl w:ilvl="0" w:tplc="25908DD4">
      <w:start w:val="1"/>
      <w:numFmt w:val="bullet"/>
      <w:lvlText w:val=""/>
      <w:lvlJc w:val="left"/>
      <w:pPr>
        <w:ind w:left="720" w:hanging="360"/>
      </w:pPr>
      <w:rPr>
        <w:rFonts w:ascii="Symbol" w:hAnsi="Symbol"/>
      </w:rPr>
    </w:lvl>
    <w:lvl w:ilvl="1" w:tplc="A598641E">
      <w:start w:val="1"/>
      <w:numFmt w:val="bullet"/>
      <w:lvlText w:val=""/>
      <w:lvlJc w:val="left"/>
      <w:pPr>
        <w:ind w:left="720" w:hanging="360"/>
      </w:pPr>
      <w:rPr>
        <w:rFonts w:ascii="Symbol" w:hAnsi="Symbol"/>
      </w:rPr>
    </w:lvl>
    <w:lvl w:ilvl="2" w:tplc="2FD0BC2E">
      <w:start w:val="1"/>
      <w:numFmt w:val="bullet"/>
      <w:lvlText w:val=""/>
      <w:lvlJc w:val="left"/>
      <w:pPr>
        <w:ind w:left="720" w:hanging="360"/>
      </w:pPr>
      <w:rPr>
        <w:rFonts w:ascii="Symbol" w:hAnsi="Symbol"/>
      </w:rPr>
    </w:lvl>
    <w:lvl w:ilvl="3" w:tplc="E42E644C">
      <w:start w:val="1"/>
      <w:numFmt w:val="bullet"/>
      <w:lvlText w:val=""/>
      <w:lvlJc w:val="left"/>
      <w:pPr>
        <w:ind w:left="720" w:hanging="360"/>
      </w:pPr>
      <w:rPr>
        <w:rFonts w:ascii="Symbol" w:hAnsi="Symbol"/>
      </w:rPr>
    </w:lvl>
    <w:lvl w:ilvl="4" w:tplc="3E1E642E">
      <w:start w:val="1"/>
      <w:numFmt w:val="bullet"/>
      <w:lvlText w:val=""/>
      <w:lvlJc w:val="left"/>
      <w:pPr>
        <w:ind w:left="720" w:hanging="360"/>
      </w:pPr>
      <w:rPr>
        <w:rFonts w:ascii="Symbol" w:hAnsi="Symbol"/>
      </w:rPr>
    </w:lvl>
    <w:lvl w:ilvl="5" w:tplc="949A7AB4">
      <w:start w:val="1"/>
      <w:numFmt w:val="bullet"/>
      <w:lvlText w:val=""/>
      <w:lvlJc w:val="left"/>
      <w:pPr>
        <w:ind w:left="720" w:hanging="360"/>
      </w:pPr>
      <w:rPr>
        <w:rFonts w:ascii="Symbol" w:hAnsi="Symbol"/>
      </w:rPr>
    </w:lvl>
    <w:lvl w:ilvl="6" w:tplc="D0721A56">
      <w:start w:val="1"/>
      <w:numFmt w:val="bullet"/>
      <w:lvlText w:val=""/>
      <w:lvlJc w:val="left"/>
      <w:pPr>
        <w:ind w:left="720" w:hanging="360"/>
      </w:pPr>
      <w:rPr>
        <w:rFonts w:ascii="Symbol" w:hAnsi="Symbol"/>
      </w:rPr>
    </w:lvl>
    <w:lvl w:ilvl="7" w:tplc="B4D837EE">
      <w:start w:val="1"/>
      <w:numFmt w:val="bullet"/>
      <w:lvlText w:val=""/>
      <w:lvlJc w:val="left"/>
      <w:pPr>
        <w:ind w:left="720" w:hanging="360"/>
      </w:pPr>
      <w:rPr>
        <w:rFonts w:ascii="Symbol" w:hAnsi="Symbol"/>
      </w:rPr>
    </w:lvl>
    <w:lvl w:ilvl="8" w:tplc="114CD696">
      <w:start w:val="1"/>
      <w:numFmt w:val="bullet"/>
      <w:lvlText w:val=""/>
      <w:lvlJc w:val="left"/>
      <w:pPr>
        <w:ind w:left="720" w:hanging="360"/>
      </w:pPr>
      <w:rPr>
        <w:rFonts w:ascii="Symbol" w:hAnsi="Symbol"/>
      </w:rPr>
    </w:lvl>
  </w:abstractNum>
  <w:abstractNum w:abstractNumId="84" w15:restartNumberingAfterBreak="0">
    <w:nsid w:val="62E312AD"/>
    <w:multiLevelType w:val="hybridMultilevel"/>
    <w:tmpl w:val="2F60EE46"/>
    <w:lvl w:ilvl="0" w:tplc="B0F091EE">
      <w:start w:val="1"/>
      <w:numFmt w:val="lowerLetter"/>
      <w:lvlText w:val="%1)"/>
      <w:lvlJc w:val="left"/>
      <w:pPr>
        <w:ind w:left="720" w:hanging="360"/>
      </w:pPr>
    </w:lvl>
    <w:lvl w:ilvl="1" w:tplc="F9F60078">
      <w:start w:val="1"/>
      <w:numFmt w:val="lowerLetter"/>
      <w:lvlText w:val="%2."/>
      <w:lvlJc w:val="left"/>
      <w:pPr>
        <w:ind w:left="1440" w:hanging="360"/>
      </w:pPr>
    </w:lvl>
    <w:lvl w:ilvl="2" w:tplc="73285036">
      <w:start w:val="1"/>
      <w:numFmt w:val="lowerRoman"/>
      <w:lvlText w:val="%3."/>
      <w:lvlJc w:val="right"/>
      <w:pPr>
        <w:ind w:left="2160" w:hanging="180"/>
      </w:pPr>
    </w:lvl>
    <w:lvl w:ilvl="3" w:tplc="7838718C">
      <w:start w:val="1"/>
      <w:numFmt w:val="decimal"/>
      <w:lvlText w:val="%4."/>
      <w:lvlJc w:val="left"/>
      <w:pPr>
        <w:ind w:left="2880" w:hanging="360"/>
      </w:pPr>
    </w:lvl>
    <w:lvl w:ilvl="4" w:tplc="93AA5F68">
      <w:start w:val="1"/>
      <w:numFmt w:val="lowerLetter"/>
      <w:lvlText w:val="%5."/>
      <w:lvlJc w:val="left"/>
      <w:pPr>
        <w:ind w:left="3600" w:hanging="360"/>
      </w:pPr>
    </w:lvl>
    <w:lvl w:ilvl="5" w:tplc="A05EBDBC">
      <w:start w:val="1"/>
      <w:numFmt w:val="lowerRoman"/>
      <w:lvlText w:val="%6."/>
      <w:lvlJc w:val="right"/>
      <w:pPr>
        <w:ind w:left="4320" w:hanging="180"/>
      </w:pPr>
    </w:lvl>
    <w:lvl w:ilvl="6" w:tplc="89DEA08A">
      <w:start w:val="1"/>
      <w:numFmt w:val="decimal"/>
      <w:lvlText w:val="%7."/>
      <w:lvlJc w:val="left"/>
      <w:pPr>
        <w:ind w:left="5040" w:hanging="360"/>
      </w:pPr>
    </w:lvl>
    <w:lvl w:ilvl="7" w:tplc="3F90C436">
      <w:start w:val="1"/>
      <w:numFmt w:val="lowerLetter"/>
      <w:lvlText w:val="%8."/>
      <w:lvlJc w:val="left"/>
      <w:pPr>
        <w:ind w:left="5760" w:hanging="360"/>
      </w:pPr>
    </w:lvl>
    <w:lvl w:ilvl="8" w:tplc="EC76315E">
      <w:start w:val="1"/>
      <w:numFmt w:val="lowerRoman"/>
      <w:lvlText w:val="%9."/>
      <w:lvlJc w:val="right"/>
      <w:pPr>
        <w:ind w:left="6480" w:hanging="180"/>
      </w:pPr>
    </w:lvl>
  </w:abstractNum>
  <w:abstractNum w:abstractNumId="85" w15:restartNumberingAfterBreak="0">
    <w:nsid w:val="641F5076"/>
    <w:multiLevelType w:val="hybridMultilevel"/>
    <w:tmpl w:val="B622D54E"/>
    <w:lvl w:ilvl="0" w:tplc="0C090001">
      <w:start w:val="1"/>
      <w:numFmt w:val="bullet"/>
      <w:lvlText w:val=""/>
      <w:lvlJc w:val="left"/>
      <w:pPr>
        <w:tabs>
          <w:tab w:val="num" w:pos="720"/>
        </w:tabs>
        <w:ind w:left="720" w:hanging="360"/>
      </w:pPr>
      <w:rPr>
        <w:rFonts w:ascii="Symbol" w:hAnsi="Symbol" w:hint="default"/>
        <w:color w:val="auto"/>
      </w:rPr>
    </w:lvl>
    <w:lvl w:ilvl="1" w:tplc="4E00BE38">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4F84C2A"/>
    <w:multiLevelType w:val="hybridMultilevel"/>
    <w:tmpl w:val="7C4CDB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7" w15:restartNumberingAfterBreak="0">
    <w:nsid w:val="65140E57"/>
    <w:multiLevelType w:val="hybridMultilevel"/>
    <w:tmpl w:val="D97AA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59438C9"/>
    <w:multiLevelType w:val="hybridMultilevel"/>
    <w:tmpl w:val="65EA2546"/>
    <w:lvl w:ilvl="0" w:tplc="500C57E2">
      <w:start w:val="1"/>
      <w:numFmt w:val="lowerLetter"/>
      <w:lvlText w:val="%1)"/>
      <w:lvlJc w:val="left"/>
      <w:pPr>
        <w:ind w:left="720" w:hanging="360"/>
      </w:pPr>
    </w:lvl>
    <w:lvl w:ilvl="1" w:tplc="0610ED8A">
      <w:start w:val="1"/>
      <w:numFmt w:val="lowerLetter"/>
      <w:lvlText w:val="%2)"/>
      <w:lvlJc w:val="left"/>
      <w:pPr>
        <w:ind w:left="720" w:hanging="360"/>
      </w:pPr>
    </w:lvl>
    <w:lvl w:ilvl="2" w:tplc="88E4FD4A">
      <w:start w:val="1"/>
      <w:numFmt w:val="lowerLetter"/>
      <w:lvlText w:val="%3)"/>
      <w:lvlJc w:val="left"/>
      <w:pPr>
        <w:ind w:left="720" w:hanging="360"/>
      </w:pPr>
    </w:lvl>
    <w:lvl w:ilvl="3" w:tplc="834C90D6">
      <w:start w:val="1"/>
      <w:numFmt w:val="lowerLetter"/>
      <w:lvlText w:val="%4)"/>
      <w:lvlJc w:val="left"/>
      <w:pPr>
        <w:ind w:left="720" w:hanging="360"/>
      </w:pPr>
    </w:lvl>
    <w:lvl w:ilvl="4" w:tplc="C7E4163A">
      <w:start w:val="1"/>
      <w:numFmt w:val="lowerLetter"/>
      <w:lvlText w:val="%5)"/>
      <w:lvlJc w:val="left"/>
      <w:pPr>
        <w:ind w:left="720" w:hanging="360"/>
      </w:pPr>
    </w:lvl>
    <w:lvl w:ilvl="5" w:tplc="09A666EA">
      <w:start w:val="1"/>
      <w:numFmt w:val="lowerLetter"/>
      <w:lvlText w:val="%6)"/>
      <w:lvlJc w:val="left"/>
      <w:pPr>
        <w:ind w:left="720" w:hanging="360"/>
      </w:pPr>
    </w:lvl>
    <w:lvl w:ilvl="6" w:tplc="7FD2321E">
      <w:start w:val="1"/>
      <w:numFmt w:val="lowerLetter"/>
      <w:lvlText w:val="%7)"/>
      <w:lvlJc w:val="left"/>
      <w:pPr>
        <w:ind w:left="720" w:hanging="360"/>
      </w:pPr>
    </w:lvl>
    <w:lvl w:ilvl="7" w:tplc="2F346184">
      <w:start w:val="1"/>
      <w:numFmt w:val="lowerLetter"/>
      <w:lvlText w:val="%8)"/>
      <w:lvlJc w:val="left"/>
      <w:pPr>
        <w:ind w:left="720" w:hanging="360"/>
      </w:pPr>
    </w:lvl>
    <w:lvl w:ilvl="8" w:tplc="9544D6F8">
      <w:start w:val="1"/>
      <w:numFmt w:val="lowerLetter"/>
      <w:lvlText w:val="%9)"/>
      <w:lvlJc w:val="left"/>
      <w:pPr>
        <w:ind w:left="720" w:hanging="360"/>
      </w:pPr>
    </w:lvl>
  </w:abstractNum>
  <w:abstractNum w:abstractNumId="89" w15:restartNumberingAfterBreak="0">
    <w:nsid w:val="67544FB0"/>
    <w:multiLevelType w:val="hybridMultilevel"/>
    <w:tmpl w:val="8FDEA4F8"/>
    <w:lvl w:ilvl="0" w:tplc="3250AA4E">
      <w:start w:val="1"/>
      <w:numFmt w:val="bullet"/>
      <w:lvlText w:val=""/>
      <w:lvlJc w:val="left"/>
      <w:pPr>
        <w:ind w:left="720" w:hanging="360"/>
      </w:pPr>
      <w:rPr>
        <w:rFonts w:ascii="Symbol" w:hAnsi="Symbol"/>
      </w:rPr>
    </w:lvl>
    <w:lvl w:ilvl="1" w:tplc="E11A5DAC">
      <w:start w:val="1"/>
      <w:numFmt w:val="bullet"/>
      <w:lvlText w:val=""/>
      <w:lvlJc w:val="left"/>
      <w:pPr>
        <w:ind w:left="720" w:hanging="360"/>
      </w:pPr>
      <w:rPr>
        <w:rFonts w:ascii="Symbol" w:hAnsi="Symbol"/>
      </w:rPr>
    </w:lvl>
    <w:lvl w:ilvl="2" w:tplc="105030FA">
      <w:start w:val="1"/>
      <w:numFmt w:val="bullet"/>
      <w:lvlText w:val=""/>
      <w:lvlJc w:val="left"/>
      <w:pPr>
        <w:ind w:left="720" w:hanging="360"/>
      </w:pPr>
      <w:rPr>
        <w:rFonts w:ascii="Symbol" w:hAnsi="Symbol"/>
      </w:rPr>
    </w:lvl>
    <w:lvl w:ilvl="3" w:tplc="64CEACC4">
      <w:start w:val="1"/>
      <w:numFmt w:val="bullet"/>
      <w:lvlText w:val=""/>
      <w:lvlJc w:val="left"/>
      <w:pPr>
        <w:ind w:left="720" w:hanging="360"/>
      </w:pPr>
      <w:rPr>
        <w:rFonts w:ascii="Symbol" w:hAnsi="Symbol"/>
      </w:rPr>
    </w:lvl>
    <w:lvl w:ilvl="4" w:tplc="80DAA55A">
      <w:start w:val="1"/>
      <w:numFmt w:val="bullet"/>
      <w:lvlText w:val=""/>
      <w:lvlJc w:val="left"/>
      <w:pPr>
        <w:ind w:left="720" w:hanging="360"/>
      </w:pPr>
      <w:rPr>
        <w:rFonts w:ascii="Symbol" w:hAnsi="Symbol"/>
      </w:rPr>
    </w:lvl>
    <w:lvl w:ilvl="5" w:tplc="091E3866">
      <w:start w:val="1"/>
      <w:numFmt w:val="bullet"/>
      <w:lvlText w:val=""/>
      <w:lvlJc w:val="left"/>
      <w:pPr>
        <w:ind w:left="720" w:hanging="360"/>
      </w:pPr>
      <w:rPr>
        <w:rFonts w:ascii="Symbol" w:hAnsi="Symbol"/>
      </w:rPr>
    </w:lvl>
    <w:lvl w:ilvl="6" w:tplc="FF7E323A">
      <w:start w:val="1"/>
      <w:numFmt w:val="bullet"/>
      <w:lvlText w:val=""/>
      <w:lvlJc w:val="left"/>
      <w:pPr>
        <w:ind w:left="720" w:hanging="360"/>
      </w:pPr>
      <w:rPr>
        <w:rFonts w:ascii="Symbol" w:hAnsi="Symbol"/>
      </w:rPr>
    </w:lvl>
    <w:lvl w:ilvl="7" w:tplc="66A413EC">
      <w:start w:val="1"/>
      <w:numFmt w:val="bullet"/>
      <w:lvlText w:val=""/>
      <w:lvlJc w:val="left"/>
      <w:pPr>
        <w:ind w:left="720" w:hanging="360"/>
      </w:pPr>
      <w:rPr>
        <w:rFonts w:ascii="Symbol" w:hAnsi="Symbol"/>
      </w:rPr>
    </w:lvl>
    <w:lvl w:ilvl="8" w:tplc="BD7CEE04">
      <w:start w:val="1"/>
      <w:numFmt w:val="bullet"/>
      <w:lvlText w:val=""/>
      <w:lvlJc w:val="left"/>
      <w:pPr>
        <w:ind w:left="720" w:hanging="360"/>
      </w:pPr>
      <w:rPr>
        <w:rFonts w:ascii="Symbol" w:hAnsi="Symbol"/>
      </w:rPr>
    </w:lvl>
  </w:abstractNum>
  <w:abstractNum w:abstractNumId="90" w15:restartNumberingAfterBreak="0">
    <w:nsid w:val="67C7043C"/>
    <w:multiLevelType w:val="hybridMultilevel"/>
    <w:tmpl w:val="C5A25402"/>
    <w:lvl w:ilvl="0" w:tplc="5600BCA6">
      <w:start w:val="244"/>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6BF310E3"/>
    <w:multiLevelType w:val="hybridMultilevel"/>
    <w:tmpl w:val="1DDA88BA"/>
    <w:lvl w:ilvl="0" w:tplc="B35E8EF2">
      <w:start w:val="1"/>
      <w:numFmt w:val="bullet"/>
      <w:lvlText w:val=""/>
      <w:lvlJc w:val="left"/>
      <w:pPr>
        <w:ind w:left="720" w:hanging="360"/>
      </w:pPr>
      <w:rPr>
        <w:rFonts w:ascii="Symbol" w:hAnsi="Symbol"/>
      </w:rPr>
    </w:lvl>
    <w:lvl w:ilvl="1" w:tplc="49DE416E">
      <w:start w:val="1"/>
      <w:numFmt w:val="bullet"/>
      <w:lvlText w:val=""/>
      <w:lvlJc w:val="left"/>
      <w:pPr>
        <w:ind w:left="720" w:hanging="360"/>
      </w:pPr>
      <w:rPr>
        <w:rFonts w:ascii="Symbol" w:hAnsi="Symbol"/>
      </w:rPr>
    </w:lvl>
    <w:lvl w:ilvl="2" w:tplc="A6848B90">
      <w:start w:val="1"/>
      <w:numFmt w:val="bullet"/>
      <w:lvlText w:val=""/>
      <w:lvlJc w:val="left"/>
      <w:pPr>
        <w:ind w:left="720" w:hanging="360"/>
      </w:pPr>
      <w:rPr>
        <w:rFonts w:ascii="Symbol" w:hAnsi="Symbol"/>
      </w:rPr>
    </w:lvl>
    <w:lvl w:ilvl="3" w:tplc="A1108454">
      <w:start w:val="1"/>
      <w:numFmt w:val="bullet"/>
      <w:lvlText w:val=""/>
      <w:lvlJc w:val="left"/>
      <w:pPr>
        <w:ind w:left="720" w:hanging="360"/>
      </w:pPr>
      <w:rPr>
        <w:rFonts w:ascii="Symbol" w:hAnsi="Symbol"/>
      </w:rPr>
    </w:lvl>
    <w:lvl w:ilvl="4" w:tplc="FA88EDDE">
      <w:start w:val="1"/>
      <w:numFmt w:val="bullet"/>
      <w:lvlText w:val=""/>
      <w:lvlJc w:val="left"/>
      <w:pPr>
        <w:ind w:left="720" w:hanging="360"/>
      </w:pPr>
      <w:rPr>
        <w:rFonts w:ascii="Symbol" w:hAnsi="Symbol"/>
      </w:rPr>
    </w:lvl>
    <w:lvl w:ilvl="5" w:tplc="E6C0148E">
      <w:start w:val="1"/>
      <w:numFmt w:val="bullet"/>
      <w:lvlText w:val=""/>
      <w:lvlJc w:val="left"/>
      <w:pPr>
        <w:ind w:left="720" w:hanging="360"/>
      </w:pPr>
      <w:rPr>
        <w:rFonts w:ascii="Symbol" w:hAnsi="Symbol"/>
      </w:rPr>
    </w:lvl>
    <w:lvl w:ilvl="6" w:tplc="E9786840">
      <w:start w:val="1"/>
      <w:numFmt w:val="bullet"/>
      <w:lvlText w:val=""/>
      <w:lvlJc w:val="left"/>
      <w:pPr>
        <w:ind w:left="720" w:hanging="360"/>
      </w:pPr>
      <w:rPr>
        <w:rFonts w:ascii="Symbol" w:hAnsi="Symbol"/>
      </w:rPr>
    </w:lvl>
    <w:lvl w:ilvl="7" w:tplc="C11A9752">
      <w:start w:val="1"/>
      <w:numFmt w:val="bullet"/>
      <w:lvlText w:val=""/>
      <w:lvlJc w:val="left"/>
      <w:pPr>
        <w:ind w:left="720" w:hanging="360"/>
      </w:pPr>
      <w:rPr>
        <w:rFonts w:ascii="Symbol" w:hAnsi="Symbol"/>
      </w:rPr>
    </w:lvl>
    <w:lvl w:ilvl="8" w:tplc="C6D449D2">
      <w:start w:val="1"/>
      <w:numFmt w:val="bullet"/>
      <w:lvlText w:val=""/>
      <w:lvlJc w:val="left"/>
      <w:pPr>
        <w:ind w:left="720" w:hanging="360"/>
      </w:pPr>
      <w:rPr>
        <w:rFonts w:ascii="Symbol" w:hAnsi="Symbol"/>
      </w:rPr>
    </w:lvl>
  </w:abstractNum>
  <w:abstractNum w:abstractNumId="94" w15:restartNumberingAfterBreak="0">
    <w:nsid w:val="6CC6491D"/>
    <w:multiLevelType w:val="hybridMultilevel"/>
    <w:tmpl w:val="251C169C"/>
    <w:lvl w:ilvl="0" w:tplc="D362DC7E">
      <w:start w:val="1"/>
      <w:numFmt w:val="bullet"/>
      <w:lvlText w:val=""/>
      <w:lvlJc w:val="left"/>
      <w:pPr>
        <w:ind w:left="720" w:hanging="360"/>
      </w:pPr>
      <w:rPr>
        <w:rFonts w:ascii="Symbol" w:hAnsi="Symbol"/>
      </w:rPr>
    </w:lvl>
    <w:lvl w:ilvl="1" w:tplc="72744810">
      <w:start w:val="1"/>
      <w:numFmt w:val="bullet"/>
      <w:lvlText w:val=""/>
      <w:lvlJc w:val="left"/>
      <w:pPr>
        <w:ind w:left="720" w:hanging="360"/>
      </w:pPr>
      <w:rPr>
        <w:rFonts w:ascii="Symbol" w:hAnsi="Symbol"/>
      </w:rPr>
    </w:lvl>
    <w:lvl w:ilvl="2" w:tplc="01A6C06A">
      <w:start w:val="1"/>
      <w:numFmt w:val="bullet"/>
      <w:lvlText w:val=""/>
      <w:lvlJc w:val="left"/>
      <w:pPr>
        <w:ind w:left="720" w:hanging="360"/>
      </w:pPr>
      <w:rPr>
        <w:rFonts w:ascii="Symbol" w:hAnsi="Symbol"/>
      </w:rPr>
    </w:lvl>
    <w:lvl w:ilvl="3" w:tplc="5A4A6376">
      <w:start w:val="1"/>
      <w:numFmt w:val="bullet"/>
      <w:lvlText w:val=""/>
      <w:lvlJc w:val="left"/>
      <w:pPr>
        <w:ind w:left="720" w:hanging="360"/>
      </w:pPr>
      <w:rPr>
        <w:rFonts w:ascii="Symbol" w:hAnsi="Symbol"/>
      </w:rPr>
    </w:lvl>
    <w:lvl w:ilvl="4" w:tplc="26DAC496">
      <w:start w:val="1"/>
      <w:numFmt w:val="bullet"/>
      <w:lvlText w:val=""/>
      <w:lvlJc w:val="left"/>
      <w:pPr>
        <w:ind w:left="720" w:hanging="360"/>
      </w:pPr>
      <w:rPr>
        <w:rFonts w:ascii="Symbol" w:hAnsi="Symbol"/>
      </w:rPr>
    </w:lvl>
    <w:lvl w:ilvl="5" w:tplc="2EEA3504">
      <w:start w:val="1"/>
      <w:numFmt w:val="bullet"/>
      <w:lvlText w:val=""/>
      <w:lvlJc w:val="left"/>
      <w:pPr>
        <w:ind w:left="720" w:hanging="360"/>
      </w:pPr>
      <w:rPr>
        <w:rFonts w:ascii="Symbol" w:hAnsi="Symbol"/>
      </w:rPr>
    </w:lvl>
    <w:lvl w:ilvl="6" w:tplc="20CCAD40">
      <w:start w:val="1"/>
      <w:numFmt w:val="bullet"/>
      <w:lvlText w:val=""/>
      <w:lvlJc w:val="left"/>
      <w:pPr>
        <w:ind w:left="720" w:hanging="360"/>
      </w:pPr>
      <w:rPr>
        <w:rFonts w:ascii="Symbol" w:hAnsi="Symbol"/>
      </w:rPr>
    </w:lvl>
    <w:lvl w:ilvl="7" w:tplc="DD3CE6F4">
      <w:start w:val="1"/>
      <w:numFmt w:val="bullet"/>
      <w:lvlText w:val=""/>
      <w:lvlJc w:val="left"/>
      <w:pPr>
        <w:ind w:left="720" w:hanging="360"/>
      </w:pPr>
      <w:rPr>
        <w:rFonts w:ascii="Symbol" w:hAnsi="Symbol"/>
      </w:rPr>
    </w:lvl>
    <w:lvl w:ilvl="8" w:tplc="E36C471A">
      <w:start w:val="1"/>
      <w:numFmt w:val="bullet"/>
      <w:lvlText w:val=""/>
      <w:lvlJc w:val="left"/>
      <w:pPr>
        <w:ind w:left="720" w:hanging="360"/>
      </w:pPr>
      <w:rPr>
        <w:rFonts w:ascii="Symbol" w:hAnsi="Symbol"/>
      </w:rPr>
    </w:lvl>
  </w:abstractNum>
  <w:abstractNum w:abstractNumId="9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E086969"/>
    <w:multiLevelType w:val="hybridMultilevel"/>
    <w:tmpl w:val="4B545A9A"/>
    <w:lvl w:ilvl="0" w:tplc="2F6ED9B8">
      <w:start w:val="1"/>
      <w:numFmt w:val="bullet"/>
      <w:lvlText w:val=""/>
      <w:lvlJc w:val="left"/>
      <w:pPr>
        <w:ind w:left="720" w:hanging="360"/>
      </w:pPr>
      <w:rPr>
        <w:rFonts w:ascii="Symbol" w:hAnsi="Symbol"/>
      </w:rPr>
    </w:lvl>
    <w:lvl w:ilvl="1" w:tplc="ECB80624">
      <w:start w:val="1"/>
      <w:numFmt w:val="bullet"/>
      <w:lvlText w:val=""/>
      <w:lvlJc w:val="left"/>
      <w:pPr>
        <w:ind w:left="720" w:hanging="360"/>
      </w:pPr>
      <w:rPr>
        <w:rFonts w:ascii="Symbol" w:hAnsi="Symbol"/>
      </w:rPr>
    </w:lvl>
    <w:lvl w:ilvl="2" w:tplc="1598A6BA">
      <w:start w:val="1"/>
      <w:numFmt w:val="bullet"/>
      <w:lvlText w:val=""/>
      <w:lvlJc w:val="left"/>
      <w:pPr>
        <w:ind w:left="720" w:hanging="360"/>
      </w:pPr>
      <w:rPr>
        <w:rFonts w:ascii="Symbol" w:hAnsi="Symbol"/>
      </w:rPr>
    </w:lvl>
    <w:lvl w:ilvl="3" w:tplc="AD96D5D6">
      <w:start w:val="1"/>
      <w:numFmt w:val="bullet"/>
      <w:lvlText w:val=""/>
      <w:lvlJc w:val="left"/>
      <w:pPr>
        <w:ind w:left="720" w:hanging="360"/>
      </w:pPr>
      <w:rPr>
        <w:rFonts w:ascii="Symbol" w:hAnsi="Symbol"/>
      </w:rPr>
    </w:lvl>
    <w:lvl w:ilvl="4" w:tplc="30BE7102">
      <w:start w:val="1"/>
      <w:numFmt w:val="bullet"/>
      <w:lvlText w:val=""/>
      <w:lvlJc w:val="left"/>
      <w:pPr>
        <w:ind w:left="720" w:hanging="360"/>
      </w:pPr>
      <w:rPr>
        <w:rFonts w:ascii="Symbol" w:hAnsi="Symbol"/>
      </w:rPr>
    </w:lvl>
    <w:lvl w:ilvl="5" w:tplc="EC7CF05C">
      <w:start w:val="1"/>
      <w:numFmt w:val="bullet"/>
      <w:lvlText w:val=""/>
      <w:lvlJc w:val="left"/>
      <w:pPr>
        <w:ind w:left="720" w:hanging="360"/>
      </w:pPr>
      <w:rPr>
        <w:rFonts w:ascii="Symbol" w:hAnsi="Symbol"/>
      </w:rPr>
    </w:lvl>
    <w:lvl w:ilvl="6" w:tplc="A7B40EB6">
      <w:start w:val="1"/>
      <w:numFmt w:val="bullet"/>
      <w:lvlText w:val=""/>
      <w:lvlJc w:val="left"/>
      <w:pPr>
        <w:ind w:left="720" w:hanging="360"/>
      </w:pPr>
      <w:rPr>
        <w:rFonts w:ascii="Symbol" w:hAnsi="Symbol"/>
      </w:rPr>
    </w:lvl>
    <w:lvl w:ilvl="7" w:tplc="C81A3E22">
      <w:start w:val="1"/>
      <w:numFmt w:val="bullet"/>
      <w:lvlText w:val=""/>
      <w:lvlJc w:val="left"/>
      <w:pPr>
        <w:ind w:left="720" w:hanging="360"/>
      </w:pPr>
      <w:rPr>
        <w:rFonts w:ascii="Symbol" w:hAnsi="Symbol"/>
      </w:rPr>
    </w:lvl>
    <w:lvl w:ilvl="8" w:tplc="2446FF1E">
      <w:start w:val="1"/>
      <w:numFmt w:val="bullet"/>
      <w:lvlText w:val=""/>
      <w:lvlJc w:val="left"/>
      <w:pPr>
        <w:ind w:left="720" w:hanging="360"/>
      </w:pPr>
      <w:rPr>
        <w:rFonts w:ascii="Symbol" w:hAnsi="Symbol"/>
      </w:rPr>
    </w:lvl>
  </w:abstractNum>
  <w:abstractNum w:abstractNumId="97" w15:restartNumberingAfterBreak="0">
    <w:nsid w:val="741A603C"/>
    <w:multiLevelType w:val="hybridMultilevel"/>
    <w:tmpl w:val="73FE7992"/>
    <w:lvl w:ilvl="0" w:tplc="34BA213C">
      <w:start w:val="1"/>
      <w:numFmt w:val="bullet"/>
      <w:lvlText w:val=""/>
      <w:lvlJc w:val="left"/>
      <w:pPr>
        <w:ind w:left="720" w:hanging="360"/>
      </w:pPr>
      <w:rPr>
        <w:rFonts w:ascii="Symbol" w:hAnsi="Symbol"/>
      </w:rPr>
    </w:lvl>
    <w:lvl w:ilvl="1" w:tplc="51AA8164">
      <w:start w:val="1"/>
      <w:numFmt w:val="bullet"/>
      <w:lvlText w:val=""/>
      <w:lvlJc w:val="left"/>
      <w:pPr>
        <w:ind w:left="720" w:hanging="360"/>
      </w:pPr>
      <w:rPr>
        <w:rFonts w:ascii="Symbol" w:hAnsi="Symbol"/>
      </w:rPr>
    </w:lvl>
    <w:lvl w:ilvl="2" w:tplc="37DC39F2">
      <w:start w:val="1"/>
      <w:numFmt w:val="bullet"/>
      <w:lvlText w:val=""/>
      <w:lvlJc w:val="left"/>
      <w:pPr>
        <w:ind w:left="720" w:hanging="360"/>
      </w:pPr>
      <w:rPr>
        <w:rFonts w:ascii="Symbol" w:hAnsi="Symbol"/>
      </w:rPr>
    </w:lvl>
    <w:lvl w:ilvl="3" w:tplc="7862BD7E">
      <w:start w:val="1"/>
      <w:numFmt w:val="bullet"/>
      <w:lvlText w:val=""/>
      <w:lvlJc w:val="left"/>
      <w:pPr>
        <w:ind w:left="720" w:hanging="360"/>
      </w:pPr>
      <w:rPr>
        <w:rFonts w:ascii="Symbol" w:hAnsi="Symbol"/>
      </w:rPr>
    </w:lvl>
    <w:lvl w:ilvl="4" w:tplc="02887890">
      <w:start w:val="1"/>
      <w:numFmt w:val="bullet"/>
      <w:lvlText w:val=""/>
      <w:lvlJc w:val="left"/>
      <w:pPr>
        <w:ind w:left="720" w:hanging="360"/>
      </w:pPr>
      <w:rPr>
        <w:rFonts w:ascii="Symbol" w:hAnsi="Symbol"/>
      </w:rPr>
    </w:lvl>
    <w:lvl w:ilvl="5" w:tplc="999EC4DC">
      <w:start w:val="1"/>
      <w:numFmt w:val="bullet"/>
      <w:lvlText w:val=""/>
      <w:lvlJc w:val="left"/>
      <w:pPr>
        <w:ind w:left="720" w:hanging="360"/>
      </w:pPr>
      <w:rPr>
        <w:rFonts w:ascii="Symbol" w:hAnsi="Symbol"/>
      </w:rPr>
    </w:lvl>
    <w:lvl w:ilvl="6" w:tplc="B31A8EC4">
      <w:start w:val="1"/>
      <w:numFmt w:val="bullet"/>
      <w:lvlText w:val=""/>
      <w:lvlJc w:val="left"/>
      <w:pPr>
        <w:ind w:left="720" w:hanging="360"/>
      </w:pPr>
      <w:rPr>
        <w:rFonts w:ascii="Symbol" w:hAnsi="Symbol"/>
      </w:rPr>
    </w:lvl>
    <w:lvl w:ilvl="7" w:tplc="72300D78">
      <w:start w:val="1"/>
      <w:numFmt w:val="bullet"/>
      <w:lvlText w:val=""/>
      <w:lvlJc w:val="left"/>
      <w:pPr>
        <w:ind w:left="720" w:hanging="360"/>
      </w:pPr>
      <w:rPr>
        <w:rFonts w:ascii="Symbol" w:hAnsi="Symbol"/>
      </w:rPr>
    </w:lvl>
    <w:lvl w:ilvl="8" w:tplc="F8D2214C">
      <w:start w:val="1"/>
      <w:numFmt w:val="bullet"/>
      <w:lvlText w:val=""/>
      <w:lvlJc w:val="left"/>
      <w:pPr>
        <w:ind w:left="720" w:hanging="360"/>
      </w:pPr>
      <w:rPr>
        <w:rFonts w:ascii="Symbol" w:hAnsi="Symbol"/>
      </w:rPr>
    </w:lvl>
  </w:abstractNum>
  <w:abstractNum w:abstractNumId="98" w15:restartNumberingAfterBreak="0">
    <w:nsid w:val="74971A1F"/>
    <w:multiLevelType w:val="hybridMultilevel"/>
    <w:tmpl w:val="27460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65E480F"/>
    <w:multiLevelType w:val="hybridMultilevel"/>
    <w:tmpl w:val="79867B86"/>
    <w:lvl w:ilvl="0" w:tplc="23E0D338">
      <w:start w:val="1"/>
      <w:numFmt w:val="bullet"/>
      <w:lvlText w:val=""/>
      <w:lvlJc w:val="left"/>
      <w:pPr>
        <w:ind w:left="720" w:hanging="360"/>
      </w:pPr>
      <w:rPr>
        <w:rFonts w:ascii="Symbol" w:hAnsi="Symbol"/>
      </w:rPr>
    </w:lvl>
    <w:lvl w:ilvl="1" w:tplc="A4B09438">
      <w:start w:val="1"/>
      <w:numFmt w:val="bullet"/>
      <w:lvlText w:val=""/>
      <w:lvlJc w:val="left"/>
      <w:pPr>
        <w:ind w:left="720" w:hanging="360"/>
      </w:pPr>
      <w:rPr>
        <w:rFonts w:ascii="Symbol" w:hAnsi="Symbol"/>
      </w:rPr>
    </w:lvl>
    <w:lvl w:ilvl="2" w:tplc="A3EE4B24">
      <w:start w:val="1"/>
      <w:numFmt w:val="bullet"/>
      <w:lvlText w:val=""/>
      <w:lvlJc w:val="left"/>
      <w:pPr>
        <w:ind w:left="720" w:hanging="360"/>
      </w:pPr>
      <w:rPr>
        <w:rFonts w:ascii="Symbol" w:hAnsi="Symbol"/>
      </w:rPr>
    </w:lvl>
    <w:lvl w:ilvl="3" w:tplc="3640B00E">
      <w:start w:val="1"/>
      <w:numFmt w:val="bullet"/>
      <w:lvlText w:val=""/>
      <w:lvlJc w:val="left"/>
      <w:pPr>
        <w:ind w:left="720" w:hanging="360"/>
      </w:pPr>
      <w:rPr>
        <w:rFonts w:ascii="Symbol" w:hAnsi="Symbol"/>
      </w:rPr>
    </w:lvl>
    <w:lvl w:ilvl="4" w:tplc="75D86A60">
      <w:start w:val="1"/>
      <w:numFmt w:val="bullet"/>
      <w:lvlText w:val=""/>
      <w:lvlJc w:val="left"/>
      <w:pPr>
        <w:ind w:left="720" w:hanging="360"/>
      </w:pPr>
      <w:rPr>
        <w:rFonts w:ascii="Symbol" w:hAnsi="Symbol"/>
      </w:rPr>
    </w:lvl>
    <w:lvl w:ilvl="5" w:tplc="5F6416D4">
      <w:start w:val="1"/>
      <w:numFmt w:val="bullet"/>
      <w:lvlText w:val=""/>
      <w:lvlJc w:val="left"/>
      <w:pPr>
        <w:ind w:left="720" w:hanging="360"/>
      </w:pPr>
      <w:rPr>
        <w:rFonts w:ascii="Symbol" w:hAnsi="Symbol"/>
      </w:rPr>
    </w:lvl>
    <w:lvl w:ilvl="6" w:tplc="3CB09A5C">
      <w:start w:val="1"/>
      <w:numFmt w:val="bullet"/>
      <w:lvlText w:val=""/>
      <w:lvlJc w:val="left"/>
      <w:pPr>
        <w:ind w:left="720" w:hanging="360"/>
      </w:pPr>
      <w:rPr>
        <w:rFonts w:ascii="Symbol" w:hAnsi="Symbol"/>
      </w:rPr>
    </w:lvl>
    <w:lvl w:ilvl="7" w:tplc="3B5A51E2">
      <w:start w:val="1"/>
      <w:numFmt w:val="bullet"/>
      <w:lvlText w:val=""/>
      <w:lvlJc w:val="left"/>
      <w:pPr>
        <w:ind w:left="720" w:hanging="360"/>
      </w:pPr>
      <w:rPr>
        <w:rFonts w:ascii="Symbol" w:hAnsi="Symbol"/>
      </w:rPr>
    </w:lvl>
    <w:lvl w:ilvl="8" w:tplc="9DFEC946">
      <w:start w:val="1"/>
      <w:numFmt w:val="bullet"/>
      <w:lvlText w:val=""/>
      <w:lvlJc w:val="left"/>
      <w:pPr>
        <w:ind w:left="720" w:hanging="360"/>
      </w:pPr>
      <w:rPr>
        <w:rFonts w:ascii="Symbol" w:hAnsi="Symbol"/>
      </w:rPr>
    </w:lvl>
  </w:abstractNum>
  <w:abstractNum w:abstractNumId="100" w15:restartNumberingAfterBreak="0">
    <w:nsid w:val="774727A3"/>
    <w:multiLevelType w:val="hybridMultilevel"/>
    <w:tmpl w:val="C86200C0"/>
    <w:lvl w:ilvl="0" w:tplc="43766B86">
      <w:start w:val="1"/>
      <w:numFmt w:val="bullet"/>
      <w:lvlText w:val=""/>
      <w:lvlJc w:val="left"/>
      <w:pPr>
        <w:ind w:left="1160" w:hanging="360"/>
      </w:pPr>
      <w:rPr>
        <w:rFonts w:ascii="Symbol" w:hAnsi="Symbol"/>
      </w:rPr>
    </w:lvl>
    <w:lvl w:ilvl="1" w:tplc="68B0840C">
      <w:start w:val="1"/>
      <w:numFmt w:val="bullet"/>
      <w:lvlText w:val=""/>
      <w:lvlJc w:val="left"/>
      <w:pPr>
        <w:ind w:left="1160" w:hanging="360"/>
      </w:pPr>
      <w:rPr>
        <w:rFonts w:ascii="Symbol" w:hAnsi="Symbol"/>
      </w:rPr>
    </w:lvl>
    <w:lvl w:ilvl="2" w:tplc="20281482">
      <w:start w:val="1"/>
      <w:numFmt w:val="bullet"/>
      <w:lvlText w:val=""/>
      <w:lvlJc w:val="left"/>
      <w:pPr>
        <w:ind w:left="1160" w:hanging="360"/>
      </w:pPr>
      <w:rPr>
        <w:rFonts w:ascii="Symbol" w:hAnsi="Symbol"/>
      </w:rPr>
    </w:lvl>
    <w:lvl w:ilvl="3" w:tplc="31DACC1A">
      <w:start w:val="1"/>
      <w:numFmt w:val="bullet"/>
      <w:lvlText w:val=""/>
      <w:lvlJc w:val="left"/>
      <w:pPr>
        <w:ind w:left="1160" w:hanging="360"/>
      </w:pPr>
      <w:rPr>
        <w:rFonts w:ascii="Symbol" w:hAnsi="Symbol"/>
      </w:rPr>
    </w:lvl>
    <w:lvl w:ilvl="4" w:tplc="B6A0D12C">
      <w:start w:val="1"/>
      <w:numFmt w:val="bullet"/>
      <w:lvlText w:val=""/>
      <w:lvlJc w:val="left"/>
      <w:pPr>
        <w:ind w:left="1160" w:hanging="360"/>
      </w:pPr>
      <w:rPr>
        <w:rFonts w:ascii="Symbol" w:hAnsi="Symbol"/>
      </w:rPr>
    </w:lvl>
    <w:lvl w:ilvl="5" w:tplc="24C01F74">
      <w:start w:val="1"/>
      <w:numFmt w:val="bullet"/>
      <w:lvlText w:val=""/>
      <w:lvlJc w:val="left"/>
      <w:pPr>
        <w:ind w:left="1160" w:hanging="360"/>
      </w:pPr>
      <w:rPr>
        <w:rFonts w:ascii="Symbol" w:hAnsi="Symbol"/>
      </w:rPr>
    </w:lvl>
    <w:lvl w:ilvl="6" w:tplc="0F0A6308">
      <w:start w:val="1"/>
      <w:numFmt w:val="bullet"/>
      <w:lvlText w:val=""/>
      <w:lvlJc w:val="left"/>
      <w:pPr>
        <w:ind w:left="1160" w:hanging="360"/>
      </w:pPr>
      <w:rPr>
        <w:rFonts w:ascii="Symbol" w:hAnsi="Symbol"/>
      </w:rPr>
    </w:lvl>
    <w:lvl w:ilvl="7" w:tplc="BC4068CE">
      <w:start w:val="1"/>
      <w:numFmt w:val="bullet"/>
      <w:lvlText w:val=""/>
      <w:lvlJc w:val="left"/>
      <w:pPr>
        <w:ind w:left="1160" w:hanging="360"/>
      </w:pPr>
      <w:rPr>
        <w:rFonts w:ascii="Symbol" w:hAnsi="Symbol"/>
      </w:rPr>
    </w:lvl>
    <w:lvl w:ilvl="8" w:tplc="298EBA48">
      <w:start w:val="1"/>
      <w:numFmt w:val="bullet"/>
      <w:lvlText w:val=""/>
      <w:lvlJc w:val="left"/>
      <w:pPr>
        <w:ind w:left="1160" w:hanging="360"/>
      </w:pPr>
      <w:rPr>
        <w:rFonts w:ascii="Symbol" w:hAnsi="Symbol"/>
      </w:rPr>
    </w:lvl>
  </w:abstractNum>
  <w:abstractNum w:abstractNumId="101" w15:restartNumberingAfterBreak="0">
    <w:nsid w:val="784D033C"/>
    <w:multiLevelType w:val="multilevel"/>
    <w:tmpl w:val="4AC6EB7C"/>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pStyle w:val="PBACESHeading3"/>
      <w:suff w:val="nothing"/>
      <w:lvlText w:val=""/>
      <w:lvlJc w:val="left"/>
      <w:pPr>
        <w:ind w:left="1080" w:hanging="1080"/>
      </w:pPr>
      <w:rPr>
        <w:rFonts w:hint="default"/>
      </w:rPr>
    </w:lvl>
    <w:lvl w:ilvl="4">
      <w:start w:val="1"/>
      <w:numFmt w:val="decimal"/>
      <w:lvlRestart w:val="1"/>
      <w:lvlText w:val="%1.%5"/>
      <w:lvlJc w:val="left"/>
      <w:pPr>
        <w:ind w:left="720" w:hanging="720"/>
      </w:pPr>
      <w:rPr>
        <w:rFonts w:hint="default"/>
        <w:b w:val="0"/>
        <w:bCs/>
        <w:i w:val="0"/>
        <w:iCs w:val="0"/>
        <w:color w:val="auto"/>
        <w:sz w:val="24"/>
        <w:szCs w:val="24"/>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86924B3"/>
    <w:multiLevelType w:val="hybridMultilevel"/>
    <w:tmpl w:val="3A2C3B64"/>
    <w:lvl w:ilvl="0" w:tplc="B6B264A8">
      <w:start w:val="1"/>
      <w:numFmt w:val="lowerLetter"/>
      <w:lvlText w:val="%1."/>
      <w:lvlJc w:val="left"/>
      <w:pPr>
        <w:ind w:left="1020" w:hanging="360"/>
      </w:pPr>
    </w:lvl>
    <w:lvl w:ilvl="1" w:tplc="13B0A980">
      <w:start w:val="1"/>
      <w:numFmt w:val="lowerLetter"/>
      <w:lvlText w:val="%2."/>
      <w:lvlJc w:val="left"/>
      <w:pPr>
        <w:ind w:left="1020" w:hanging="360"/>
      </w:pPr>
    </w:lvl>
    <w:lvl w:ilvl="2" w:tplc="3C609FC8">
      <w:start w:val="1"/>
      <w:numFmt w:val="lowerLetter"/>
      <w:lvlText w:val="%3."/>
      <w:lvlJc w:val="left"/>
      <w:pPr>
        <w:ind w:left="1020" w:hanging="360"/>
      </w:pPr>
    </w:lvl>
    <w:lvl w:ilvl="3" w:tplc="4D426870">
      <w:start w:val="1"/>
      <w:numFmt w:val="lowerLetter"/>
      <w:lvlText w:val="%4."/>
      <w:lvlJc w:val="left"/>
      <w:pPr>
        <w:ind w:left="1020" w:hanging="360"/>
      </w:pPr>
    </w:lvl>
    <w:lvl w:ilvl="4" w:tplc="1A102BD0">
      <w:start w:val="1"/>
      <w:numFmt w:val="lowerLetter"/>
      <w:lvlText w:val="%5."/>
      <w:lvlJc w:val="left"/>
      <w:pPr>
        <w:ind w:left="1020" w:hanging="360"/>
      </w:pPr>
    </w:lvl>
    <w:lvl w:ilvl="5" w:tplc="2B54B032">
      <w:start w:val="1"/>
      <w:numFmt w:val="lowerLetter"/>
      <w:lvlText w:val="%6."/>
      <w:lvlJc w:val="left"/>
      <w:pPr>
        <w:ind w:left="1020" w:hanging="360"/>
      </w:pPr>
    </w:lvl>
    <w:lvl w:ilvl="6" w:tplc="FD3A2C34">
      <w:start w:val="1"/>
      <w:numFmt w:val="lowerLetter"/>
      <w:lvlText w:val="%7."/>
      <w:lvlJc w:val="left"/>
      <w:pPr>
        <w:ind w:left="1020" w:hanging="360"/>
      </w:pPr>
    </w:lvl>
    <w:lvl w:ilvl="7" w:tplc="53FAFEA2">
      <w:start w:val="1"/>
      <w:numFmt w:val="lowerLetter"/>
      <w:lvlText w:val="%8."/>
      <w:lvlJc w:val="left"/>
      <w:pPr>
        <w:ind w:left="1020" w:hanging="360"/>
      </w:pPr>
    </w:lvl>
    <w:lvl w:ilvl="8" w:tplc="2FE6FBC6">
      <w:start w:val="1"/>
      <w:numFmt w:val="lowerLetter"/>
      <w:lvlText w:val="%9."/>
      <w:lvlJc w:val="left"/>
      <w:pPr>
        <w:ind w:left="1020" w:hanging="360"/>
      </w:pPr>
    </w:lvl>
  </w:abstractNum>
  <w:abstractNum w:abstractNumId="103" w15:restartNumberingAfterBreak="0">
    <w:nsid w:val="78911BEF"/>
    <w:multiLevelType w:val="multilevel"/>
    <w:tmpl w:val="54C0B3FC"/>
    <w:styleLink w:val="Style2"/>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AB3000F"/>
    <w:multiLevelType w:val="hybridMultilevel"/>
    <w:tmpl w:val="F4F6153C"/>
    <w:lvl w:ilvl="0" w:tplc="10BA0FDE">
      <w:start w:val="1"/>
      <w:numFmt w:val="bullet"/>
      <w:lvlText w:val=""/>
      <w:lvlJc w:val="left"/>
      <w:pPr>
        <w:ind w:left="720" w:hanging="360"/>
      </w:pPr>
      <w:rPr>
        <w:rFonts w:ascii="Symbol" w:hAnsi="Symbol"/>
      </w:rPr>
    </w:lvl>
    <w:lvl w:ilvl="1" w:tplc="26A2798E">
      <w:start w:val="1"/>
      <w:numFmt w:val="bullet"/>
      <w:lvlText w:val=""/>
      <w:lvlJc w:val="left"/>
      <w:pPr>
        <w:ind w:left="720" w:hanging="360"/>
      </w:pPr>
      <w:rPr>
        <w:rFonts w:ascii="Symbol" w:hAnsi="Symbol"/>
      </w:rPr>
    </w:lvl>
    <w:lvl w:ilvl="2" w:tplc="C680B596">
      <w:start w:val="1"/>
      <w:numFmt w:val="bullet"/>
      <w:lvlText w:val=""/>
      <w:lvlJc w:val="left"/>
      <w:pPr>
        <w:ind w:left="720" w:hanging="360"/>
      </w:pPr>
      <w:rPr>
        <w:rFonts w:ascii="Symbol" w:hAnsi="Symbol"/>
      </w:rPr>
    </w:lvl>
    <w:lvl w:ilvl="3" w:tplc="CA7450CA">
      <w:start w:val="1"/>
      <w:numFmt w:val="bullet"/>
      <w:lvlText w:val=""/>
      <w:lvlJc w:val="left"/>
      <w:pPr>
        <w:ind w:left="720" w:hanging="360"/>
      </w:pPr>
      <w:rPr>
        <w:rFonts w:ascii="Symbol" w:hAnsi="Symbol"/>
      </w:rPr>
    </w:lvl>
    <w:lvl w:ilvl="4" w:tplc="E72AE70C">
      <w:start w:val="1"/>
      <w:numFmt w:val="bullet"/>
      <w:lvlText w:val=""/>
      <w:lvlJc w:val="left"/>
      <w:pPr>
        <w:ind w:left="720" w:hanging="360"/>
      </w:pPr>
      <w:rPr>
        <w:rFonts w:ascii="Symbol" w:hAnsi="Symbol"/>
      </w:rPr>
    </w:lvl>
    <w:lvl w:ilvl="5" w:tplc="3DD815BA">
      <w:start w:val="1"/>
      <w:numFmt w:val="bullet"/>
      <w:lvlText w:val=""/>
      <w:lvlJc w:val="left"/>
      <w:pPr>
        <w:ind w:left="720" w:hanging="360"/>
      </w:pPr>
      <w:rPr>
        <w:rFonts w:ascii="Symbol" w:hAnsi="Symbol"/>
      </w:rPr>
    </w:lvl>
    <w:lvl w:ilvl="6" w:tplc="D29C223A">
      <w:start w:val="1"/>
      <w:numFmt w:val="bullet"/>
      <w:lvlText w:val=""/>
      <w:lvlJc w:val="left"/>
      <w:pPr>
        <w:ind w:left="720" w:hanging="360"/>
      </w:pPr>
      <w:rPr>
        <w:rFonts w:ascii="Symbol" w:hAnsi="Symbol"/>
      </w:rPr>
    </w:lvl>
    <w:lvl w:ilvl="7" w:tplc="6FAC96C6">
      <w:start w:val="1"/>
      <w:numFmt w:val="bullet"/>
      <w:lvlText w:val=""/>
      <w:lvlJc w:val="left"/>
      <w:pPr>
        <w:ind w:left="720" w:hanging="360"/>
      </w:pPr>
      <w:rPr>
        <w:rFonts w:ascii="Symbol" w:hAnsi="Symbol"/>
      </w:rPr>
    </w:lvl>
    <w:lvl w:ilvl="8" w:tplc="C0DC6DC6">
      <w:start w:val="1"/>
      <w:numFmt w:val="bullet"/>
      <w:lvlText w:val=""/>
      <w:lvlJc w:val="left"/>
      <w:pPr>
        <w:ind w:left="720" w:hanging="360"/>
      </w:pPr>
      <w:rPr>
        <w:rFonts w:ascii="Symbol" w:hAnsi="Symbol"/>
      </w:rPr>
    </w:lvl>
  </w:abstractNum>
  <w:abstractNum w:abstractNumId="106" w15:restartNumberingAfterBreak="0">
    <w:nsid w:val="7D707DAB"/>
    <w:multiLevelType w:val="hybridMultilevel"/>
    <w:tmpl w:val="DF66C706"/>
    <w:lvl w:ilvl="0" w:tplc="AFBC356C">
      <w:start w:val="1"/>
      <w:numFmt w:val="bullet"/>
      <w:lvlText w:val=""/>
      <w:lvlJc w:val="left"/>
      <w:pPr>
        <w:ind w:left="720" w:hanging="360"/>
      </w:pPr>
      <w:rPr>
        <w:rFonts w:ascii="Symbol" w:hAnsi="Symbol"/>
      </w:rPr>
    </w:lvl>
    <w:lvl w:ilvl="1" w:tplc="BCBC0AA2">
      <w:start w:val="1"/>
      <w:numFmt w:val="bullet"/>
      <w:lvlText w:val=""/>
      <w:lvlJc w:val="left"/>
      <w:pPr>
        <w:ind w:left="720" w:hanging="360"/>
      </w:pPr>
      <w:rPr>
        <w:rFonts w:ascii="Symbol" w:hAnsi="Symbol"/>
      </w:rPr>
    </w:lvl>
    <w:lvl w:ilvl="2" w:tplc="60E21332">
      <w:start w:val="1"/>
      <w:numFmt w:val="bullet"/>
      <w:lvlText w:val=""/>
      <w:lvlJc w:val="left"/>
      <w:pPr>
        <w:ind w:left="720" w:hanging="360"/>
      </w:pPr>
      <w:rPr>
        <w:rFonts w:ascii="Symbol" w:hAnsi="Symbol"/>
      </w:rPr>
    </w:lvl>
    <w:lvl w:ilvl="3" w:tplc="D41E2720">
      <w:start w:val="1"/>
      <w:numFmt w:val="bullet"/>
      <w:lvlText w:val=""/>
      <w:lvlJc w:val="left"/>
      <w:pPr>
        <w:ind w:left="720" w:hanging="360"/>
      </w:pPr>
      <w:rPr>
        <w:rFonts w:ascii="Symbol" w:hAnsi="Symbol"/>
      </w:rPr>
    </w:lvl>
    <w:lvl w:ilvl="4" w:tplc="4518F792">
      <w:start w:val="1"/>
      <w:numFmt w:val="bullet"/>
      <w:lvlText w:val=""/>
      <w:lvlJc w:val="left"/>
      <w:pPr>
        <w:ind w:left="720" w:hanging="360"/>
      </w:pPr>
      <w:rPr>
        <w:rFonts w:ascii="Symbol" w:hAnsi="Symbol"/>
      </w:rPr>
    </w:lvl>
    <w:lvl w:ilvl="5" w:tplc="547CB154">
      <w:start w:val="1"/>
      <w:numFmt w:val="bullet"/>
      <w:lvlText w:val=""/>
      <w:lvlJc w:val="left"/>
      <w:pPr>
        <w:ind w:left="720" w:hanging="360"/>
      </w:pPr>
      <w:rPr>
        <w:rFonts w:ascii="Symbol" w:hAnsi="Symbol"/>
      </w:rPr>
    </w:lvl>
    <w:lvl w:ilvl="6" w:tplc="98162828">
      <w:start w:val="1"/>
      <w:numFmt w:val="bullet"/>
      <w:lvlText w:val=""/>
      <w:lvlJc w:val="left"/>
      <w:pPr>
        <w:ind w:left="720" w:hanging="360"/>
      </w:pPr>
      <w:rPr>
        <w:rFonts w:ascii="Symbol" w:hAnsi="Symbol"/>
      </w:rPr>
    </w:lvl>
    <w:lvl w:ilvl="7" w:tplc="EAA205AA">
      <w:start w:val="1"/>
      <w:numFmt w:val="bullet"/>
      <w:lvlText w:val=""/>
      <w:lvlJc w:val="left"/>
      <w:pPr>
        <w:ind w:left="720" w:hanging="360"/>
      </w:pPr>
      <w:rPr>
        <w:rFonts w:ascii="Symbol" w:hAnsi="Symbol"/>
      </w:rPr>
    </w:lvl>
    <w:lvl w:ilvl="8" w:tplc="AAD2C362">
      <w:start w:val="1"/>
      <w:numFmt w:val="bullet"/>
      <w:lvlText w:val=""/>
      <w:lvlJc w:val="left"/>
      <w:pPr>
        <w:ind w:left="720" w:hanging="360"/>
      </w:pPr>
      <w:rPr>
        <w:rFonts w:ascii="Symbol" w:hAnsi="Symbol"/>
      </w:rPr>
    </w:lvl>
  </w:abstractNum>
  <w:abstractNum w:abstractNumId="107" w15:restartNumberingAfterBreak="0">
    <w:nsid w:val="7E427F72"/>
    <w:multiLevelType w:val="hybridMultilevel"/>
    <w:tmpl w:val="FE54A362"/>
    <w:lvl w:ilvl="0" w:tplc="4E54869E">
      <w:start w:val="1"/>
      <w:numFmt w:val="bullet"/>
      <w:lvlText w:val=""/>
      <w:lvlJc w:val="left"/>
      <w:pPr>
        <w:ind w:left="1080" w:hanging="360"/>
      </w:pPr>
      <w:rPr>
        <w:rFonts w:ascii="Symbol" w:hAnsi="Symbol"/>
      </w:rPr>
    </w:lvl>
    <w:lvl w:ilvl="1" w:tplc="D20469D4">
      <w:start w:val="1"/>
      <w:numFmt w:val="bullet"/>
      <w:lvlText w:val=""/>
      <w:lvlJc w:val="left"/>
      <w:pPr>
        <w:ind w:left="1080" w:hanging="360"/>
      </w:pPr>
      <w:rPr>
        <w:rFonts w:ascii="Symbol" w:hAnsi="Symbol"/>
      </w:rPr>
    </w:lvl>
    <w:lvl w:ilvl="2" w:tplc="82E640F0">
      <w:start w:val="1"/>
      <w:numFmt w:val="bullet"/>
      <w:lvlText w:val=""/>
      <w:lvlJc w:val="left"/>
      <w:pPr>
        <w:ind w:left="1080" w:hanging="360"/>
      </w:pPr>
      <w:rPr>
        <w:rFonts w:ascii="Symbol" w:hAnsi="Symbol"/>
      </w:rPr>
    </w:lvl>
    <w:lvl w:ilvl="3" w:tplc="9CD2A6A6">
      <w:start w:val="1"/>
      <w:numFmt w:val="bullet"/>
      <w:lvlText w:val=""/>
      <w:lvlJc w:val="left"/>
      <w:pPr>
        <w:ind w:left="1080" w:hanging="360"/>
      </w:pPr>
      <w:rPr>
        <w:rFonts w:ascii="Symbol" w:hAnsi="Symbol"/>
      </w:rPr>
    </w:lvl>
    <w:lvl w:ilvl="4" w:tplc="BFD6F6D8">
      <w:start w:val="1"/>
      <w:numFmt w:val="bullet"/>
      <w:lvlText w:val=""/>
      <w:lvlJc w:val="left"/>
      <w:pPr>
        <w:ind w:left="1080" w:hanging="360"/>
      </w:pPr>
      <w:rPr>
        <w:rFonts w:ascii="Symbol" w:hAnsi="Symbol"/>
      </w:rPr>
    </w:lvl>
    <w:lvl w:ilvl="5" w:tplc="6BC60FF6">
      <w:start w:val="1"/>
      <w:numFmt w:val="bullet"/>
      <w:lvlText w:val=""/>
      <w:lvlJc w:val="left"/>
      <w:pPr>
        <w:ind w:left="1080" w:hanging="360"/>
      </w:pPr>
      <w:rPr>
        <w:rFonts w:ascii="Symbol" w:hAnsi="Symbol"/>
      </w:rPr>
    </w:lvl>
    <w:lvl w:ilvl="6" w:tplc="AC887562">
      <w:start w:val="1"/>
      <w:numFmt w:val="bullet"/>
      <w:lvlText w:val=""/>
      <w:lvlJc w:val="left"/>
      <w:pPr>
        <w:ind w:left="1080" w:hanging="360"/>
      </w:pPr>
      <w:rPr>
        <w:rFonts w:ascii="Symbol" w:hAnsi="Symbol"/>
      </w:rPr>
    </w:lvl>
    <w:lvl w:ilvl="7" w:tplc="C5969E58">
      <w:start w:val="1"/>
      <w:numFmt w:val="bullet"/>
      <w:lvlText w:val=""/>
      <w:lvlJc w:val="left"/>
      <w:pPr>
        <w:ind w:left="1080" w:hanging="360"/>
      </w:pPr>
      <w:rPr>
        <w:rFonts w:ascii="Symbol" w:hAnsi="Symbol"/>
      </w:rPr>
    </w:lvl>
    <w:lvl w:ilvl="8" w:tplc="140C7E40">
      <w:start w:val="1"/>
      <w:numFmt w:val="bullet"/>
      <w:lvlText w:val=""/>
      <w:lvlJc w:val="left"/>
      <w:pPr>
        <w:ind w:left="1080" w:hanging="360"/>
      </w:pPr>
      <w:rPr>
        <w:rFonts w:ascii="Symbol" w:hAnsi="Symbol"/>
      </w:rPr>
    </w:lvl>
  </w:abstractNum>
  <w:num w:numId="1" w16cid:durableId="1943294745">
    <w:abstractNumId w:val="37"/>
  </w:num>
  <w:num w:numId="2" w16cid:durableId="83459259">
    <w:abstractNumId w:val="70"/>
  </w:num>
  <w:num w:numId="3" w16cid:durableId="1422219559">
    <w:abstractNumId w:val="48"/>
  </w:num>
  <w:num w:numId="4" w16cid:durableId="268393627">
    <w:abstractNumId w:val="22"/>
  </w:num>
  <w:num w:numId="5" w16cid:durableId="11883701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3004929">
    <w:abstractNumId w:val="22"/>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4"/>
    </w:lvlOverride>
    <w:lvlOverride w:ilvl="6">
      <w:startOverride w:val="2"/>
    </w:lvlOverride>
    <w:lvlOverride w:ilvl="7">
      <w:startOverride w:val="1"/>
    </w:lvlOverride>
    <w:lvlOverride w:ilvl="8">
      <w:startOverride w:val="1"/>
    </w:lvlOverride>
  </w:num>
  <w:num w:numId="7" w16cid:durableId="1728722686">
    <w:abstractNumId w:val="17"/>
  </w:num>
  <w:num w:numId="8" w16cid:durableId="2098357730">
    <w:abstractNumId w:val="101"/>
  </w:num>
  <w:num w:numId="9" w16cid:durableId="5967873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1584777">
    <w:abstractNumId w:val="66"/>
  </w:num>
  <w:num w:numId="11" w16cid:durableId="1831209707">
    <w:abstractNumId w:val="10"/>
  </w:num>
  <w:num w:numId="12" w16cid:durableId="1213539042">
    <w:abstractNumId w:val="34"/>
  </w:num>
  <w:num w:numId="13" w16cid:durableId="1119836982">
    <w:abstractNumId w:val="78"/>
  </w:num>
  <w:num w:numId="14" w16cid:durableId="376708755">
    <w:abstractNumId w:val="4"/>
  </w:num>
  <w:num w:numId="15" w16cid:durableId="35758905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0438738">
    <w:abstractNumId w:val="103"/>
  </w:num>
  <w:num w:numId="17" w16cid:durableId="832525810">
    <w:abstractNumId w:val="47"/>
  </w:num>
  <w:num w:numId="18" w16cid:durableId="219446458">
    <w:abstractNumId w:val="63"/>
  </w:num>
  <w:num w:numId="19" w16cid:durableId="1220820638">
    <w:abstractNumId w:val="61"/>
  </w:num>
  <w:num w:numId="20" w16cid:durableId="708606475">
    <w:abstractNumId w:val="28"/>
  </w:num>
  <w:num w:numId="21" w16cid:durableId="1707633875">
    <w:abstractNumId w:val="104"/>
  </w:num>
  <w:num w:numId="22" w16cid:durableId="432748491">
    <w:abstractNumId w:val="55"/>
  </w:num>
  <w:num w:numId="23" w16cid:durableId="1716932451">
    <w:abstractNumId w:val="14"/>
  </w:num>
  <w:num w:numId="24" w16cid:durableId="210267045">
    <w:abstractNumId w:val="59"/>
  </w:num>
  <w:num w:numId="25" w16cid:durableId="1348756939">
    <w:abstractNumId w:val="87"/>
  </w:num>
  <w:num w:numId="26" w16cid:durableId="660736745">
    <w:abstractNumId w:val="39"/>
  </w:num>
  <w:num w:numId="27" w16cid:durableId="349646240">
    <w:abstractNumId w:val="16"/>
  </w:num>
  <w:num w:numId="28" w16cid:durableId="1903103047">
    <w:abstractNumId w:val="79"/>
  </w:num>
  <w:num w:numId="29" w16cid:durableId="1727020851">
    <w:abstractNumId w:val="49"/>
  </w:num>
  <w:num w:numId="30" w16cid:durableId="352458565">
    <w:abstractNumId w:val="64"/>
  </w:num>
  <w:num w:numId="31" w16cid:durableId="1905216640">
    <w:abstractNumId w:val="0"/>
  </w:num>
  <w:num w:numId="32" w16cid:durableId="1836800346">
    <w:abstractNumId w:val="90"/>
  </w:num>
  <w:num w:numId="33" w16cid:durableId="2071998774">
    <w:abstractNumId w:val="65"/>
  </w:num>
  <w:num w:numId="34" w16cid:durableId="943077057">
    <w:abstractNumId w:val="75"/>
  </w:num>
  <w:num w:numId="35" w16cid:durableId="6241930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8548543">
    <w:abstractNumId w:val="26"/>
  </w:num>
  <w:num w:numId="37" w16cid:durableId="1107775438">
    <w:abstractNumId w:val="57"/>
  </w:num>
  <w:num w:numId="38" w16cid:durableId="825437172">
    <w:abstractNumId w:val="88"/>
  </w:num>
  <w:num w:numId="39" w16cid:durableId="2038385349">
    <w:abstractNumId w:val="84"/>
  </w:num>
  <w:num w:numId="40" w16cid:durableId="1135878909">
    <w:abstractNumId w:val="1"/>
  </w:num>
  <w:num w:numId="41" w16cid:durableId="472988492">
    <w:abstractNumId w:val="36"/>
  </w:num>
  <w:num w:numId="42" w16cid:durableId="1221205663">
    <w:abstractNumId w:val="5"/>
  </w:num>
  <w:num w:numId="43" w16cid:durableId="804809370">
    <w:abstractNumId w:val="102"/>
  </w:num>
  <w:num w:numId="44" w16cid:durableId="1048721270">
    <w:abstractNumId w:val="43"/>
  </w:num>
  <w:num w:numId="45" w16cid:durableId="1491019490">
    <w:abstractNumId w:val="24"/>
  </w:num>
  <w:num w:numId="46" w16cid:durableId="664288966">
    <w:abstractNumId w:val="52"/>
  </w:num>
  <w:num w:numId="47" w16cid:durableId="902108248">
    <w:abstractNumId w:val="42"/>
  </w:num>
  <w:num w:numId="48" w16cid:durableId="135993904">
    <w:abstractNumId w:val="30"/>
  </w:num>
  <w:num w:numId="49" w16cid:durableId="126240624">
    <w:abstractNumId w:val="91"/>
  </w:num>
  <w:num w:numId="50" w16cid:durableId="1792242418">
    <w:abstractNumId w:val="54"/>
  </w:num>
  <w:num w:numId="51" w16cid:durableId="1968319365">
    <w:abstractNumId w:val="107"/>
  </w:num>
  <w:num w:numId="52" w16cid:durableId="492142012">
    <w:abstractNumId w:val="50"/>
  </w:num>
  <w:num w:numId="53" w16cid:durableId="498733677">
    <w:abstractNumId w:val="13"/>
  </w:num>
  <w:num w:numId="54" w16cid:durableId="1641349717">
    <w:abstractNumId w:val="20"/>
  </w:num>
  <w:num w:numId="55" w16cid:durableId="300041147">
    <w:abstractNumId w:val="40"/>
  </w:num>
  <w:num w:numId="56" w16cid:durableId="861432160">
    <w:abstractNumId w:val="62"/>
  </w:num>
  <w:num w:numId="57" w16cid:durableId="154565680">
    <w:abstractNumId w:val="18"/>
  </w:num>
  <w:num w:numId="58" w16cid:durableId="80953006">
    <w:abstractNumId w:val="100"/>
  </w:num>
  <w:num w:numId="59" w16cid:durableId="1617175511">
    <w:abstractNumId w:val="78"/>
  </w:num>
  <w:num w:numId="60" w16cid:durableId="1873105885">
    <w:abstractNumId w:val="78"/>
  </w:num>
  <w:num w:numId="61" w16cid:durableId="2117751775">
    <w:abstractNumId w:val="78"/>
  </w:num>
  <w:num w:numId="62" w16cid:durableId="1705592948">
    <w:abstractNumId w:val="78"/>
  </w:num>
  <w:num w:numId="63" w16cid:durableId="314378676">
    <w:abstractNumId w:val="78"/>
  </w:num>
  <w:num w:numId="64" w16cid:durableId="1646012112">
    <w:abstractNumId w:val="97"/>
  </w:num>
  <w:num w:numId="65" w16cid:durableId="1884368149">
    <w:abstractNumId w:val="81"/>
  </w:num>
  <w:num w:numId="66" w16cid:durableId="47343680">
    <w:abstractNumId w:val="9"/>
  </w:num>
  <w:num w:numId="67" w16cid:durableId="13314363">
    <w:abstractNumId w:val="68"/>
  </w:num>
  <w:num w:numId="68" w16cid:durableId="1492915891">
    <w:abstractNumId w:val="21"/>
  </w:num>
  <w:num w:numId="69" w16cid:durableId="386803026">
    <w:abstractNumId w:val="60"/>
  </w:num>
  <w:num w:numId="70" w16cid:durableId="1115251036">
    <w:abstractNumId w:val="85"/>
  </w:num>
  <w:num w:numId="71" w16cid:durableId="363988700">
    <w:abstractNumId w:val="92"/>
  </w:num>
  <w:num w:numId="72" w16cid:durableId="539829839">
    <w:abstractNumId w:val="19"/>
  </w:num>
  <w:num w:numId="73" w16cid:durableId="1573005167">
    <w:abstractNumId w:val="76"/>
  </w:num>
  <w:num w:numId="74" w16cid:durableId="1660116426">
    <w:abstractNumId w:val="8"/>
  </w:num>
  <w:num w:numId="75" w16cid:durableId="408699874">
    <w:abstractNumId w:val="77"/>
  </w:num>
  <w:num w:numId="76" w16cid:durableId="1569418770">
    <w:abstractNumId w:val="11"/>
  </w:num>
  <w:num w:numId="77" w16cid:durableId="705176722">
    <w:abstractNumId w:val="3"/>
  </w:num>
  <w:num w:numId="78" w16cid:durableId="1926569401">
    <w:abstractNumId w:val="32"/>
  </w:num>
  <w:num w:numId="79" w16cid:durableId="1979457665">
    <w:abstractNumId w:val="41"/>
  </w:num>
  <w:num w:numId="80" w16cid:durableId="2038313566">
    <w:abstractNumId w:val="31"/>
  </w:num>
  <w:num w:numId="81" w16cid:durableId="1297443176">
    <w:abstractNumId w:val="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9997201">
    <w:abstractNumId w:val="95"/>
  </w:num>
  <w:num w:numId="83" w16cid:durableId="761024608">
    <w:abstractNumId w:val="33"/>
  </w:num>
  <w:num w:numId="84" w16cid:durableId="1326935596">
    <w:abstractNumId w:val="89"/>
  </w:num>
  <w:num w:numId="85" w16cid:durableId="161899223">
    <w:abstractNumId w:val="80"/>
  </w:num>
  <w:num w:numId="86" w16cid:durableId="392192081">
    <w:abstractNumId w:val="15"/>
  </w:num>
  <w:num w:numId="87" w16cid:durableId="647437959">
    <w:abstractNumId w:val="93"/>
  </w:num>
  <w:num w:numId="88" w16cid:durableId="1239513578">
    <w:abstractNumId w:val="72"/>
  </w:num>
  <w:num w:numId="89" w16cid:durableId="1138958093">
    <w:abstractNumId w:val="45"/>
  </w:num>
  <w:num w:numId="90" w16cid:durableId="1995332719">
    <w:abstractNumId w:val="53"/>
  </w:num>
  <w:num w:numId="91" w16cid:durableId="2020883011">
    <w:abstractNumId w:val="96"/>
  </w:num>
  <w:num w:numId="92" w16cid:durableId="1135098675">
    <w:abstractNumId w:val="6"/>
  </w:num>
  <w:num w:numId="93" w16cid:durableId="1597128106">
    <w:abstractNumId w:val="105"/>
  </w:num>
  <w:num w:numId="94" w16cid:durableId="2080709328">
    <w:abstractNumId w:val="99"/>
  </w:num>
  <w:num w:numId="95" w16cid:durableId="326135884">
    <w:abstractNumId w:val="12"/>
  </w:num>
  <w:num w:numId="96" w16cid:durableId="382993958">
    <w:abstractNumId w:val="25"/>
  </w:num>
  <w:num w:numId="97" w16cid:durableId="2002736891">
    <w:abstractNumId w:val="44"/>
  </w:num>
  <w:num w:numId="98" w16cid:durableId="157355935">
    <w:abstractNumId w:val="27"/>
  </w:num>
  <w:num w:numId="99" w16cid:durableId="1232499899">
    <w:abstractNumId w:val="38"/>
  </w:num>
  <w:num w:numId="100" w16cid:durableId="1986811176">
    <w:abstractNumId w:val="73"/>
  </w:num>
  <w:num w:numId="101" w16cid:durableId="513418708">
    <w:abstractNumId w:val="106"/>
  </w:num>
  <w:num w:numId="102" w16cid:durableId="2039768139">
    <w:abstractNumId w:val="71"/>
  </w:num>
  <w:num w:numId="103" w16cid:durableId="1609385651">
    <w:abstractNumId w:val="2"/>
  </w:num>
  <w:num w:numId="104" w16cid:durableId="339238255">
    <w:abstractNumId w:val="94"/>
  </w:num>
  <w:num w:numId="105" w16cid:durableId="1534465099">
    <w:abstractNumId w:val="67"/>
  </w:num>
  <w:num w:numId="106" w16cid:durableId="2021620081">
    <w:abstractNumId w:val="23"/>
  </w:num>
  <w:num w:numId="107" w16cid:durableId="280767572">
    <w:abstractNumId w:val="58"/>
  </w:num>
  <w:num w:numId="108" w16cid:durableId="1963724358">
    <w:abstractNumId w:val="83"/>
  </w:num>
  <w:num w:numId="109" w16cid:durableId="531654590">
    <w:abstractNumId w:val="7"/>
  </w:num>
  <w:num w:numId="110" w16cid:durableId="277294099">
    <w:abstractNumId w:val="46"/>
  </w:num>
  <w:num w:numId="111" w16cid:durableId="1555198482">
    <w:abstractNumId w:val="78"/>
  </w:num>
  <w:num w:numId="112" w16cid:durableId="1064450932">
    <w:abstractNumId w:val="74"/>
  </w:num>
  <w:num w:numId="113" w16cid:durableId="1815099684">
    <w:abstractNumId w:val="29"/>
  </w:num>
  <w:num w:numId="114" w16cid:durableId="1305812233">
    <w:abstractNumId w:val="69"/>
  </w:num>
  <w:num w:numId="115" w16cid:durableId="1809668167">
    <w:abstractNumId w:val="98"/>
  </w:num>
  <w:num w:numId="116" w16cid:durableId="1148598313">
    <w:abstractNumId w:val="51"/>
  </w:num>
  <w:num w:numId="117" w16cid:durableId="1249801766">
    <w:abstractNumId w:val="86"/>
  </w:num>
  <w:num w:numId="118" w16cid:durableId="658314282">
    <w:abstractNumId w:val="56"/>
  </w:num>
  <w:num w:numId="119" w16cid:durableId="248661881">
    <w:abstractNumId w:val="35"/>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es-CO" w:vendorID="64" w:dllVersion="0" w:nlCheck="1" w:checkStyle="0"/>
  <w:activeWritingStyle w:appName="MSWord" w:lang="es-ES" w:vendorID="64" w:dllVersion="0" w:nlCheck="1" w:checkStyle="0"/>
  <w:activeWritingStyle w:appName="MSWord" w:lang="fr-FR"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82"/>
    <w:rsid w:val="000000F7"/>
    <w:rsid w:val="0000031E"/>
    <w:rsid w:val="000006A0"/>
    <w:rsid w:val="000006AC"/>
    <w:rsid w:val="00000871"/>
    <w:rsid w:val="00001005"/>
    <w:rsid w:val="00001116"/>
    <w:rsid w:val="000011EF"/>
    <w:rsid w:val="0000183A"/>
    <w:rsid w:val="00001AB4"/>
    <w:rsid w:val="00001BFA"/>
    <w:rsid w:val="00001D73"/>
    <w:rsid w:val="00001F74"/>
    <w:rsid w:val="00002130"/>
    <w:rsid w:val="00002294"/>
    <w:rsid w:val="00002346"/>
    <w:rsid w:val="000023D8"/>
    <w:rsid w:val="0000248C"/>
    <w:rsid w:val="000026D8"/>
    <w:rsid w:val="00002A41"/>
    <w:rsid w:val="00002AFE"/>
    <w:rsid w:val="00002BE8"/>
    <w:rsid w:val="00002ED8"/>
    <w:rsid w:val="00002F97"/>
    <w:rsid w:val="00002FE3"/>
    <w:rsid w:val="00003430"/>
    <w:rsid w:val="0000360B"/>
    <w:rsid w:val="000036FB"/>
    <w:rsid w:val="000037D9"/>
    <w:rsid w:val="0000387F"/>
    <w:rsid w:val="00003AF2"/>
    <w:rsid w:val="00003CD6"/>
    <w:rsid w:val="00003EC8"/>
    <w:rsid w:val="00003F28"/>
    <w:rsid w:val="00004058"/>
    <w:rsid w:val="00004081"/>
    <w:rsid w:val="00004501"/>
    <w:rsid w:val="0000450C"/>
    <w:rsid w:val="000048A8"/>
    <w:rsid w:val="000049BA"/>
    <w:rsid w:val="0000511F"/>
    <w:rsid w:val="0000520E"/>
    <w:rsid w:val="00005813"/>
    <w:rsid w:val="00005A42"/>
    <w:rsid w:val="00005DA6"/>
    <w:rsid w:val="000060EA"/>
    <w:rsid w:val="000061EF"/>
    <w:rsid w:val="000062E0"/>
    <w:rsid w:val="00006407"/>
    <w:rsid w:val="00006C0E"/>
    <w:rsid w:val="0000708F"/>
    <w:rsid w:val="000073B0"/>
    <w:rsid w:val="000074C1"/>
    <w:rsid w:val="0000762E"/>
    <w:rsid w:val="000076AE"/>
    <w:rsid w:val="00007765"/>
    <w:rsid w:val="000079B8"/>
    <w:rsid w:val="00007A9B"/>
    <w:rsid w:val="00007B49"/>
    <w:rsid w:val="00007B5B"/>
    <w:rsid w:val="00007DFD"/>
    <w:rsid w:val="00007F6A"/>
    <w:rsid w:val="00010348"/>
    <w:rsid w:val="00010376"/>
    <w:rsid w:val="000105B2"/>
    <w:rsid w:val="0001066F"/>
    <w:rsid w:val="000107C3"/>
    <w:rsid w:val="000108F6"/>
    <w:rsid w:val="00010B29"/>
    <w:rsid w:val="00010BBC"/>
    <w:rsid w:val="00010C2F"/>
    <w:rsid w:val="00010C5E"/>
    <w:rsid w:val="00010C83"/>
    <w:rsid w:val="00010E68"/>
    <w:rsid w:val="00010F5E"/>
    <w:rsid w:val="00011191"/>
    <w:rsid w:val="0001143D"/>
    <w:rsid w:val="000117A3"/>
    <w:rsid w:val="000119A5"/>
    <w:rsid w:val="00011F3C"/>
    <w:rsid w:val="00011F78"/>
    <w:rsid w:val="00011FDF"/>
    <w:rsid w:val="00012238"/>
    <w:rsid w:val="0001231A"/>
    <w:rsid w:val="000124E6"/>
    <w:rsid w:val="00012588"/>
    <w:rsid w:val="00012603"/>
    <w:rsid w:val="000127F8"/>
    <w:rsid w:val="0001281E"/>
    <w:rsid w:val="000128CC"/>
    <w:rsid w:val="000129DF"/>
    <w:rsid w:val="000129FA"/>
    <w:rsid w:val="00012F6B"/>
    <w:rsid w:val="000131C9"/>
    <w:rsid w:val="00013222"/>
    <w:rsid w:val="00013723"/>
    <w:rsid w:val="00013937"/>
    <w:rsid w:val="00013987"/>
    <w:rsid w:val="00013A5B"/>
    <w:rsid w:val="00013BD8"/>
    <w:rsid w:val="00013D51"/>
    <w:rsid w:val="00013E19"/>
    <w:rsid w:val="00014031"/>
    <w:rsid w:val="0001405C"/>
    <w:rsid w:val="000142C1"/>
    <w:rsid w:val="000144BF"/>
    <w:rsid w:val="0001450E"/>
    <w:rsid w:val="00014595"/>
    <w:rsid w:val="00014682"/>
    <w:rsid w:val="00014729"/>
    <w:rsid w:val="000147C2"/>
    <w:rsid w:val="000147D5"/>
    <w:rsid w:val="00014C49"/>
    <w:rsid w:val="00014DEC"/>
    <w:rsid w:val="00015290"/>
    <w:rsid w:val="0001548D"/>
    <w:rsid w:val="000154FE"/>
    <w:rsid w:val="00015561"/>
    <w:rsid w:val="00015787"/>
    <w:rsid w:val="00015837"/>
    <w:rsid w:val="00015A66"/>
    <w:rsid w:val="00015A69"/>
    <w:rsid w:val="00015BCE"/>
    <w:rsid w:val="00015D3B"/>
    <w:rsid w:val="00015E75"/>
    <w:rsid w:val="000162B2"/>
    <w:rsid w:val="00016585"/>
    <w:rsid w:val="00016598"/>
    <w:rsid w:val="0001670D"/>
    <w:rsid w:val="0001677D"/>
    <w:rsid w:val="0001683D"/>
    <w:rsid w:val="0001689F"/>
    <w:rsid w:val="00016B85"/>
    <w:rsid w:val="00016C01"/>
    <w:rsid w:val="00016CD2"/>
    <w:rsid w:val="00016CEA"/>
    <w:rsid w:val="00017068"/>
    <w:rsid w:val="000170E1"/>
    <w:rsid w:val="00017245"/>
    <w:rsid w:val="0001728F"/>
    <w:rsid w:val="00017344"/>
    <w:rsid w:val="000174A1"/>
    <w:rsid w:val="000174BF"/>
    <w:rsid w:val="00017C36"/>
    <w:rsid w:val="00017E0C"/>
    <w:rsid w:val="00017FF6"/>
    <w:rsid w:val="000201F7"/>
    <w:rsid w:val="00020829"/>
    <w:rsid w:val="000208F0"/>
    <w:rsid w:val="00020901"/>
    <w:rsid w:val="0002095B"/>
    <w:rsid w:val="00020A75"/>
    <w:rsid w:val="00020E71"/>
    <w:rsid w:val="00020F5B"/>
    <w:rsid w:val="00020F68"/>
    <w:rsid w:val="000211A1"/>
    <w:rsid w:val="000215C4"/>
    <w:rsid w:val="0002178F"/>
    <w:rsid w:val="0002186E"/>
    <w:rsid w:val="00021979"/>
    <w:rsid w:val="000219D5"/>
    <w:rsid w:val="00021F47"/>
    <w:rsid w:val="000221D7"/>
    <w:rsid w:val="00022238"/>
    <w:rsid w:val="00022249"/>
    <w:rsid w:val="00022395"/>
    <w:rsid w:val="000224C0"/>
    <w:rsid w:val="00022A78"/>
    <w:rsid w:val="00022BA8"/>
    <w:rsid w:val="00023139"/>
    <w:rsid w:val="0002325A"/>
    <w:rsid w:val="00023898"/>
    <w:rsid w:val="00023942"/>
    <w:rsid w:val="000239BE"/>
    <w:rsid w:val="00023A49"/>
    <w:rsid w:val="00023BE6"/>
    <w:rsid w:val="00023C95"/>
    <w:rsid w:val="00024039"/>
    <w:rsid w:val="0002420B"/>
    <w:rsid w:val="000246EA"/>
    <w:rsid w:val="00024899"/>
    <w:rsid w:val="000248F6"/>
    <w:rsid w:val="00024953"/>
    <w:rsid w:val="00024AD6"/>
    <w:rsid w:val="00024D04"/>
    <w:rsid w:val="00024F42"/>
    <w:rsid w:val="00024F58"/>
    <w:rsid w:val="00024FA0"/>
    <w:rsid w:val="0002501A"/>
    <w:rsid w:val="000253CA"/>
    <w:rsid w:val="0002593D"/>
    <w:rsid w:val="00025964"/>
    <w:rsid w:val="00025A6E"/>
    <w:rsid w:val="00025B1B"/>
    <w:rsid w:val="00025B49"/>
    <w:rsid w:val="00025DD4"/>
    <w:rsid w:val="00025F25"/>
    <w:rsid w:val="00026247"/>
    <w:rsid w:val="00026438"/>
    <w:rsid w:val="000265D0"/>
    <w:rsid w:val="000265E4"/>
    <w:rsid w:val="00026F69"/>
    <w:rsid w:val="0002711E"/>
    <w:rsid w:val="0002716F"/>
    <w:rsid w:val="00027358"/>
    <w:rsid w:val="000275EA"/>
    <w:rsid w:val="00027C0D"/>
    <w:rsid w:val="00027DB1"/>
    <w:rsid w:val="00027E58"/>
    <w:rsid w:val="0002B617"/>
    <w:rsid w:val="00030020"/>
    <w:rsid w:val="00030128"/>
    <w:rsid w:val="0003033B"/>
    <w:rsid w:val="000304E2"/>
    <w:rsid w:val="0003094D"/>
    <w:rsid w:val="00030972"/>
    <w:rsid w:val="00030A66"/>
    <w:rsid w:val="00030D9F"/>
    <w:rsid w:val="000313C8"/>
    <w:rsid w:val="00031450"/>
    <w:rsid w:val="000317A5"/>
    <w:rsid w:val="000317E2"/>
    <w:rsid w:val="00031B1A"/>
    <w:rsid w:val="00031CC5"/>
    <w:rsid w:val="00031FB3"/>
    <w:rsid w:val="00031FC0"/>
    <w:rsid w:val="00032538"/>
    <w:rsid w:val="000325F7"/>
    <w:rsid w:val="00032704"/>
    <w:rsid w:val="0003274C"/>
    <w:rsid w:val="000327AB"/>
    <w:rsid w:val="00032EFC"/>
    <w:rsid w:val="00032F35"/>
    <w:rsid w:val="00032F46"/>
    <w:rsid w:val="00033192"/>
    <w:rsid w:val="00033313"/>
    <w:rsid w:val="00033407"/>
    <w:rsid w:val="000336D3"/>
    <w:rsid w:val="000339DD"/>
    <w:rsid w:val="00033AB3"/>
    <w:rsid w:val="00033B2D"/>
    <w:rsid w:val="00033CE1"/>
    <w:rsid w:val="00033F52"/>
    <w:rsid w:val="00034260"/>
    <w:rsid w:val="0003431E"/>
    <w:rsid w:val="000343CE"/>
    <w:rsid w:val="00034404"/>
    <w:rsid w:val="00034572"/>
    <w:rsid w:val="00034949"/>
    <w:rsid w:val="0003497C"/>
    <w:rsid w:val="00034A32"/>
    <w:rsid w:val="00034A6F"/>
    <w:rsid w:val="00034C46"/>
    <w:rsid w:val="00034C83"/>
    <w:rsid w:val="00034D3C"/>
    <w:rsid w:val="00034D95"/>
    <w:rsid w:val="00034FA5"/>
    <w:rsid w:val="00035576"/>
    <w:rsid w:val="00035667"/>
    <w:rsid w:val="000357C9"/>
    <w:rsid w:val="000359BA"/>
    <w:rsid w:val="00036889"/>
    <w:rsid w:val="0003695B"/>
    <w:rsid w:val="00036C0D"/>
    <w:rsid w:val="00036E53"/>
    <w:rsid w:val="0003726F"/>
    <w:rsid w:val="00037368"/>
    <w:rsid w:val="000375C9"/>
    <w:rsid w:val="000378C7"/>
    <w:rsid w:val="000379DC"/>
    <w:rsid w:val="00037A4C"/>
    <w:rsid w:val="00037F28"/>
    <w:rsid w:val="00037F8B"/>
    <w:rsid w:val="0004000F"/>
    <w:rsid w:val="00040603"/>
    <w:rsid w:val="00041278"/>
    <w:rsid w:val="0004135E"/>
    <w:rsid w:val="000415D5"/>
    <w:rsid w:val="00041794"/>
    <w:rsid w:val="000419A2"/>
    <w:rsid w:val="000419B9"/>
    <w:rsid w:val="00041BD1"/>
    <w:rsid w:val="00041D90"/>
    <w:rsid w:val="00041DAE"/>
    <w:rsid w:val="00041F22"/>
    <w:rsid w:val="00042212"/>
    <w:rsid w:val="0004226C"/>
    <w:rsid w:val="0004234B"/>
    <w:rsid w:val="000425E8"/>
    <w:rsid w:val="000429FF"/>
    <w:rsid w:val="00042A02"/>
    <w:rsid w:val="00043118"/>
    <w:rsid w:val="00043206"/>
    <w:rsid w:val="00043567"/>
    <w:rsid w:val="00043641"/>
    <w:rsid w:val="00043856"/>
    <w:rsid w:val="00043C05"/>
    <w:rsid w:val="00043E1E"/>
    <w:rsid w:val="00044212"/>
    <w:rsid w:val="0004430D"/>
    <w:rsid w:val="0004441D"/>
    <w:rsid w:val="00044522"/>
    <w:rsid w:val="000447AC"/>
    <w:rsid w:val="00044DC0"/>
    <w:rsid w:val="00044DC8"/>
    <w:rsid w:val="00044ECD"/>
    <w:rsid w:val="00045243"/>
    <w:rsid w:val="00045524"/>
    <w:rsid w:val="00045ABD"/>
    <w:rsid w:val="00045E11"/>
    <w:rsid w:val="00045E58"/>
    <w:rsid w:val="00045F22"/>
    <w:rsid w:val="00046080"/>
    <w:rsid w:val="000461CF"/>
    <w:rsid w:val="0004638C"/>
    <w:rsid w:val="00046992"/>
    <w:rsid w:val="00046C99"/>
    <w:rsid w:val="00046D05"/>
    <w:rsid w:val="00046FAB"/>
    <w:rsid w:val="000470C7"/>
    <w:rsid w:val="0004758F"/>
    <w:rsid w:val="00047593"/>
    <w:rsid w:val="00047771"/>
    <w:rsid w:val="00047867"/>
    <w:rsid w:val="00047916"/>
    <w:rsid w:val="0004794B"/>
    <w:rsid w:val="00047D04"/>
    <w:rsid w:val="00047D3C"/>
    <w:rsid w:val="0005032A"/>
    <w:rsid w:val="0005053C"/>
    <w:rsid w:val="0005087F"/>
    <w:rsid w:val="00050D33"/>
    <w:rsid w:val="00050F0A"/>
    <w:rsid w:val="000511E1"/>
    <w:rsid w:val="00051361"/>
    <w:rsid w:val="00051639"/>
    <w:rsid w:val="00051761"/>
    <w:rsid w:val="00051819"/>
    <w:rsid w:val="00051A13"/>
    <w:rsid w:val="00051F20"/>
    <w:rsid w:val="00051F81"/>
    <w:rsid w:val="000522EE"/>
    <w:rsid w:val="00052461"/>
    <w:rsid w:val="00052494"/>
    <w:rsid w:val="00052638"/>
    <w:rsid w:val="00052B27"/>
    <w:rsid w:val="00052BCD"/>
    <w:rsid w:val="00052C81"/>
    <w:rsid w:val="00052FC5"/>
    <w:rsid w:val="00052FCD"/>
    <w:rsid w:val="000530FB"/>
    <w:rsid w:val="000531EE"/>
    <w:rsid w:val="000533ED"/>
    <w:rsid w:val="0005351F"/>
    <w:rsid w:val="000536F5"/>
    <w:rsid w:val="00053700"/>
    <w:rsid w:val="00053DA7"/>
    <w:rsid w:val="00053E87"/>
    <w:rsid w:val="00054099"/>
    <w:rsid w:val="00054171"/>
    <w:rsid w:val="0005429F"/>
    <w:rsid w:val="000542BD"/>
    <w:rsid w:val="00054340"/>
    <w:rsid w:val="0005434E"/>
    <w:rsid w:val="0005455E"/>
    <w:rsid w:val="00054725"/>
    <w:rsid w:val="00054975"/>
    <w:rsid w:val="00054B58"/>
    <w:rsid w:val="00054F28"/>
    <w:rsid w:val="0005523E"/>
    <w:rsid w:val="000552E0"/>
    <w:rsid w:val="0005533C"/>
    <w:rsid w:val="00055527"/>
    <w:rsid w:val="000555E9"/>
    <w:rsid w:val="00055620"/>
    <w:rsid w:val="00055671"/>
    <w:rsid w:val="00055713"/>
    <w:rsid w:val="0005592F"/>
    <w:rsid w:val="000559D3"/>
    <w:rsid w:val="00055C58"/>
    <w:rsid w:val="00055D69"/>
    <w:rsid w:val="00055DCD"/>
    <w:rsid w:val="0005602E"/>
    <w:rsid w:val="00056046"/>
    <w:rsid w:val="00056083"/>
    <w:rsid w:val="0005650A"/>
    <w:rsid w:val="0005665E"/>
    <w:rsid w:val="00056757"/>
    <w:rsid w:val="00056793"/>
    <w:rsid w:val="000567FA"/>
    <w:rsid w:val="00056F6A"/>
    <w:rsid w:val="000570E4"/>
    <w:rsid w:val="00057207"/>
    <w:rsid w:val="00057402"/>
    <w:rsid w:val="0005741E"/>
    <w:rsid w:val="000576D3"/>
    <w:rsid w:val="0005772E"/>
    <w:rsid w:val="00057875"/>
    <w:rsid w:val="000578D9"/>
    <w:rsid w:val="0005798E"/>
    <w:rsid w:val="000579EF"/>
    <w:rsid w:val="00057B1B"/>
    <w:rsid w:val="00057F71"/>
    <w:rsid w:val="000601BD"/>
    <w:rsid w:val="0006039F"/>
    <w:rsid w:val="0006063C"/>
    <w:rsid w:val="00060F31"/>
    <w:rsid w:val="00060F35"/>
    <w:rsid w:val="00061296"/>
    <w:rsid w:val="000612C2"/>
    <w:rsid w:val="000612D2"/>
    <w:rsid w:val="000613E0"/>
    <w:rsid w:val="000614EF"/>
    <w:rsid w:val="00061552"/>
    <w:rsid w:val="00061653"/>
    <w:rsid w:val="000616CE"/>
    <w:rsid w:val="000617A6"/>
    <w:rsid w:val="000617F3"/>
    <w:rsid w:val="00061911"/>
    <w:rsid w:val="00061934"/>
    <w:rsid w:val="00062018"/>
    <w:rsid w:val="00062067"/>
    <w:rsid w:val="000620EE"/>
    <w:rsid w:val="000624D3"/>
    <w:rsid w:val="00062836"/>
    <w:rsid w:val="0006287B"/>
    <w:rsid w:val="00062AFC"/>
    <w:rsid w:val="00062BBA"/>
    <w:rsid w:val="00062C8D"/>
    <w:rsid w:val="00062D07"/>
    <w:rsid w:val="00062D10"/>
    <w:rsid w:val="00062DE7"/>
    <w:rsid w:val="00062FD8"/>
    <w:rsid w:val="000630AC"/>
    <w:rsid w:val="0006328C"/>
    <w:rsid w:val="000633F4"/>
    <w:rsid w:val="000636AE"/>
    <w:rsid w:val="00063C6E"/>
    <w:rsid w:val="00063CF9"/>
    <w:rsid w:val="00063D36"/>
    <w:rsid w:val="00063F86"/>
    <w:rsid w:val="000643FA"/>
    <w:rsid w:val="0006442F"/>
    <w:rsid w:val="000647A1"/>
    <w:rsid w:val="00064A54"/>
    <w:rsid w:val="00064B14"/>
    <w:rsid w:val="00064C98"/>
    <w:rsid w:val="00064D04"/>
    <w:rsid w:val="00064DDB"/>
    <w:rsid w:val="00065075"/>
    <w:rsid w:val="00065575"/>
    <w:rsid w:val="00065758"/>
    <w:rsid w:val="000658A0"/>
    <w:rsid w:val="00065919"/>
    <w:rsid w:val="00065999"/>
    <w:rsid w:val="00065A9D"/>
    <w:rsid w:val="00065C62"/>
    <w:rsid w:val="00065CD4"/>
    <w:rsid w:val="00065CDE"/>
    <w:rsid w:val="00065F4A"/>
    <w:rsid w:val="00065F78"/>
    <w:rsid w:val="000661EB"/>
    <w:rsid w:val="000662CC"/>
    <w:rsid w:val="00066624"/>
    <w:rsid w:val="00066914"/>
    <w:rsid w:val="00066C3D"/>
    <w:rsid w:val="000676E5"/>
    <w:rsid w:val="000676F3"/>
    <w:rsid w:val="00067733"/>
    <w:rsid w:val="000677DE"/>
    <w:rsid w:val="00067873"/>
    <w:rsid w:val="00067E0A"/>
    <w:rsid w:val="000700C9"/>
    <w:rsid w:val="00070298"/>
    <w:rsid w:val="00070304"/>
    <w:rsid w:val="0007037D"/>
    <w:rsid w:val="0007063B"/>
    <w:rsid w:val="00070722"/>
    <w:rsid w:val="000708AA"/>
    <w:rsid w:val="000708ED"/>
    <w:rsid w:val="000709B3"/>
    <w:rsid w:val="00070C76"/>
    <w:rsid w:val="00070D2D"/>
    <w:rsid w:val="00070D75"/>
    <w:rsid w:val="00070F2E"/>
    <w:rsid w:val="000710B2"/>
    <w:rsid w:val="000711CB"/>
    <w:rsid w:val="000714FF"/>
    <w:rsid w:val="000715B9"/>
    <w:rsid w:val="000716B6"/>
    <w:rsid w:val="00071BF9"/>
    <w:rsid w:val="00071E34"/>
    <w:rsid w:val="00071E91"/>
    <w:rsid w:val="00071EAD"/>
    <w:rsid w:val="0007214F"/>
    <w:rsid w:val="0007215D"/>
    <w:rsid w:val="000721FB"/>
    <w:rsid w:val="00072425"/>
    <w:rsid w:val="0007244F"/>
    <w:rsid w:val="0007275F"/>
    <w:rsid w:val="00072855"/>
    <w:rsid w:val="00072A81"/>
    <w:rsid w:val="00072B54"/>
    <w:rsid w:val="00072BA0"/>
    <w:rsid w:val="00072DEB"/>
    <w:rsid w:val="00072EAD"/>
    <w:rsid w:val="00073166"/>
    <w:rsid w:val="0007329C"/>
    <w:rsid w:val="000732F0"/>
    <w:rsid w:val="0007331B"/>
    <w:rsid w:val="00073451"/>
    <w:rsid w:val="000735BB"/>
    <w:rsid w:val="00073806"/>
    <w:rsid w:val="000739BD"/>
    <w:rsid w:val="00073EF2"/>
    <w:rsid w:val="00073F6B"/>
    <w:rsid w:val="00074178"/>
    <w:rsid w:val="0007447F"/>
    <w:rsid w:val="00074779"/>
    <w:rsid w:val="00074A38"/>
    <w:rsid w:val="00074A73"/>
    <w:rsid w:val="00074C12"/>
    <w:rsid w:val="00074C52"/>
    <w:rsid w:val="00074DCB"/>
    <w:rsid w:val="00074F75"/>
    <w:rsid w:val="00075063"/>
    <w:rsid w:val="000750ED"/>
    <w:rsid w:val="0007532E"/>
    <w:rsid w:val="000758A6"/>
    <w:rsid w:val="0007597B"/>
    <w:rsid w:val="00075B13"/>
    <w:rsid w:val="00075C50"/>
    <w:rsid w:val="00075CCF"/>
    <w:rsid w:val="00075DBE"/>
    <w:rsid w:val="00076188"/>
    <w:rsid w:val="000762C2"/>
    <w:rsid w:val="0007631C"/>
    <w:rsid w:val="000769BB"/>
    <w:rsid w:val="00076A3F"/>
    <w:rsid w:val="00076C59"/>
    <w:rsid w:val="00076D51"/>
    <w:rsid w:val="00077023"/>
    <w:rsid w:val="000770C0"/>
    <w:rsid w:val="00077201"/>
    <w:rsid w:val="0007721B"/>
    <w:rsid w:val="00077321"/>
    <w:rsid w:val="000773B9"/>
    <w:rsid w:val="000773CE"/>
    <w:rsid w:val="00077A89"/>
    <w:rsid w:val="00077B53"/>
    <w:rsid w:val="00077F1E"/>
    <w:rsid w:val="000801AF"/>
    <w:rsid w:val="0008026D"/>
    <w:rsid w:val="00080409"/>
    <w:rsid w:val="00080813"/>
    <w:rsid w:val="00080C61"/>
    <w:rsid w:val="00080D9C"/>
    <w:rsid w:val="00080E31"/>
    <w:rsid w:val="00080FF3"/>
    <w:rsid w:val="000810E5"/>
    <w:rsid w:val="000811C9"/>
    <w:rsid w:val="00081470"/>
    <w:rsid w:val="000816DF"/>
    <w:rsid w:val="00081A58"/>
    <w:rsid w:val="00081D6E"/>
    <w:rsid w:val="00081DCC"/>
    <w:rsid w:val="00081E33"/>
    <w:rsid w:val="00081F89"/>
    <w:rsid w:val="000822C0"/>
    <w:rsid w:val="00082422"/>
    <w:rsid w:val="000825EF"/>
    <w:rsid w:val="00082690"/>
    <w:rsid w:val="000826C0"/>
    <w:rsid w:val="000827F0"/>
    <w:rsid w:val="00082868"/>
    <w:rsid w:val="000829C4"/>
    <w:rsid w:val="000829F7"/>
    <w:rsid w:val="00083026"/>
    <w:rsid w:val="000832B5"/>
    <w:rsid w:val="0008362B"/>
    <w:rsid w:val="000836B8"/>
    <w:rsid w:val="0008372F"/>
    <w:rsid w:val="000838B2"/>
    <w:rsid w:val="00083955"/>
    <w:rsid w:val="00083A2F"/>
    <w:rsid w:val="00083D88"/>
    <w:rsid w:val="00083DB7"/>
    <w:rsid w:val="00083F48"/>
    <w:rsid w:val="00084130"/>
    <w:rsid w:val="000842F2"/>
    <w:rsid w:val="000847FE"/>
    <w:rsid w:val="00084B18"/>
    <w:rsid w:val="00084E49"/>
    <w:rsid w:val="00084F57"/>
    <w:rsid w:val="00085378"/>
    <w:rsid w:val="0008567B"/>
    <w:rsid w:val="000857EC"/>
    <w:rsid w:val="0008583C"/>
    <w:rsid w:val="000858C7"/>
    <w:rsid w:val="00085BB8"/>
    <w:rsid w:val="00085D18"/>
    <w:rsid w:val="00086133"/>
    <w:rsid w:val="0008614F"/>
    <w:rsid w:val="00086373"/>
    <w:rsid w:val="000869A9"/>
    <w:rsid w:val="00086A67"/>
    <w:rsid w:val="00086B3E"/>
    <w:rsid w:val="00086BCB"/>
    <w:rsid w:val="00086C48"/>
    <w:rsid w:val="00086C63"/>
    <w:rsid w:val="00086CBF"/>
    <w:rsid w:val="00086D29"/>
    <w:rsid w:val="00086ED4"/>
    <w:rsid w:val="000871CA"/>
    <w:rsid w:val="0008720C"/>
    <w:rsid w:val="00087268"/>
    <w:rsid w:val="00087460"/>
    <w:rsid w:val="00087517"/>
    <w:rsid w:val="0009005B"/>
    <w:rsid w:val="00090216"/>
    <w:rsid w:val="000903C6"/>
    <w:rsid w:val="00090442"/>
    <w:rsid w:val="00090B53"/>
    <w:rsid w:val="00090BEB"/>
    <w:rsid w:val="00090C41"/>
    <w:rsid w:val="00090E50"/>
    <w:rsid w:val="00090E68"/>
    <w:rsid w:val="00090EA2"/>
    <w:rsid w:val="00090F87"/>
    <w:rsid w:val="0009109B"/>
    <w:rsid w:val="00091367"/>
    <w:rsid w:val="00091390"/>
    <w:rsid w:val="00091477"/>
    <w:rsid w:val="000915A2"/>
    <w:rsid w:val="000916C6"/>
    <w:rsid w:val="00091705"/>
    <w:rsid w:val="00091BE9"/>
    <w:rsid w:val="00091C7A"/>
    <w:rsid w:val="00091F71"/>
    <w:rsid w:val="00091FDD"/>
    <w:rsid w:val="00092272"/>
    <w:rsid w:val="0009244F"/>
    <w:rsid w:val="00092523"/>
    <w:rsid w:val="0009261C"/>
    <w:rsid w:val="00092727"/>
    <w:rsid w:val="00092893"/>
    <w:rsid w:val="00092945"/>
    <w:rsid w:val="00092CE7"/>
    <w:rsid w:val="00092DD7"/>
    <w:rsid w:val="00092F36"/>
    <w:rsid w:val="00092FFE"/>
    <w:rsid w:val="0009311E"/>
    <w:rsid w:val="00093277"/>
    <w:rsid w:val="000932C3"/>
    <w:rsid w:val="000935C1"/>
    <w:rsid w:val="00093638"/>
    <w:rsid w:val="00093848"/>
    <w:rsid w:val="00093CF0"/>
    <w:rsid w:val="00093FD9"/>
    <w:rsid w:val="00094445"/>
    <w:rsid w:val="0009450D"/>
    <w:rsid w:val="000945BD"/>
    <w:rsid w:val="00094830"/>
    <w:rsid w:val="00094AAD"/>
    <w:rsid w:val="00094BA0"/>
    <w:rsid w:val="00094CDE"/>
    <w:rsid w:val="00094F13"/>
    <w:rsid w:val="00095350"/>
    <w:rsid w:val="000955B9"/>
    <w:rsid w:val="000956BE"/>
    <w:rsid w:val="000959E7"/>
    <w:rsid w:val="00095A0E"/>
    <w:rsid w:val="00095AB5"/>
    <w:rsid w:val="00095E34"/>
    <w:rsid w:val="0009651E"/>
    <w:rsid w:val="0009688E"/>
    <w:rsid w:val="00096BCD"/>
    <w:rsid w:val="00096C43"/>
    <w:rsid w:val="00096C95"/>
    <w:rsid w:val="00096E78"/>
    <w:rsid w:val="00096F50"/>
    <w:rsid w:val="0009704D"/>
    <w:rsid w:val="00097073"/>
    <w:rsid w:val="0009709A"/>
    <w:rsid w:val="0009721E"/>
    <w:rsid w:val="000975CF"/>
    <w:rsid w:val="0009770D"/>
    <w:rsid w:val="000979BA"/>
    <w:rsid w:val="00097A0C"/>
    <w:rsid w:val="00097C31"/>
    <w:rsid w:val="00097D5D"/>
    <w:rsid w:val="00097E03"/>
    <w:rsid w:val="00097FD8"/>
    <w:rsid w:val="000A0195"/>
    <w:rsid w:val="000A0213"/>
    <w:rsid w:val="000A027E"/>
    <w:rsid w:val="000A03ED"/>
    <w:rsid w:val="000A05F6"/>
    <w:rsid w:val="000A0641"/>
    <w:rsid w:val="000A07E2"/>
    <w:rsid w:val="000A08FE"/>
    <w:rsid w:val="000A0984"/>
    <w:rsid w:val="000A0A32"/>
    <w:rsid w:val="000A0A63"/>
    <w:rsid w:val="000A0BCA"/>
    <w:rsid w:val="000A0C73"/>
    <w:rsid w:val="000A0C79"/>
    <w:rsid w:val="000A0D3A"/>
    <w:rsid w:val="000A0F18"/>
    <w:rsid w:val="000A0F5C"/>
    <w:rsid w:val="000A1099"/>
    <w:rsid w:val="000A10A6"/>
    <w:rsid w:val="000A120D"/>
    <w:rsid w:val="000A1353"/>
    <w:rsid w:val="000A1387"/>
    <w:rsid w:val="000A1BFE"/>
    <w:rsid w:val="000A1E25"/>
    <w:rsid w:val="000A1E5A"/>
    <w:rsid w:val="000A1EDE"/>
    <w:rsid w:val="000A1F51"/>
    <w:rsid w:val="000A1F7B"/>
    <w:rsid w:val="000A237C"/>
    <w:rsid w:val="000A2649"/>
    <w:rsid w:val="000A2694"/>
    <w:rsid w:val="000A2896"/>
    <w:rsid w:val="000A2897"/>
    <w:rsid w:val="000A2A7D"/>
    <w:rsid w:val="000A2C64"/>
    <w:rsid w:val="000A2D3D"/>
    <w:rsid w:val="000A2EF1"/>
    <w:rsid w:val="000A2FCA"/>
    <w:rsid w:val="000A3190"/>
    <w:rsid w:val="000A3195"/>
    <w:rsid w:val="000A3233"/>
    <w:rsid w:val="000A32B4"/>
    <w:rsid w:val="000A36AE"/>
    <w:rsid w:val="000A37E4"/>
    <w:rsid w:val="000A3837"/>
    <w:rsid w:val="000A3927"/>
    <w:rsid w:val="000A3A3E"/>
    <w:rsid w:val="000A3A9B"/>
    <w:rsid w:val="000A3C0D"/>
    <w:rsid w:val="000A3C14"/>
    <w:rsid w:val="000A3D99"/>
    <w:rsid w:val="000A3F4C"/>
    <w:rsid w:val="000A41C8"/>
    <w:rsid w:val="000A42C8"/>
    <w:rsid w:val="000A435C"/>
    <w:rsid w:val="000A4562"/>
    <w:rsid w:val="000A46E9"/>
    <w:rsid w:val="000A4813"/>
    <w:rsid w:val="000A49F3"/>
    <w:rsid w:val="000A4A35"/>
    <w:rsid w:val="000A4B09"/>
    <w:rsid w:val="000A50AE"/>
    <w:rsid w:val="000A50DE"/>
    <w:rsid w:val="000A5235"/>
    <w:rsid w:val="000A52E4"/>
    <w:rsid w:val="000A53DF"/>
    <w:rsid w:val="000A5761"/>
    <w:rsid w:val="000A5A79"/>
    <w:rsid w:val="000A5AF3"/>
    <w:rsid w:val="000A5BA6"/>
    <w:rsid w:val="000A5C2B"/>
    <w:rsid w:val="000A5D44"/>
    <w:rsid w:val="000A5D92"/>
    <w:rsid w:val="000A5E1A"/>
    <w:rsid w:val="000A5F76"/>
    <w:rsid w:val="000A696C"/>
    <w:rsid w:val="000A6A62"/>
    <w:rsid w:val="000A6BAF"/>
    <w:rsid w:val="000A6C0E"/>
    <w:rsid w:val="000A6DB2"/>
    <w:rsid w:val="000A6FBD"/>
    <w:rsid w:val="000A7026"/>
    <w:rsid w:val="000A7333"/>
    <w:rsid w:val="000A75DF"/>
    <w:rsid w:val="000A7A69"/>
    <w:rsid w:val="000A7B20"/>
    <w:rsid w:val="000A7D5C"/>
    <w:rsid w:val="000A7EA5"/>
    <w:rsid w:val="000A7F69"/>
    <w:rsid w:val="000A7F9C"/>
    <w:rsid w:val="000AFED4"/>
    <w:rsid w:val="000B00BD"/>
    <w:rsid w:val="000B0328"/>
    <w:rsid w:val="000B0B51"/>
    <w:rsid w:val="000B0C39"/>
    <w:rsid w:val="000B0D44"/>
    <w:rsid w:val="000B0D6E"/>
    <w:rsid w:val="000B0F7E"/>
    <w:rsid w:val="000B111E"/>
    <w:rsid w:val="000B139B"/>
    <w:rsid w:val="000B1456"/>
    <w:rsid w:val="000B1550"/>
    <w:rsid w:val="000B1725"/>
    <w:rsid w:val="000B1B22"/>
    <w:rsid w:val="000B1B8E"/>
    <w:rsid w:val="000B228E"/>
    <w:rsid w:val="000B25ED"/>
    <w:rsid w:val="000B29E7"/>
    <w:rsid w:val="000B2B4A"/>
    <w:rsid w:val="000B2B4E"/>
    <w:rsid w:val="000B2BAD"/>
    <w:rsid w:val="000B2BE3"/>
    <w:rsid w:val="000B2DE8"/>
    <w:rsid w:val="000B2EDA"/>
    <w:rsid w:val="000B2F50"/>
    <w:rsid w:val="000B2F6F"/>
    <w:rsid w:val="000B30AD"/>
    <w:rsid w:val="000B30C9"/>
    <w:rsid w:val="000B311B"/>
    <w:rsid w:val="000B34FD"/>
    <w:rsid w:val="000B359B"/>
    <w:rsid w:val="000B35EA"/>
    <w:rsid w:val="000B366F"/>
    <w:rsid w:val="000B3803"/>
    <w:rsid w:val="000B38BB"/>
    <w:rsid w:val="000B3931"/>
    <w:rsid w:val="000B3934"/>
    <w:rsid w:val="000B3C47"/>
    <w:rsid w:val="000B3C68"/>
    <w:rsid w:val="000B3C9C"/>
    <w:rsid w:val="000B3E2E"/>
    <w:rsid w:val="000B4030"/>
    <w:rsid w:val="000B4156"/>
    <w:rsid w:val="000B4B27"/>
    <w:rsid w:val="000B4B52"/>
    <w:rsid w:val="000B4E81"/>
    <w:rsid w:val="000B5110"/>
    <w:rsid w:val="000B5374"/>
    <w:rsid w:val="000B54E4"/>
    <w:rsid w:val="000B562D"/>
    <w:rsid w:val="000B56CD"/>
    <w:rsid w:val="000B5987"/>
    <w:rsid w:val="000B5FDA"/>
    <w:rsid w:val="000B60F2"/>
    <w:rsid w:val="000B63AE"/>
    <w:rsid w:val="000B679F"/>
    <w:rsid w:val="000B6804"/>
    <w:rsid w:val="000B68FA"/>
    <w:rsid w:val="000B6B69"/>
    <w:rsid w:val="000B6C1F"/>
    <w:rsid w:val="000B6C44"/>
    <w:rsid w:val="000B6C91"/>
    <w:rsid w:val="000B6D35"/>
    <w:rsid w:val="000B6EC0"/>
    <w:rsid w:val="000B7247"/>
    <w:rsid w:val="000B77E3"/>
    <w:rsid w:val="000B79BF"/>
    <w:rsid w:val="000B7A1C"/>
    <w:rsid w:val="000B7AED"/>
    <w:rsid w:val="000B7CB0"/>
    <w:rsid w:val="000B7E83"/>
    <w:rsid w:val="000B7FB6"/>
    <w:rsid w:val="000C009B"/>
    <w:rsid w:val="000C0128"/>
    <w:rsid w:val="000C0142"/>
    <w:rsid w:val="000C02B3"/>
    <w:rsid w:val="000C0448"/>
    <w:rsid w:val="000C05FE"/>
    <w:rsid w:val="000C0842"/>
    <w:rsid w:val="000C0AF0"/>
    <w:rsid w:val="000C0BF0"/>
    <w:rsid w:val="000C0DBE"/>
    <w:rsid w:val="000C0FDE"/>
    <w:rsid w:val="000C11CC"/>
    <w:rsid w:val="000C1539"/>
    <w:rsid w:val="000C192B"/>
    <w:rsid w:val="000C1A06"/>
    <w:rsid w:val="000C1BD0"/>
    <w:rsid w:val="000C1C85"/>
    <w:rsid w:val="000C1FBD"/>
    <w:rsid w:val="000C2845"/>
    <w:rsid w:val="000C2853"/>
    <w:rsid w:val="000C2D54"/>
    <w:rsid w:val="000C3044"/>
    <w:rsid w:val="000C3484"/>
    <w:rsid w:val="000C3694"/>
    <w:rsid w:val="000C3BF9"/>
    <w:rsid w:val="000C3D71"/>
    <w:rsid w:val="000C3D74"/>
    <w:rsid w:val="000C40AB"/>
    <w:rsid w:val="000C415E"/>
    <w:rsid w:val="000C4185"/>
    <w:rsid w:val="000C4225"/>
    <w:rsid w:val="000C433D"/>
    <w:rsid w:val="000C435F"/>
    <w:rsid w:val="000C44C5"/>
    <w:rsid w:val="000C4547"/>
    <w:rsid w:val="000C49B0"/>
    <w:rsid w:val="000C4AB0"/>
    <w:rsid w:val="000C4E5A"/>
    <w:rsid w:val="000C5036"/>
    <w:rsid w:val="000C52FC"/>
    <w:rsid w:val="000C5368"/>
    <w:rsid w:val="000C55B9"/>
    <w:rsid w:val="000C5745"/>
    <w:rsid w:val="000C57DF"/>
    <w:rsid w:val="000C5B86"/>
    <w:rsid w:val="000C5CF7"/>
    <w:rsid w:val="000C5EA6"/>
    <w:rsid w:val="000C5EE4"/>
    <w:rsid w:val="000C6197"/>
    <w:rsid w:val="000C6656"/>
    <w:rsid w:val="000C668E"/>
    <w:rsid w:val="000C66BA"/>
    <w:rsid w:val="000C66F2"/>
    <w:rsid w:val="000C6848"/>
    <w:rsid w:val="000C6A40"/>
    <w:rsid w:val="000C6E09"/>
    <w:rsid w:val="000C6ED9"/>
    <w:rsid w:val="000C7455"/>
    <w:rsid w:val="000C75CB"/>
    <w:rsid w:val="000C7704"/>
    <w:rsid w:val="000C7883"/>
    <w:rsid w:val="000C793A"/>
    <w:rsid w:val="000C7B1E"/>
    <w:rsid w:val="000C7DED"/>
    <w:rsid w:val="000D0023"/>
    <w:rsid w:val="000D00FA"/>
    <w:rsid w:val="000D017E"/>
    <w:rsid w:val="000D027D"/>
    <w:rsid w:val="000D030C"/>
    <w:rsid w:val="000D0333"/>
    <w:rsid w:val="000D048A"/>
    <w:rsid w:val="000D085C"/>
    <w:rsid w:val="000D08AA"/>
    <w:rsid w:val="000D0A6B"/>
    <w:rsid w:val="000D0A81"/>
    <w:rsid w:val="000D0B38"/>
    <w:rsid w:val="000D0B84"/>
    <w:rsid w:val="000D0BDD"/>
    <w:rsid w:val="000D0F20"/>
    <w:rsid w:val="000D1093"/>
    <w:rsid w:val="000D10D5"/>
    <w:rsid w:val="000D1182"/>
    <w:rsid w:val="000D150D"/>
    <w:rsid w:val="000D169F"/>
    <w:rsid w:val="000D1786"/>
    <w:rsid w:val="000D192E"/>
    <w:rsid w:val="000D1A22"/>
    <w:rsid w:val="000D1AB4"/>
    <w:rsid w:val="000D1B7E"/>
    <w:rsid w:val="000D1C35"/>
    <w:rsid w:val="000D1E05"/>
    <w:rsid w:val="000D1F03"/>
    <w:rsid w:val="000D1FB5"/>
    <w:rsid w:val="000D25A0"/>
    <w:rsid w:val="000D2BC8"/>
    <w:rsid w:val="000D2C51"/>
    <w:rsid w:val="000D2CCD"/>
    <w:rsid w:val="000D2E4C"/>
    <w:rsid w:val="000D2F88"/>
    <w:rsid w:val="000D2F94"/>
    <w:rsid w:val="000D2FC4"/>
    <w:rsid w:val="000D315E"/>
    <w:rsid w:val="000D316D"/>
    <w:rsid w:val="000D3330"/>
    <w:rsid w:val="000D3369"/>
    <w:rsid w:val="000D35F2"/>
    <w:rsid w:val="000D39EF"/>
    <w:rsid w:val="000D3B2E"/>
    <w:rsid w:val="000D41FB"/>
    <w:rsid w:val="000D4202"/>
    <w:rsid w:val="000D42B9"/>
    <w:rsid w:val="000D4343"/>
    <w:rsid w:val="000D43BB"/>
    <w:rsid w:val="000D44C7"/>
    <w:rsid w:val="000D4516"/>
    <w:rsid w:val="000D4692"/>
    <w:rsid w:val="000D4793"/>
    <w:rsid w:val="000D479F"/>
    <w:rsid w:val="000D47AA"/>
    <w:rsid w:val="000D4892"/>
    <w:rsid w:val="000D4AC5"/>
    <w:rsid w:val="000D4B4A"/>
    <w:rsid w:val="000D4EA2"/>
    <w:rsid w:val="000D4EA5"/>
    <w:rsid w:val="000D4FD0"/>
    <w:rsid w:val="000D509E"/>
    <w:rsid w:val="000D5325"/>
    <w:rsid w:val="000D5375"/>
    <w:rsid w:val="000D55DF"/>
    <w:rsid w:val="000D5D35"/>
    <w:rsid w:val="000D5FE3"/>
    <w:rsid w:val="000D631C"/>
    <w:rsid w:val="000D6709"/>
    <w:rsid w:val="000D67B7"/>
    <w:rsid w:val="000D695F"/>
    <w:rsid w:val="000D6B7D"/>
    <w:rsid w:val="000D736A"/>
    <w:rsid w:val="000D74D3"/>
    <w:rsid w:val="000D763E"/>
    <w:rsid w:val="000D7654"/>
    <w:rsid w:val="000D76DF"/>
    <w:rsid w:val="000D779B"/>
    <w:rsid w:val="000D7878"/>
    <w:rsid w:val="000D7A9C"/>
    <w:rsid w:val="000D7CB0"/>
    <w:rsid w:val="000D7CC6"/>
    <w:rsid w:val="000D7EF2"/>
    <w:rsid w:val="000D7FA4"/>
    <w:rsid w:val="000E004F"/>
    <w:rsid w:val="000E0062"/>
    <w:rsid w:val="000E00B3"/>
    <w:rsid w:val="000E0135"/>
    <w:rsid w:val="000E06E5"/>
    <w:rsid w:val="000E06F7"/>
    <w:rsid w:val="000E075E"/>
    <w:rsid w:val="000E07CD"/>
    <w:rsid w:val="000E083A"/>
    <w:rsid w:val="000E0A3A"/>
    <w:rsid w:val="000E0A9B"/>
    <w:rsid w:val="000E0BDF"/>
    <w:rsid w:val="000E0CF4"/>
    <w:rsid w:val="000E0E6C"/>
    <w:rsid w:val="000E0E92"/>
    <w:rsid w:val="000E1263"/>
    <w:rsid w:val="000E12A0"/>
    <w:rsid w:val="000E1487"/>
    <w:rsid w:val="000E1565"/>
    <w:rsid w:val="000E17D0"/>
    <w:rsid w:val="000E18C4"/>
    <w:rsid w:val="000E1A53"/>
    <w:rsid w:val="000E1AC6"/>
    <w:rsid w:val="000E1DC1"/>
    <w:rsid w:val="000E1FB1"/>
    <w:rsid w:val="000E21CB"/>
    <w:rsid w:val="000E222A"/>
    <w:rsid w:val="000E26A2"/>
    <w:rsid w:val="000E26CB"/>
    <w:rsid w:val="000E271A"/>
    <w:rsid w:val="000E2904"/>
    <w:rsid w:val="000E2B03"/>
    <w:rsid w:val="000E3013"/>
    <w:rsid w:val="000E3025"/>
    <w:rsid w:val="000E308D"/>
    <w:rsid w:val="000E34AB"/>
    <w:rsid w:val="000E38BF"/>
    <w:rsid w:val="000E3A3D"/>
    <w:rsid w:val="000E3D73"/>
    <w:rsid w:val="000E3F9A"/>
    <w:rsid w:val="000E4565"/>
    <w:rsid w:val="000E45DB"/>
    <w:rsid w:val="000E46A3"/>
    <w:rsid w:val="000E47F0"/>
    <w:rsid w:val="000E4A7C"/>
    <w:rsid w:val="000E4B06"/>
    <w:rsid w:val="000E50B1"/>
    <w:rsid w:val="000E5447"/>
    <w:rsid w:val="000E5622"/>
    <w:rsid w:val="000E5693"/>
    <w:rsid w:val="000E5780"/>
    <w:rsid w:val="000E5898"/>
    <w:rsid w:val="000E58F2"/>
    <w:rsid w:val="000E62D5"/>
    <w:rsid w:val="000E6301"/>
    <w:rsid w:val="000E6387"/>
    <w:rsid w:val="000E642C"/>
    <w:rsid w:val="000E6757"/>
    <w:rsid w:val="000E68E0"/>
    <w:rsid w:val="000E6CB4"/>
    <w:rsid w:val="000E7019"/>
    <w:rsid w:val="000E75F7"/>
    <w:rsid w:val="000E76E4"/>
    <w:rsid w:val="000E77C1"/>
    <w:rsid w:val="000E7C2F"/>
    <w:rsid w:val="000E7CF6"/>
    <w:rsid w:val="000F04A3"/>
    <w:rsid w:val="000F0541"/>
    <w:rsid w:val="000F06F8"/>
    <w:rsid w:val="000F0740"/>
    <w:rsid w:val="000F08AD"/>
    <w:rsid w:val="000F097B"/>
    <w:rsid w:val="000F0A35"/>
    <w:rsid w:val="000F0E72"/>
    <w:rsid w:val="000F1052"/>
    <w:rsid w:val="000F109A"/>
    <w:rsid w:val="000F10DE"/>
    <w:rsid w:val="000F1213"/>
    <w:rsid w:val="000F1429"/>
    <w:rsid w:val="000F18B1"/>
    <w:rsid w:val="000F1EDA"/>
    <w:rsid w:val="000F2189"/>
    <w:rsid w:val="000F2291"/>
    <w:rsid w:val="000F235C"/>
    <w:rsid w:val="000F241A"/>
    <w:rsid w:val="000F243A"/>
    <w:rsid w:val="000F24C0"/>
    <w:rsid w:val="000F2534"/>
    <w:rsid w:val="000F279B"/>
    <w:rsid w:val="000F28DA"/>
    <w:rsid w:val="000F2927"/>
    <w:rsid w:val="000F2949"/>
    <w:rsid w:val="000F2B1B"/>
    <w:rsid w:val="000F2BA6"/>
    <w:rsid w:val="000F2D6A"/>
    <w:rsid w:val="000F2DC8"/>
    <w:rsid w:val="000F2E9C"/>
    <w:rsid w:val="000F2EF5"/>
    <w:rsid w:val="000F313A"/>
    <w:rsid w:val="000F313E"/>
    <w:rsid w:val="000F31EA"/>
    <w:rsid w:val="000F3272"/>
    <w:rsid w:val="000F361E"/>
    <w:rsid w:val="000F3652"/>
    <w:rsid w:val="000F36E1"/>
    <w:rsid w:val="000F37FF"/>
    <w:rsid w:val="000F3A01"/>
    <w:rsid w:val="000F3BE3"/>
    <w:rsid w:val="000F3C1E"/>
    <w:rsid w:val="000F3EB4"/>
    <w:rsid w:val="000F41C7"/>
    <w:rsid w:val="000F42F8"/>
    <w:rsid w:val="000F4471"/>
    <w:rsid w:val="000F448E"/>
    <w:rsid w:val="000F4524"/>
    <w:rsid w:val="000F4E81"/>
    <w:rsid w:val="000F5080"/>
    <w:rsid w:val="000F51BC"/>
    <w:rsid w:val="000F5241"/>
    <w:rsid w:val="000F5285"/>
    <w:rsid w:val="000F5392"/>
    <w:rsid w:val="000F59D8"/>
    <w:rsid w:val="000F5A43"/>
    <w:rsid w:val="000F5D57"/>
    <w:rsid w:val="000F5E49"/>
    <w:rsid w:val="000F609D"/>
    <w:rsid w:val="000F60F6"/>
    <w:rsid w:val="000F6382"/>
    <w:rsid w:val="000F63A9"/>
    <w:rsid w:val="000F6462"/>
    <w:rsid w:val="000F654A"/>
    <w:rsid w:val="000F6ACD"/>
    <w:rsid w:val="000F6B1D"/>
    <w:rsid w:val="000F6B9F"/>
    <w:rsid w:val="000F6C2D"/>
    <w:rsid w:val="000F6C62"/>
    <w:rsid w:val="000F6FB2"/>
    <w:rsid w:val="000F7007"/>
    <w:rsid w:val="000F70D1"/>
    <w:rsid w:val="000F713F"/>
    <w:rsid w:val="000F7207"/>
    <w:rsid w:val="000F7324"/>
    <w:rsid w:val="000F747C"/>
    <w:rsid w:val="000F74E0"/>
    <w:rsid w:val="000F7540"/>
    <w:rsid w:val="000F7686"/>
    <w:rsid w:val="000F7BA2"/>
    <w:rsid w:val="000F7DBC"/>
    <w:rsid w:val="000F7FBE"/>
    <w:rsid w:val="0010002A"/>
    <w:rsid w:val="001004A1"/>
    <w:rsid w:val="001006E2"/>
    <w:rsid w:val="0010086D"/>
    <w:rsid w:val="001008F4"/>
    <w:rsid w:val="0010091B"/>
    <w:rsid w:val="001009FB"/>
    <w:rsid w:val="00100C1D"/>
    <w:rsid w:val="0010114D"/>
    <w:rsid w:val="00101437"/>
    <w:rsid w:val="0010158A"/>
    <w:rsid w:val="001018A8"/>
    <w:rsid w:val="001018B5"/>
    <w:rsid w:val="00101A0F"/>
    <w:rsid w:val="00101AA6"/>
    <w:rsid w:val="00101D0E"/>
    <w:rsid w:val="00102091"/>
    <w:rsid w:val="00102241"/>
    <w:rsid w:val="001024E7"/>
    <w:rsid w:val="00102840"/>
    <w:rsid w:val="00102AF4"/>
    <w:rsid w:val="00102B03"/>
    <w:rsid w:val="00102BAE"/>
    <w:rsid w:val="00102BFC"/>
    <w:rsid w:val="00102C3C"/>
    <w:rsid w:val="00102FE8"/>
    <w:rsid w:val="00102FF2"/>
    <w:rsid w:val="00103074"/>
    <w:rsid w:val="001031EC"/>
    <w:rsid w:val="00103577"/>
    <w:rsid w:val="001035B2"/>
    <w:rsid w:val="00103617"/>
    <w:rsid w:val="0010370C"/>
    <w:rsid w:val="001037E5"/>
    <w:rsid w:val="0010399A"/>
    <w:rsid w:val="00103C33"/>
    <w:rsid w:val="00103F17"/>
    <w:rsid w:val="00103FCD"/>
    <w:rsid w:val="00104181"/>
    <w:rsid w:val="001041CF"/>
    <w:rsid w:val="001041F6"/>
    <w:rsid w:val="00104200"/>
    <w:rsid w:val="0010430C"/>
    <w:rsid w:val="00104577"/>
    <w:rsid w:val="00104619"/>
    <w:rsid w:val="0010462B"/>
    <w:rsid w:val="00104A1D"/>
    <w:rsid w:val="00104B64"/>
    <w:rsid w:val="00104FAB"/>
    <w:rsid w:val="001050AD"/>
    <w:rsid w:val="0010536B"/>
    <w:rsid w:val="0010545C"/>
    <w:rsid w:val="001054F7"/>
    <w:rsid w:val="0010567C"/>
    <w:rsid w:val="001056C5"/>
    <w:rsid w:val="001058FC"/>
    <w:rsid w:val="001059D6"/>
    <w:rsid w:val="00105A5D"/>
    <w:rsid w:val="00105AEC"/>
    <w:rsid w:val="00105B97"/>
    <w:rsid w:val="00105DD3"/>
    <w:rsid w:val="00105ED0"/>
    <w:rsid w:val="00105FB7"/>
    <w:rsid w:val="0010636B"/>
    <w:rsid w:val="00106428"/>
    <w:rsid w:val="0010642D"/>
    <w:rsid w:val="0010662A"/>
    <w:rsid w:val="001069A7"/>
    <w:rsid w:val="00106A12"/>
    <w:rsid w:val="00106C4E"/>
    <w:rsid w:val="00106CB9"/>
    <w:rsid w:val="001070BC"/>
    <w:rsid w:val="0010724C"/>
    <w:rsid w:val="001073E3"/>
    <w:rsid w:val="00107408"/>
    <w:rsid w:val="00107765"/>
    <w:rsid w:val="001077C8"/>
    <w:rsid w:val="001102D6"/>
    <w:rsid w:val="001103C6"/>
    <w:rsid w:val="001104B0"/>
    <w:rsid w:val="001104CE"/>
    <w:rsid w:val="001105A8"/>
    <w:rsid w:val="00110695"/>
    <w:rsid w:val="00110715"/>
    <w:rsid w:val="001108A5"/>
    <w:rsid w:val="00110B7E"/>
    <w:rsid w:val="00110FD6"/>
    <w:rsid w:val="001110A7"/>
    <w:rsid w:val="00111169"/>
    <w:rsid w:val="00111259"/>
    <w:rsid w:val="0011125C"/>
    <w:rsid w:val="001113AE"/>
    <w:rsid w:val="00111431"/>
    <w:rsid w:val="00111667"/>
    <w:rsid w:val="00111710"/>
    <w:rsid w:val="001118AB"/>
    <w:rsid w:val="00111951"/>
    <w:rsid w:val="00111B8B"/>
    <w:rsid w:val="00111FC2"/>
    <w:rsid w:val="0011216C"/>
    <w:rsid w:val="00112AA8"/>
    <w:rsid w:val="00112D7F"/>
    <w:rsid w:val="00112E8D"/>
    <w:rsid w:val="00112F1A"/>
    <w:rsid w:val="00113067"/>
    <w:rsid w:val="00113163"/>
    <w:rsid w:val="001136A7"/>
    <w:rsid w:val="00113738"/>
    <w:rsid w:val="00113D47"/>
    <w:rsid w:val="00113E52"/>
    <w:rsid w:val="00113F5A"/>
    <w:rsid w:val="001141A2"/>
    <w:rsid w:val="001142FB"/>
    <w:rsid w:val="00114311"/>
    <w:rsid w:val="0011438E"/>
    <w:rsid w:val="0011458F"/>
    <w:rsid w:val="00114E5E"/>
    <w:rsid w:val="00115040"/>
    <w:rsid w:val="0011504E"/>
    <w:rsid w:val="00115267"/>
    <w:rsid w:val="00115A76"/>
    <w:rsid w:val="00115D20"/>
    <w:rsid w:val="00115E46"/>
    <w:rsid w:val="00115F1F"/>
    <w:rsid w:val="00116803"/>
    <w:rsid w:val="001168DC"/>
    <w:rsid w:val="00116BA8"/>
    <w:rsid w:val="00116BE0"/>
    <w:rsid w:val="00116D2A"/>
    <w:rsid w:val="00116FEE"/>
    <w:rsid w:val="001172AF"/>
    <w:rsid w:val="00117349"/>
    <w:rsid w:val="0011781C"/>
    <w:rsid w:val="00117963"/>
    <w:rsid w:val="00117C3B"/>
    <w:rsid w:val="00117CDA"/>
    <w:rsid w:val="00117D02"/>
    <w:rsid w:val="00117DAA"/>
    <w:rsid w:val="00117E03"/>
    <w:rsid w:val="001200BD"/>
    <w:rsid w:val="0012018F"/>
    <w:rsid w:val="00120529"/>
    <w:rsid w:val="00120582"/>
    <w:rsid w:val="00120713"/>
    <w:rsid w:val="00120725"/>
    <w:rsid w:val="00120A75"/>
    <w:rsid w:val="00120EB7"/>
    <w:rsid w:val="00121015"/>
    <w:rsid w:val="0012122E"/>
    <w:rsid w:val="00121419"/>
    <w:rsid w:val="00121447"/>
    <w:rsid w:val="00121593"/>
    <w:rsid w:val="001217E8"/>
    <w:rsid w:val="00121B1D"/>
    <w:rsid w:val="001221C9"/>
    <w:rsid w:val="0012248C"/>
    <w:rsid w:val="00122ABE"/>
    <w:rsid w:val="00122C04"/>
    <w:rsid w:val="00122C93"/>
    <w:rsid w:val="00122E2F"/>
    <w:rsid w:val="00122F19"/>
    <w:rsid w:val="00122FCE"/>
    <w:rsid w:val="001230DB"/>
    <w:rsid w:val="00123110"/>
    <w:rsid w:val="0012318E"/>
    <w:rsid w:val="00123650"/>
    <w:rsid w:val="00123854"/>
    <w:rsid w:val="00123865"/>
    <w:rsid w:val="001239B3"/>
    <w:rsid w:val="00123D1D"/>
    <w:rsid w:val="00123E81"/>
    <w:rsid w:val="00123E86"/>
    <w:rsid w:val="00123EC4"/>
    <w:rsid w:val="00123FE0"/>
    <w:rsid w:val="00124193"/>
    <w:rsid w:val="001242C0"/>
    <w:rsid w:val="001244C9"/>
    <w:rsid w:val="00124748"/>
    <w:rsid w:val="00124996"/>
    <w:rsid w:val="00124A85"/>
    <w:rsid w:val="00124A89"/>
    <w:rsid w:val="00124EB4"/>
    <w:rsid w:val="00124FCB"/>
    <w:rsid w:val="0012508B"/>
    <w:rsid w:val="0012523C"/>
    <w:rsid w:val="001253B6"/>
    <w:rsid w:val="0012551F"/>
    <w:rsid w:val="00125673"/>
    <w:rsid w:val="00125889"/>
    <w:rsid w:val="00125984"/>
    <w:rsid w:val="00125AAC"/>
    <w:rsid w:val="00125DCE"/>
    <w:rsid w:val="00126183"/>
    <w:rsid w:val="001266F0"/>
    <w:rsid w:val="00126884"/>
    <w:rsid w:val="00126C06"/>
    <w:rsid w:val="00126CAB"/>
    <w:rsid w:val="00126DC3"/>
    <w:rsid w:val="0012701F"/>
    <w:rsid w:val="00127355"/>
    <w:rsid w:val="00127632"/>
    <w:rsid w:val="001279AE"/>
    <w:rsid w:val="00130237"/>
    <w:rsid w:val="001302FA"/>
    <w:rsid w:val="00130573"/>
    <w:rsid w:val="00130885"/>
    <w:rsid w:val="00130E54"/>
    <w:rsid w:val="00130FE0"/>
    <w:rsid w:val="00131089"/>
    <w:rsid w:val="001311DE"/>
    <w:rsid w:val="001312C2"/>
    <w:rsid w:val="00131791"/>
    <w:rsid w:val="00131ACB"/>
    <w:rsid w:val="00131BF9"/>
    <w:rsid w:val="00131E0D"/>
    <w:rsid w:val="00131E9E"/>
    <w:rsid w:val="00131F3E"/>
    <w:rsid w:val="0013223E"/>
    <w:rsid w:val="0013234F"/>
    <w:rsid w:val="001323D6"/>
    <w:rsid w:val="00132402"/>
    <w:rsid w:val="00132560"/>
    <w:rsid w:val="00132569"/>
    <w:rsid w:val="0013258D"/>
    <w:rsid w:val="00132685"/>
    <w:rsid w:val="00132719"/>
    <w:rsid w:val="00132775"/>
    <w:rsid w:val="00132A18"/>
    <w:rsid w:val="00132CB0"/>
    <w:rsid w:val="00132CCF"/>
    <w:rsid w:val="00133075"/>
    <w:rsid w:val="00133194"/>
    <w:rsid w:val="0013340E"/>
    <w:rsid w:val="001334FD"/>
    <w:rsid w:val="00133834"/>
    <w:rsid w:val="00133B1C"/>
    <w:rsid w:val="00133CA7"/>
    <w:rsid w:val="00133CE7"/>
    <w:rsid w:val="00133D15"/>
    <w:rsid w:val="00133D63"/>
    <w:rsid w:val="00133F3B"/>
    <w:rsid w:val="001340EA"/>
    <w:rsid w:val="001341A2"/>
    <w:rsid w:val="00134493"/>
    <w:rsid w:val="001345D0"/>
    <w:rsid w:val="001346BC"/>
    <w:rsid w:val="00134A72"/>
    <w:rsid w:val="00134AF1"/>
    <w:rsid w:val="00134B87"/>
    <w:rsid w:val="00134BE3"/>
    <w:rsid w:val="00134C76"/>
    <w:rsid w:val="00134D36"/>
    <w:rsid w:val="00134DEF"/>
    <w:rsid w:val="00134E1C"/>
    <w:rsid w:val="00134ED1"/>
    <w:rsid w:val="00135010"/>
    <w:rsid w:val="00135050"/>
    <w:rsid w:val="0013509A"/>
    <w:rsid w:val="001351E3"/>
    <w:rsid w:val="001352BB"/>
    <w:rsid w:val="001354C4"/>
    <w:rsid w:val="001356A6"/>
    <w:rsid w:val="00135769"/>
    <w:rsid w:val="0013580D"/>
    <w:rsid w:val="0013592C"/>
    <w:rsid w:val="00135D83"/>
    <w:rsid w:val="00135EDE"/>
    <w:rsid w:val="00135F7A"/>
    <w:rsid w:val="0013608A"/>
    <w:rsid w:val="0013614B"/>
    <w:rsid w:val="00136399"/>
    <w:rsid w:val="00136A42"/>
    <w:rsid w:val="00136A9E"/>
    <w:rsid w:val="00136AAB"/>
    <w:rsid w:val="00136BC4"/>
    <w:rsid w:val="00136C60"/>
    <w:rsid w:val="00136CB6"/>
    <w:rsid w:val="00136DD1"/>
    <w:rsid w:val="00136E76"/>
    <w:rsid w:val="00136F0F"/>
    <w:rsid w:val="00136F21"/>
    <w:rsid w:val="001377E1"/>
    <w:rsid w:val="00137952"/>
    <w:rsid w:val="00137CD1"/>
    <w:rsid w:val="00137E44"/>
    <w:rsid w:val="0013A65C"/>
    <w:rsid w:val="001400E8"/>
    <w:rsid w:val="001404F6"/>
    <w:rsid w:val="0014052C"/>
    <w:rsid w:val="001407F1"/>
    <w:rsid w:val="001409C2"/>
    <w:rsid w:val="00140A19"/>
    <w:rsid w:val="00140A20"/>
    <w:rsid w:val="00140DAA"/>
    <w:rsid w:val="00141050"/>
    <w:rsid w:val="001410A7"/>
    <w:rsid w:val="00141102"/>
    <w:rsid w:val="0014115A"/>
    <w:rsid w:val="001412E0"/>
    <w:rsid w:val="0014136D"/>
    <w:rsid w:val="00141480"/>
    <w:rsid w:val="00141692"/>
    <w:rsid w:val="00141959"/>
    <w:rsid w:val="00141B8C"/>
    <w:rsid w:val="00141D18"/>
    <w:rsid w:val="00141DE7"/>
    <w:rsid w:val="00141EBF"/>
    <w:rsid w:val="00141EFB"/>
    <w:rsid w:val="001423BF"/>
    <w:rsid w:val="00142712"/>
    <w:rsid w:val="00142810"/>
    <w:rsid w:val="00142984"/>
    <w:rsid w:val="00142B06"/>
    <w:rsid w:val="00142CD7"/>
    <w:rsid w:val="00142F53"/>
    <w:rsid w:val="0014315A"/>
    <w:rsid w:val="00143237"/>
    <w:rsid w:val="001435BE"/>
    <w:rsid w:val="00143686"/>
    <w:rsid w:val="0014368A"/>
    <w:rsid w:val="001436AC"/>
    <w:rsid w:val="0014389F"/>
    <w:rsid w:val="00143A95"/>
    <w:rsid w:val="00143AA6"/>
    <w:rsid w:val="00143B7D"/>
    <w:rsid w:val="00143BAD"/>
    <w:rsid w:val="00143D85"/>
    <w:rsid w:val="00143D88"/>
    <w:rsid w:val="00143EEC"/>
    <w:rsid w:val="00143F4F"/>
    <w:rsid w:val="0014423E"/>
    <w:rsid w:val="0014425E"/>
    <w:rsid w:val="001442E7"/>
    <w:rsid w:val="00144311"/>
    <w:rsid w:val="0014448C"/>
    <w:rsid w:val="00144580"/>
    <w:rsid w:val="001448D9"/>
    <w:rsid w:val="001449AC"/>
    <w:rsid w:val="00144ABE"/>
    <w:rsid w:val="00144E60"/>
    <w:rsid w:val="0014504B"/>
    <w:rsid w:val="0014510B"/>
    <w:rsid w:val="00145163"/>
    <w:rsid w:val="00145243"/>
    <w:rsid w:val="0014528F"/>
    <w:rsid w:val="0014538C"/>
    <w:rsid w:val="001453F0"/>
    <w:rsid w:val="0014565B"/>
    <w:rsid w:val="00145866"/>
    <w:rsid w:val="00145A8F"/>
    <w:rsid w:val="00145E5D"/>
    <w:rsid w:val="00146299"/>
    <w:rsid w:val="00146535"/>
    <w:rsid w:val="001468C6"/>
    <w:rsid w:val="0014695C"/>
    <w:rsid w:val="00146C3A"/>
    <w:rsid w:val="00146C47"/>
    <w:rsid w:val="00146F4E"/>
    <w:rsid w:val="00147514"/>
    <w:rsid w:val="00147547"/>
    <w:rsid w:val="0014762E"/>
    <w:rsid w:val="0014764A"/>
    <w:rsid w:val="001476C6"/>
    <w:rsid w:val="001477B1"/>
    <w:rsid w:val="001477B6"/>
    <w:rsid w:val="00147A66"/>
    <w:rsid w:val="00147C11"/>
    <w:rsid w:val="00147DC2"/>
    <w:rsid w:val="00147DE4"/>
    <w:rsid w:val="00147EB8"/>
    <w:rsid w:val="00150006"/>
    <w:rsid w:val="00150077"/>
    <w:rsid w:val="00150265"/>
    <w:rsid w:val="0015095E"/>
    <w:rsid w:val="00150D3D"/>
    <w:rsid w:val="00150F24"/>
    <w:rsid w:val="00151178"/>
    <w:rsid w:val="001511D2"/>
    <w:rsid w:val="001513EF"/>
    <w:rsid w:val="0015150F"/>
    <w:rsid w:val="00151519"/>
    <w:rsid w:val="00151575"/>
    <w:rsid w:val="001516E9"/>
    <w:rsid w:val="00151B27"/>
    <w:rsid w:val="00151D79"/>
    <w:rsid w:val="00152160"/>
    <w:rsid w:val="0015221B"/>
    <w:rsid w:val="00152231"/>
    <w:rsid w:val="0015244D"/>
    <w:rsid w:val="0015247C"/>
    <w:rsid w:val="00152635"/>
    <w:rsid w:val="0015283D"/>
    <w:rsid w:val="00152B77"/>
    <w:rsid w:val="00152E69"/>
    <w:rsid w:val="00152E9D"/>
    <w:rsid w:val="00153480"/>
    <w:rsid w:val="00153541"/>
    <w:rsid w:val="0015366A"/>
    <w:rsid w:val="00153A1B"/>
    <w:rsid w:val="00153A3C"/>
    <w:rsid w:val="00153B97"/>
    <w:rsid w:val="00153E0D"/>
    <w:rsid w:val="00153E0E"/>
    <w:rsid w:val="00154039"/>
    <w:rsid w:val="00154534"/>
    <w:rsid w:val="00154735"/>
    <w:rsid w:val="00154946"/>
    <w:rsid w:val="00154EFD"/>
    <w:rsid w:val="00155295"/>
    <w:rsid w:val="001552BF"/>
    <w:rsid w:val="001552DD"/>
    <w:rsid w:val="00155851"/>
    <w:rsid w:val="00155877"/>
    <w:rsid w:val="0015592E"/>
    <w:rsid w:val="0015599A"/>
    <w:rsid w:val="00155A02"/>
    <w:rsid w:val="00155ADD"/>
    <w:rsid w:val="00155D94"/>
    <w:rsid w:val="00155FB0"/>
    <w:rsid w:val="001563C1"/>
    <w:rsid w:val="001566AC"/>
    <w:rsid w:val="0015687F"/>
    <w:rsid w:val="00156975"/>
    <w:rsid w:val="00156D77"/>
    <w:rsid w:val="001571B2"/>
    <w:rsid w:val="001572C9"/>
    <w:rsid w:val="00157598"/>
    <w:rsid w:val="001575EB"/>
    <w:rsid w:val="00157931"/>
    <w:rsid w:val="00157AA8"/>
    <w:rsid w:val="0016019E"/>
    <w:rsid w:val="00160457"/>
    <w:rsid w:val="001604D8"/>
    <w:rsid w:val="0016063D"/>
    <w:rsid w:val="00160842"/>
    <w:rsid w:val="001609A4"/>
    <w:rsid w:val="00160A56"/>
    <w:rsid w:val="001610FF"/>
    <w:rsid w:val="00161323"/>
    <w:rsid w:val="0016139A"/>
    <w:rsid w:val="001613B1"/>
    <w:rsid w:val="001613EF"/>
    <w:rsid w:val="00161413"/>
    <w:rsid w:val="001617DA"/>
    <w:rsid w:val="00161895"/>
    <w:rsid w:val="00161B2F"/>
    <w:rsid w:val="00161B37"/>
    <w:rsid w:val="00161C54"/>
    <w:rsid w:val="00161FF2"/>
    <w:rsid w:val="001620CB"/>
    <w:rsid w:val="00162106"/>
    <w:rsid w:val="0016218F"/>
    <w:rsid w:val="00162274"/>
    <w:rsid w:val="0016252C"/>
    <w:rsid w:val="001626A9"/>
    <w:rsid w:val="00162927"/>
    <w:rsid w:val="00162B35"/>
    <w:rsid w:val="00162B7D"/>
    <w:rsid w:val="00162BC1"/>
    <w:rsid w:val="00162E87"/>
    <w:rsid w:val="0016316C"/>
    <w:rsid w:val="0016334C"/>
    <w:rsid w:val="00163549"/>
    <w:rsid w:val="00163598"/>
    <w:rsid w:val="00164014"/>
    <w:rsid w:val="001640C6"/>
    <w:rsid w:val="001640EA"/>
    <w:rsid w:val="0016434F"/>
    <w:rsid w:val="00164B58"/>
    <w:rsid w:val="00164C63"/>
    <w:rsid w:val="00164DB0"/>
    <w:rsid w:val="00164FF0"/>
    <w:rsid w:val="00165350"/>
    <w:rsid w:val="0016554C"/>
    <w:rsid w:val="00165628"/>
    <w:rsid w:val="001656A2"/>
    <w:rsid w:val="0016579F"/>
    <w:rsid w:val="00165865"/>
    <w:rsid w:val="001659E9"/>
    <w:rsid w:val="00165A49"/>
    <w:rsid w:val="00165AA7"/>
    <w:rsid w:val="00165AE5"/>
    <w:rsid w:val="00165BEC"/>
    <w:rsid w:val="00165C37"/>
    <w:rsid w:val="00166117"/>
    <w:rsid w:val="001663A4"/>
    <w:rsid w:val="001663A8"/>
    <w:rsid w:val="0016670F"/>
    <w:rsid w:val="001667A9"/>
    <w:rsid w:val="00166865"/>
    <w:rsid w:val="00166C12"/>
    <w:rsid w:val="00166C36"/>
    <w:rsid w:val="00166E22"/>
    <w:rsid w:val="00167123"/>
    <w:rsid w:val="00167126"/>
    <w:rsid w:val="0016723F"/>
    <w:rsid w:val="0016730B"/>
    <w:rsid w:val="00167601"/>
    <w:rsid w:val="0016761B"/>
    <w:rsid w:val="00167630"/>
    <w:rsid w:val="0016766B"/>
    <w:rsid w:val="00167A24"/>
    <w:rsid w:val="00167AC7"/>
    <w:rsid w:val="00167AD0"/>
    <w:rsid w:val="00167AE0"/>
    <w:rsid w:val="00167E2F"/>
    <w:rsid w:val="00167F76"/>
    <w:rsid w:val="0017023A"/>
    <w:rsid w:val="0017025C"/>
    <w:rsid w:val="0017038F"/>
    <w:rsid w:val="001705C3"/>
    <w:rsid w:val="001709D4"/>
    <w:rsid w:val="00170F17"/>
    <w:rsid w:val="00170F5D"/>
    <w:rsid w:val="001710FE"/>
    <w:rsid w:val="00171261"/>
    <w:rsid w:val="0017137C"/>
    <w:rsid w:val="0017138F"/>
    <w:rsid w:val="00171424"/>
    <w:rsid w:val="00171673"/>
    <w:rsid w:val="00171876"/>
    <w:rsid w:val="00171A7A"/>
    <w:rsid w:val="001723AC"/>
    <w:rsid w:val="001729E1"/>
    <w:rsid w:val="00172C1F"/>
    <w:rsid w:val="00172E9E"/>
    <w:rsid w:val="00173134"/>
    <w:rsid w:val="001731DA"/>
    <w:rsid w:val="0017329C"/>
    <w:rsid w:val="001733B6"/>
    <w:rsid w:val="00173577"/>
    <w:rsid w:val="001736A2"/>
    <w:rsid w:val="00173842"/>
    <w:rsid w:val="001738A1"/>
    <w:rsid w:val="00173A55"/>
    <w:rsid w:val="00173BEA"/>
    <w:rsid w:val="00173C97"/>
    <w:rsid w:val="00173DE0"/>
    <w:rsid w:val="00173E55"/>
    <w:rsid w:val="00174058"/>
    <w:rsid w:val="00174100"/>
    <w:rsid w:val="001742AE"/>
    <w:rsid w:val="00174462"/>
    <w:rsid w:val="00174956"/>
    <w:rsid w:val="00174AD9"/>
    <w:rsid w:val="001750DB"/>
    <w:rsid w:val="0017538B"/>
    <w:rsid w:val="001753A3"/>
    <w:rsid w:val="001753CF"/>
    <w:rsid w:val="0017564E"/>
    <w:rsid w:val="00175ABA"/>
    <w:rsid w:val="00175EC7"/>
    <w:rsid w:val="0017631B"/>
    <w:rsid w:val="00176597"/>
    <w:rsid w:val="00176627"/>
    <w:rsid w:val="00176658"/>
    <w:rsid w:val="00176744"/>
    <w:rsid w:val="00176834"/>
    <w:rsid w:val="00176890"/>
    <w:rsid w:val="001769E7"/>
    <w:rsid w:val="00176AA5"/>
    <w:rsid w:val="00176ABE"/>
    <w:rsid w:val="00176BB1"/>
    <w:rsid w:val="00176C46"/>
    <w:rsid w:val="00176F7E"/>
    <w:rsid w:val="001770A7"/>
    <w:rsid w:val="001770E4"/>
    <w:rsid w:val="001771A2"/>
    <w:rsid w:val="0017720E"/>
    <w:rsid w:val="0017726B"/>
    <w:rsid w:val="001772AA"/>
    <w:rsid w:val="001772CC"/>
    <w:rsid w:val="0017775C"/>
    <w:rsid w:val="00177893"/>
    <w:rsid w:val="00177AFB"/>
    <w:rsid w:val="00177BE8"/>
    <w:rsid w:val="00177F0D"/>
    <w:rsid w:val="00177F0F"/>
    <w:rsid w:val="00180217"/>
    <w:rsid w:val="00180515"/>
    <w:rsid w:val="001806B7"/>
    <w:rsid w:val="001807D6"/>
    <w:rsid w:val="00180B77"/>
    <w:rsid w:val="00180B79"/>
    <w:rsid w:val="00180CF1"/>
    <w:rsid w:val="00180EB3"/>
    <w:rsid w:val="00180EEA"/>
    <w:rsid w:val="00180F4B"/>
    <w:rsid w:val="00180FB9"/>
    <w:rsid w:val="00181059"/>
    <w:rsid w:val="001810C7"/>
    <w:rsid w:val="001812EB"/>
    <w:rsid w:val="001813FF"/>
    <w:rsid w:val="0018141A"/>
    <w:rsid w:val="00181503"/>
    <w:rsid w:val="00181729"/>
    <w:rsid w:val="001817E7"/>
    <w:rsid w:val="00181853"/>
    <w:rsid w:val="00181912"/>
    <w:rsid w:val="00181A24"/>
    <w:rsid w:val="00181B39"/>
    <w:rsid w:val="00181DEB"/>
    <w:rsid w:val="001820FC"/>
    <w:rsid w:val="00182260"/>
    <w:rsid w:val="001825DB"/>
    <w:rsid w:val="00182630"/>
    <w:rsid w:val="00182683"/>
    <w:rsid w:val="0018279E"/>
    <w:rsid w:val="0018290B"/>
    <w:rsid w:val="00182D63"/>
    <w:rsid w:val="00182ED1"/>
    <w:rsid w:val="0018306D"/>
    <w:rsid w:val="001830D9"/>
    <w:rsid w:val="0018330F"/>
    <w:rsid w:val="0018352E"/>
    <w:rsid w:val="00183568"/>
    <w:rsid w:val="0018373E"/>
    <w:rsid w:val="001837D0"/>
    <w:rsid w:val="00183915"/>
    <w:rsid w:val="00183974"/>
    <w:rsid w:val="001839C0"/>
    <w:rsid w:val="00183A87"/>
    <w:rsid w:val="00183B09"/>
    <w:rsid w:val="00183D13"/>
    <w:rsid w:val="0018421F"/>
    <w:rsid w:val="00184221"/>
    <w:rsid w:val="0018443E"/>
    <w:rsid w:val="00184598"/>
    <w:rsid w:val="00184885"/>
    <w:rsid w:val="00184C0A"/>
    <w:rsid w:val="00184C58"/>
    <w:rsid w:val="00184CA3"/>
    <w:rsid w:val="00185199"/>
    <w:rsid w:val="001852BC"/>
    <w:rsid w:val="001854B1"/>
    <w:rsid w:val="00185846"/>
    <w:rsid w:val="00185BC2"/>
    <w:rsid w:val="00185C35"/>
    <w:rsid w:val="0018616B"/>
    <w:rsid w:val="00186307"/>
    <w:rsid w:val="001863F7"/>
    <w:rsid w:val="0018647D"/>
    <w:rsid w:val="0018653C"/>
    <w:rsid w:val="001865FE"/>
    <w:rsid w:val="00186745"/>
    <w:rsid w:val="001868CD"/>
    <w:rsid w:val="00186A78"/>
    <w:rsid w:val="00186B56"/>
    <w:rsid w:val="00186EBC"/>
    <w:rsid w:val="001870EB"/>
    <w:rsid w:val="001871EA"/>
    <w:rsid w:val="001875CA"/>
    <w:rsid w:val="00187673"/>
    <w:rsid w:val="00187A24"/>
    <w:rsid w:val="00187ECA"/>
    <w:rsid w:val="0019008D"/>
    <w:rsid w:val="001900A8"/>
    <w:rsid w:val="001900C4"/>
    <w:rsid w:val="0019031D"/>
    <w:rsid w:val="001904BD"/>
    <w:rsid w:val="001908C2"/>
    <w:rsid w:val="00190947"/>
    <w:rsid w:val="001909C2"/>
    <w:rsid w:val="00190A79"/>
    <w:rsid w:val="00190CBB"/>
    <w:rsid w:val="00190D84"/>
    <w:rsid w:val="001912EF"/>
    <w:rsid w:val="00191362"/>
    <w:rsid w:val="00191381"/>
    <w:rsid w:val="00191482"/>
    <w:rsid w:val="0019151C"/>
    <w:rsid w:val="001915CE"/>
    <w:rsid w:val="001916C0"/>
    <w:rsid w:val="00191978"/>
    <w:rsid w:val="001919C2"/>
    <w:rsid w:val="001919C7"/>
    <w:rsid w:val="00191AA2"/>
    <w:rsid w:val="00191AC5"/>
    <w:rsid w:val="00191B1A"/>
    <w:rsid w:val="00191B60"/>
    <w:rsid w:val="001921AE"/>
    <w:rsid w:val="00192300"/>
    <w:rsid w:val="00192458"/>
    <w:rsid w:val="00192560"/>
    <w:rsid w:val="001925F9"/>
    <w:rsid w:val="001926C2"/>
    <w:rsid w:val="00192723"/>
    <w:rsid w:val="001929D0"/>
    <w:rsid w:val="00192B57"/>
    <w:rsid w:val="00192C00"/>
    <w:rsid w:val="00192E07"/>
    <w:rsid w:val="00192EBE"/>
    <w:rsid w:val="00193155"/>
    <w:rsid w:val="00193433"/>
    <w:rsid w:val="001935E7"/>
    <w:rsid w:val="0019383D"/>
    <w:rsid w:val="00193ACC"/>
    <w:rsid w:val="00193F02"/>
    <w:rsid w:val="001940F8"/>
    <w:rsid w:val="001941D5"/>
    <w:rsid w:val="00194412"/>
    <w:rsid w:val="00194614"/>
    <w:rsid w:val="001948B5"/>
    <w:rsid w:val="0019499E"/>
    <w:rsid w:val="00194E09"/>
    <w:rsid w:val="001950D2"/>
    <w:rsid w:val="001952BB"/>
    <w:rsid w:val="001958D2"/>
    <w:rsid w:val="00195B3C"/>
    <w:rsid w:val="00195BF1"/>
    <w:rsid w:val="00195DA4"/>
    <w:rsid w:val="00195E18"/>
    <w:rsid w:val="00195EE1"/>
    <w:rsid w:val="00196089"/>
    <w:rsid w:val="001961E7"/>
    <w:rsid w:val="001968B0"/>
    <w:rsid w:val="00196980"/>
    <w:rsid w:val="00196A30"/>
    <w:rsid w:val="00196FDE"/>
    <w:rsid w:val="00197476"/>
    <w:rsid w:val="001976BB"/>
    <w:rsid w:val="001978BA"/>
    <w:rsid w:val="00197D31"/>
    <w:rsid w:val="00197EF1"/>
    <w:rsid w:val="00197F30"/>
    <w:rsid w:val="001A0142"/>
    <w:rsid w:val="001A0703"/>
    <w:rsid w:val="001A0735"/>
    <w:rsid w:val="001A094B"/>
    <w:rsid w:val="001A0CA6"/>
    <w:rsid w:val="001A0D6E"/>
    <w:rsid w:val="001A0FD3"/>
    <w:rsid w:val="001A1251"/>
    <w:rsid w:val="001A15DF"/>
    <w:rsid w:val="001A18FB"/>
    <w:rsid w:val="001A1C8A"/>
    <w:rsid w:val="001A1D79"/>
    <w:rsid w:val="001A20DC"/>
    <w:rsid w:val="001A20E6"/>
    <w:rsid w:val="001A2668"/>
    <w:rsid w:val="001A2704"/>
    <w:rsid w:val="001A2941"/>
    <w:rsid w:val="001A2A07"/>
    <w:rsid w:val="001A31E8"/>
    <w:rsid w:val="001A3540"/>
    <w:rsid w:val="001A354A"/>
    <w:rsid w:val="001A38F9"/>
    <w:rsid w:val="001A3CA4"/>
    <w:rsid w:val="001A3DC9"/>
    <w:rsid w:val="001A3F1A"/>
    <w:rsid w:val="001A46EA"/>
    <w:rsid w:val="001A477D"/>
    <w:rsid w:val="001A49B0"/>
    <w:rsid w:val="001A4BA0"/>
    <w:rsid w:val="001A4E04"/>
    <w:rsid w:val="001A4F45"/>
    <w:rsid w:val="001A4FF9"/>
    <w:rsid w:val="001A52B2"/>
    <w:rsid w:val="001A52BC"/>
    <w:rsid w:val="001A5784"/>
    <w:rsid w:val="001A5789"/>
    <w:rsid w:val="001A5A6D"/>
    <w:rsid w:val="001A5A8D"/>
    <w:rsid w:val="001A5B55"/>
    <w:rsid w:val="001A5CBE"/>
    <w:rsid w:val="001A5E7D"/>
    <w:rsid w:val="001A5E9F"/>
    <w:rsid w:val="001A5EA8"/>
    <w:rsid w:val="001A6412"/>
    <w:rsid w:val="001A66CA"/>
    <w:rsid w:val="001A6810"/>
    <w:rsid w:val="001A6FE2"/>
    <w:rsid w:val="001A751A"/>
    <w:rsid w:val="001A75E4"/>
    <w:rsid w:val="001A7645"/>
    <w:rsid w:val="001A779D"/>
    <w:rsid w:val="001A79F5"/>
    <w:rsid w:val="001A7A57"/>
    <w:rsid w:val="001A7AB8"/>
    <w:rsid w:val="001A7CB4"/>
    <w:rsid w:val="001A7E64"/>
    <w:rsid w:val="001A7E84"/>
    <w:rsid w:val="001A7EA3"/>
    <w:rsid w:val="001A7EA4"/>
    <w:rsid w:val="001B0061"/>
    <w:rsid w:val="001B00CE"/>
    <w:rsid w:val="001B02AF"/>
    <w:rsid w:val="001B0464"/>
    <w:rsid w:val="001B051B"/>
    <w:rsid w:val="001B053B"/>
    <w:rsid w:val="001B073F"/>
    <w:rsid w:val="001B07ED"/>
    <w:rsid w:val="001B08DB"/>
    <w:rsid w:val="001B09A9"/>
    <w:rsid w:val="001B0A29"/>
    <w:rsid w:val="001B0D14"/>
    <w:rsid w:val="001B0E33"/>
    <w:rsid w:val="001B0EA3"/>
    <w:rsid w:val="001B0ED3"/>
    <w:rsid w:val="001B118D"/>
    <w:rsid w:val="001B12A9"/>
    <w:rsid w:val="001B13BC"/>
    <w:rsid w:val="001B1493"/>
    <w:rsid w:val="001B157E"/>
    <w:rsid w:val="001B15A8"/>
    <w:rsid w:val="001B166B"/>
    <w:rsid w:val="001B1ADF"/>
    <w:rsid w:val="001B1AE1"/>
    <w:rsid w:val="001B1DF3"/>
    <w:rsid w:val="001B1E93"/>
    <w:rsid w:val="001B2117"/>
    <w:rsid w:val="001B21B6"/>
    <w:rsid w:val="001B220A"/>
    <w:rsid w:val="001B2429"/>
    <w:rsid w:val="001B262E"/>
    <w:rsid w:val="001B2B30"/>
    <w:rsid w:val="001B2F3B"/>
    <w:rsid w:val="001B2F97"/>
    <w:rsid w:val="001B3006"/>
    <w:rsid w:val="001B306D"/>
    <w:rsid w:val="001B31B9"/>
    <w:rsid w:val="001B3452"/>
    <w:rsid w:val="001B34DA"/>
    <w:rsid w:val="001B36BF"/>
    <w:rsid w:val="001B36D9"/>
    <w:rsid w:val="001B3727"/>
    <w:rsid w:val="001B38D1"/>
    <w:rsid w:val="001B3CC9"/>
    <w:rsid w:val="001B3D56"/>
    <w:rsid w:val="001B423F"/>
    <w:rsid w:val="001B433C"/>
    <w:rsid w:val="001B461C"/>
    <w:rsid w:val="001B463A"/>
    <w:rsid w:val="001B4751"/>
    <w:rsid w:val="001B4A3B"/>
    <w:rsid w:val="001B4B3F"/>
    <w:rsid w:val="001B4C35"/>
    <w:rsid w:val="001B4C44"/>
    <w:rsid w:val="001B4CAA"/>
    <w:rsid w:val="001B4EB0"/>
    <w:rsid w:val="001B4EE6"/>
    <w:rsid w:val="001B502C"/>
    <w:rsid w:val="001B50CF"/>
    <w:rsid w:val="001B520B"/>
    <w:rsid w:val="001B548C"/>
    <w:rsid w:val="001B552C"/>
    <w:rsid w:val="001B55D6"/>
    <w:rsid w:val="001B5962"/>
    <w:rsid w:val="001B5A3A"/>
    <w:rsid w:val="001B5B18"/>
    <w:rsid w:val="001B5B6B"/>
    <w:rsid w:val="001B5C92"/>
    <w:rsid w:val="001B5D05"/>
    <w:rsid w:val="001B5D20"/>
    <w:rsid w:val="001B5E74"/>
    <w:rsid w:val="001B5EA6"/>
    <w:rsid w:val="001B5FC4"/>
    <w:rsid w:val="001B6303"/>
    <w:rsid w:val="001B6378"/>
    <w:rsid w:val="001B6389"/>
    <w:rsid w:val="001B678B"/>
    <w:rsid w:val="001B6911"/>
    <w:rsid w:val="001B6996"/>
    <w:rsid w:val="001B6A24"/>
    <w:rsid w:val="001B6AC5"/>
    <w:rsid w:val="001B6C15"/>
    <w:rsid w:val="001B6FA0"/>
    <w:rsid w:val="001B7134"/>
    <w:rsid w:val="001B7396"/>
    <w:rsid w:val="001B7510"/>
    <w:rsid w:val="001B76A6"/>
    <w:rsid w:val="001B7804"/>
    <w:rsid w:val="001B787E"/>
    <w:rsid w:val="001B7A45"/>
    <w:rsid w:val="001B7A86"/>
    <w:rsid w:val="001B7BFF"/>
    <w:rsid w:val="001B7E5E"/>
    <w:rsid w:val="001B7F6C"/>
    <w:rsid w:val="001C001A"/>
    <w:rsid w:val="001C04CC"/>
    <w:rsid w:val="001C04FA"/>
    <w:rsid w:val="001C051E"/>
    <w:rsid w:val="001C0553"/>
    <w:rsid w:val="001C06AA"/>
    <w:rsid w:val="001C0776"/>
    <w:rsid w:val="001C0A0E"/>
    <w:rsid w:val="001C0B12"/>
    <w:rsid w:val="001C0CF1"/>
    <w:rsid w:val="001C0FC1"/>
    <w:rsid w:val="001C1289"/>
    <w:rsid w:val="001C1385"/>
    <w:rsid w:val="001C1387"/>
    <w:rsid w:val="001C1537"/>
    <w:rsid w:val="001C1941"/>
    <w:rsid w:val="001C1953"/>
    <w:rsid w:val="001C1B3A"/>
    <w:rsid w:val="001C1E03"/>
    <w:rsid w:val="001C1F0E"/>
    <w:rsid w:val="001C261C"/>
    <w:rsid w:val="001C296D"/>
    <w:rsid w:val="001C31EC"/>
    <w:rsid w:val="001C3396"/>
    <w:rsid w:val="001C35BE"/>
    <w:rsid w:val="001C364E"/>
    <w:rsid w:val="001C37C2"/>
    <w:rsid w:val="001C3913"/>
    <w:rsid w:val="001C3AD4"/>
    <w:rsid w:val="001C40A1"/>
    <w:rsid w:val="001C41CB"/>
    <w:rsid w:val="001C422B"/>
    <w:rsid w:val="001C4251"/>
    <w:rsid w:val="001C47BE"/>
    <w:rsid w:val="001C4852"/>
    <w:rsid w:val="001C48DB"/>
    <w:rsid w:val="001C4934"/>
    <w:rsid w:val="001C4B29"/>
    <w:rsid w:val="001C4BB9"/>
    <w:rsid w:val="001C4CCE"/>
    <w:rsid w:val="001C4D86"/>
    <w:rsid w:val="001C4FC7"/>
    <w:rsid w:val="001C5085"/>
    <w:rsid w:val="001C521D"/>
    <w:rsid w:val="001C52D2"/>
    <w:rsid w:val="001C532C"/>
    <w:rsid w:val="001C54B3"/>
    <w:rsid w:val="001C56CB"/>
    <w:rsid w:val="001C571E"/>
    <w:rsid w:val="001C576C"/>
    <w:rsid w:val="001C5A21"/>
    <w:rsid w:val="001C5A66"/>
    <w:rsid w:val="001C5E6E"/>
    <w:rsid w:val="001C5FB8"/>
    <w:rsid w:val="001C624A"/>
    <w:rsid w:val="001C626B"/>
    <w:rsid w:val="001C6336"/>
    <w:rsid w:val="001C66B8"/>
    <w:rsid w:val="001C6994"/>
    <w:rsid w:val="001C69D7"/>
    <w:rsid w:val="001C6A42"/>
    <w:rsid w:val="001C6CE7"/>
    <w:rsid w:val="001C6D04"/>
    <w:rsid w:val="001C6E64"/>
    <w:rsid w:val="001C7154"/>
    <w:rsid w:val="001C71FA"/>
    <w:rsid w:val="001C72A0"/>
    <w:rsid w:val="001C72C6"/>
    <w:rsid w:val="001C7497"/>
    <w:rsid w:val="001C7561"/>
    <w:rsid w:val="001C796E"/>
    <w:rsid w:val="001C7BAE"/>
    <w:rsid w:val="001C7D17"/>
    <w:rsid w:val="001C7D1B"/>
    <w:rsid w:val="001C7DF5"/>
    <w:rsid w:val="001C7E64"/>
    <w:rsid w:val="001C7ECD"/>
    <w:rsid w:val="001D0030"/>
    <w:rsid w:val="001D02B5"/>
    <w:rsid w:val="001D02DE"/>
    <w:rsid w:val="001D04C1"/>
    <w:rsid w:val="001D0583"/>
    <w:rsid w:val="001D0633"/>
    <w:rsid w:val="001D0662"/>
    <w:rsid w:val="001D0986"/>
    <w:rsid w:val="001D0A35"/>
    <w:rsid w:val="001D0AB7"/>
    <w:rsid w:val="001D0AC5"/>
    <w:rsid w:val="001D0C3C"/>
    <w:rsid w:val="001D0EF0"/>
    <w:rsid w:val="001D11E4"/>
    <w:rsid w:val="001D13D9"/>
    <w:rsid w:val="001D14B3"/>
    <w:rsid w:val="001D16E2"/>
    <w:rsid w:val="001D1874"/>
    <w:rsid w:val="001D1917"/>
    <w:rsid w:val="001D197A"/>
    <w:rsid w:val="001D1C61"/>
    <w:rsid w:val="001D259F"/>
    <w:rsid w:val="001D26B4"/>
    <w:rsid w:val="001D2841"/>
    <w:rsid w:val="001D28D7"/>
    <w:rsid w:val="001D2AB4"/>
    <w:rsid w:val="001D2E03"/>
    <w:rsid w:val="001D2F4C"/>
    <w:rsid w:val="001D31E9"/>
    <w:rsid w:val="001D34C1"/>
    <w:rsid w:val="001D3512"/>
    <w:rsid w:val="001D373A"/>
    <w:rsid w:val="001D37E6"/>
    <w:rsid w:val="001D3AA8"/>
    <w:rsid w:val="001D3D1F"/>
    <w:rsid w:val="001D3E97"/>
    <w:rsid w:val="001D3F88"/>
    <w:rsid w:val="001D44AC"/>
    <w:rsid w:val="001D470F"/>
    <w:rsid w:val="001D49CA"/>
    <w:rsid w:val="001D49CE"/>
    <w:rsid w:val="001D49CF"/>
    <w:rsid w:val="001D4ACA"/>
    <w:rsid w:val="001D4B67"/>
    <w:rsid w:val="001D4D3B"/>
    <w:rsid w:val="001D518A"/>
    <w:rsid w:val="001D5646"/>
    <w:rsid w:val="001D568B"/>
    <w:rsid w:val="001D569A"/>
    <w:rsid w:val="001D59A0"/>
    <w:rsid w:val="001D59C1"/>
    <w:rsid w:val="001D5D47"/>
    <w:rsid w:val="001D5DE3"/>
    <w:rsid w:val="001D5E81"/>
    <w:rsid w:val="001D5F22"/>
    <w:rsid w:val="001D64CE"/>
    <w:rsid w:val="001D6558"/>
    <w:rsid w:val="001D6633"/>
    <w:rsid w:val="001D6950"/>
    <w:rsid w:val="001D697C"/>
    <w:rsid w:val="001D69CB"/>
    <w:rsid w:val="001D6E9B"/>
    <w:rsid w:val="001D6F1D"/>
    <w:rsid w:val="001D6F5D"/>
    <w:rsid w:val="001D7082"/>
    <w:rsid w:val="001D77D4"/>
    <w:rsid w:val="001D7B2D"/>
    <w:rsid w:val="001D7C22"/>
    <w:rsid w:val="001D7CF1"/>
    <w:rsid w:val="001D7D13"/>
    <w:rsid w:val="001D7DAE"/>
    <w:rsid w:val="001D7DE3"/>
    <w:rsid w:val="001D7DF9"/>
    <w:rsid w:val="001D7F96"/>
    <w:rsid w:val="001E023F"/>
    <w:rsid w:val="001E0606"/>
    <w:rsid w:val="001E06B9"/>
    <w:rsid w:val="001E06FE"/>
    <w:rsid w:val="001E0717"/>
    <w:rsid w:val="001E0889"/>
    <w:rsid w:val="001E089F"/>
    <w:rsid w:val="001E0994"/>
    <w:rsid w:val="001E0B0D"/>
    <w:rsid w:val="001E0D23"/>
    <w:rsid w:val="001E0E0A"/>
    <w:rsid w:val="001E0FBA"/>
    <w:rsid w:val="001E0FCF"/>
    <w:rsid w:val="001E0FDD"/>
    <w:rsid w:val="001E14D9"/>
    <w:rsid w:val="001E1517"/>
    <w:rsid w:val="001E1573"/>
    <w:rsid w:val="001E15AA"/>
    <w:rsid w:val="001E1665"/>
    <w:rsid w:val="001E17E3"/>
    <w:rsid w:val="001E17F5"/>
    <w:rsid w:val="001E1827"/>
    <w:rsid w:val="001E18A8"/>
    <w:rsid w:val="001E1DC7"/>
    <w:rsid w:val="001E1DF5"/>
    <w:rsid w:val="001E1E7A"/>
    <w:rsid w:val="001E1F98"/>
    <w:rsid w:val="001E1FFB"/>
    <w:rsid w:val="001E21F8"/>
    <w:rsid w:val="001E249E"/>
    <w:rsid w:val="001E25EC"/>
    <w:rsid w:val="001E2976"/>
    <w:rsid w:val="001E29A4"/>
    <w:rsid w:val="001E2B6A"/>
    <w:rsid w:val="001E2ED8"/>
    <w:rsid w:val="001E3165"/>
    <w:rsid w:val="001E33CB"/>
    <w:rsid w:val="001E35B7"/>
    <w:rsid w:val="001E38A3"/>
    <w:rsid w:val="001E38DE"/>
    <w:rsid w:val="001E39C9"/>
    <w:rsid w:val="001E3AAD"/>
    <w:rsid w:val="001E3D37"/>
    <w:rsid w:val="001E4187"/>
    <w:rsid w:val="001E435E"/>
    <w:rsid w:val="001E43FD"/>
    <w:rsid w:val="001E44BA"/>
    <w:rsid w:val="001E451E"/>
    <w:rsid w:val="001E49E9"/>
    <w:rsid w:val="001E4E98"/>
    <w:rsid w:val="001E4F34"/>
    <w:rsid w:val="001E4F6B"/>
    <w:rsid w:val="001E502A"/>
    <w:rsid w:val="001E50FB"/>
    <w:rsid w:val="001E57E8"/>
    <w:rsid w:val="001E5896"/>
    <w:rsid w:val="001E5918"/>
    <w:rsid w:val="001E5951"/>
    <w:rsid w:val="001E5AFD"/>
    <w:rsid w:val="001E5C9B"/>
    <w:rsid w:val="001E5CEF"/>
    <w:rsid w:val="001E5F55"/>
    <w:rsid w:val="001E602A"/>
    <w:rsid w:val="001E60F1"/>
    <w:rsid w:val="001E6468"/>
    <w:rsid w:val="001E651E"/>
    <w:rsid w:val="001E665E"/>
    <w:rsid w:val="001E6CB8"/>
    <w:rsid w:val="001E6E73"/>
    <w:rsid w:val="001E707A"/>
    <w:rsid w:val="001E7559"/>
    <w:rsid w:val="001E7AF0"/>
    <w:rsid w:val="001E7CFA"/>
    <w:rsid w:val="001E7D28"/>
    <w:rsid w:val="001E7E32"/>
    <w:rsid w:val="001E7E5F"/>
    <w:rsid w:val="001F020B"/>
    <w:rsid w:val="001F041A"/>
    <w:rsid w:val="001F073C"/>
    <w:rsid w:val="001F09E6"/>
    <w:rsid w:val="001F09F4"/>
    <w:rsid w:val="001F0A0B"/>
    <w:rsid w:val="001F0BB1"/>
    <w:rsid w:val="001F0D0A"/>
    <w:rsid w:val="001F0EF3"/>
    <w:rsid w:val="001F0FFD"/>
    <w:rsid w:val="001F1339"/>
    <w:rsid w:val="001F14DB"/>
    <w:rsid w:val="001F192F"/>
    <w:rsid w:val="001F1B84"/>
    <w:rsid w:val="001F1BA3"/>
    <w:rsid w:val="001F1DF1"/>
    <w:rsid w:val="001F1F72"/>
    <w:rsid w:val="001F22B3"/>
    <w:rsid w:val="001F23EB"/>
    <w:rsid w:val="001F2412"/>
    <w:rsid w:val="001F2423"/>
    <w:rsid w:val="001F24E2"/>
    <w:rsid w:val="001F25D6"/>
    <w:rsid w:val="001F27F8"/>
    <w:rsid w:val="001F290B"/>
    <w:rsid w:val="001F2912"/>
    <w:rsid w:val="001F2A82"/>
    <w:rsid w:val="001F2AD4"/>
    <w:rsid w:val="001F2F06"/>
    <w:rsid w:val="001F2F47"/>
    <w:rsid w:val="001F30DE"/>
    <w:rsid w:val="001F32F0"/>
    <w:rsid w:val="001F33D7"/>
    <w:rsid w:val="001F363E"/>
    <w:rsid w:val="001F393E"/>
    <w:rsid w:val="001F3B05"/>
    <w:rsid w:val="001F3C3C"/>
    <w:rsid w:val="001F3CA4"/>
    <w:rsid w:val="001F3EC2"/>
    <w:rsid w:val="001F418F"/>
    <w:rsid w:val="001F4221"/>
    <w:rsid w:val="001F429E"/>
    <w:rsid w:val="001F43BA"/>
    <w:rsid w:val="001F4526"/>
    <w:rsid w:val="001F4555"/>
    <w:rsid w:val="001F4854"/>
    <w:rsid w:val="001F48A5"/>
    <w:rsid w:val="001F494D"/>
    <w:rsid w:val="001F4A81"/>
    <w:rsid w:val="001F4B7F"/>
    <w:rsid w:val="001F4BD5"/>
    <w:rsid w:val="001F4C01"/>
    <w:rsid w:val="001F5016"/>
    <w:rsid w:val="001F5123"/>
    <w:rsid w:val="001F520C"/>
    <w:rsid w:val="001F5309"/>
    <w:rsid w:val="001F53C6"/>
    <w:rsid w:val="001F5895"/>
    <w:rsid w:val="001F5A4E"/>
    <w:rsid w:val="001F5D0A"/>
    <w:rsid w:val="001F6067"/>
    <w:rsid w:val="001F6255"/>
    <w:rsid w:val="001F63C4"/>
    <w:rsid w:val="001F6805"/>
    <w:rsid w:val="001F6825"/>
    <w:rsid w:val="001F6844"/>
    <w:rsid w:val="001F6896"/>
    <w:rsid w:val="001F68D2"/>
    <w:rsid w:val="001F6948"/>
    <w:rsid w:val="001F69C8"/>
    <w:rsid w:val="001F6B07"/>
    <w:rsid w:val="001F6B5C"/>
    <w:rsid w:val="001F6F15"/>
    <w:rsid w:val="001F6F17"/>
    <w:rsid w:val="001F70BD"/>
    <w:rsid w:val="001F70BF"/>
    <w:rsid w:val="001F7175"/>
    <w:rsid w:val="001F71AB"/>
    <w:rsid w:val="001F71AC"/>
    <w:rsid w:val="001F74AB"/>
    <w:rsid w:val="001F7536"/>
    <w:rsid w:val="001F7577"/>
    <w:rsid w:val="001F763C"/>
    <w:rsid w:val="001F76E2"/>
    <w:rsid w:val="001F77BB"/>
    <w:rsid w:val="001F77CC"/>
    <w:rsid w:val="001F7BFE"/>
    <w:rsid w:val="001F7C7F"/>
    <w:rsid w:val="001F7D8D"/>
    <w:rsid w:val="001FDE2F"/>
    <w:rsid w:val="00200296"/>
    <w:rsid w:val="002002AF"/>
    <w:rsid w:val="00200458"/>
    <w:rsid w:val="002004D3"/>
    <w:rsid w:val="002007E4"/>
    <w:rsid w:val="00200AB8"/>
    <w:rsid w:val="00200DF6"/>
    <w:rsid w:val="00201669"/>
    <w:rsid w:val="00201ADB"/>
    <w:rsid w:val="00201B8A"/>
    <w:rsid w:val="00201EC0"/>
    <w:rsid w:val="002024DE"/>
    <w:rsid w:val="0020275A"/>
    <w:rsid w:val="00202948"/>
    <w:rsid w:val="00202C19"/>
    <w:rsid w:val="00202D75"/>
    <w:rsid w:val="00202F27"/>
    <w:rsid w:val="002030D6"/>
    <w:rsid w:val="00203711"/>
    <w:rsid w:val="00203788"/>
    <w:rsid w:val="002039D7"/>
    <w:rsid w:val="00203D45"/>
    <w:rsid w:val="00203D8B"/>
    <w:rsid w:val="00203F2A"/>
    <w:rsid w:val="00204037"/>
    <w:rsid w:val="002040FA"/>
    <w:rsid w:val="00204379"/>
    <w:rsid w:val="00204461"/>
    <w:rsid w:val="00204465"/>
    <w:rsid w:val="002045F1"/>
    <w:rsid w:val="00204706"/>
    <w:rsid w:val="00204754"/>
    <w:rsid w:val="00204984"/>
    <w:rsid w:val="00204B6C"/>
    <w:rsid w:val="00204B73"/>
    <w:rsid w:val="00204BB2"/>
    <w:rsid w:val="00204D5B"/>
    <w:rsid w:val="00204F91"/>
    <w:rsid w:val="00205030"/>
    <w:rsid w:val="002053CB"/>
    <w:rsid w:val="002054C5"/>
    <w:rsid w:val="00205511"/>
    <w:rsid w:val="0020551D"/>
    <w:rsid w:val="002058E5"/>
    <w:rsid w:val="00205F41"/>
    <w:rsid w:val="002061CE"/>
    <w:rsid w:val="002063C5"/>
    <w:rsid w:val="002064EE"/>
    <w:rsid w:val="002068A4"/>
    <w:rsid w:val="00206E53"/>
    <w:rsid w:val="00206E77"/>
    <w:rsid w:val="0020707A"/>
    <w:rsid w:val="002072B5"/>
    <w:rsid w:val="002072F0"/>
    <w:rsid w:val="002073DF"/>
    <w:rsid w:val="00207562"/>
    <w:rsid w:val="0020769B"/>
    <w:rsid w:val="0020776D"/>
    <w:rsid w:val="00207E40"/>
    <w:rsid w:val="00207FA9"/>
    <w:rsid w:val="00210111"/>
    <w:rsid w:val="0021021F"/>
    <w:rsid w:val="002105D7"/>
    <w:rsid w:val="00210858"/>
    <w:rsid w:val="00210AB3"/>
    <w:rsid w:val="00210CA6"/>
    <w:rsid w:val="00210CD9"/>
    <w:rsid w:val="00210D40"/>
    <w:rsid w:val="00210D61"/>
    <w:rsid w:val="00210E1D"/>
    <w:rsid w:val="00210F70"/>
    <w:rsid w:val="00210FAA"/>
    <w:rsid w:val="0021122E"/>
    <w:rsid w:val="00211340"/>
    <w:rsid w:val="002113D2"/>
    <w:rsid w:val="00211604"/>
    <w:rsid w:val="00211665"/>
    <w:rsid w:val="00211848"/>
    <w:rsid w:val="002119E0"/>
    <w:rsid w:val="002119E7"/>
    <w:rsid w:val="00211DD5"/>
    <w:rsid w:val="00211E30"/>
    <w:rsid w:val="00211F51"/>
    <w:rsid w:val="00212134"/>
    <w:rsid w:val="002121A7"/>
    <w:rsid w:val="002124B1"/>
    <w:rsid w:val="002124DA"/>
    <w:rsid w:val="00212652"/>
    <w:rsid w:val="00212944"/>
    <w:rsid w:val="002130AA"/>
    <w:rsid w:val="00213193"/>
    <w:rsid w:val="002133BE"/>
    <w:rsid w:val="00213890"/>
    <w:rsid w:val="002138E8"/>
    <w:rsid w:val="00213A2F"/>
    <w:rsid w:val="00213CA8"/>
    <w:rsid w:val="00213F19"/>
    <w:rsid w:val="00214073"/>
    <w:rsid w:val="002142E1"/>
    <w:rsid w:val="0021430D"/>
    <w:rsid w:val="00214438"/>
    <w:rsid w:val="00214854"/>
    <w:rsid w:val="00214904"/>
    <w:rsid w:val="00214A48"/>
    <w:rsid w:val="00214A8C"/>
    <w:rsid w:val="00214CFF"/>
    <w:rsid w:val="00214D86"/>
    <w:rsid w:val="002150D4"/>
    <w:rsid w:val="00215176"/>
    <w:rsid w:val="00215233"/>
    <w:rsid w:val="002152B1"/>
    <w:rsid w:val="00215336"/>
    <w:rsid w:val="00215787"/>
    <w:rsid w:val="00215946"/>
    <w:rsid w:val="00215B7F"/>
    <w:rsid w:val="00215C5D"/>
    <w:rsid w:val="00215CCB"/>
    <w:rsid w:val="00215DDE"/>
    <w:rsid w:val="00215F43"/>
    <w:rsid w:val="002162CB"/>
    <w:rsid w:val="00216327"/>
    <w:rsid w:val="0021639C"/>
    <w:rsid w:val="00216449"/>
    <w:rsid w:val="00216816"/>
    <w:rsid w:val="00216A7A"/>
    <w:rsid w:val="00216C92"/>
    <w:rsid w:val="00216D77"/>
    <w:rsid w:val="00216DD0"/>
    <w:rsid w:val="002170A9"/>
    <w:rsid w:val="002170B3"/>
    <w:rsid w:val="0021730D"/>
    <w:rsid w:val="00217883"/>
    <w:rsid w:val="00217896"/>
    <w:rsid w:val="00217C71"/>
    <w:rsid w:val="00220455"/>
    <w:rsid w:val="002204BF"/>
    <w:rsid w:val="002205EB"/>
    <w:rsid w:val="002206A1"/>
    <w:rsid w:val="00220752"/>
    <w:rsid w:val="00220A5C"/>
    <w:rsid w:val="00220AE4"/>
    <w:rsid w:val="00220FE5"/>
    <w:rsid w:val="0022112C"/>
    <w:rsid w:val="00221272"/>
    <w:rsid w:val="0022160C"/>
    <w:rsid w:val="00221A99"/>
    <w:rsid w:val="00221AA6"/>
    <w:rsid w:val="00221AF4"/>
    <w:rsid w:val="00221BC6"/>
    <w:rsid w:val="00221DD3"/>
    <w:rsid w:val="00222053"/>
    <w:rsid w:val="00222081"/>
    <w:rsid w:val="0022222A"/>
    <w:rsid w:val="002223C2"/>
    <w:rsid w:val="0022254D"/>
    <w:rsid w:val="00222832"/>
    <w:rsid w:val="002229DB"/>
    <w:rsid w:val="00222A44"/>
    <w:rsid w:val="00222BD9"/>
    <w:rsid w:val="00222C06"/>
    <w:rsid w:val="00222C3E"/>
    <w:rsid w:val="00222E9D"/>
    <w:rsid w:val="00222FA0"/>
    <w:rsid w:val="002231FC"/>
    <w:rsid w:val="0022322B"/>
    <w:rsid w:val="002234A6"/>
    <w:rsid w:val="002234F9"/>
    <w:rsid w:val="00223596"/>
    <w:rsid w:val="00223669"/>
    <w:rsid w:val="002236CA"/>
    <w:rsid w:val="002236F3"/>
    <w:rsid w:val="002241F0"/>
    <w:rsid w:val="0022431E"/>
    <w:rsid w:val="002244BC"/>
    <w:rsid w:val="0022469A"/>
    <w:rsid w:val="00224A11"/>
    <w:rsid w:val="00224BF1"/>
    <w:rsid w:val="00224DE5"/>
    <w:rsid w:val="00224EDD"/>
    <w:rsid w:val="00224F66"/>
    <w:rsid w:val="002250C2"/>
    <w:rsid w:val="002252FE"/>
    <w:rsid w:val="0022576E"/>
    <w:rsid w:val="00225998"/>
    <w:rsid w:val="00225D37"/>
    <w:rsid w:val="00225E52"/>
    <w:rsid w:val="00225F5D"/>
    <w:rsid w:val="00225FCB"/>
    <w:rsid w:val="00226380"/>
    <w:rsid w:val="00226446"/>
    <w:rsid w:val="0022671F"/>
    <w:rsid w:val="002267E5"/>
    <w:rsid w:val="00226A16"/>
    <w:rsid w:val="00226C18"/>
    <w:rsid w:val="00226C77"/>
    <w:rsid w:val="00226DF3"/>
    <w:rsid w:val="00226EC9"/>
    <w:rsid w:val="00227A14"/>
    <w:rsid w:val="00227C0C"/>
    <w:rsid w:val="00227D10"/>
    <w:rsid w:val="00227FA9"/>
    <w:rsid w:val="00227FBB"/>
    <w:rsid w:val="00227FEC"/>
    <w:rsid w:val="00230184"/>
    <w:rsid w:val="00230188"/>
    <w:rsid w:val="00230422"/>
    <w:rsid w:val="00230461"/>
    <w:rsid w:val="00230533"/>
    <w:rsid w:val="002306F6"/>
    <w:rsid w:val="00230829"/>
    <w:rsid w:val="00230D67"/>
    <w:rsid w:val="00231057"/>
    <w:rsid w:val="00231085"/>
    <w:rsid w:val="002313BC"/>
    <w:rsid w:val="002313E8"/>
    <w:rsid w:val="0023155D"/>
    <w:rsid w:val="0023163A"/>
    <w:rsid w:val="002316AD"/>
    <w:rsid w:val="002317DB"/>
    <w:rsid w:val="002319FA"/>
    <w:rsid w:val="00231ACB"/>
    <w:rsid w:val="00231BDF"/>
    <w:rsid w:val="00231C90"/>
    <w:rsid w:val="00232087"/>
    <w:rsid w:val="00232168"/>
    <w:rsid w:val="00232225"/>
    <w:rsid w:val="0023229E"/>
    <w:rsid w:val="00232435"/>
    <w:rsid w:val="002325B7"/>
    <w:rsid w:val="0023298C"/>
    <w:rsid w:val="002329BD"/>
    <w:rsid w:val="00232A62"/>
    <w:rsid w:val="00232A6D"/>
    <w:rsid w:val="00232B0D"/>
    <w:rsid w:val="00232EB0"/>
    <w:rsid w:val="00232FB2"/>
    <w:rsid w:val="00233211"/>
    <w:rsid w:val="00233223"/>
    <w:rsid w:val="00233296"/>
    <w:rsid w:val="002333F3"/>
    <w:rsid w:val="002334D8"/>
    <w:rsid w:val="002334E1"/>
    <w:rsid w:val="002335C7"/>
    <w:rsid w:val="00233714"/>
    <w:rsid w:val="0023373F"/>
    <w:rsid w:val="0023374C"/>
    <w:rsid w:val="00233759"/>
    <w:rsid w:val="002338F6"/>
    <w:rsid w:val="002339C8"/>
    <w:rsid w:val="00233A57"/>
    <w:rsid w:val="00233B8E"/>
    <w:rsid w:val="00233D76"/>
    <w:rsid w:val="00233E21"/>
    <w:rsid w:val="00233E2C"/>
    <w:rsid w:val="00234032"/>
    <w:rsid w:val="0023411A"/>
    <w:rsid w:val="00234259"/>
    <w:rsid w:val="00234871"/>
    <w:rsid w:val="0023493F"/>
    <w:rsid w:val="002349B3"/>
    <w:rsid w:val="00234C53"/>
    <w:rsid w:val="00234E03"/>
    <w:rsid w:val="00234F21"/>
    <w:rsid w:val="00235777"/>
    <w:rsid w:val="00235792"/>
    <w:rsid w:val="002358DB"/>
    <w:rsid w:val="002359BD"/>
    <w:rsid w:val="002359C2"/>
    <w:rsid w:val="00235B26"/>
    <w:rsid w:val="00235D5B"/>
    <w:rsid w:val="00235FDA"/>
    <w:rsid w:val="00236156"/>
    <w:rsid w:val="00236190"/>
    <w:rsid w:val="00236281"/>
    <w:rsid w:val="002363E9"/>
    <w:rsid w:val="00236402"/>
    <w:rsid w:val="002368E7"/>
    <w:rsid w:val="00236939"/>
    <w:rsid w:val="00236CEE"/>
    <w:rsid w:val="00236DA3"/>
    <w:rsid w:val="002372CD"/>
    <w:rsid w:val="002378B1"/>
    <w:rsid w:val="00237940"/>
    <w:rsid w:val="002379F4"/>
    <w:rsid w:val="00237A18"/>
    <w:rsid w:val="00240018"/>
    <w:rsid w:val="002400A4"/>
    <w:rsid w:val="002402B4"/>
    <w:rsid w:val="00240482"/>
    <w:rsid w:val="0024074C"/>
    <w:rsid w:val="00240896"/>
    <w:rsid w:val="002408F8"/>
    <w:rsid w:val="0024095E"/>
    <w:rsid w:val="00240C21"/>
    <w:rsid w:val="00240C69"/>
    <w:rsid w:val="00241033"/>
    <w:rsid w:val="00241360"/>
    <w:rsid w:val="0024144E"/>
    <w:rsid w:val="00241770"/>
    <w:rsid w:val="00241A1F"/>
    <w:rsid w:val="00241C01"/>
    <w:rsid w:val="00242087"/>
    <w:rsid w:val="002420D5"/>
    <w:rsid w:val="002420FD"/>
    <w:rsid w:val="002421C3"/>
    <w:rsid w:val="00242285"/>
    <w:rsid w:val="002425EA"/>
    <w:rsid w:val="002425ED"/>
    <w:rsid w:val="00242943"/>
    <w:rsid w:val="00242AC4"/>
    <w:rsid w:val="00242AD9"/>
    <w:rsid w:val="00242B1C"/>
    <w:rsid w:val="00242D29"/>
    <w:rsid w:val="00242D33"/>
    <w:rsid w:val="00242D47"/>
    <w:rsid w:val="00242D81"/>
    <w:rsid w:val="00242E03"/>
    <w:rsid w:val="00242E76"/>
    <w:rsid w:val="00242EA0"/>
    <w:rsid w:val="00242EB0"/>
    <w:rsid w:val="0024307C"/>
    <w:rsid w:val="00243685"/>
    <w:rsid w:val="00243D48"/>
    <w:rsid w:val="00243E2D"/>
    <w:rsid w:val="00243F24"/>
    <w:rsid w:val="0024431F"/>
    <w:rsid w:val="0024459C"/>
    <w:rsid w:val="002445A3"/>
    <w:rsid w:val="002445A5"/>
    <w:rsid w:val="002446FF"/>
    <w:rsid w:val="00244A21"/>
    <w:rsid w:val="00244D86"/>
    <w:rsid w:val="00244F18"/>
    <w:rsid w:val="00244F5F"/>
    <w:rsid w:val="00244F72"/>
    <w:rsid w:val="0024517E"/>
    <w:rsid w:val="00245380"/>
    <w:rsid w:val="002454E8"/>
    <w:rsid w:val="0024553A"/>
    <w:rsid w:val="002456A1"/>
    <w:rsid w:val="002458D3"/>
    <w:rsid w:val="00245A6D"/>
    <w:rsid w:val="00245AD1"/>
    <w:rsid w:val="00245AD9"/>
    <w:rsid w:val="00245BA4"/>
    <w:rsid w:val="00245BB7"/>
    <w:rsid w:val="00245CAD"/>
    <w:rsid w:val="00245CBB"/>
    <w:rsid w:val="00245E8B"/>
    <w:rsid w:val="00245F13"/>
    <w:rsid w:val="00245F22"/>
    <w:rsid w:val="00246823"/>
    <w:rsid w:val="00246938"/>
    <w:rsid w:val="00246A83"/>
    <w:rsid w:val="00246BDF"/>
    <w:rsid w:val="00246EA6"/>
    <w:rsid w:val="00246EBC"/>
    <w:rsid w:val="002470B8"/>
    <w:rsid w:val="002470BB"/>
    <w:rsid w:val="00247237"/>
    <w:rsid w:val="0024740D"/>
    <w:rsid w:val="00247A16"/>
    <w:rsid w:val="00247A89"/>
    <w:rsid w:val="00247CC1"/>
    <w:rsid w:val="00247D5A"/>
    <w:rsid w:val="00250898"/>
    <w:rsid w:val="00250BEA"/>
    <w:rsid w:val="00250D14"/>
    <w:rsid w:val="00250DAA"/>
    <w:rsid w:val="00250ECD"/>
    <w:rsid w:val="00250FCC"/>
    <w:rsid w:val="002510F0"/>
    <w:rsid w:val="00251220"/>
    <w:rsid w:val="002512E9"/>
    <w:rsid w:val="00251314"/>
    <w:rsid w:val="0025152F"/>
    <w:rsid w:val="002516C3"/>
    <w:rsid w:val="002518D4"/>
    <w:rsid w:val="00251AA2"/>
    <w:rsid w:val="00251B6D"/>
    <w:rsid w:val="00251C84"/>
    <w:rsid w:val="00251E39"/>
    <w:rsid w:val="00251F68"/>
    <w:rsid w:val="002521C0"/>
    <w:rsid w:val="0025237B"/>
    <w:rsid w:val="002525EC"/>
    <w:rsid w:val="00252786"/>
    <w:rsid w:val="00252824"/>
    <w:rsid w:val="00252BC7"/>
    <w:rsid w:val="00252D61"/>
    <w:rsid w:val="002530E7"/>
    <w:rsid w:val="00253275"/>
    <w:rsid w:val="002532B4"/>
    <w:rsid w:val="0025335B"/>
    <w:rsid w:val="00253A1B"/>
    <w:rsid w:val="00253AD0"/>
    <w:rsid w:val="00253FBD"/>
    <w:rsid w:val="00254301"/>
    <w:rsid w:val="00254435"/>
    <w:rsid w:val="002544E4"/>
    <w:rsid w:val="002545FF"/>
    <w:rsid w:val="00254637"/>
    <w:rsid w:val="002547FD"/>
    <w:rsid w:val="0025487C"/>
    <w:rsid w:val="00254989"/>
    <w:rsid w:val="00254AB6"/>
    <w:rsid w:val="00254AE2"/>
    <w:rsid w:val="00254B36"/>
    <w:rsid w:val="00254BF7"/>
    <w:rsid w:val="00254EEB"/>
    <w:rsid w:val="002550D5"/>
    <w:rsid w:val="0025520A"/>
    <w:rsid w:val="00255397"/>
    <w:rsid w:val="0025541E"/>
    <w:rsid w:val="0025575F"/>
    <w:rsid w:val="00255B21"/>
    <w:rsid w:val="00255EBE"/>
    <w:rsid w:val="00256034"/>
    <w:rsid w:val="0025613F"/>
    <w:rsid w:val="002561C6"/>
    <w:rsid w:val="00256256"/>
    <w:rsid w:val="00256741"/>
    <w:rsid w:val="00256937"/>
    <w:rsid w:val="00256A02"/>
    <w:rsid w:val="00256C6B"/>
    <w:rsid w:val="00256E04"/>
    <w:rsid w:val="0025701D"/>
    <w:rsid w:val="00257033"/>
    <w:rsid w:val="002571C4"/>
    <w:rsid w:val="0025748A"/>
    <w:rsid w:val="00257818"/>
    <w:rsid w:val="00257896"/>
    <w:rsid w:val="0025790D"/>
    <w:rsid w:val="00257961"/>
    <w:rsid w:val="00257C43"/>
    <w:rsid w:val="00257D0D"/>
    <w:rsid w:val="00257F3F"/>
    <w:rsid w:val="00257F91"/>
    <w:rsid w:val="00260332"/>
    <w:rsid w:val="002603C2"/>
    <w:rsid w:val="002604BB"/>
    <w:rsid w:val="00260520"/>
    <w:rsid w:val="0026056E"/>
    <w:rsid w:val="00260583"/>
    <w:rsid w:val="00260CC6"/>
    <w:rsid w:val="00260D50"/>
    <w:rsid w:val="00260ED2"/>
    <w:rsid w:val="00260F84"/>
    <w:rsid w:val="002610E8"/>
    <w:rsid w:val="0026120E"/>
    <w:rsid w:val="00261228"/>
    <w:rsid w:val="00261338"/>
    <w:rsid w:val="002616A2"/>
    <w:rsid w:val="002617FD"/>
    <w:rsid w:val="00261934"/>
    <w:rsid w:val="00261BB6"/>
    <w:rsid w:val="00261DC6"/>
    <w:rsid w:val="00261F3A"/>
    <w:rsid w:val="00262195"/>
    <w:rsid w:val="002625F3"/>
    <w:rsid w:val="0026298C"/>
    <w:rsid w:val="00262AA5"/>
    <w:rsid w:val="00262C13"/>
    <w:rsid w:val="00263166"/>
    <w:rsid w:val="00263442"/>
    <w:rsid w:val="002635D4"/>
    <w:rsid w:val="0026373F"/>
    <w:rsid w:val="00263840"/>
    <w:rsid w:val="00263989"/>
    <w:rsid w:val="00263A45"/>
    <w:rsid w:val="00263A4A"/>
    <w:rsid w:val="00263D0E"/>
    <w:rsid w:val="00263FAD"/>
    <w:rsid w:val="0026409C"/>
    <w:rsid w:val="002641E2"/>
    <w:rsid w:val="0026442C"/>
    <w:rsid w:val="00264568"/>
    <w:rsid w:val="00264623"/>
    <w:rsid w:val="002646B7"/>
    <w:rsid w:val="00264773"/>
    <w:rsid w:val="002648C1"/>
    <w:rsid w:val="002649B7"/>
    <w:rsid w:val="00264BC6"/>
    <w:rsid w:val="00264E29"/>
    <w:rsid w:val="00264E52"/>
    <w:rsid w:val="002650B7"/>
    <w:rsid w:val="00265100"/>
    <w:rsid w:val="0026527F"/>
    <w:rsid w:val="00265291"/>
    <w:rsid w:val="002656F3"/>
    <w:rsid w:val="0026573D"/>
    <w:rsid w:val="0026593E"/>
    <w:rsid w:val="00265AF2"/>
    <w:rsid w:val="00265D9E"/>
    <w:rsid w:val="00265FEF"/>
    <w:rsid w:val="0026621D"/>
    <w:rsid w:val="00266297"/>
    <w:rsid w:val="002663C7"/>
    <w:rsid w:val="002667ED"/>
    <w:rsid w:val="0026680A"/>
    <w:rsid w:val="0026683C"/>
    <w:rsid w:val="002669D5"/>
    <w:rsid w:val="002669ED"/>
    <w:rsid w:val="00266D69"/>
    <w:rsid w:val="00266EDD"/>
    <w:rsid w:val="00266EF9"/>
    <w:rsid w:val="002672BA"/>
    <w:rsid w:val="0026758B"/>
    <w:rsid w:val="00267729"/>
    <w:rsid w:val="00267826"/>
    <w:rsid w:val="00267947"/>
    <w:rsid w:val="002679DB"/>
    <w:rsid w:val="00267B6A"/>
    <w:rsid w:val="00267C32"/>
    <w:rsid w:val="00267FEA"/>
    <w:rsid w:val="00270097"/>
    <w:rsid w:val="0027056B"/>
    <w:rsid w:val="00270585"/>
    <w:rsid w:val="00270BBC"/>
    <w:rsid w:val="00270DD8"/>
    <w:rsid w:val="00270F6F"/>
    <w:rsid w:val="00271409"/>
    <w:rsid w:val="002715A9"/>
    <w:rsid w:val="002715E5"/>
    <w:rsid w:val="00271763"/>
    <w:rsid w:val="00271894"/>
    <w:rsid w:val="00271B25"/>
    <w:rsid w:val="00271DD8"/>
    <w:rsid w:val="00271F65"/>
    <w:rsid w:val="00271FCC"/>
    <w:rsid w:val="00272197"/>
    <w:rsid w:val="002723D1"/>
    <w:rsid w:val="00272653"/>
    <w:rsid w:val="00272793"/>
    <w:rsid w:val="002727BE"/>
    <w:rsid w:val="00272893"/>
    <w:rsid w:val="002728C7"/>
    <w:rsid w:val="00272995"/>
    <w:rsid w:val="00272ADD"/>
    <w:rsid w:val="00272B29"/>
    <w:rsid w:val="00272D3C"/>
    <w:rsid w:val="00272E28"/>
    <w:rsid w:val="00272EB5"/>
    <w:rsid w:val="00272F05"/>
    <w:rsid w:val="00272FF8"/>
    <w:rsid w:val="00272FFE"/>
    <w:rsid w:val="0027331C"/>
    <w:rsid w:val="002736E5"/>
    <w:rsid w:val="002737E3"/>
    <w:rsid w:val="00273915"/>
    <w:rsid w:val="00273AA2"/>
    <w:rsid w:val="00274467"/>
    <w:rsid w:val="002744EC"/>
    <w:rsid w:val="00274660"/>
    <w:rsid w:val="0027485C"/>
    <w:rsid w:val="002748A5"/>
    <w:rsid w:val="0027494A"/>
    <w:rsid w:val="00274BBC"/>
    <w:rsid w:val="00274C5E"/>
    <w:rsid w:val="00274D87"/>
    <w:rsid w:val="00274FE8"/>
    <w:rsid w:val="00275217"/>
    <w:rsid w:val="00275558"/>
    <w:rsid w:val="00275565"/>
    <w:rsid w:val="00275622"/>
    <w:rsid w:val="002756D7"/>
    <w:rsid w:val="0027575E"/>
    <w:rsid w:val="002757A9"/>
    <w:rsid w:val="00275AF2"/>
    <w:rsid w:val="00275BA6"/>
    <w:rsid w:val="00275DB4"/>
    <w:rsid w:val="0027622B"/>
    <w:rsid w:val="00276556"/>
    <w:rsid w:val="002765C6"/>
    <w:rsid w:val="002767D7"/>
    <w:rsid w:val="00276879"/>
    <w:rsid w:val="0027697F"/>
    <w:rsid w:val="00276BCA"/>
    <w:rsid w:val="00276BDC"/>
    <w:rsid w:val="00276C8A"/>
    <w:rsid w:val="00276C8F"/>
    <w:rsid w:val="00276CBE"/>
    <w:rsid w:val="00276DF4"/>
    <w:rsid w:val="00276F52"/>
    <w:rsid w:val="00276F77"/>
    <w:rsid w:val="002771B4"/>
    <w:rsid w:val="00277215"/>
    <w:rsid w:val="0027763A"/>
    <w:rsid w:val="002779FD"/>
    <w:rsid w:val="00277B3B"/>
    <w:rsid w:val="00277C63"/>
    <w:rsid w:val="00277D40"/>
    <w:rsid w:val="002801F4"/>
    <w:rsid w:val="002802C9"/>
    <w:rsid w:val="00280321"/>
    <w:rsid w:val="00280647"/>
    <w:rsid w:val="00280674"/>
    <w:rsid w:val="00280684"/>
    <w:rsid w:val="0028095D"/>
    <w:rsid w:val="002809BA"/>
    <w:rsid w:val="00280AFA"/>
    <w:rsid w:val="00280B49"/>
    <w:rsid w:val="00280B5B"/>
    <w:rsid w:val="00280D4E"/>
    <w:rsid w:val="00280D8D"/>
    <w:rsid w:val="00280DAA"/>
    <w:rsid w:val="00280FA6"/>
    <w:rsid w:val="002812A1"/>
    <w:rsid w:val="002813D1"/>
    <w:rsid w:val="00281494"/>
    <w:rsid w:val="00281699"/>
    <w:rsid w:val="00281708"/>
    <w:rsid w:val="002817F2"/>
    <w:rsid w:val="002817F5"/>
    <w:rsid w:val="00281B65"/>
    <w:rsid w:val="00281DCF"/>
    <w:rsid w:val="00281FF6"/>
    <w:rsid w:val="002823CC"/>
    <w:rsid w:val="00282A22"/>
    <w:rsid w:val="00282AAD"/>
    <w:rsid w:val="00282C8E"/>
    <w:rsid w:val="00282DCB"/>
    <w:rsid w:val="00282F99"/>
    <w:rsid w:val="00283109"/>
    <w:rsid w:val="0028351A"/>
    <w:rsid w:val="002836DF"/>
    <w:rsid w:val="002838E5"/>
    <w:rsid w:val="0028399E"/>
    <w:rsid w:val="00283A5D"/>
    <w:rsid w:val="00283ADF"/>
    <w:rsid w:val="00283B02"/>
    <w:rsid w:val="00283B12"/>
    <w:rsid w:val="00283EE1"/>
    <w:rsid w:val="00283F80"/>
    <w:rsid w:val="0028411F"/>
    <w:rsid w:val="002841EC"/>
    <w:rsid w:val="002841F6"/>
    <w:rsid w:val="0028423E"/>
    <w:rsid w:val="00284259"/>
    <w:rsid w:val="00284551"/>
    <w:rsid w:val="0028480D"/>
    <w:rsid w:val="002848D8"/>
    <w:rsid w:val="002849F7"/>
    <w:rsid w:val="00284BE4"/>
    <w:rsid w:val="00284CA4"/>
    <w:rsid w:val="00284E67"/>
    <w:rsid w:val="002850DF"/>
    <w:rsid w:val="002851A1"/>
    <w:rsid w:val="00285265"/>
    <w:rsid w:val="002855FC"/>
    <w:rsid w:val="00285846"/>
    <w:rsid w:val="00285886"/>
    <w:rsid w:val="00285914"/>
    <w:rsid w:val="00285A1A"/>
    <w:rsid w:val="00285ACB"/>
    <w:rsid w:val="00285E6D"/>
    <w:rsid w:val="00285F29"/>
    <w:rsid w:val="00285F3E"/>
    <w:rsid w:val="002861AB"/>
    <w:rsid w:val="0028621F"/>
    <w:rsid w:val="002863EA"/>
    <w:rsid w:val="00286495"/>
    <w:rsid w:val="00286582"/>
    <w:rsid w:val="002865AF"/>
    <w:rsid w:val="00286664"/>
    <w:rsid w:val="0028672C"/>
    <w:rsid w:val="002869BA"/>
    <w:rsid w:val="00286BEC"/>
    <w:rsid w:val="00287021"/>
    <w:rsid w:val="002870CF"/>
    <w:rsid w:val="002874FD"/>
    <w:rsid w:val="00287515"/>
    <w:rsid w:val="00287596"/>
    <w:rsid w:val="002875CA"/>
    <w:rsid w:val="002875F9"/>
    <w:rsid w:val="0028760C"/>
    <w:rsid w:val="0028777E"/>
    <w:rsid w:val="00287971"/>
    <w:rsid w:val="002879A4"/>
    <w:rsid w:val="00287A86"/>
    <w:rsid w:val="00287AEF"/>
    <w:rsid w:val="00287B0D"/>
    <w:rsid w:val="00287C9C"/>
    <w:rsid w:val="00287CAD"/>
    <w:rsid w:val="00287DFA"/>
    <w:rsid w:val="00287E1E"/>
    <w:rsid w:val="00287F30"/>
    <w:rsid w:val="002903E1"/>
    <w:rsid w:val="00290487"/>
    <w:rsid w:val="0029064E"/>
    <w:rsid w:val="0029075B"/>
    <w:rsid w:val="0029080A"/>
    <w:rsid w:val="00290A3E"/>
    <w:rsid w:val="00290A9F"/>
    <w:rsid w:val="00290C7B"/>
    <w:rsid w:val="00290FD9"/>
    <w:rsid w:val="0029105E"/>
    <w:rsid w:val="00291261"/>
    <w:rsid w:val="00291928"/>
    <w:rsid w:val="00292177"/>
    <w:rsid w:val="002921CD"/>
    <w:rsid w:val="002923DF"/>
    <w:rsid w:val="00292576"/>
    <w:rsid w:val="0029273F"/>
    <w:rsid w:val="0029274B"/>
    <w:rsid w:val="0029289C"/>
    <w:rsid w:val="002928A1"/>
    <w:rsid w:val="002928CA"/>
    <w:rsid w:val="002928F4"/>
    <w:rsid w:val="00292AE3"/>
    <w:rsid w:val="00292BC3"/>
    <w:rsid w:val="00292BED"/>
    <w:rsid w:val="00292CE4"/>
    <w:rsid w:val="00292D4C"/>
    <w:rsid w:val="00292E44"/>
    <w:rsid w:val="00292E66"/>
    <w:rsid w:val="00292EA3"/>
    <w:rsid w:val="00292ECD"/>
    <w:rsid w:val="00292F06"/>
    <w:rsid w:val="00292FB0"/>
    <w:rsid w:val="0029344D"/>
    <w:rsid w:val="00293696"/>
    <w:rsid w:val="002939B5"/>
    <w:rsid w:val="00293A1D"/>
    <w:rsid w:val="00293A3E"/>
    <w:rsid w:val="00293B80"/>
    <w:rsid w:val="00293BB7"/>
    <w:rsid w:val="00293CC9"/>
    <w:rsid w:val="00293DBB"/>
    <w:rsid w:val="00293F69"/>
    <w:rsid w:val="002940B5"/>
    <w:rsid w:val="00294402"/>
    <w:rsid w:val="0029461D"/>
    <w:rsid w:val="002946A8"/>
    <w:rsid w:val="0029472E"/>
    <w:rsid w:val="00294813"/>
    <w:rsid w:val="00294A12"/>
    <w:rsid w:val="00294B66"/>
    <w:rsid w:val="00294C2F"/>
    <w:rsid w:val="00294C58"/>
    <w:rsid w:val="00295113"/>
    <w:rsid w:val="00295407"/>
    <w:rsid w:val="00295410"/>
    <w:rsid w:val="00295458"/>
    <w:rsid w:val="0029550F"/>
    <w:rsid w:val="00295875"/>
    <w:rsid w:val="0029589C"/>
    <w:rsid w:val="00295957"/>
    <w:rsid w:val="002961C0"/>
    <w:rsid w:val="002962E7"/>
    <w:rsid w:val="0029639E"/>
    <w:rsid w:val="002965BC"/>
    <w:rsid w:val="002968C1"/>
    <w:rsid w:val="00296A7B"/>
    <w:rsid w:val="00296B97"/>
    <w:rsid w:val="00296E26"/>
    <w:rsid w:val="00296EC6"/>
    <w:rsid w:val="00296F38"/>
    <w:rsid w:val="00296FCA"/>
    <w:rsid w:val="00297059"/>
    <w:rsid w:val="002976AD"/>
    <w:rsid w:val="002976B4"/>
    <w:rsid w:val="00297752"/>
    <w:rsid w:val="0029793E"/>
    <w:rsid w:val="00297BF3"/>
    <w:rsid w:val="00297D34"/>
    <w:rsid w:val="00297FD3"/>
    <w:rsid w:val="002A0129"/>
    <w:rsid w:val="002A04F5"/>
    <w:rsid w:val="002A0846"/>
    <w:rsid w:val="002A09E9"/>
    <w:rsid w:val="002A0A00"/>
    <w:rsid w:val="002A0AF5"/>
    <w:rsid w:val="002A0B28"/>
    <w:rsid w:val="002A0C1C"/>
    <w:rsid w:val="002A0D25"/>
    <w:rsid w:val="002A1124"/>
    <w:rsid w:val="002A1143"/>
    <w:rsid w:val="002A1391"/>
    <w:rsid w:val="002A14A6"/>
    <w:rsid w:val="002A1840"/>
    <w:rsid w:val="002A18A1"/>
    <w:rsid w:val="002A1CAA"/>
    <w:rsid w:val="002A1E96"/>
    <w:rsid w:val="002A20C6"/>
    <w:rsid w:val="002A25CB"/>
    <w:rsid w:val="002A2614"/>
    <w:rsid w:val="002A26B7"/>
    <w:rsid w:val="002A26FD"/>
    <w:rsid w:val="002A27E4"/>
    <w:rsid w:val="002A27FB"/>
    <w:rsid w:val="002A294C"/>
    <w:rsid w:val="002A2A17"/>
    <w:rsid w:val="002A2A1E"/>
    <w:rsid w:val="002A2C50"/>
    <w:rsid w:val="002A2CB5"/>
    <w:rsid w:val="002A2E2E"/>
    <w:rsid w:val="002A31EF"/>
    <w:rsid w:val="002A3473"/>
    <w:rsid w:val="002A3637"/>
    <w:rsid w:val="002A366B"/>
    <w:rsid w:val="002A37B5"/>
    <w:rsid w:val="002A391F"/>
    <w:rsid w:val="002A3A3B"/>
    <w:rsid w:val="002A3BA6"/>
    <w:rsid w:val="002A3BC5"/>
    <w:rsid w:val="002A3C18"/>
    <w:rsid w:val="002A3D5C"/>
    <w:rsid w:val="002A3EE1"/>
    <w:rsid w:val="002A44B6"/>
    <w:rsid w:val="002A4503"/>
    <w:rsid w:val="002A4738"/>
    <w:rsid w:val="002A4A59"/>
    <w:rsid w:val="002A4ADC"/>
    <w:rsid w:val="002A4CAE"/>
    <w:rsid w:val="002A5151"/>
    <w:rsid w:val="002A5771"/>
    <w:rsid w:val="002A5A12"/>
    <w:rsid w:val="002A5B29"/>
    <w:rsid w:val="002A5C7A"/>
    <w:rsid w:val="002A5D8C"/>
    <w:rsid w:val="002A6017"/>
    <w:rsid w:val="002A602B"/>
    <w:rsid w:val="002A61AB"/>
    <w:rsid w:val="002A65A0"/>
    <w:rsid w:val="002A67A6"/>
    <w:rsid w:val="002A686B"/>
    <w:rsid w:val="002A688F"/>
    <w:rsid w:val="002A6893"/>
    <w:rsid w:val="002A68DA"/>
    <w:rsid w:val="002A68E8"/>
    <w:rsid w:val="002A6B5F"/>
    <w:rsid w:val="002A6BA3"/>
    <w:rsid w:val="002A6D69"/>
    <w:rsid w:val="002A6E77"/>
    <w:rsid w:val="002A6FEF"/>
    <w:rsid w:val="002A73CF"/>
    <w:rsid w:val="002A75B0"/>
    <w:rsid w:val="002A7693"/>
    <w:rsid w:val="002A7880"/>
    <w:rsid w:val="002A7897"/>
    <w:rsid w:val="002A78B9"/>
    <w:rsid w:val="002A78C8"/>
    <w:rsid w:val="002A796F"/>
    <w:rsid w:val="002A7D01"/>
    <w:rsid w:val="002A7D84"/>
    <w:rsid w:val="002B0202"/>
    <w:rsid w:val="002B0475"/>
    <w:rsid w:val="002B04FF"/>
    <w:rsid w:val="002B0596"/>
    <w:rsid w:val="002B05B8"/>
    <w:rsid w:val="002B0605"/>
    <w:rsid w:val="002B0643"/>
    <w:rsid w:val="002B07FA"/>
    <w:rsid w:val="002B0896"/>
    <w:rsid w:val="002B08E1"/>
    <w:rsid w:val="002B0B85"/>
    <w:rsid w:val="002B0C1D"/>
    <w:rsid w:val="002B0C56"/>
    <w:rsid w:val="002B0C86"/>
    <w:rsid w:val="002B0DFF"/>
    <w:rsid w:val="002B12F4"/>
    <w:rsid w:val="002B15F1"/>
    <w:rsid w:val="002B1719"/>
    <w:rsid w:val="002B17AB"/>
    <w:rsid w:val="002B1C15"/>
    <w:rsid w:val="002B1F9E"/>
    <w:rsid w:val="002B2243"/>
    <w:rsid w:val="002B2832"/>
    <w:rsid w:val="002B2881"/>
    <w:rsid w:val="002B2994"/>
    <w:rsid w:val="002B2A07"/>
    <w:rsid w:val="002B2A83"/>
    <w:rsid w:val="002B2CE7"/>
    <w:rsid w:val="002B2F9D"/>
    <w:rsid w:val="002B30E9"/>
    <w:rsid w:val="002B316F"/>
    <w:rsid w:val="002B3239"/>
    <w:rsid w:val="002B37E4"/>
    <w:rsid w:val="002B392F"/>
    <w:rsid w:val="002B3A96"/>
    <w:rsid w:val="002B3F7F"/>
    <w:rsid w:val="002B42B5"/>
    <w:rsid w:val="002B4342"/>
    <w:rsid w:val="002B43F9"/>
    <w:rsid w:val="002B4493"/>
    <w:rsid w:val="002B45FC"/>
    <w:rsid w:val="002B4785"/>
    <w:rsid w:val="002B4941"/>
    <w:rsid w:val="002B4B8B"/>
    <w:rsid w:val="002B4BFB"/>
    <w:rsid w:val="002B4CCE"/>
    <w:rsid w:val="002B51CC"/>
    <w:rsid w:val="002B5501"/>
    <w:rsid w:val="002B553E"/>
    <w:rsid w:val="002B5AD1"/>
    <w:rsid w:val="002B5B9A"/>
    <w:rsid w:val="002B5BE1"/>
    <w:rsid w:val="002B5D50"/>
    <w:rsid w:val="002B5D74"/>
    <w:rsid w:val="002B5ED8"/>
    <w:rsid w:val="002B5F09"/>
    <w:rsid w:val="002B6150"/>
    <w:rsid w:val="002B6491"/>
    <w:rsid w:val="002B67CA"/>
    <w:rsid w:val="002B6817"/>
    <w:rsid w:val="002B68B7"/>
    <w:rsid w:val="002B6A2B"/>
    <w:rsid w:val="002B6C70"/>
    <w:rsid w:val="002B6E66"/>
    <w:rsid w:val="002B71B6"/>
    <w:rsid w:val="002B71F3"/>
    <w:rsid w:val="002B7246"/>
    <w:rsid w:val="002B755B"/>
    <w:rsid w:val="002B7622"/>
    <w:rsid w:val="002B7A92"/>
    <w:rsid w:val="002B7ADB"/>
    <w:rsid w:val="002B7B0C"/>
    <w:rsid w:val="002B7CF6"/>
    <w:rsid w:val="002B7D64"/>
    <w:rsid w:val="002B7FC4"/>
    <w:rsid w:val="002C00F5"/>
    <w:rsid w:val="002C02DD"/>
    <w:rsid w:val="002C03AE"/>
    <w:rsid w:val="002C0496"/>
    <w:rsid w:val="002C0696"/>
    <w:rsid w:val="002C0980"/>
    <w:rsid w:val="002C0A38"/>
    <w:rsid w:val="002C0B22"/>
    <w:rsid w:val="002C0C0D"/>
    <w:rsid w:val="002C0E44"/>
    <w:rsid w:val="002C0F55"/>
    <w:rsid w:val="002C1435"/>
    <w:rsid w:val="002C14EC"/>
    <w:rsid w:val="002C1543"/>
    <w:rsid w:val="002C162F"/>
    <w:rsid w:val="002C16E5"/>
    <w:rsid w:val="002C16E8"/>
    <w:rsid w:val="002C1751"/>
    <w:rsid w:val="002C17C7"/>
    <w:rsid w:val="002C1B2B"/>
    <w:rsid w:val="002C1C9A"/>
    <w:rsid w:val="002C1D2F"/>
    <w:rsid w:val="002C2004"/>
    <w:rsid w:val="002C21B2"/>
    <w:rsid w:val="002C24F0"/>
    <w:rsid w:val="002C284C"/>
    <w:rsid w:val="002C2CF2"/>
    <w:rsid w:val="002C2F85"/>
    <w:rsid w:val="002C310E"/>
    <w:rsid w:val="002C3220"/>
    <w:rsid w:val="002C32A2"/>
    <w:rsid w:val="002C349E"/>
    <w:rsid w:val="002C353B"/>
    <w:rsid w:val="002C363A"/>
    <w:rsid w:val="002C37AF"/>
    <w:rsid w:val="002C3911"/>
    <w:rsid w:val="002C3AF7"/>
    <w:rsid w:val="002C3C37"/>
    <w:rsid w:val="002C3CE4"/>
    <w:rsid w:val="002C42CE"/>
    <w:rsid w:val="002C4576"/>
    <w:rsid w:val="002C45E6"/>
    <w:rsid w:val="002C469A"/>
    <w:rsid w:val="002C46DF"/>
    <w:rsid w:val="002C4CCB"/>
    <w:rsid w:val="002C4D57"/>
    <w:rsid w:val="002C4E00"/>
    <w:rsid w:val="002C528A"/>
    <w:rsid w:val="002C54BD"/>
    <w:rsid w:val="002C54FD"/>
    <w:rsid w:val="002C5547"/>
    <w:rsid w:val="002C576E"/>
    <w:rsid w:val="002C5AA3"/>
    <w:rsid w:val="002C5AAD"/>
    <w:rsid w:val="002C5C39"/>
    <w:rsid w:val="002C5C90"/>
    <w:rsid w:val="002C5F3B"/>
    <w:rsid w:val="002C60F2"/>
    <w:rsid w:val="002C6239"/>
    <w:rsid w:val="002C6787"/>
    <w:rsid w:val="002C67A2"/>
    <w:rsid w:val="002C6C47"/>
    <w:rsid w:val="002C6CA5"/>
    <w:rsid w:val="002C6D88"/>
    <w:rsid w:val="002C6E32"/>
    <w:rsid w:val="002C6F31"/>
    <w:rsid w:val="002C719E"/>
    <w:rsid w:val="002C7394"/>
    <w:rsid w:val="002C766E"/>
    <w:rsid w:val="002C76F0"/>
    <w:rsid w:val="002C7899"/>
    <w:rsid w:val="002C794B"/>
    <w:rsid w:val="002C7BF2"/>
    <w:rsid w:val="002C7C13"/>
    <w:rsid w:val="002C7CE2"/>
    <w:rsid w:val="002C7DB0"/>
    <w:rsid w:val="002D0089"/>
    <w:rsid w:val="002D0525"/>
    <w:rsid w:val="002D075F"/>
    <w:rsid w:val="002D07E4"/>
    <w:rsid w:val="002D080B"/>
    <w:rsid w:val="002D08AE"/>
    <w:rsid w:val="002D0975"/>
    <w:rsid w:val="002D09ED"/>
    <w:rsid w:val="002D0ADF"/>
    <w:rsid w:val="002D0B73"/>
    <w:rsid w:val="002D0BCB"/>
    <w:rsid w:val="002D0CF1"/>
    <w:rsid w:val="002D0EF2"/>
    <w:rsid w:val="002D0F46"/>
    <w:rsid w:val="002D11F5"/>
    <w:rsid w:val="002D1242"/>
    <w:rsid w:val="002D12D2"/>
    <w:rsid w:val="002D1505"/>
    <w:rsid w:val="002D1604"/>
    <w:rsid w:val="002D1760"/>
    <w:rsid w:val="002D1AE3"/>
    <w:rsid w:val="002D1B3D"/>
    <w:rsid w:val="002D2081"/>
    <w:rsid w:val="002D23D3"/>
    <w:rsid w:val="002D23E6"/>
    <w:rsid w:val="002D2459"/>
    <w:rsid w:val="002D24AC"/>
    <w:rsid w:val="002D2678"/>
    <w:rsid w:val="002D28EF"/>
    <w:rsid w:val="002D2924"/>
    <w:rsid w:val="002D296E"/>
    <w:rsid w:val="002D2AC1"/>
    <w:rsid w:val="002D2DAF"/>
    <w:rsid w:val="002D2F32"/>
    <w:rsid w:val="002D2F90"/>
    <w:rsid w:val="002D2FCA"/>
    <w:rsid w:val="002D3080"/>
    <w:rsid w:val="002D312A"/>
    <w:rsid w:val="002D3258"/>
    <w:rsid w:val="002D3374"/>
    <w:rsid w:val="002D37CF"/>
    <w:rsid w:val="002D37E8"/>
    <w:rsid w:val="002D3832"/>
    <w:rsid w:val="002D3941"/>
    <w:rsid w:val="002D3DBB"/>
    <w:rsid w:val="002D3DF8"/>
    <w:rsid w:val="002D400A"/>
    <w:rsid w:val="002D45E6"/>
    <w:rsid w:val="002D4746"/>
    <w:rsid w:val="002D4979"/>
    <w:rsid w:val="002D49A1"/>
    <w:rsid w:val="002D49AC"/>
    <w:rsid w:val="002D4C92"/>
    <w:rsid w:val="002D4F37"/>
    <w:rsid w:val="002D5777"/>
    <w:rsid w:val="002D5778"/>
    <w:rsid w:val="002D5998"/>
    <w:rsid w:val="002D5AC0"/>
    <w:rsid w:val="002D5AE3"/>
    <w:rsid w:val="002D5BA3"/>
    <w:rsid w:val="002D5E1A"/>
    <w:rsid w:val="002D5E38"/>
    <w:rsid w:val="002D6743"/>
    <w:rsid w:val="002D6889"/>
    <w:rsid w:val="002D692E"/>
    <w:rsid w:val="002D6AD8"/>
    <w:rsid w:val="002D707B"/>
    <w:rsid w:val="002D753A"/>
    <w:rsid w:val="002D7568"/>
    <w:rsid w:val="002D77D8"/>
    <w:rsid w:val="002D7823"/>
    <w:rsid w:val="002D79D7"/>
    <w:rsid w:val="002D79FD"/>
    <w:rsid w:val="002D7D72"/>
    <w:rsid w:val="002D7D86"/>
    <w:rsid w:val="002D7F0F"/>
    <w:rsid w:val="002D7FEA"/>
    <w:rsid w:val="002E01FC"/>
    <w:rsid w:val="002E03C6"/>
    <w:rsid w:val="002E03CA"/>
    <w:rsid w:val="002E06CA"/>
    <w:rsid w:val="002E0765"/>
    <w:rsid w:val="002E0B7A"/>
    <w:rsid w:val="002E0CBE"/>
    <w:rsid w:val="002E0DF0"/>
    <w:rsid w:val="002E0E5D"/>
    <w:rsid w:val="002E0F31"/>
    <w:rsid w:val="002E0FE3"/>
    <w:rsid w:val="002E1461"/>
    <w:rsid w:val="002E148B"/>
    <w:rsid w:val="002E14B6"/>
    <w:rsid w:val="002E1735"/>
    <w:rsid w:val="002E176D"/>
    <w:rsid w:val="002E17B5"/>
    <w:rsid w:val="002E18A4"/>
    <w:rsid w:val="002E1916"/>
    <w:rsid w:val="002E1A5B"/>
    <w:rsid w:val="002E1A76"/>
    <w:rsid w:val="002E208D"/>
    <w:rsid w:val="002E23BC"/>
    <w:rsid w:val="002E2719"/>
    <w:rsid w:val="002E27F6"/>
    <w:rsid w:val="002E2B15"/>
    <w:rsid w:val="002E2D53"/>
    <w:rsid w:val="002E2D78"/>
    <w:rsid w:val="002E2FA1"/>
    <w:rsid w:val="002E30AB"/>
    <w:rsid w:val="002E332C"/>
    <w:rsid w:val="002E34DC"/>
    <w:rsid w:val="002E362F"/>
    <w:rsid w:val="002E389F"/>
    <w:rsid w:val="002E38B7"/>
    <w:rsid w:val="002E3973"/>
    <w:rsid w:val="002E39DD"/>
    <w:rsid w:val="002E3B2F"/>
    <w:rsid w:val="002E3D6D"/>
    <w:rsid w:val="002E41F0"/>
    <w:rsid w:val="002E421E"/>
    <w:rsid w:val="002E4290"/>
    <w:rsid w:val="002E4293"/>
    <w:rsid w:val="002E4342"/>
    <w:rsid w:val="002E43AE"/>
    <w:rsid w:val="002E4591"/>
    <w:rsid w:val="002E47CF"/>
    <w:rsid w:val="002E4B5D"/>
    <w:rsid w:val="002E4BB4"/>
    <w:rsid w:val="002E4C2D"/>
    <w:rsid w:val="002E4C49"/>
    <w:rsid w:val="002E4F05"/>
    <w:rsid w:val="002E5084"/>
    <w:rsid w:val="002E5097"/>
    <w:rsid w:val="002E514F"/>
    <w:rsid w:val="002E5285"/>
    <w:rsid w:val="002E55B2"/>
    <w:rsid w:val="002E5AD9"/>
    <w:rsid w:val="002E5DEA"/>
    <w:rsid w:val="002E5EEB"/>
    <w:rsid w:val="002E6029"/>
    <w:rsid w:val="002E6313"/>
    <w:rsid w:val="002E63C0"/>
    <w:rsid w:val="002E64B6"/>
    <w:rsid w:val="002E64E5"/>
    <w:rsid w:val="002E6640"/>
    <w:rsid w:val="002E67F9"/>
    <w:rsid w:val="002E6928"/>
    <w:rsid w:val="002E6935"/>
    <w:rsid w:val="002E69DB"/>
    <w:rsid w:val="002E6A57"/>
    <w:rsid w:val="002E6DA7"/>
    <w:rsid w:val="002E70A0"/>
    <w:rsid w:val="002E7146"/>
    <w:rsid w:val="002E71BB"/>
    <w:rsid w:val="002E724A"/>
    <w:rsid w:val="002E755D"/>
    <w:rsid w:val="002E7679"/>
    <w:rsid w:val="002E79B5"/>
    <w:rsid w:val="002E7D61"/>
    <w:rsid w:val="002E7F01"/>
    <w:rsid w:val="002E7F9F"/>
    <w:rsid w:val="002F0044"/>
    <w:rsid w:val="002F0193"/>
    <w:rsid w:val="002F01E7"/>
    <w:rsid w:val="002F063B"/>
    <w:rsid w:val="002F0782"/>
    <w:rsid w:val="002F078A"/>
    <w:rsid w:val="002F0A09"/>
    <w:rsid w:val="002F0DD9"/>
    <w:rsid w:val="002F0E48"/>
    <w:rsid w:val="002F0F66"/>
    <w:rsid w:val="002F0FDE"/>
    <w:rsid w:val="002F1120"/>
    <w:rsid w:val="002F120D"/>
    <w:rsid w:val="002F14C3"/>
    <w:rsid w:val="002F1607"/>
    <w:rsid w:val="002F2054"/>
    <w:rsid w:val="002F24EA"/>
    <w:rsid w:val="002F2565"/>
    <w:rsid w:val="002F26DE"/>
    <w:rsid w:val="002F26E5"/>
    <w:rsid w:val="002F26E6"/>
    <w:rsid w:val="002F28F6"/>
    <w:rsid w:val="002F2D64"/>
    <w:rsid w:val="002F2E07"/>
    <w:rsid w:val="002F311E"/>
    <w:rsid w:val="002F313A"/>
    <w:rsid w:val="002F3140"/>
    <w:rsid w:val="002F31DF"/>
    <w:rsid w:val="002F323B"/>
    <w:rsid w:val="002F345B"/>
    <w:rsid w:val="002F3651"/>
    <w:rsid w:val="002F3706"/>
    <w:rsid w:val="002F3965"/>
    <w:rsid w:val="002F3D63"/>
    <w:rsid w:val="002F4061"/>
    <w:rsid w:val="002F40AF"/>
    <w:rsid w:val="002F4515"/>
    <w:rsid w:val="002F452D"/>
    <w:rsid w:val="002F4E16"/>
    <w:rsid w:val="002F4F02"/>
    <w:rsid w:val="002F4FDD"/>
    <w:rsid w:val="002F513B"/>
    <w:rsid w:val="002F51DA"/>
    <w:rsid w:val="002F52C8"/>
    <w:rsid w:val="002F54B4"/>
    <w:rsid w:val="002F5765"/>
    <w:rsid w:val="002F57E6"/>
    <w:rsid w:val="002F5815"/>
    <w:rsid w:val="002F5C13"/>
    <w:rsid w:val="002F5FEC"/>
    <w:rsid w:val="002F60FF"/>
    <w:rsid w:val="002F6160"/>
    <w:rsid w:val="002F6508"/>
    <w:rsid w:val="002F65C3"/>
    <w:rsid w:val="002F65EB"/>
    <w:rsid w:val="002F662F"/>
    <w:rsid w:val="002F67BD"/>
    <w:rsid w:val="002F6A64"/>
    <w:rsid w:val="002F6A77"/>
    <w:rsid w:val="002F6DB1"/>
    <w:rsid w:val="002F6E67"/>
    <w:rsid w:val="002F6F47"/>
    <w:rsid w:val="002F6FBB"/>
    <w:rsid w:val="002F712A"/>
    <w:rsid w:val="002F71B8"/>
    <w:rsid w:val="002F71F4"/>
    <w:rsid w:val="002F72E8"/>
    <w:rsid w:val="002F749D"/>
    <w:rsid w:val="002F75E2"/>
    <w:rsid w:val="002F7626"/>
    <w:rsid w:val="002F779D"/>
    <w:rsid w:val="002F7833"/>
    <w:rsid w:val="002F79F1"/>
    <w:rsid w:val="002F7AF1"/>
    <w:rsid w:val="002F7F07"/>
    <w:rsid w:val="003004AD"/>
    <w:rsid w:val="00300718"/>
    <w:rsid w:val="0030073C"/>
    <w:rsid w:val="003007F2"/>
    <w:rsid w:val="003008D3"/>
    <w:rsid w:val="00300976"/>
    <w:rsid w:val="00300A08"/>
    <w:rsid w:val="00300B81"/>
    <w:rsid w:val="00300E07"/>
    <w:rsid w:val="003010F3"/>
    <w:rsid w:val="0030128B"/>
    <w:rsid w:val="00301435"/>
    <w:rsid w:val="003015B1"/>
    <w:rsid w:val="00301789"/>
    <w:rsid w:val="00301A24"/>
    <w:rsid w:val="00301B72"/>
    <w:rsid w:val="00301D5C"/>
    <w:rsid w:val="00301DC1"/>
    <w:rsid w:val="00301EA1"/>
    <w:rsid w:val="00301EDD"/>
    <w:rsid w:val="00301F26"/>
    <w:rsid w:val="0030212E"/>
    <w:rsid w:val="003021F6"/>
    <w:rsid w:val="003026A3"/>
    <w:rsid w:val="00302937"/>
    <w:rsid w:val="00302946"/>
    <w:rsid w:val="00302A60"/>
    <w:rsid w:val="00302CC1"/>
    <w:rsid w:val="00302FCC"/>
    <w:rsid w:val="00303468"/>
    <w:rsid w:val="00303627"/>
    <w:rsid w:val="0030364E"/>
    <w:rsid w:val="00303806"/>
    <w:rsid w:val="003038A3"/>
    <w:rsid w:val="00303908"/>
    <w:rsid w:val="0030393B"/>
    <w:rsid w:val="00303BDC"/>
    <w:rsid w:val="00303C24"/>
    <w:rsid w:val="00303E9D"/>
    <w:rsid w:val="00303F18"/>
    <w:rsid w:val="00304170"/>
    <w:rsid w:val="003041AB"/>
    <w:rsid w:val="0030481D"/>
    <w:rsid w:val="003049E8"/>
    <w:rsid w:val="00304AA5"/>
    <w:rsid w:val="00304CBD"/>
    <w:rsid w:val="00304D4E"/>
    <w:rsid w:val="00304F97"/>
    <w:rsid w:val="00305015"/>
    <w:rsid w:val="0030558F"/>
    <w:rsid w:val="00305620"/>
    <w:rsid w:val="003057CB"/>
    <w:rsid w:val="00305835"/>
    <w:rsid w:val="00305C40"/>
    <w:rsid w:val="00306003"/>
    <w:rsid w:val="00306016"/>
    <w:rsid w:val="00306141"/>
    <w:rsid w:val="003061BE"/>
    <w:rsid w:val="00306224"/>
    <w:rsid w:val="003062AE"/>
    <w:rsid w:val="003062E7"/>
    <w:rsid w:val="0030652E"/>
    <w:rsid w:val="00306565"/>
    <w:rsid w:val="003067CF"/>
    <w:rsid w:val="003068FA"/>
    <w:rsid w:val="00306BE8"/>
    <w:rsid w:val="00306C47"/>
    <w:rsid w:val="00306DF9"/>
    <w:rsid w:val="00306EEC"/>
    <w:rsid w:val="00307024"/>
    <w:rsid w:val="00307041"/>
    <w:rsid w:val="003071BE"/>
    <w:rsid w:val="00307313"/>
    <w:rsid w:val="003073F7"/>
    <w:rsid w:val="00307704"/>
    <w:rsid w:val="00307710"/>
    <w:rsid w:val="00307738"/>
    <w:rsid w:val="003077EF"/>
    <w:rsid w:val="00307DA0"/>
    <w:rsid w:val="003100A4"/>
    <w:rsid w:val="003100D6"/>
    <w:rsid w:val="00310141"/>
    <w:rsid w:val="003102C5"/>
    <w:rsid w:val="0031033B"/>
    <w:rsid w:val="003103B1"/>
    <w:rsid w:val="003103F1"/>
    <w:rsid w:val="00310562"/>
    <w:rsid w:val="0031074B"/>
    <w:rsid w:val="003107AE"/>
    <w:rsid w:val="00310863"/>
    <w:rsid w:val="00310894"/>
    <w:rsid w:val="00310C5E"/>
    <w:rsid w:val="00310C81"/>
    <w:rsid w:val="00310E37"/>
    <w:rsid w:val="00310F89"/>
    <w:rsid w:val="003110E3"/>
    <w:rsid w:val="00311199"/>
    <w:rsid w:val="003117DB"/>
    <w:rsid w:val="0031197F"/>
    <w:rsid w:val="00311B78"/>
    <w:rsid w:val="00311BB6"/>
    <w:rsid w:val="00311F52"/>
    <w:rsid w:val="00312235"/>
    <w:rsid w:val="00312350"/>
    <w:rsid w:val="00312422"/>
    <w:rsid w:val="00312531"/>
    <w:rsid w:val="003128BF"/>
    <w:rsid w:val="00312DE8"/>
    <w:rsid w:val="00312E09"/>
    <w:rsid w:val="00312E86"/>
    <w:rsid w:val="00312F1E"/>
    <w:rsid w:val="00312F38"/>
    <w:rsid w:val="003130E8"/>
    <w:rsid w:val="00313231"/>
    <w:rsid w:val="0031336D"/>
    <w:rsid w:val="00313627"/>
    <w:rsid w:val="0031377C"/>
    <w:rsid w:val="0031399D"/>
    <w:rsid w:val="00314033"/>
    <w:rsid w:val="00314302"/>
    <w:rsid w:val="003144F8"/>
    <w:rsid w:val="0031480D"/>
    <w:rsid w:val="00314858"/>
    <w:rsid w:val="003148CF"/>
    <w:rsid w:val="00314953"/>
    <w:rsid w:val="00314BFC"/>
    <w:rsid w:val="0031520E"/>
    <w:rsid w:val="00315514"/>
    <w:rsid w:val="003155F8"/>
    <w:rsid w:val="00315643"/>
    <w:rsid w:val="0031572B"/>
    <w:rsid w:val="00315744"/>
    <w:rsid w:val="003157B5"/>
    <w:rsid w:val="003160D8"/>
    <w:rsid w:val="003162EB"/>
    <w:rsid w:val="00316338"/>
    <w:rsid w:val="00316399"/>
    <w:rsid w:val="003164B4"/>
    <w:rsid w:val="00316535"/>
    <w:rsid w:val="0031668F"/>
    <w:rsid w:val="00316855"/>
    <w:rsid w:val="00316945"/>
    <w:rsid w:val="00316C21"/>
    <w:rsid w:val="00316C6E"/>
    <w:rsid w:val="00317421"/>
    <w:rsid w:val="0031748E"/>
    <w:rsid w:val="0031773F"/>
    <w:rsid w:val="00317892"/>
    <w:rsid w:val="003179A2"/>
    <w:rsid w:val="00317B98"/>
    <w:rsid w:val="00317CD4"/>
    <w:rsid w:val="00317CDA"/>
    <w:rsid w:val="00317E18"/>
    <w:rsid w:val="00317E96"/>
    <w:rsid w:val="00317EC4"/>
    <w:rsid w:val="00317F9E"/>
    <w:rsid w:val="00320067"/>
    <w:rsid w:val="003200A8"/>
    <w:rsid w:val="0032052B"/>
    <w:rsid w:val="003206BC"/>
    <w:rsid w:val="003208AE"/>
    <w:rsid w:val="00320C6F"/>
    <w:rsid w:val="00320C7F"/>
    <w:rsid w:val="0032100C"/>
    <w:rsid w:val="00321116"/>
    <w:rsid w:val="00321337"/>
    <w:rsid w:val="0032141C"/>
    <w:rsid w:val="003214DE"/>
    <w:rsid w:val="00321647"/>
    <w:rsid w:val="0032164F"/>
    <w:rsid w:val="00321662"/>
    <w:rsid w:val="0032169D"/>
    <w:rsid w:val="00321CB0"/>
    <w:rsid w:val="00321F02"/>
    <w:rsid w:val="00322066"/>
    <w:rsid w:val="00322270"/>
    <w:rsid w:val="00322363"/>
    <w:rsid w:val="003223AE"/>
    <w:rsid w:val="003223DD"/>
    <w:rsid w:val="0032267D"/>
    <w:rsid w:val="00322DF8"/>
    <w:rsid w:val="00322E4C"/>
    <w:rsid w:val="003231F2"/>
    <w:rsid w:val="00323238"/>
    <w:rsid w:val="003232E0"/>
    <w:rsid w:val="003232EC"/>
    <w:rsid w:val="00323395"/>
    <w:rsid w:val="003235BB"/>
    <w:rsid w:val="00323741"/>
    <w:rsid w:val="00323786"/>
    <w:rsid w:val="00323CDD"/>
    <w:rsid w:val="00323E74"/>
    <w:rsid w:val="00323FE4"/>
    <w:rsid w:val="00324141"/>
    <w:rsid w:val="00324424"/>
    <w:rsid w:val="003245BA"/>
    <w:rsid w:val="00324B79"/>
    <w:rsid w:val="00325150"/>
    <w:rsid w:val="003251DC"/>
    <w:rsid w:val="00325240"/>
    <w:rsid w:val="003252A9"/>
    <w:rsid w:val="003252BD"/>
    <w:rsid w:val="0032545B"/>
    <w:rsid w:val="003256B4"/>
    <w:rsid w:val="003257AF"/>
    <w:rsid w:val="00325903"/>
    <w:rsid w:val="00325E02"/>
    <w:rsid w:val="00325F71"/>
    <w:rsid w:val="00326652"/>
    <w:rsid w:val="0032671B"/>
    <w:rsid w:val="00326849"/>
    <w:rsid w:val="00326979"/>
    <w:rsid w:val="00326A5E"/>
    <w:rsid w:val="00326F72"/>
    <w:rsid w:val="003270E9"/>
    <w:rsid w:val="0032752F"/>
    <w:rsid w:val="003275FE"/>
    <w:rsid w:val="0032767D"/>
    <w:rsid w:val="0032778C"/>
    <w:rsid w:val="003278C4"/>
    <w:rsid w:val="003279D9"/>
    <w:rsid w:val="00327B33"/>
    <w:rsid w:val="00327BB2"/>
    <w:rsid w:val="00327C0C"/>
    <w:rsid w:val="00327D4E"/>
    <w:rsid w:val="00327D97"/>
    <w:rsid w:val="00327F83"/>
    <w:rsid w:val="00330006"/>
    <w:rsid w:val="00330121"/>
    <w:rsid w:val="003308A5"/>
    <w:rsid w:val="00330C42"/>
    <w:rsid w:val="00330D0C"/>
    <w:rsid w:val="00330DD1"/>
    <w:rsid w:val="00330EB4"/>
    <w:rsid w:val="003313C4"/>
    <w:rsid w:val="003315B2"/>
    <w:rsid w:val="003315F7"/>
    <w:rsid w:val="00331649"/>
    <w:rsid w:val="003316CE"/>
    <w:rsid w:val="00331A16"/>
    <w:rsid w:val="00331A57"/>
    <w:rsid w:val="00331CAF"/>
    <w:rsid w:val="00331D6A"/>
    <w:rsid w:val="00331DB8"/>
    <w:rsid w:val="003322ED"/>
    <w:rsid w:val="003324FB"/>
    <w:rsid w:val="00332641"/>
    <w:rsid w:val="0033280A"/>
    <w:rsid w:val="00332D15"/>
    <w:rsid w:val="003331C5"/>
    <w:rsid w:val="0033329F"/>
    <w:rsid w:val="0033351A"/>
    <w:rsid w:val="00333575"/>
    <w:rsid w:val="00333C84"/>
    <w:rsid w:val="00333C98"/>
    <w:rsid w:val="00333DA4"/>
    <w:rsid w:val="0033451E"/>
    <w:rsid w:val="0033453D"/>
    <w:rsid w:val="0033454B"/>
    <w:rsid w:val="00334740"/>
    <w:rsid w:val="0033484C"/>
    <w:rsid w:val="0033491A"/>
    <w:rsid w:val="0033496B"/>
    <w:rsid w:val="00334A5F"/>
    <w:rsid w:val="00334ACF"/>
    <w:rsid w:val="00334E00"/>
    <w:rsid w:val="00334E72"/>
    <w:rsid w:val="003351D8"/>
    <w:rsid w:val="003357C7"/>
    <w:rsid w:val="00335972"/>
    <w:rsid w:val="00335B76"/>
    <w:rsid w:val="00335F6A"/>
    <w:rsid w:val="00336024"/>
    <w:rsid w:val="0033614E"/>
    <w:rsid w:val="003363BF"/>
    <w:rsid w:val="00336476"/>
    <w:rsid w:val="003365EB"/>
    <w:rsid w:val="0033693D"/>
    <w:rsid w:val="00336C65"/>
    <w:rsid w:val="00336CEB"/>
    <w:rsid w:val="00336E9E"/>
    <w:rsid w:val="00337502"/>
    <w:rsid w:val="0033768E"/>
    <w:rsid w:val="00337B55"/>
    <w:rsid w:val="00337B8A"/>
    <w:rsid w:val="00337CD8"/>
    <w:rsid w:val="00337CE6"/>
    <w:rsid w:val="00337D08"/>
    <w:rsid w:val="00337E76"/>
    <w:rsid w:val="00337EE9"/>
    <w:rsid w:val="00337F84"/>
    <w:rsid w:val="00340128"/>
    <w:rsid w:val="0034044B"/>
    <w:rsid w:val="00340514"/>
    <w:rsid w:val="00340742"/>
    <w:rsid w:val="003412EA"/>
    <w:rsid w:val="00341314"/>
    <w:rsid w:val="00341373"/>
    <w:rsid w:val="003413C4"/>
    <w:rsid w:val="003414B4"/>
    <w:rsid w:val="003414EA"/>
    <w:rsid w:val="003415DC"/>
    <w:rsid w:val="0034170D"/>
    <w:rsid w:val="00341811"/>
    <w:rsid w:val="00341814"/>
    <w:rsid w:val="003418DE"/>
    <w:rsid w:val="003419BB"/>
    <w:rsid w:val="00341A14"/>
    <w:rsid w:val="00341D94"/>
    <w:rsid w:val="00341D96"/>
    <w:rsid w:val="00342124"/>
    <w:rsid w:val="0034218D"/>
    <w:rsid w:val="003421CC"/>
    <w:rsid w:val="0034229E"/>
    <w:rsid w:val="003424A2"/>
    <w:rsid w:val="0034252F"/>
    <w:rsid w:val="00342666"/>
    <w:rsid w:val="00342841"/>
    <w:rsid w:val="0034297E"/>
    <w:rsid w:val="003429D1"/>
    <w:rsid w:val="00342D49"/>
    <w:rsid w:val="00342E73"/>
    <w:rsid w:val="00342E9B"/>
    <w:rsid w:val="003432ED"/>
    <w:rsid w:val="003433EB"/>
    <w:rsid w:val="0034352D"/>
    <w:rsid w:val="00343662"/>
    <w:rsid w:val="00343CC8"/>
    <w:rsid w:val="003441E8"/>
    <w:rsid w:val="003441F2"/>
    <w:rsid w:val="003446DF"/>
    <w:rsid w:val="00344968"/>
    <w:rsid w:val="0034497A"/>
    <w:rsid w:val="00344B88"/>
    <w:rsid w:val="003453ED"/>
    <w:rsid w:val="00345428"/>
    <w:rsid w:val="003459E4"/>
    <w:rsid w:val="00345CA5"/>
    <w:rsid w:val="00345E01"/>
    <w:rsid w:val="00345EE5"/>
    <w:rsid w:val="00345EEA"/>
    <w:rsid w:val="00345F6D"/>
    <w:rsid w:val="00345FC6"/>
    <w:rsid w:val="00345FCA"/>
    <w:rsid w:val="00346093"/>
    <w:rsid w:val="0034627A"/>
    <w:rsid w:val="00346293"/>
    <w:rsid w:val="00346441"/>
    <w:rsid w:val="0034659F"/>
    <w:rsid w:val="0034662E"/>
    <w:rsid w:val="00346771"/>
    <w:rsid w:val="00346777"/>
    <w:rsid w:val="00346F69"/>
    <w:rsid w:val="003471A3"/>
    <w:rsid w:val="003476AC"/>
    <w:rsid w:val="00347747"/>
    <w:rsid w:val="003478EC"/>
    <w:rsid w:val="003479D4"/>
    <w:rsid w:val="003479DD"/>
    <w:rsid w:val="00347C40"/>
    <w:rsid w:val="00347CE2"/>
    <w:rsid w:val="00350311"/>
    <w:rsid w:val="00350313"/>
    <w:rsid w:val="003503EC"/>
    <w:rsid w:val="0035045D"/>
    <w:rsid w:val="00350541"/>
    <w:rsid w:val="0035070A"/>
    <w:rsid w:val="00350878"/>
    <w:rsid w:val="003508DD"/>
    <w:rsid w:val="00350915"/>
    <w:rsid w:val="00350F6D"/>
    <w:rsid w:val="00351166"/>
    <w:rsid w:val="0035129E"/>
    <w:rsid w:val="003512FB"/>
    <w:rsid w:val="00351381"/>
    <w:rsid w:val="00351750"/>
    <w:rsid w:val="003517E9"/>
    <w:rsid w:val="00351A6A"/>
    <w:rsid w:val="00351A94"/>
    <w:rsid w:val="00351B70"/>
    <w:rsid w:val="00351F35"/>
    <w:rsid w:val="00352001"/>
    <w:rsid w:val="003520B1"/>
    <w:rsid w:val="0035253A"/>
    <w:rsid w:val="00352627"/>
    <w:rsid w:val="00352CC2"/>
    <w:rsid w:val="00352E12"/>
    <w:rsid w:val="00353044"/>
    <w:rsid w:val="003530A6"/>
    <w:rsid w:val="003530BA"/>
    <w:rsid w:val="00353137"/>
    <w:rsid w:val="00353178"/>
    <w:rsid w:val="00353350"/>
    <w:rsid w:val="003535C2"/>
    <w:rsid w:val="00353627"/>
    <w:rsid w:val="003536F4"/>
    <w:rsid w:val="00353771"/>
    <w:rsid w:val="00353918"/>
    <w:rsid w:val="00353E95"/>
    <w:rsid w:val="00353FE7"/>
    <w:rsid w:val="003544F8"/>
    <w:rsid w:val="00354697"/>
    <w:rsid w:val="00354973"/>
    <w:rsid w:val="00354B6F"/>
    <w:rsid w:val="00355204"/>
    <w:rsid w:val="00355532"/>
    <w:rsid w:val="00355773"/>
    <w:rsid w:val="0035589E"/>
    <w:rsid w:val="003559EF"/>
    <w:rsid w:val="00355C1F"/>
    <w:rsid w:val="00355DF1"/>
    <w:rsid w:val="00355F72"/>
    <w:rsid w:val="003561E9"/>
    <w:rsid w:val="0035621B"/>
    <w:rsid w:val="0035637B"/>
    <w:rsid w:val="00356501"/>
    <w:rsid w:val="003566E0"/>
    <w:rsid w:val="003569FE"/>
    <w:rsid w:val="00356B5A"/>
    <w:rsid w:val="00356B8E"/>
    <w:rsid w:val="00356C00"/>
    <w:rsid w:val="00356C1C"/>
    <w:rsid w:val="00356CB3"/>
    <w:rsid w:val="00356CFC"/>
    <w:rsid w:val="00356F8B"/>
    <w:rsid w:val="003571B9"/>
    <w:rsid w:val="00357251"/>
    <w:rsid w:val="0035744E"/>
    <w:rsid w:val="0035751A"/>
    <w:rsid w:val="00357657"/>
    <w:rsid w:val="00357714"/>
    <w:rsid w:val="00357C92"/>
    <w:rsid w:val="00357DCD"/>
    <w:rsid w:val="00357E32"/>
    <w:rsid w:val="00357F36"/>
    <w:rsid w:val="003601A2"/>
    <w:rsid w:val="00360382"/>
    <w:rsid w:val="003603E6"/>
    <w:rsid w:val="00360505"/>
    <w:rsid w:val="0036075E"/>
    <w:rsid w:val="00360883"/>
    <w:rsid w:val="0036091A"/>
    <w:rsid w:val="00360976"/>
    <w:rsid w:val="00360B54"/>
    <w:rsid w:val="00360BA2"/>
    <w:rsid w:val="00360E28"/>
    <w:rsid w:val="00360FB8"/>
    <w:rsid w:val="0036126E"/>
    <w:rsid w:val="003615F9"/>
    <w:rsid w:val="0036191B"/>
    <w:rsid w:val="003619B7"/>
    <w:rsid w:val="00361A87"/>
    <w:rsid w:val="00361D0F"/>
    <w:rsid w:val="00361DC4"/>
    <w:rsid w:val="00362001"/>
    <w:rsid w:val="00362075"/>
    <w:rsid w:val="003621BB"/>
    <w:rsid w:val="00362205"/>
    <w:rsid w:val="003623E2"/>
    <w:rsid w:val="00362442"/>
    <w:rsid w:val="003627C4"/>
    <w:rsid w:val="003627D6"/>
    <w:rsid w:val="00362808"/>
    <w:rsid w:val="00362A07"/>
    <w:rsid w:val="00362A54"/>
    <w:rsid w:val="00362B43"/>
    <w:rsid w:val="00362BF2"/>
    <w:rsid w:val="00362C83"/>
    <w:rsid w:val="0036300D"/>
    <w:rsid w:val="003630D6"/>
    <w:rsid w:val="00363103"/>
    <w:rsid w:val="00363452"/>
    <w:rsid w:val="00363487"/>
    <w:rsid w:val="0036363A"/>
    <w:rsid w:val="00363977"/>
    <w:rsid w:val="003639A6"/>
    <w:rsid w:val="00363DCE"/>
    <w:rsid w:val="00364133"/>
    <w:rsid w:val="003645D5"/>
    <w:rsid w:val="00364644"/>
    <w:rsid w:val="003649DA"/>
    <w:rsid w:val="00364DCA"/>
    <w:rsid w:val="00364EA1"/>
    <w:rsid w:val="00364EFE"/>
    <w:rsid w:val="00364F88"/>
    <w:rsid w:val="00365168"/>
    <w:rsid w:val="00365302"/>
    <w:rsid w:val="00365397"/>
    <w:rsid w:val="003656FC"/>
    <w:rsid w:val="00365743"/>
    <w:rsid w:val="00365C9A"/>
    <w:rsid w:val="00365DC2"/>
    <w:rsid w:val="00365DC4"/>
    <w:rsid w:val="00365F6B"/>
    <w:rsid w:val="00365FC0"/>
    <w:rsid w:val="003661B7"/>
    <w:rsid w:val="00366755"/>
    <w:rsid w:val="0036677D"/>
    <w:rsid w:val="00366833"/>
    <w:rsid w:val="00366990"/>
    <w:rsid w:val="00366F1D"/>
    <w:rsid w:val="0036703D"/>
    <w:rsid w:val="003671F2"/>
    <w:rsid w:val="00367215"/>
    <w:rsid w:val="003675B6"/>
    <w:rsid w:val="00367765"/>
    <w:rsid w:val="003677AF"/>
    <w:rsid w:val="00367850"/>
    <w:rsid w:val="003679AE"/>
    <w:rsid w:val="00367B69"/>
    <w:rsid w:val="00367CCA"/>
    <w:rsid w:val="00370212"/>
    <w:rsid w:val="0037024C"/>
    <w:rsid w:val="00370277"/>
    <w:rsid w:val="00370297"/>
    <w:rsid w:val="00370472"/>
    <w:rsid w:val="0037059E"/>
    <w:rsid w:val="00370688"/>
    <w:rsid w:val="0037069B"/>
    <w:rsid w:val="0037095F"/>
    <w:rsid w:val="00370AF6"/>
    <w:rsid w:val="00370EBA"/>
    <w:rsid w:val="00370FAC"/>
    <w:rsid w:val="00371342"/>
    <w:rsid w:val="00371396"/>
    <w:rsid w:val="003714BA"/>
    <w:rsid w:val="003717EC"/>
    <w:rsid w:val="003717EF"/>
    <w:rsid w:val="003718C1"/>
    <w:rsid w:val="003718F6"/>
    <w:rsid w:val="00371913"/>
    <w:rsid w:val="00371DC9"/>
    <w:rsid w:val="00372015"/>
    <w:rsid w:val="003722D6"/>
    <w:rsid w:val="0037241D"/>
    <w:rsid w:val="0037255C"/>
    <w:rsid w:val="00372A81"/>
    <w:rsid w:val="0037308D"/>
    <w:rsid w:val="00373151"/>
    <w:rsid w:val="00373285"/>
    <w:rsid w:val="003732E8"/>
    <w:rsid w:val="0037331C"/>
    <w:rsid w:val="00373AD1"/>
    <w:rsid w:val="00373CF6"/>
    <w:rsid w:val="00373EFF"/>
    <w:rsid w:val="0037425F"/>
    <w:rsid w:val="003742AD"/>
    <w:rsid w:val="003747ED"/>
    <w:rsid w:val="003749C6"/>
    <w:rsid w:val="0037530E"/>
    <w:rsid w:val="003757B5"/>
    <w:rsid w:val="00375948"/>
    <w:rsid w:val="003759BA"/>
    <w:rsid w:val="003759E2"/>
    <w:rsid w:val="00375BE8"/>
    <w:rsid w:val="00375C4E"/>
    <w:rsid w:val="00375E53"/>
    <w:rsid w:val="003760DA"/>
    <w:rsid w:val="00376357"/>
    <w:rsid w:val="00376372"/>
    <w:rsid w:val="0037656E"/>
    <w:rsid w:val="00376C8F"/>
    <w:rsid w:val="00376FF1"/>
    <w:rsid w:val="003770C9"/>
    <w:rsid w:val="00377120"/>
    <w:rsid w:val="0037716E"/>
    <w:rsid w:val="003772F7"/>
    <w:rsid w:val="0037749A"/>
    <w:rsid w:val="003774F4"/>
    <w:rsid w:val="0037751D"/>
    <w:rsid w:val="00377563"/>
    <w:rsid w:val="00377820"/>
    <w:rsid w:val="0037792C"/>
    <w:rsid w:val="0037797A"/>
    <w:rsid w:val="003779F5"/>
    <w:rsid w:val="00377A46"/>
    <w:rsid w:val="00377C6B"/>
    <w:rsid w:val="00377D52"/>
    <w:rsid w:val="00377F26"/>
    <w:rsid w:val="0038004D"/>
    <w:rsid w:val="003802AE"/>
    <w:rsid w:val="00380727"/>
    <w:rsid w:val="00380809"/>
    <w:rsid w:val="00380E50"/>
    <w:rsid w:val="0038103C"/>
    <w:rsid w:val="00381086"/>
    <w:rsid w:val="00381133"/>
    <w:rsid w:val="00381259"/>
    <w:rsid w:val="00381393"/>
    <w:rsid w:val="00381525"/>
    <w:rsid w:val="00381A6E"/>
    <w:rsid w:val="00381C39"/>
    <w:rsid w:val="00381D4D"/>
    <w:rsid w:val="00381DCC"/>
    <w:rsid w:val="00381F10"/>
    <w:rsid w:val="0038206E"/>
    <w:rsid w:val="0038252A"/>
    <w:rsid w:val="00382586"/>
    <w:rsid w:val="00382773"/>
    <w:rsid w:val="0038281C"/>
    <w:rsid w:val="003829C3"/>
    <w:rsid w:val="00382C8E"/>
    <w:rsid w:val="00382ECB"/>
    <w:rsid w:val="003830E2"/>
    <w:rsid w:val="00383358"/>
    <w:rsid w:val="00383900"/>
    <w:rsid w:val="003839E2"/>
    <w:rsid w:val="00383C3C"/>
    <w:rsid w:val="00383EC7"/>
    <w:rsid w:val="003840D0"/>
    <w:rsid w:val="003840F7"/>
    <w:rsid w:val="00384331"/>
    <w:rsid w:val="003843AD"/>
    <w:rsid w:val="003845AB"/>
    <w:rsid w:val="0038462A"/>
    <w:rsid w:val="003849A0"/>
    <w:rsid w:val="00384C8D"/>
    <w:rsid w:val="00385068"/>
    <w:rsid w:val="0038516B"/>
    <w:rsid w:val="003854B7"/>
    <w:rsid w:val="00385515"/>
    <w:rsid w:val="0038564B"/>
    <w:rsid w:val="003856C1"/>
    <w:rsid w:val="003856E3"/>
    <w:rsid w:val="003857C8"/>
    <w:rsid w:val="00385875"/>
    <w:rsid w:val="00385A2B"/>
    <w:rsid w:val="00385A64"/>
    <w:rsid w:val="00385E41"/>
    <w:rsid w:val="003861F3"/>
    <w:rsid w:val="003861FC"/>
    <w:rsid w:val="0038632C"/>
    <w:rsid w:val="003865AC"/>
    <w:rsid w:val="00386A00"/>
    <w:rsid w:val="00386CA7"/>
    <w:rsid w:val="00386D1A"/>
    <w:rsid w:val="00386DDD"/>
    <w:rsid w:val="00386E25"/>
    <w:rsid w:val="003871DA"/>
    <w:rsid w:val="003873C9"/>
    <w:rsid w:val="0038740D"/>
    <w:rsid w:val="00387497"/>
    <w:rsid w:val="00387631"/>
    <w:rsid w:val="00387666"/>
    <w:rsid w:val="0038773F"/>
    <w:rsid w:val="00387792"/>
    <w:rsid w:val="00387962"/>
    <w:rsid w:val="00387970"/>
    <w:rsid w:val="00387A87"/>
    <w:rsid w:val="00387DD3"/>
    <w:rsid w:val="00387E13"/>
    <w:rsid w:val="00387E19"/>
    <w:rsid w:val="003901BE"/>
    <w:rsid w:val="003902F9"/>
    <w:rsid w:val="0039039C"/>
    <w:rsid w:val="0039045D"/>
    <w:rsid w:val="00390545"/>
    <w:rsid w:val="0039065A"/>
    <w:rsid w:val="00390810"/>
    <w:rsid w:val="00390A5C"/>
    <w:rsid w:val="00391164"/>
    <w:rsid w:val="00391479"/>
    <w:rsid w:val="00391610"/>
    <w:rsid w:val="00391781"/>
    <w:rsid w:val="0039182E"/>
    <w:rsid w:val="00391A15"/>
    <w:rsid w:val="00391C1C"/>
    <w:rsid w:val="00391C4F"/>
    <w:rsid w:val="003920B5"/>
    <w:rsid w:val="0039213E"/>
    <w:rsid w:val="003922E1"/>
    <w:rsid w:val="003926E8"/>
    <w:rsid w:val="00392B9A"/>
    <w:rsid w:val="00392E96"/>
    <w:rsid w:val="00392EB7"/>
    <w:rsid w:val="003931A2"/>
    <w:rsid w:val="00393367"/>
    <w:rsid w:val="003933FE"/>
    <w:rsid w:val="0039342B"/>
    <w:rsid w:val="00393449"/>
    <w:rsid w:val="003934FE"/>
    <w:rsid w:val="00393A5C"/>
    <w:rsid w:val="00393AC2"/>
    <w:rsid w:val="00393AFD"/>
    <w:rsid w:val="00393C06"/>
    <w:rsid w:val="00393CB8"/>
    <w:rsid w:val="00393F87"/>
    <w:rsid w:val="003941FC"/>
    <w:rsid w:val="00394C83"/>
    <w:rsid w:val="00394C86"/>
    <w:rsid w:val="00394D80"/>
    <w:rsid w:val="0039517B"/>
    <w:rsid w:val="00395191"/>
    <w:rsid w:val="003953AD"/>
    <w:rsid w:val="0039576C"/>
    <w:rsid w:val="003957A8"/>
    <w:rsid w:val="00395BE3"/>
    <w:rsid w:val="00395C0E"/>
    <w:rsid w:val="003961F9"/>
    <w:rsid w:val="00396233"/>
    <w:rsid w:val="003962A0"/>
    <w:rsid w:val="003962C1"/>
    <w:rsid w:val="00396339"/>
    <w:rsid w:val="003964A6"/>
    <w:rsid w:val="003964F9"/>
    <w:rsid w:val="0039658D"/>
    <w:rsid w:val="0039669A"/>
    <w:rsid w:val="00396734"/>
    <w:rsid w:val="00396779"/>
    <w:rsid w:val="00396847"/>
    <w:rsid w:val="003968AF"/>
    <w:rsid w:val="003968E6"/>
    <w:rsid w:val="00396C2A"/>
    <w:rsid w:val="00397170"/>
    <w:rsid w:val="0039718B"/>
    <w:rsid w:val="003972CB"/>
    <w:rsid w:val="003972F8"/>
    <w:rsid w:val="0039737A"/>
    <w:rsid w:val="003973C4"/>
    <w:rsid w:val="003979D9"/>
    <w:rsid w:val="00397A2D"/>
    <w:rsid w:val="00397AED"/>
    <w:rsid w:val="00397D93"/>
    <w:rsid w:val="00397EC1"/>
    <w:rsid w:val="00397FE4"/>
    <w:rsid w:val="003A0301"/>
    <w:rsid w:val="003A04B8"/>
    <w:rsid w:val="003A079D"/>
    <w:rsid w:val="003A0921"/>
    <w:rsid w:val="003A096A"/>
    <w:rsid w:val="003A0C0D"/>
    <w:rsid w:val="003A0E9D"/>
    <w:rsid w:val="003A1590"/>
    <w:rsid w:val="003A1809"/>
    <w:rsid w:val="003A1FC5"/>
    <w:rsid w:val="003A2129"/>
    <w:rsid w:val="003A22E2"/>
    <w:rsid w:val="003A25D1"/>
    <w:rsid w:val="003A27F3"/>
    <w:rsid w:val="003A29C9"/>
    <w:rsid w:val="003A2CCF"/>
    <w:rsid w:val="003A2F7C"/>
    <w:rsid w:val="003A2F7E"/>
    <w:rsid w:val="003A31A0"/>
    <w:rsid w:val="003A3433"/>
    <w:rsid w:val="003A35BD"/>
    <w:rsid w:val="003A3602"/>
    <w:rsid w:val="003A39C4"/>
    <w:rsid w:val="003A3CEE"/>
    <w:rsid w:val="003A3E0F"/>
    <w:rsid w:val="003A3F19"/>
    <w:rsid w:val="003A4001"/>
    <w:rsid w:val="003A4309"/>
    <w:rsid w:val="003A4589"/>
    <w:rsid w:val="003A4657"/>
    <w:rsid w:val="003A4753"/>
    <w:rsid w:val="003A476E"/>
    <w:rsid w:val="003A48DF"/>
    <w:rsid w:val="003A4927"/>
    <w:rsid w:val="003A4CC5"/>
    <w:rsid w:val="003A4DDA"/>
    <w:rsid w:val="003A4F62"/>
    <w:rsid w:val="003A4F7E"/>
    <w:rsid w:val="003A5071"/>
    <w:rsid w:val="003A50AD"/>
    <w:rsid w:val="003A52BA"/>
    <w:rsid w:val="003A537E"/>
    <w:rsid w:val="003A5684"/>
    <w:rsid w:val="003A5699"/>
    <w:rsid w:val="003A56E4"/>
    <w:rsid w:val="003A57A6"/>
    <w:rsid w:val="003A5B3E"/>
    <w:rsid w:val="003A5BF6"/>
    <w:rsid w:val="003A5D8E"/>
    <w:rsid w:val="003A6365"/>
    <w:rsid w:val="003A63A8"/>
    <w:rsid w:val="003A63E9"/>
    <w:rsid w:val="003A65ED"/>
    <w:rsid w:val="003A660F"/>
    <w:rsid w:val="003A693E"/>
    <w:rsid w:val="003A69BF"/>
    <w:rsid w:val="003A6BD2"/>
    <w:rsid w:val="003A6DAE"/>
    <w:rsid w:val="003A6F4A"/>
    <w:rsid w:val="003A706C"/>
    <w:rsid w:val="003A71FE"/>
    <w:rsid w:val="003A72C6"/>
    <w:rsid w:val="003A73F7"/>
    <w:rsid w:val="003A740E"/>
    <w:rsid w:val="003A7595"/>
    <w:rsid w:val="003A75DF"/>
    <w:rsid w:val="003A7784"/>
    <w:rsid w:val="003A7888"/>
    <w:rsid w:val="003A79A4"/>
    <w:rsid w:val="003A7A08"/>
    <w:rsid w:val="003A7A30"/>
    <w:rsid w:val="003B00F9"/>
    <w:rsid w:val="003B095E"/>
    <w:rsid w:val="003B114A"/>
    <w:rsid w:val="003B157F"/>
    <w:rsid w:val="003B1596"/>
    <w:rsid w:val="003B15D1"/>
    <w:rsid w:val="003B1961"/>
    <w:rsid w:val="003B1964"/>
    <w:rsid w:val="003B1AC2"/>
    <w:rsid w:val="003B1E2D"/>
    <w:rsid w:val="003B1EF9"/>
    <w:rsid w:val="003B224E"/>
    <w:rsid w:val="003B2501"/>
    <w:rsid w:val="003B25AC"/>
    <w:rsid w:val="003B267B"/>
    <w:rsid w:val="003B277B"/>
    <w:rsid w:val="003B277E"/>
    <w:rsid w:val="003B2A83"/>
    <w:rsid w:val="003B2C11"/>
    <w:rsid w:val="003B2CD9"/>
    <w:rsid w:val="003B2D6B"/>
    <w:rsid w:val="003B2D9E"/>
    <w:rsid w:val="003B2E95"/>
    <w:rsid w:val="003B3049"/>
    <w:rsid w:val="003B3493"/>
    <w:rsid w:val="003B375B"/>
    <w:rsid w:val="003B3989"/>
    <w:rsid w:val="003B3C35"/>
    <w:rsid w:val="003B3C81"/>
    <w:rsid w:val="003B3D6D"/>
    <w:rsid w:val="003B3E71"/>
    <w:rsid w:val="003B3FD3"/>
    <w:rsid w:val="003B432B"/>
    <w:rsid w:val="003B43D9"/>
    <w:rsid w:val="003B4534"/>
    <w:rsid w:val="003B459E"/>
    <w:rsid w:val="003B4714"/>
    <w:rsid w:val="003B4742"/>
    <w:rsid w:val="003B47A7"/>
    <w:rsid w:val="003B47B3"/>
    <w:rsid w:val="003B4890"/>
    <w:rsid w:val="003B48E4"/>
    <w:rsid w:val="003B4AC3"/>
    <w:rsid w:val="003B4C2B"/>
    <w:rsid w:val="003B4C89"/>
    <w:rsid w:val="003B50CF"/>
    <w:rsid w:val="003B524C"/>
    <w:rsid w:val="003B53D4"/>
    <w:rsid w:val="003B542F"/>
    <w:rsid w:val="003B54BE"/>
    <w:rsid w:val="003B5AA8"/>
    <w:rsid w:val="003B5E9D"/>
    <w:rsid w:val="003B611C"/>
    <w:rsid w:val="003B61EF"/>
    <w:rsid w:val="003B6906"/>
    <w:rsid w:val="003B6C3B"/>
    <w:rsid w:val="003B6DB0"/>
    <w:rsid w:val="003B6E4D"/>
    <w:rsid w:val="003B6F79"/>
    <w:rsid w:val="003B6FA2"/>
    <w:rsid w:val="003B7140"/>
    <w:rsid w:val="003B71C1"/>
    <w:rsid w:val="003B7303"/>
    <w:rsid w:val="003B7587"/>
    <w:rsid w:val="003B7656"/>
    <w:rsid w:val="003B772F"/>
    <w:rsid w:val="003B79D7"/>
    <w:rsid w:val="003B7D32"/>
    <w:rsid w:val="003C0127"/>
    <w:rsid w:val="003C01B6"/>
    <w:rsid w:val="003C0362"/>
    <w:rsid w:val="003C055D"/>
    <w:rsid w:val="003C08C9"/>
    <w:rsid w:val="003C0D13"/>
    <w:rsid w:val="003C0EAF"/>
    <w:rsid w:val="003C0F01"/>
    <w:rsid w:val="003C1066"/>
    <w:rsid w:val="003C10AA"/>
    <w:rsid w:val="003C1175"/>
    <w:rsid w:val="003C13BB"/>
    <w:rsid w:val="003C160D"/>
    <w:rsid w:val="003C163E"/>
    <w:rsid w:val="003C167D"/>
    <w:rsid w:val="003C16B2"/>
    <w:rsid w:val="003C182A"/>
    <w:rsid w:val="003C1864"/>
    <w:rsid w:val="003C187B"/>
    <w:rsid w:val="003C1A9F"/>
    <w:rsid w:val="003C1B61"/>
    <w:rsid w:val="003C1C18"/>
    <w:rsid w:val="003C1C81"/>
    <w:rsid w:val="003C1CAE"/>
    <w:rsid w:val="003C1D68"/>
    <w:rsid w:val="003C1E7F"/>
    <w:rsid w:val="003C2427"/>
    <w:rsid w:val="003C2635"/>
    <w:rsid w:val="003C284F"/>
    <w:rsid w:val="003C2902"/>
    <w:rsid w:val="003C2981"/>
    <w:rsid w:val="003C2A47"/>
    <w:rsid w:val="003C2E3F"/>
    <w:rsid w:val="003C2F48"/>
    <w:rsid w:val="003C30F5"/>
    <w:rsid w:val="003C32D8"/>
    <w:rsid w:val="003C3467"/>
    <w:rsid w:val="003C35A4"/>
    <w:rsid w:val="003C3604"/>
    <w:rsid w:val="003C365F"/>
    <w:rsid w:val="003C394D"/>
    <w:rsid w:val="003C3D2D"/>
    <w:rsid w:val="003C3DAA"/>
    <w:rsid w:val="003C3EED"/>
    <w:rsid w:val="003C3F2F"/>
    <w:rsid w:val="003C3FA6"/>
    <w:rsid w:val="003C41EE"/>
    <w:rsid w:val="003C41F2"/>
    <w:rsid w:val="003C41FC"/>
    <w:rsid w:val="003C44C5"/>
    <w:rsid w:val="003C4609"/>
    <w:rsid w:val="003C497A"/>
    <w:rsid w:val="003C4BD7"/>
    <w:rsid w:val="003C4C55"/>
    <w:rsid w:val="003C4C58"/>
    <w:rsid w:val="003C4D9C"/>
    <w:rsid w:val="003C4E25"/>
    <w:rsid w:val="003C53CF"/>
    <w:rsid w:val="003C53EF"/>
    <w:rsid w:val="003C549A"/>
    <w:rsid w:val="003C54D2"/>
    <w:rsid w:val="003C55EB"/>
    <w:rsid w:val="003C5699"/>
    <w:rsid w:val="003C5716"/>
    <w:rsid w:val="003C59AC"/>
    <w:rsid w:val="003C5C3B"/>
    <w:rsid w:val="003C5E21"/>
    <w:rsid w:val="003C5E61"/>
    <w:rsid w:val="003C6129"/>
    <w:rsid w:val="003C651B"/>
    <w:rsid w:val="003C6A73"/>
    <w:rsid w:val="003C6FC8"/>
    <w:rsid w:val="003C7534"/>
    <w:rsid w:val="003C777C"/>
    <w:rsid w:val="003C777E"/>
    <w:rsid w:val="003C7A68"/>
    <w:rsid w:val="003C8FA1"/>
    <w:rsid w:val="003D01BB"/>
    <w:rsid w:val="003D042B"/>
    <w:rsid w:val="003D08B1"/>
    <w:rsid w:val="003D0BDB"/>
    <w:rsid w:val="003D0D47"/>
    <w:rsid w:val="003D102F"/>
    <w:rsid w:val="003D11A9"/>
    <w:rsid w:val="003D1451"/>
    <w:rsid w:val="003D1657"/>
    <w:rsid w:val="003D169C"/>
    <w:rsid w:val="003D171D"/>
    <w:rsid w:val="003D1771"/>
    <w:rsid w:val="003D18BE"/>
    <w:rsid w:val="003D1904"/>
    <w:rsid w:val="003D1A12"/>
    <w:rsid w:val="003D1C27"/>
    <w:rsid w:val="003D1D17"/>
    <w:rsid w:val="003D1E41"/>
    <w:rsid w:val="003D1F72"/>
    <w:rsid w:val="003D1FB3"/>
    <w:rsid w:val="003D2069"/>
    <w:rsid w:val="003D2145"/>
    <w:rsid w:val="003D21B6"/>
    <w:rsid w:val="003D21CD"/>
    <w:rsid w:val="003D26F3"/>
    <w:rsid w:val="003D299A"/>
    <w:rsid w:val="003D29CF"/>
    <w:rsid w:val="003D2A37"/>
    <w:rsid w:val="003D2F90"/>
    <w:rsid w:val="003D333B"/>
    <w:rsid w:val="003D357D"/>
    <w:rsid w:val="003D3783"/>
    <w:rsid w:val="003D38EC"/>
    <w:rsid w:val="003D3C00"/>
    <w:rsid w:val="003D3DB9"/>
    <w:rsid w:val="003D3E6A"/>
    <w:rsid w:val="003D3EFE"/>
    <w:rsid w:val="003D40B9"/>
    <w:rsid w:val="003D44A0"/>
    <w:rsid w:val="003D4660"/>
    <w:rsid w:val="003D48D9"/>
    <w:rsid w:val="003D4996"/>
    <w:rsid w:val="003D499D"/>
    <w:rsid w:val="003D4C43"/>
    <w:rsid w:val="003D4DE4"/>
    <w:rsid w:val="003D4F17"/>
    <w:rsid w:val="003D510E"/>
    <w:rsid w:val="003D525B"/>
    <w:rsid w:val="003D5303"/>
    <w:rsid w:val="003D53BE"/>
    <w:rsid w:val="003D5647"/>
    <w:rsid w:val="003D5658"/>
    <w:rsid w:val="003D5C99"/>
    <w:rsid w:val="003D5F13"/>
    <w:rsid w:val="003D5F58"/>
    <w:rsid w:val="003D60AA"/>
    <w:rsid w:val="003D6107"/>
    <w:rsid w:val="003D626D"/>
    <w:rsid w:val="003D62A3"/>
    <w:rsid w:val="003D69EF"/>
    <w:rsid w:val="003D6C9C"/>
    <w:rsid w:val="003D6E22"/>
    <w:rsid w:val="003D7482"/>
    <w:rsid w:val="003D7516"/>
    <w:rsid w:val="003D75A3"/>
    <w:rsid w:val="003D78A7"/>
    <w:rsid w:val="003D79CB"/>
    <w:rsid w:val="003E0398"/>
    <w:rsid w:val="003E051D"/>
    <w:rsid w:val="003E06AE"/>
    <w:rsid w:val="003E06F3"/>
    <w:rsid w:val="003E072E"/>
    <w:rsid w:val="003E09D5"/>
    <w:rsid w:val="003E0D03"/>
    <w:rsid w:val="003E0D6F"/>
    <w:rsid w:val="003E0DE9"/>
    <w:rsid w:val="003E0E09"/>
    <w:rsid w:val="003E0EDB"/>
    <w:rsid w:val="003E1509"/>
    <w:rsid w:val="003E16E7"/>
    <w:rsid w:val="003E170E"/>
    <w:rsid w:val="003E1A6E"/>
    <w:rsid w:val="003E1E0E"/>
    <w:rsid w:val="003E1E42"/>
    <w:rsid w:val="003E280F"/>
    <w:rsid w:val="003E283F"/>
    <w:rsid w:val="003E2B2E"/>
    <w:rsid w:val="003E2DC9"/>
    <w:rsid w:val="003E316F"/>
    <w:rsid w:val="003E31F8"/>
    <w:rsid w:val="003E3507"/>
    <w:rsid w:val="003E38B4"/>
    <w:rsid w:val="003E3FAA"/>
    <w:rsid w:val="003E3FE0"/>
    <w:rsid w:val="003E4210"/>
    <w:rsid w:val="003E4217"/>
    <w:rsid w:val="003E47F2"/>
    <w:rsid w:val="003E4B00"/>
    <w:rsid w:val="003E4B4F"/>
    <w:rsid w:val="003E4B77"/>
    <w:rsid w:val="003E4D07"/>
    <w:rsid w:val="003E4FCE"/>
    <w:rsid w:val="003E50CD"/>
    <w:rsid w:val="003E5355"/>
    <w:rsid w:val="003E53A3"/>
    <w:rsid w:val="003E561B"/>
    <w:rsid w:val="003E56EF"/>
    <w:rsid w:val="003E56F5"/>
    <w:rsid w:val="003E572F"/>
    <w:rsid w:val="003E57B6"/>
    <w:rsid w:val="003E5A24"/>
    <w:rsid w:val="003E5C9F"/>
    <w:rsid w:val="003E5E03"/>
    <w:rsid w:val="003E5F28"/>
    <w:rsid w:val="003E6081"/>
    <w:rsid w:val="003E6196"/>
    <w:rsid w:val="003E6475"/>
    <w:rsid w:val="003E6543"/>
    <w:rsid w:val="003E6565"/>
    <w:rsid w:val="003E691E"/>
    <w:rsid w:val="003E6DBD"/>
    <w:rsid w:val="003E6E86"/>
    <w:rsid w:val="003E6F2D"/>
    <w:rsid w:val="003E6F55"/>
    <w:rsid w:val="003E7049"/>
    <w:rsid w:val="003E7096"/>
    <w:rsid w:val="003E7112"/>
    <w:rsid w:val="003E744F"/>
    <w:rsid w:val="003E749D"/>
    <w:rsid w:val="003E76BE"/>
    <w:rsid w:val="003E7A49"/>
    <w:rsid w:val="003E7BED"/>
    <w:rsid w:val="003E7C9C"/>
    <w:rsid w:val="003E7E5D"/>
    <w:rsid w:val="003E7E7F"/>
    <w:rsid w:val="003F06A3"/>
    <w:rsid w:val="003F0765"/>
    <w:rsid w:val="003F0863"/>
    <w:rsid w:val="003F0881"/>
    <w:rsid w:val="003F0A94"/>
    <w:rsid w:val="003F0D21"/>
    <w:rsid w:val="003F0F53"/>
    <w:rsid w:val="003F105A"/>
    <w:rsid w:val="003F12C8"/>
    <w:rsid w:val="003F12F6"/>
    <w:rsid w:val="003F1333"/>
    <w:rsid w:val="003F14BF"/>
    <w:rsid w:val="003F161C"/>
    <w:rsid w:val="003F1A0E"/>
    <w:rsid w:val="003F1D4B"/>
    <w:rsid w:val="003F20D4"/>
    <w:rsid w:val="003F2510"/>
    <w:rsid w:val="003F26D4"/>
    <w:rsid w:val="003F27F6"/>
    <w:rsid w:val="003F28E7"/>
    <w:rsid w:val="003F2AD8"/>
    <w:rsid w:val="003F2CC6"/>
    <w:rsid w:val="003F2D05"/>
    <w:rsid w:val="003F2F58"/>
    <w:rsid w:val="003F2F6D"/>
    <w:rsid w:val="003F30F0"/>
    <w:rsid w:val="003F31D4"/>
    <w:rsid w:val="003F3237"/>
    <w:rsid w:val="003F35A6"/>
    <w:rsid w:val="003F36EE"/>
    <w:rsid w:val="003F3951"/>
    <w:rsid w:val="003F3973"/>
    <w:rsid w:val="003F3D99"/>
    <w:rsid w:val="003F3FA1"/>
    <w:rsid w:val="003F4058"/>
    <w:rsid w:val="003F4100"/>
    <w:rsid w:val="003F435C"/>
    <w:rsid w:val="003F4499"/>
    <w:rsid w:val="003F48CD"/>
    <w:rsid w:val="003F4DA7"/>
    <w:rsid w:val="003F4E8A"/>
    <w:rsid w:val="003F53C8"/>
    <w:rsid w:val="003F5492"/>
    <w:rsid w:val="003F56E0"/>
    <w:rsid w:val="003F575F"/>
    <w:rsid w:val="003F57E6"/>
    <w:rsid w:val="003F5AC8"/>
    <w:rsid w:val="003F5B7D"/>
    <w:rsid w:val="003F5D37"/>
    <w:rsid w:val="003F5D9B"/>
    <w:rsid w:val="003F5E55"/>
    <w:rsid w:val="003F5E60"/>
    <w:rsid w:val="003F611E"/>
    <w:rsid w:val="003F6199"/>
    <w:rsid w:val="003F6233"/>
    <w:rsid w:val="003F649C"/>
    <w:rsid w:val="003F65AB"/>
    <w:rsid w:val="003F6740"/>
    <w:rsid w:val="003F6822"/>
    <w:rsid w:val="003F6A03"/>
    <w:rsid w:val="003F6C04"/>
    <w:rsid w:val="003F6CB1"/>
    <w:rsid w:val="003F6E34"/>
    <w:rsid w:val="003F6F2A"/>
    <w:rsid w:val="003F6FF4"/>
    <w:rsid w:val="003F7157"/>
    <w:rsid w:val="003F71B1"/>
    <w:rsid w:val="003F7233"/>
    <w:rsid w:val="003F724C"/>
    <w:rsid w:val="003F734A"/>
    <w:rsid w:val="003F764C"/>
    <w:rsid w:val="003F76AE"/>
    <w:rsid w:val="003F76FA"/>
    <w:rsid w:val="003F79A5"/>
    <w:rsid w:val="003F7AEA"/>
    <w:rsid w:val="00400121"/>
    <w:rsid w:val="00400130"/>
    <w:rsid w:val="0040039C"/>
    <w:rsid w:val="004004F8"/>
    <w:rsid w:val="00400A93"/>
    <w:rsid w:val="00400B8A"/>
    <w:rsid w:val="004011D9"/>
    <w:rsid w:val="00401331"/>
    <w:rsid w:val="00401376"/>
    <w:rsid w:val="00401482"/>
    <w:rsid w:val="00401612"/>
    <w:rsid w:val="00401756"/>
    <w:rsid w:val="00401835"/>
    <w:rsid w:val="004019B7"/>
    <w:rsid w:val="00401AB5"/>
    <w:rsid w:val="00401AE2"/>
    <w:rsid w:val="00401AF6"/>
    <w:rsid w:val="00401C17"/>
    <w:rsid w:val="00401DE0"/>
    <w:rsid w:val="00401E77"/>
    <w:rsid w:val="00401EB3"/>
    <w:rsid w:val="00401F14"/>
    <w:rsid w:val="00401F4B"/>
    <w:rsid w:val="00401FD2"/>
    <w:rsid w:val="00402074"/>
    <w:rsid w:val="00402794"/>
    <w:rsid w:val="00402981"/>
    <w:rsid w:val="00402D36"/>
    <w:rsid w:val="00402DE8"/>
    <w:rsid w:val="004032AA"/>
    <w:rsid w:val="004032C1"/>
    <w:rsid w:val="004033BF"/>
    <w:rsid w:val="004034B3"/>
    <w:rsid w:val="00403904"/>
    <w:rsid w:val="00403935"/>
    <w:rsid w:val="00403B60"/>
    <w:rsid w:val="00403C05"/>
    <w:rsid w:val="00403C6C"/>
    <w:rsid w:val="00403E33"/>
    <w:rsid w:val="00403F48"/>
    <w:rsid w:val="004040DE"/>
    <w:rsid w:val="004044F2"/>
    <w:rsid w:val="0040453B"/>
    <w:rsid w:val="00404683"/>
    <w:rsid w:val="00404733"/>
    <w:rsid w:val="00404911"/>
    <w:rsid w:val="0040498A"/>
    <w:rsid w:val="00404A49"/>
    <w:rsid w:val="00404A92"/>
    <w:rsid w:val="00404B7C"/>
    <w:rsid w:val="00404C10"/>
    <w:rsid w:val="00404C3E"/>
    <w:rsid w:val="00404E44"/>
    <w:rsid w:val="00404E45"/>
    <w:rsid w:val="00404F3A"/>
    <w:rsid w:val="00404F64"/>
    <w:rsid w:val="0040503D"/>
    <w:rsid w:val="00405160"/>
    <w:rsid w:val="004057B3"/>
    <w:rsid w:val="004057E0"/>
    <w:rsid w:val="00405B38"/>
    <w:rsid w:val="00405FE0"/>
    <w:rsid w:val="0040607B"/>
    <w:rsid w:val="004060CC"/>
    <w:rsid w:val="004062E3"/>
    <w:rsid w:val="00406737"/>
    <w:rsid w:val="004067E0"/>
    <w:rsid w:val="00406909"/>
    <w:rsid w:val="00406BF9"/>
    <w:rsid w:val="00407143"/>
    <w:rsid w:val="00407267"/>
    <w:rsid w:val="00407371"/>
    <w:rsid w:val="004073DC"/>
    <w:rsid w:val="00407655"/>
    <w:rsid w:val="00407ACA"/>
    <w:rsid w:val="00407B14"/>
    <w:rsid w:val="00407B48"/>
    <w:rsid w:val="00407DD5"/>
    <w:rsid w:val="0040F765"/>
    <w:rsid w:val="0041015E"/>
    <w:rsid w:val="0041028F"/>
    <w:rsid w:val="004102EC"/>
    <w:rsid w:val="0041039F"/>
    <w:rsid w:val="0041049E"/>
    <w:rsid w:val="0041092A"/>
    <w:rsid w:val="00410940"/>
    <w:rsid w:val="00410A25"/>
    <w:rsid w:val="00410FD1"/>
    <w:rsid w:val="00411077"/>
    <w:rsid w:val="0041111B"/>
    <w:rsid w:val="00411172"/>
    <w:rsid w:val="004111D0"/>
    <w:rsid w:val="004112C2"/>
    <w:rsid w:val="00411796"/>
    <w:rsid w:val="0041193C"/>
    <w:rsid w:val="0041198A"/>
    <w:rsid w:val="00411CFC"/>
    <w:rsid w:val="00411D0E"/>
    <w:rsid w:val="00411F1F"/>
    <w:rsid w:val="00411F2D"/>
    <w:rsid w:val="00412001"/>
    <w:rsid w:val="004120C6"/>
    <w:rsid w:val="0041269E"/>
    <w:rsid w:val="004129DB"/>
    <w:rsid w:val="00412A68"/>
    <w:rsid w:val="00412C5F"/>
    <w:rsid w:val="00412E29"/>
    <w:rsid w:val="00412F6B"/>
    <w:rsid w:val="004133DA"/>
    <w:rsid w:val="004133FF"/>
    <w:rsid w:val="004135D2"/>
    <w:rsid w:val="0041376F"/>
    <w:rsid w:val="00413983"/>
    <w:rsid w:val="00413FE6"/>
    <w:rsid w:val="00413FFE"/>
    <w:rsid w:val="0041404D"/>
    <w:rsid w:val="004140B4"/>
    <w:rsid w:val="00414222"/>
    <w:rsid w:val="004142B7"/>
    <w:rsid w:val="004144B5"/>
    <w:rsid w:val="004145C8"/>
    <w:rsid w:val="00414755"/>
    <w:rsid w:val="0041498A"/>
    <w:rsid w:val="00414A60"/>
    <w:rsid w:val="00414FDC"/>
    <w:rsid w:val="00415122"/>
    <w:rsid w:val="004152FC"/>
    <w:rsid w:val="004153E9"/>
    <w:rsid w:val="004158B9"/>
    <w:rsid w:val="00415B49"/>
    <w:rsid w:val="00416047"/>
    <w:rsid w:val="00416479"/>
    <w:rsid w:val="0041685C"/>
    <w:rsid w:val="004168F8"/>
    <w:rsid w:val="00416A38"/>
    <w:rsid w:val="00416CEE"/>
    <w:rsid w:val="00416E28"/>
    <w:rsid w:val="004170AA"/>
    <w:rsid w:val="00417738"/>
    <w:rsid w:val="0041776C"/>
    <w:rsid w:val="004178AD"/>
    <w:rsid w:val="00417B19"/>
    <w:rsid w:val="00417C62"/>
    <w:rsid w:val="00417F31"/>
    <w:rsid w:val="00420047"/>
    <w:rsid w:val="004202B3"/>
    <w:rsid w:val="004204FD"/>
    <w:rsid w:val="00420540"/>
    <w:rsid w:val="00420714"/>
    <w:rsid w:val="00420728"/>
    <w:rsid w:val="00420A2C"/>
    <w:rsid w:val="00420A58"/>
    <w:rsid w:val="00420A96"/>
    <w:rsid w:val="00420AB1"/>
    <w:rsid w:val="00420BFB"/>
    <w:rsid w:val="00420C99"/>
    <w:rsid w:val="00420D25"/>
    <w:rsid w:val="00420DF7"/>
    <w:rsid w:val="00421295"/>
    <w:rsid w:val="00421398"/>
    <w:rsid w:val="00421450"/>
    <w:rsid w:val="004218E5"/>
    <w:rsid w:val="00421982"/>
    <w:rsid w:val="00421BBD"/>
    <w:rsid w:val="00421D21"/>
    <w:rsid w:val="004222FB"/>
    <w:rsid w:val="004223E9"/>
    <w:rsid w:val="0042269F"/>
    <w:rsid w:val="004226B0"/>
    <w:rsid w:val="00422C24"/>
    <w:rsid w:val="00422F23"/>
    <w:rsid w:val="00422F2E"/>
    <w:rsid w:val="004232EE"/>
    <w:rsid w:val="00423458"/>
    <w:rsid w:val="004234B3"/>
    <w:rsid w:val="00423515"/>
    <w:rsid w:val="0042352E"/>
    <w:rsid w:val="00423541"/>
    <w:rsid w:val="00423688"/>
    <w:rsid w:val="0042386D"/>
    <w:rsid w:val="00423BD7"/>
    <w:rsid w:val="00423BE8"/>
    <w:rsid w:val="00423D6E"/>
    <w:rsid w:val="00423DA7"/>
    <w:rsid w:val="00423E87"/>
    <w:rsid w:val="00423EA5"/>
    <w:rsid w:val="00423F3A"/>
    <w:rsid w:val="00423FF6"/>
    <w:rsid w:val="00424014"/>
    <w:rsid w:val="0042418F"/>
    <w:rsid w:val="004241FB"/>
    <w:rsid w:val="004243BE"/>
    <w:rsid w:val="00424802"/>
    <w:rsid w:val="00424A9B"/>
    <w:rsid w:val="00424C42"/>
    <w:rsid w:val="00424C97"/>
    <w:rsid w:val="00424CB5"/>
    <w:rsid w:val="00424D3F"/>
    <w:rsid w:val="00424D5F"/>
    <w:rsid w:val="00424DCB"/>
    <w:rsid w:val="00424F26"/>
    <w:rsid w:val="00425029"/>
    <w:rsid w:val="00425075"/>
    <w:rsid w:val="00425077"/>
    <w:rsid w:val="004250E0"/>
    <w:rsid w:val="00425131"/>
    <w:rsid w:val="0042518A"/>
    <w:rsid w:val="004256F7"/>
    <w:rsid w:val="004257AE"/>
    <w:rsid w:val="00425894"/>
    <w:rsid w:val="00425985"/>
    <w:rsid w:val="00425EBB"/>
    <w:rsid w:val="00426090"/>
    <w:rsid w:val="004263A0"/>
    <w:rsid w:val="0042642B"/>
    <w:rsid w:val="004265F7"/>
    <w:rsid w:val="00426871"/>
    <w:rsid w:val="004269D9"/>
    <w:rsid w:val="00426A81"/>
    <w:rsid w:val="00426B3A"/>
    <w:rsid w:val="00426C29"/>
    <w:rsid w:val="00426CD0"/>
    <w:rsid w:val="00426CF2"/>
    <w:rsid w:val="00426D21"/>
    <w:rsid w:val="00426DAA"/>
    <w:rsid w:val="00426F3A"/>
    <w:rsid w:val="00426F62"/>
    <w:rsid w:val="00426F99"/>
    <w:rsid w:val="004273AD"/>
    <w:rsid w:val="004275ED"/>
    <w:rsid w:val="00427652"/>
    <w:rsid w:val="004277ED"/>
    <w:rsid w:val="004278A9"/>
    <w:rsid w:val="004278E7"/>
    <w:rsid w:val="00427942"/>
    <w:rsid w:val="00427B0B"/>
    <w:rsid w:val="00427BA7"/>
    <w:rsid w:val="00427BB2"/>
    <w:rsid w:val="00427BDC"/>
    <w:rsid w:val="00427C90"/>
    <w:rsid w:val="00427E55"/>
    <w:rsid w:val="0043002C"/>
    <w:rsid w:val="004300C4"/>
    <w:rsid w:val="0043011D"/>
    <w:rsid w:val="00430228"/>
    <w:rsid w:val="00430269"/>
    <w:rsid w:val="00430381"/>
    <w:rsid w:val="004304FD"/>
    <w:rsid w:val="00430A52"/>
    <w:rsid w:val="00430AE2"/>
    <w:rsid w:val="00430B49"/>
    <w:rsid w:val="00430B96"/>
    <w:rsid w:val="00430F92"/>
    <w:rsid w:val="00431467"/>
    <w:rsid w:val="00431875"/>
    <w:rsid w:val="00431C5E"/>
    <w:rsid w:val="00431EE9"/>
    <w:rsid w:val="00431F60"/>
    <w:rsid w:val="00432241"/>
    <w:rsid w:val="004322D9"/>
    <w:rsid w:val="004324A7"/>
    <w:rsid w:val="00432934"/>
    <w:rsid w:val="0043299C"/>
    <w:rsid w:val="004329A8"/>
    <w:rsid w:val="00432AA2"/>
    <w:rsid w:val="00432BCA"/>
    <w:rsid w:val="00432CD2"/>
    <w:rsid w:val="00432D04"/>
    <w:rsid w:val="0043302E"/>
    <w:rsid w:val="004331DD"/>
    <w:rsid w:val="004332A3"/>
    <w:rsid w:val="004333A3"/>
    <w:rsid w:val="0043343F"/>
    <w:rsid w:val="00433447"/>
    <w:rsid w:val="00433821"/>
    <w:rsid w:val="004339A6"/>
    <w:rsid w:val="00433FCA"/>
    <w:rsid w:val="0043405E"/>
    <w:rsid w:val="00434163"/>
    <w:rsid w:val="00434201"/>
    <w:rsid w:val="004342CA"/>
    <w:rsid w:val="004344C9"/>
    <w:rsid w:val="00434BF2"/>
    <w:rsid w:val="004352B9"/>
    <w:rsid w:val="0043533B"/>
    <w:rsid w:val="0043543C"/>
    <w:rsid w:val="004354BC"/>
    <w:rsid w:val="004357E9"/>
    <w:rsid w:val="00435C56"/>
    <w:rsid w:val="004363D3"/>
    <w:rsid w:val="00436465"/>
    <w:rsid w:val="004364CD"/>
    <w:rsid w:val="00436859"/>
    <w:rsid w:val="00436EBA"/>
    <w:rsid w:val="00437131"/>
    <w:rsid w:val="0043741C"/>
    <w:rsid w:val="00437693"/>
    <w:rsid w:val="00437871"/>
    <w:rsid w:val="00437985"/>
    <w:rsid w:val="004379E8"/>
    <w:rsid w:val="00437A1D"/>
    <w:rsid w:val="00437AA0"/>
    <w:rsid w:val="00437BB5"/>
    <w:rsid w:val="00437BFD"/>
    <w:rsid w:val="00440053"/>
    <w:rsid w:val="004400AA"/>
    <w:rsid w:val="0044025B"/>
    <w:rsid w:val="00440500"/>
    <w:rsid w:val="004406F6"/>
    <w:rsid w:val="00440724"/>
    <w:rsid w:val="00440EC9"/>
    <w:rsid w:val="004410FE"/>
    <w:rsid w:val="004411EC"/>
    <w:rsid w:val="004414E9"/>
    <w:rsid w:val="0044180B"/>
    <w:rsid w:val="0044194F"/>
    <w:rsid w:val="00441962"/>
    <w:rsid w:val="00441A8F"/>
    <w:rsid w:val="00441CD9"/>
    <w:rsid w:val="00441E51"/>
    <w:rsid w:val="00441FAD"/>
    <w:rsid w:val="004421D5"/>
    <w:rsid w:val="004421F9"/>
    <w:rsid w:val="00442895"/>
    <w:rsid w:val="00442A30"/>
    <w:rsid w:val="00442A75"/>
    <w:rsid w:val="00442CB8"/>
    <w:rsid w:val="00442DF8"/>
    <w:rsid w:val="00442E38"/>
    <w:rsid w:val="004431B3"/>
    <w:rsid w:val="0044378F"/>
    <w:rsid w:val="004437BC"/>
    <w:rsid w:val="004437CF"/>
    <w:rsid w:val="004437F8"/>
    <w:rsid w:val="00443A49"/>
    <w:rsid w:val="00443BB1"/>
    <w:rsid w:val="00443C59"/>
    <w:rsid w:val="00443CC8"/>
    <w:rsid w:val="00443F2C"/>
    <w:rsid w:val="0044402F"/>
    <w:rsid w:val="0044443C"/>
    <w:rsid w:val="0044483D"/>
    <w:rsid w:val="004449EA"/>
    <w:rsid w:val="00444DD1"/>
    <w:rsid w:val="004451CD"/>
    <w:rsid w:val="004453E1"/>
    <w:rsid w:val="00445562"/>
    <w:rsid w:val="004458AC"/>
    <w:rsid w:val="004458B4"/>
    <w:rsid w:val="00445940"/>
    <w:rsid w:val="0044599C"/>
    <w:rsid w:val="00445A56"/>
    <w:rsid w:val="00445B82"/>
    <w:rsid w:val="00445B93"/>
    <w:rsid w:val="00445C4A"/>
    <w:rsid w:val="0044608B"/>
    <w:rsid w:val="00446094"/>
    <w:rsid w:val="00446209"/>
    <w:rsid w:val="00446550"/>
    <w:rsid w:val="00446551"/>
    <w:rsid w:val="00446629"/>
    <w:rsid w:val="004466AD"/>
    <w:rsid w:val="00446812"/>
    <w:rsid w:val="00446928"/>
    <w:rsid w:val="00446BA6"/>
    <w:rsid w:val="00446CF1"/>
    <w:rsid w:val="00446D09"/>
    <w:rsid w:val="00446F96"/>
    <w:rsid w:val="00447579"/>
    <w:rsid w:val="0044791A"/>
    <w:rsid w:val="004479CD"/>
    <w:rsid w:val="00447C54"/>
    <w:rsid w:val="00447CD5"/>
    <w:rsid w:val="00447D99"/>
    <w:rsid w:val="00447E30"/>
    <w:rsid w:val="00450132"/>
    <w:rsid w:val="004504BA"/>
    <w:rsid w:val="004505B0"/>
    <w:rsid w:val="00450883"/>
    <w:rsid w:val="00450B25"/>
    <w:rsid w:val="004511A3"/>
    <w:rsid w:val="00451502"/>
    <w:rsid w:val="00451912"/>
    <w:rsid w:val="00451D1A"/>
    <w:rsid w:val="00451D61"/>
    <w:rsid w:val="00451D82"/>
    <w:rsid w:val="00451E83"/>
    <w:rsid w:val="00452083"/>
    <w:rsid w:val="0045209E"/>
    <w:rsid w:val="004520FD"/>
    <w:rsid w:val="00452168"/>
    <w:rsid w:val="004522B9"/>
    <w:rsid w:val="00452416"/>
    <w:rsid w:val="00452475"/>
    <w:rsid w:val="00452485"/>
    <w:rsid w:val="004527A1"/>
    <w:rsid w:val="00452AAF"/>
    <w:rsid w:val="00452C43"/>
    <w:rsid w:val="00452DD0"/>
    <w:rsid w:val="00452E58"/>
    <w:rsid w:val="00453022"/>
    <w:rsid w:val="0045326C"/>
    <w:rsid w:val="0045334F"/>
    <w:rsid w:val="0045389C"/>
    <w:rsid w:val="004538AA"/>
    <w:rsid w:val="00453ADE"/>
    <w:rsid w:val="00453BAE"/>
    <w:rsid w:val="00453C47"/>
    <w:rsid w:val="00453D59"/>
    <w:rsid w:val="00453E13"/>
    <w:rsid w:val="00453E24"/>
    <w:rsid w:val="0045413C"/>
    <w:rsid w:val="00454548"/>
    <w:rsid w:val="0045476F"/>
    <w:rsid w:val="004548E9"/>
    <w:rsid w:val="00454910"/>
    <w:rsid w:val="00454945"/>
    <w:rsid w:val="0045496E"/>
    <w:rsid w:val="00454B25"/>
    <w:rsid w:val="00454C08"/>
    <w:rsid w:val="00454EBF"/>
    <w:rsid w:val="00455116"/>
    <w:rsid w:val="0045520B"/>
    <w:rsid w:val="0045587E"/>
    <w:rsid w:val="00455A3E"/>
    <w:rsid w:val="00455C07"/>
    <w:rsid w:val="004560CE"/>
    <w:rsid w:val="004561D2"/>
    <w:rsid w:val="00456242"/>
    <w:rsid w:val="0045643B"/>
    <w:rsid w:val="00456440"/>
    <w:rsid w:val="004565F0"/>
    <w:rsid w:val="004566BF"/>
    <w:rsid w:val="00456A08"/>
    <w:rsid w:val="00456BBE"/>
    <w:rsid w:val="00456F44"/>
    <w:rsid w:val="00456F65"/>
    <w:rsid w:val="00456FB5"/>
    <w:rsid w:val="0045718C"/>
    <w:rsid w:val="00457194"/>
    <w:rsid w:val="004571DB"/>
    <w:rsid w:val="004572B5"/>
    <w:rsid w:val="00457542"/>
    <w:rsid w:val="00457684"/>
    <w:rsid w:val="004576C2"/>
    <w:rsid w:val="0045778D"/>
    <w:rsid w:val="00457947"/>
    <w:rsid w:val="00457A88"/>
    <w:rsid w:val="00457BC2"/>
    <w:rsid w:val="00457E52"/>
    <w:rsid w:val="00457FA1"/>
    <w:rsid w:val="00460361"/>
    <w:rsid w:val="004606F4"/>
    <w:rsid w:val="00460769"/>
    <w:rsid w:val="00460AE1"/>
    <w:rsid w:val="00460B6A"/>
    <w:rsid w:val="00460BCD"/>
    <w:rsid w:val="00460DDB"/>
    <w:rsid w:val="00460DE1"/>
    <w:rsid w:val="00460EDD"/>
    <w:rsid w:val="00460EEB"/>
    <w:rsid w:val="00460F4C"/>
    <w:rsid w:val="004610EB"/>
    <w:rsid w:val="00461183"/>
    <w:rsid w:val="00461271"/>
    <w:rsid w:val="00461347"/>
    <w:rsid w:val="0046142D"/>
    <w:rsid w:val="004615F7"/>
    <w:rsid w:val="00461706"/>
    <w:rsid w:val="004617D4"/>
    <w:rsid w:val="00461846"/>
    <w:rsid w:val="004619BB"/>
    <w:rsid w:val="00461A21"/>
    <w:rsid w:val="00461BF5"/>
    <w:rsid w:val="0046225A"/>
    <w:rsid w:val="004622F2"/>
    <w:rsid w:val="00462607"/>
    <w:rsid w:val="00462BD2"/>
    <w:rsid w:val="00462E81"/>
    <w:rsid w:val="00462F2B"/>
    <w:rsid w:val="00463063"/>
    <w:rsid w:val="00463602"/>
    <w:rsid w:val="004636E3"/>
    <w:rsid w:val="00463B86"/>
    <w:rsid w:val="00463D50"/>
    <w:rsid w:val="00463DC6"/>
    <w:rsid w:val="00463E04"/>
    <w:rsid w:val="00463E6F"/>
    <w:rsid w:val="00463F2D"/>
    <w:rsid w:val="004640B0"/>
    <w:rsid w:val="0046411F"/>
    <w:rsid w:val="00464249"/>
    <w:rsid w:val="00464719"/>
    <w:rsid w:val="00464D7A"/>
    <w:rsid w:val="00464F70"/>
    <w:rsid w:val="004654D7"/>
    <w:rsid w:val="00465653"/>
    <w:rsid w:val="0046567F"/>
    <w:rsid w:val="00465A19"/>
    <w:rsid w:val="00465B84"/>
    <w:rsid w:val="00465D3F"/>
    <w:rsid w:val="00465E90"/>
    <w:rsid w:val="0046600B"/>
    <w:rsid w:val="0046621E"/>
    <w:rsid w:val="00466284"/>
    <w:rsid w:val="004663EB"/>
    <w:rsid w:val="0046650D"/>
    <w:rsid w:val="004665E8"/>
    <w:rsid w:val="00466AD0"/>
    <w:rsid w:val="00466FF4"/>
    <w:rsid w:val="00467023"/>
    <w:rsid w:val="0046702F"/>
    <w:rsid w:val="004673D2"/>
    <w:rsid w:val="004677DD"/>
    <w:rsid w:val="00467810"/>
    <w:rsid w:val="00467B00"/>
    <w:rsid w:val="00467D74"/>
    <w:rsid w:val="00470234"/>
    <w:rsid w:val="0047078D"/>
    <w:rsid w:val="00470953"/>
    <w:rsid w:val="0047099B"/>
    <w:rsid w:val="00470AA2"/>
    <w:rsid w:val="00470ADC"/>
    <w:rsid w:val="00470F6F"/>
    <w:rsid w:val="00471013"/>
    <w:rsid w:val="004712C3"/>
    <w:rsid w:val="00471364"/>
    <w:rsid w:val="0047149F"/>
    <w:rsid w:val="00471587"/>
    <w:rsid w:val="00471698"/>
    <w:rsid w:val="0047185A"/>
    <w:rsid w:val="004719C1"/>
    <w:rsid w:val="00471A14"/>
    <w:rsid w:val="00471BDD"/>
    <w:rsid w:val="00471CD3"/>
    <w:rsid w:val="00471E9E"/>
    <w:rsid w:val="00472166"/>
    <w:rsid w:val="00472396"/>
    <w:rsid w:val="004724BD"/>
    <w:rsid w:val="0047268F"/>
    <w:rsid w:val="004726B2"/>
    <w:rsid w:val="0047273D"/>
    <w:rsid w:val="0047295B"/>
    <w:rsid w:val="00472C98"/>
    <w:rsid w:val="00472D4D"/>
    <w:rsid w:val="00473040"/>
    <w:rsid w:val="00473128"/>
    <w:rsid w:val="004732AF"/>
    <w:rsid w:val="004732CA"/>
    <w:rsid w:val="004735B5"/>
    <w:rsid w:val="00473C2A"/>
    <w:rsid w:val="00473D5F"/>
    <w:rsid w:val="00474126"/>
    <w:rsid w:val="00474295"/>
    <w:rsid w:val="0047445A"/>
    <w:rsid w:val="004744A2"/>
    <w:rsid w:val="004745A4"/>
    <w:rsid w:val="004746CE"/>
    <w:rsid w:val="004746E0"/>
    <w:rsid w:val="00474705"/>
    <w:rsid w:val="00474A9A"/>
    <w:rsid w:val="00474B54"/>
    <w:rsid w:val="00474DA1"/>
    <w:rsid w:val="004752E9"/>
    <w:rsid w:val="00475459"/>
    <w:rsid w:val="00475607"/>
    <w:rsid w:val="00475734"/>
    <w:rsid w:val="0047577C"/>
    <w:rsid w:val="00475D2A"/>
    <w:rsid w:val="00475D34"/>
    <w:rsid w:val="00475E1D"/>
    <w:rsid w:val="00475E30"/>
    <w:rsid w:val="00476106"/>
    <w:rsid w:val="00476598"/>
    <w:rsid w:val="004766A1"/>
    <w:rsid w:val="00476719"/>
    <w:rsid w:val="004768E5"/>
    <w:rsid w:val="00476976"/>
    <w:rsid w:val="00476C77"/>
    <w:rsid w:val="00476D3E"/>
    <w:rsid w:val="00476E42"/>
    <w:rsid w:val="004771CB"/>
    <w:rsid w:val="0047750B"/>
    <w:rsid w:val="004776AF"/>
    <w:rsid w:val="0047793E"/>
    <w:rsid w:val="00477AEC"/>
    <w:rsid w:val="004802E7"/>
    <w:rsid w:val="00480344"/>
    <w:rsid w:val="0048038D"/>
    <w:rsid w:val="00480A32"/>
    <w:rsid w:val="00480B06"/>
    <w:rsid w:val="00480CAB"/>
    <w:rsid w:val="004811C4"/>
    <w:rsid w:val="004812E6"/>
    <w:rsid w:val="004813E5"/>
    <w:rsid w:val="00481445"/>
    <w:rsid w:val="00481508"/>
    <w:rsid w:val="00481549"/>
    <w:rsid w:val="00481861"/>
    <w:rsid w:val="00481950"/>
    <w:rsid w:val="004819DD"/>
    <w:rsid w:val="00481C80"/>
    <w:rsid w:val="00481D6F"/>
    <w:rsid w:val="00481DC8"/>
    <w:rsid w:val="0048237A"/>
    <w:rsid w:val="004823E7"/>
    <w:rsid w:val="004825A9"/>
    <w:rsid w:val="004826EB"/>
    <w:rsid w:val="00482734"/>
    <w:rsid w:val="004827AB"/>
    <w:rsid w:val="004828DB"/>
    <w:rsid w:val="00482906"/>
    <w:rsid w:val="00482C26"/>
    <w:rsid w:val="00482CEA"/>
    <w:rsid w:val="004830E7"/>
    <w:rsid w:val="00483191"/>
    <w:rsid w:val="004832C2"/>
    <w:rsid w:val="0048341C"/>
    <w:rsid w:val="004836FC"/>
    <w:rsid w:val="0048375F"/>
    <w:rsid w:val="004837E9"/>
    <w:rsid w:val="0048384D"/>
    <w:rsid w:val="00483856"/>
    <w:rsid w:val="0048386C"/>
    <w:rsid w:val="00483892"/>
    <w:rsid w:val="00483B7D"/>
    <w:rsid w:val="00483E05"/>
    <w:rsid w:val="00483E48"/>
    <w:rsid w:val="00484297"/>
    <w:rsid w:val="004843DC"/>
    <w:rsid w:val="0048450F"/>
    <w:rsid w:val="0048478C"/>
    <w:rsid w:val="004847F6"/>
    <w:rsid w:val="004848BF"/>
    <w:rsid w:val="00484BE8"/>
    <w:rsid w:val="00484CA5"/>
    <w:rsid w:val="00484DDA"/>
    <w:rsid w:val="00484F8E"/>
    <w:rsid w:val="00485298"/>
    <w:rsid w:val="004853BF"/>
    <w:rsid w:val="004853C5"/>
    <w:rsid w:val="00485807"/>
    <w:rsid w:val="00485B1D"/>
    <w:rsid w:val="00485B75"/>
    <w:rsid w:val="00485E1E"/>
    <w:rsid w:val="00485E41"/>
    <w:rsid w:val="00485E63"/>
    <w:rsid w:val="0048623A"/>
    <w:rsid w:val="00486396"/>
    <w:rsid w:val="00486A73"/>
    <w:rsid w:val="00486ACA"/>
    <w:rsid w:val="00486B39"/>
    <w:rsid w:val="00486BEB"/>
    <w:rsid w:val="00486CA8"/>
    <w:rsid w:val="00486EC9"/>
    <w:rsid w:val="00486F24"/>
    <w:rsid w:val="0048744A"/>
    <w:rsid w:val="004875DA"/>
    <w:rsid w:val="0048761C"/>
    <w:rsid w:val="0048763E"/>
    <w:rsid w:val="00487676"/>
    <w:rsid w:val="004878D4"/>
    <w:rsid w:val="00487B4A"/>
    <w:rsid w:val="00487C5C"/>
    <w:rsid w:val="00487C6E"/>
    <w:rsid w:val="00490260"/>
    <w:rsid w:val="00490268"/>
    <w:rsid w:val="004903D1"/>
    <w:rsid w:val="00490521"/>
    <w:rsid w:val="00490580"/>
    <w:rsid w:val="00490680"/>
    <w:rsid w:val="004906D4"/>
    <w:rsid w:val="004908B7"/>
    <w:rsid w:val="00490A71"/>
    <w:rsid w:val="00490B9A"/>
    <w:rsid w:val="00490BDE"/>
    <w:rsid w:val="0049101D"/>
    <w:rsid w:val="004911F1"/>
    <w:rsid w:val="0049182F"/>
    <w:rsid w:val="004918A7"/>
    <w:rsid w:val="0049193F"/>
    <w:rsid w:val="00491990"/>
    <w:rsid w:val="004919DD"/>
    <w:rsid w:val="00491BC5"/>
    <w:rsid w:val="00491F27"/>
    <w:rsid w:val="00491F66"/>
    <w:rsid w:val="00491F82"/>
    <w:rsid w:val="004920A2"/>
    <w:rsid w:val="0049229A"/>
    <w:rsid w:val="0049251C"/>
    <w:rsid w:val="00492D09"/>
    <w:rsid w:val="00492FB4"/>
    <w:rsid w:val="00492FCA"/>
    <w:rsid w:val="004931D7"/>
    <w:rsid w:val="00493330"/>
    <w:rsid w:val="00493513"/>
    <w:rsid w:val="004935EF"/>
    <w:rsid w:val="004939D7"/>
    <w:rsid w:val="00493A55"/>
    <w:rsid w:val="00493D4A"/>
    <w:rsid w:val="00494147"/>
    <w:rsid w:val="004941D8"/>
    <w:rsid w:val="004943A5"/>
    <w:rsid w:val="0049444D"/>
    <w:rsid w:val="00494456"/>
    <w:rsid w:val="00494603"/>
    <w:rsid w:val="00494645"/>
    <w:rsid w:val="004946F8"/>
    <w:rsid w:val="0049479D"/>
    <w:rsid w:val="0049493F"/>
    <w:rsid w:val="00494D03"/>
    <w:rsid w:val="00494DB5"/>
    <w:rsid w:val="00494F7C"/>
    <w:rsid w:val="004951A1"/>
    <w:rsid w:val="0049530A"/>
    <w:rsid w:val="004954C7"/>
    <w:rsid w:val="004954CC"/>
    <w:rsid w:val="00495740"/>
    <w:rsid w:val="0049591F"/>
    <w:rsid w:val="00495BD1"/>
    <w:rsid w:val="00495E17"/>
    <w:rsid w:val="00495E38"/>
    <w:rsid w:val="00495F0D"/>
    <w:rsid w:val="00495F3F"/>
    <w:rsid w:val="0049602C"/>
    <w:rsid w:val="00496362"/>
    <w:rsid w:val="0049654F"/>
    <w:rsid w:val="00496816"/>
    <w:rsid w:val="004977DA"/>
    <w:rsid w:val="004978F3"/>
    <w:rsid w:val="00497AEE"/>
    <w:rsid w:val="00497BE1"/>
    <w:rsid w:val="00497CFD"/>
    <w:rsid w:val="00497D2A"/>
    <w:rsid w:val="00497E81"/>
    <w:rsid w:val="00497EF8"/>
    <w:rsid w:val="004A002D"/>
    <w:rsid w:val="004A003A"/>
    <w:rsid w:val="004A05D2"/>
    <w:rsid w:val="004A05E0"/>
    <w:rsid w:val="004A0665"/>
    <w:rsid w:val="004A06A4"/>
    <w:rsid w:val="004A0921"/>
    <w:rsid w:val="004A0B17"/>
    <w:rsid w:val="004A0C6D"/>
    <w:rsid w:val="004A0F51"/>
    <w:rsid w:val="004A108C"/>
    <w:rsid w:val="004A1190"/>
    <w:rsid w:val="004A122E"/>
    <w:rsid w:val="004A151B"/>
    <w:rsid w:val="004A17F5"/>
    <w:rsid w:val="004A18D3"/>
    <w:rsid w:val="004A1A17"/>
    <w:rsid w:val="004A1A3F"/>
    <w:rsid w:val="004A1B63"/>
    <w:rsid w:val="004A1B72"/>
    <w:rsid w:val="004A1D05"/>
    <w:rsid w:val="004A25C5"/>
    <w:rsid w:val="004A298F"/>
    <w:rsid w:val="004A2DF5"/>
    <w:rsid w:val="004A3091"/>
    <w:rsid w:val="004A30A2"/>
    <w:rsid w:val="004A314E"/>
    <w:rsid w:val="004A329A"/>
    <w:rsid w:val="004A3436"/>
    <w:rsid w:val="004A358A"/>
    <w:rsid w:val="004A3751"/>
    <w:rsid w:val="004A38AA"/>
    <w:rsid w:val="004A3C00"/>
    <w:rsid w:val="004A3CC4"/>
    <w:rsid w:val="004A4283"/>
    <w:rsid w:val="004A431E"/>
    <w:rsid w:val="004A4485"/>
    <w:rsid w:val="004A46D4"/>
    <w:rsid w:val="004A47CE"/>
    <w:rsid w:val="004A47D4"/>
    <w:rsid w:val="004A47DD"/>
    <w:rsid w:val="004A49CF"/>
    <w:rsid w:val="004A4EF3"/>
    <w:rsid w:val="004A4F99"/>
    <w:rsid w:val="004A5203"/>
    <w:rsid w:val="004A52B2"/>
    <w:rsid w:val="004A5531"/>
    <w:rsid w:val="004A5560"/>
    <w:rsid w:val="004A5746"/>
    <w:rsid w:val="004A5854"/>
    <w:rsid w:val="004A5903"/>
    <w:rsid w:val="004A5B79"/>
    <w:rsid w:val="004A60C4"/>
    <w:rsid w:val="004A60F9"/>
    <w:rsid w:val="004A6219"/>
    <w:rsid w:val="004A6278"/>
    <w:rsid w:val="004A6292"/>
    <w:rsid w:val="004A64E3"/>
    <w:rsid w:val="004A6957"/>
    <w:rsid w:val="004A6A0A"/>
    <w:rsid w:val="004A6B33"/>
    <w:rsid w:val="004A6DBE"/>
    <w:rsid w:val="004A6F14"/>
    <w:rsid w:val="004A7068"/>
    <w:rsid w:val="004A716B"/>
    <w:rsid w:val="004A72BA"/>
    <w:rsid w:val="004A7714"/>
    <w:rsid w:val="004A79B8"/>
    <w:rsid w:val="004B010F"/>
    <w:rsid w:val="004B019F"/>
    <w:rsid w:val="004B01B9"/>
    <w:rsid w:val="004B04AD"/>
    <w:rsid w:val="004B07DF"/>
    <w:rsid w:val="004B0E36"/>
    <w:rsid w:val="004B0FD3"/>
    <w:rsid w:val="004B10E0"/>
    <w:rsid w:val="004B117B"/>
    <w:rsid w:val="004B1279"/>
    <w:rsid w:val="004B1624"/>
    <w:rsid w:val="004B16BF"/>
    <w:rsid w:val="004B177B"/>
    <w:rsid w:val="004B1787"/>
    <w:rsid w:val="004B17FC"/>
    <w:rsid w:val="004B18E7"/>
    <w:rsid w:val="004B196E"/>
    <w:rsid w:val="004B1DC2"/>
    <w:rsid w:val="004B25B9"/>
    <w:rsid w:val="004B270C"/>
    <w:rsid w:val="004B2853"/>
    <w:rsid w:val="004B28BC"/>
    <w:rsid w:val="004B2A28"/>
    <w:rsid w:val="004B2CA7"/>
    <w:rsid w:val="004B2D0E"/>
    <w:rsid w:val="004B30D0"/>
    <w:rsid w:val="004B31B6"/>
    <w:rsid w:val="004B31E1"/>
    <w:rsid w:val="004B321B"/>
    <w:rsid w:val="004B3403"/>
    <w:rsid w:val="004B36CC"/>
    <w:rsid w:val="004B3769"/>
    <w:rsid w:val="004B376C"/>
    <w:rsid w:val="004B3825"/>
    <w:rsid w:val="004B39CD"/>
    <w:rsid w:val="004B3C00"/>
    <w:rsid w:val="004B3C5E"/>
    <w:rsid w:val="004B3DDA"/>
    <w:rsid w:val="004B3F6B"/>
    <w:rsid w:val="004B4338"/>
    <w:rsid w:val="004B450E"/>
    <w:rsid w:val="004B4AF9"/>
    <w:rsid w:val="004B52CF"/>
    <w:rsid w:val="004B52F9"/>
    <w:rsid w:val="004B54A3"/>
    <w:rsid w:val="004B5739"/>
    <w:rsid w:val="004B5885"/>
    <w:rsid w:val="004B591C"/>
    <w:rsid w:val="004B59A1"/>
    <w:rsid w:val="004B5A86"/>
    <w:rsid w:val="004B5ADC"/>
    <w:rsid w:val="004B5BB6"/>
    <w:rsid w:val="004B5E45"/>
    <w:rsid w:val="004B60F5"/>
    <w:rsid w:val="004B63CB"/>
    <w:rsid w:val="004B6538"/>
    <w:rsid w:val="004B6598"/>
    <w:rsid w:val="004B664E"/>
    <w:rsid w:val="004B6913"/>
    <w:rsid w:val="004B6963"/>
    <w:rsid w:val="004B6D4E"/>
    <w:rsid w:val="004B6ECC"/>
    <w:rsid w:val="004B6F3C"/>
    <w:rsid w:val="004B7301"/>
    <w:rsid w:val="004B76C0"/>
    <w:rsid w:val="004B799A"/>
    <w:rsid w:val="004B7BBF"/>
    <w:rsid w:val="004B7C88"/>
    <w:rsid w:val="004B7D80"/>
    <w:rsid w:val="004B7FC8"/>
    <w:rsid w:val="004C000E"/>
    <w:rsid w:val="004C00F1"/>
    <w:rsid w:val="004C023B"/>
    <w:rsid w:val="004C0777"/>
    <w:rsid w:val="004C0DF5"/>
    <w:rsid w:val="004C1231"/>
    <w:rsid w:val="004C123C"/>
    <w:rsid w:val="004C1415"/>
    <w:rsid w:val="004C18C6"/>
    <w:rsid w:val="004C1D0C"/>
    <w:rsid w:val="004C216F"/>
    <w:rsid w:val="004C23C0"/>
    <w:rsid w:val="004C2416"/>
    <w:rsid w:val="004C2641"/>
    <w:rsid w:val="004C2739"/>
    <w:rsid w:val="004C2960"/>
    <w:rsid w:val="004C2A01"/>
    <w:rsid w:val="004C2C17"/>
    <w:rsid w:val="004C2E8B"/>
    <w:rsid w:val="004C2ED1"/>
    <w:rsid w:val="004C2FC5"/>
    <w:rsid w:val="004C2FF3"/>
    <w:rsid w:val="004C30C5"/>
    <w:rsid w:val="004C3187"/>
    <w:rsid w:val="004C3222"/>
    <w:rsid w:val="004C33FA"/>
    <w:rsid w:val="004C34F1"/>
    <w:rsid w:val="004C37B3"/>
    <w:rsid w:val="004C37BF"/>
    <w:rsid w:val="004C380C"/>
    <w:rsid w:val="004C3ADD"/>
    <w:rsid w:val="004C3B63"/>
    <w:rsid w:val="004C4434"/>
    <w:rsid w:val="004C445C"/>
    <w:rsid w:val="004C462E"/>
    <w:rsid w:val="004C468C"/>
    <w:rsid w:val="004C498E"/>
    <w:rsid w:val="004C4A48"/>
    <w:rsid w:val="004C4B9F"/>
    <w:rsid w:val="004C4C1F"/>
    <w:rsid w:val="004C4C75"/>
    <w:rsid w:val="004C4D76"/>
    <w:rsid w:val="004C4E7B"/>
    <w:rsid w:val="004C5011"/>
    <w:rsid w:val="004C513E"/>
    <w:rsid w:val="004C5594"/>
    <w:rsid w:val="004C559B"/>
    <w:rsid w:val="004C5617"/>
    <w:rsid w:val="004C56EF"/>
    <w:rsid w:val="004C58F9"/>
    <w:rsid w:val="004C5900"/>
    <w:rsid w:val="004C5AD6"/>
    <w:rsid w:val="004C5B70"/>
    <w:rsid w:val="004C5D67"/>
    <w:rsid w:val="004C5E18"/>
    <w:rsid w:val="004C5F1A"/>
    <w:rsid w:val="004C5F62"/>
    <w:rsid w:val="004C5FA0"/>
    <w:rsid w:val="004C5FED"/>
    <w:rsid w:val="004C61CC"/>
    <w:rsid w:val="004C6222"/>
    <w:rsid w:val="004C653E"/>
    <w:rsid w:val="004C6552"/>
    <w:rsid w:val="004C6776"/>
    <w:rsid w:val="004C689D"/>
    <w:rsid w:val="004C6953"/>
    <w:rsid w:val="004C6990"/>
    <w:rsid w:val="004C6D8C"/>
    <w:rsid w:val="004C7262"/>
    <w:rsid w:val="004C73E6"/>
    <w:rsid w:val="004C76A6"/>
    <w:rsid w:val="004C76A7"/>
    <w:rsid w:val="004C7727"/>
    <w:rsid w:val="004C78A5"/>
    <w:rsid w:val="004C793C"/>
    <w:rsid w:val="004C7B10"/>
    <w:rsid w:val="004C7B97"/>
    <w:rsid w:val="004C7BD0"/>
    <w:rsid w:val="004C7BE9"/>
    <w:rsid w:val="004C7C7B"/>
    <w:rsid w:val="004C7CB1"/>
    <w:rsid w:val="004C7DF3"/>
    <w:rsid w:val="004D0072"/>
    <w:rsid w:val="004D060B"/>
    <w:rsid w:val="004D0757"/>
    <w:rsid w:val="004D0A80"/>
    <w:rsid w:val="004D0C93"/>
    <w:rsid w:val="004D0D81"/>
    <w:rsid w:val="004D0FB8"/>
    <w:rsid w:val="004D1006"/>
    <w:rsid w:val="004D137D"/>
    <w:rsid w:val="004D16B4"/>
    <w:rsid w:val="004D17F4"/>
    <w:rsid w:val="004D1890"/>
    <w:rsid w:val="004D1CE4"/>
    <w:rsid w:val="004D1DD5"/>
    <w:rsid w:val="004D1FCF"/>
    <w:rsid w:val="004D25C3"/>
    <w:rsid w:val="004D2A95"/>
    <w:rsid w:val="004D2B38"/>
    <w:rsid w:val="004D2B6F"/>
    <w:rsid w:val="004D2E2F"/>
    <w:rsid w:val="004D2E5F"/>
    <w:rsid w:val="004D2ECF"/>
    <w:rsid w:val="004D2FB3"/>
    <w:rsid w:val="004D320B"/>
    <w:rsid w:val="004D3222"/>
    <w:rsid w:val="004D34BA"/>
    <w:rsid w:val="004D377B"/>
    <w:rsid w:val="004D3A5F"/>
    <w:rsid w:val="004D3B63"/>
    <w:rsid w:val="004D3BDE"/>
    <w:rsid w:val="004D3C8B"/>
    <w:rsid w:val="004D3DC8"/>
    <w:rsid w:val="004D4037"/>
    <w:rsid w:val="004D4120"/>
    <w:rsid w:val="004D449E"/>
    <w:rsid w:val="004D4560"/>
    <w:rsid w:val="004D458A"/>
    <w:rsid w:val="004D45DF"/>
    <w:rsid w:val="004D45E7"/>
    <w:rsid w:val="004D4742"/>
    <w:rsid w:val="004D47A9"/>
    <w:rsid w:val="004D4922"/>
    <w:rsid w:val="004D4D42"/>
    <w:rsid w:val="004D4E6E"/>
    <w:rsid w:val="004D5169"/>
    <w:rsid w:val="004D5431"/>
    <w:rsid w:val="004D5466"/>
    <w:rsid w:val="004D54C1"/>
    <w:rsid w:val="004D56AE"/>
    <w:rsid w:val="004D5A81"/>
    <w:rsid w:val="004D5C4B"/>
    <w:rsid w:val="004D610D"/>
    <w:rsid w:val="004D6357"/>
    <w:rsid w:val="004D656D"/>
    <w:rsid w:val="004D6663"/>
    <w:rsid w:val="004D6755"/>
    <w:rsid w:val="004D67E6"/>
    <w:rsid w:val="004D69AC"/>
    <w:rsid w:val="004D6C80"/>
    <w:rsid w:val="004D72F3"/>
    <w:rsid w:val="004D7376"/>
    <w:rsid w:val="004D7449"/>
    <w:rsid w:val="004D745B"/>
    <w:rsid w:val="004D7781"/>
    <w:rsid w:val="004D778B"/>
    <w:rsid w:val="004D7873"/>
    <w:rsid w:val="004D7882"/>
    <w:rsid w:val="004D78D3"/>
    <w:rsid w:val="004D78D8"/>
    <w:rsid w:val="004D7CE8"/>
    <w:rsid w:val="004D7D77"/>
    <w:rsid w:val="004D7E3A"/>
    <w:rsid w:val="004D7F30"/>
    <w:rsid w:val="004D7F54"/>
    <w:rsid w:val="004E01FD"/>
    <w:rsid w:val="004E04BE"/>
    <w:rsid w:val="004E0C0B"/>
    <w:rsid w:val="004E0C50"/>
    <w:rsid w:val="004E0CF9"/>
    <w:rsid w:val="004E0EF8"/>
    <w:rsid w:val="004E10D7"/>
    <w:rsid w:val="004E1781"/>
    <w:rsid w:val="004E18B5"/>
    <w:rsid w:val="004E1AD8"/>
    <w:rsid w:val="004E1B4C"/>
    <w:rsid w:val="004E1B79"/>
    <w:rsid w:val="004E1EF8"/>
    <w:rsid w:val="004E2125"/>
    <w:rsid w:val="004E23A0"/>
    <w:rsid w:val="004E23D7"/>
    <w:rsid w:val="004E24C1"/>
    <w:rsid w:val="004E28D4"/>
    <w:rsid w:val="004E2B24"/>
    <w:rsid w:val="004E31E8"/>
    <w:rsid w:val="004E3395"/>
    <w:rsid w:val="004E340D"/>
    <w:rsid w:val="004E346E"/>
    <w:rsid w:val="004E36D5"/>
    <w:rsid w:val="004E38E6"/>
    <w:rsid w:val="004E3984"/>
    <w:rsid w:val="004E3CD2"/>
    <w:rsid w:val="004E3F2D"/>
    <w:rsid w:val="004E3F70"/>
    <w:rsid w:val="004E3F76"/>
    <w:rsid w:val="004E41B5"/>
    <w:rsid w:val="004E42A5"/>
    <w:rsid w:val="004E4431"/>
    <w:rsid w:val="004E45A3"/>
    <w:rsid w:val="004E45E9"/>
    <w:rsid w:val="004E45EC"/>
    <w:rsid w:val="004E46D2"/>
    <w:rsid w:val="004E47BE"/>
    <w:rsid w:val="004E47D9"/>
    <w:rsid w:val="004E4956"/>
    <w:rsid w:val="004E4A65"/>
    <w:rsid w:val="004E4A98"/>
    <w:rsid w:val="004E4CA4"/>
    <w:rsid w:val="004E4FE8"/>
    <w:rsid w:val="004E5243"/>
    <w:rsid w:val="004E54B0"/>
    <w:rsid w:val="004E54CE"/>
    <w:rsid w:val="004E579E"/>
    <w:rsid w:val="004E5816"/>
    <w:rsid w:val="004E59E5"/>
    <w:rsid w:val="004E5B40"/>
    <w:rsid w:val="004E5BA4"/>
    <w:rsid w:val="004E5C69"/>
    <w:rsid w:val="004E5DAC"/>
    <w:rsid w:val="004E5F05"/>
    <w:rsid w:val="004E5F70"/>
    <w:rsid w:val="004E5F8F"/>
    <w:rsid w:val="004E6037"/>
    <w:rsid w:val="004E604B"/>
    <w:rsid w:val="004E6338"/>
    <w:rsid w:val="004E63AB"/>
    <w:rsid w:val="004E65B7"/>
    <w:rsid w:val="004E6604"/>
    <w:rsid w:val="004E6AEB"/>
    <w:rsid w:val="004E6AEF"/>
    <w:rsid w:val="004E6B67"/>
    <w:rsid w:val="004E6CFF"/>
    <w:rsid w:val="004E6D75"/>
    <w:rsid w:val="004E71F0"/>
    <w:rsid w:val="004E7527"/>
    <w:rsid w:val="004E7758"/>
    <w:rsid w:val="004E7AD4"/>
    <w:rsid w:val="004E7C58"/>
    <w:rsid w:val="004E7E07"/>
    <w:rsid w:val="004E7EB2"/>
    <w:rsid w:val="004F0F83"/>
    <w:rsid w:val="004F0FC3"/>
    <w:rsid w:val="004F10D6"/>
    <w:rsid w:val="004F1190"/>
    <w:rsid w:val="004F1802"/>
    <w:rsid w:val="004F18E5"/>
    <w:rsid w:val="004F19AD"/>
    <w:rsid w:val="004F19DC"/>
    <w:rsid w:val="004F1C0F"/>
    <w:rsid w:val="004F21AC"/>
    <w:rsid w:val="004F2248"/>
    <w:rsid w:val="004F2349"/>
    <w:rsid w:val="004F24CE"/>
    <w:rsid w:val="004F2608"/>
    <w:rsid w:val="004F2847"/>
    <w:rsid w:val="004F28C2"/>
    <w:rsid w:val="004F2925"/>
    <w:rsid w:val="004F29A5"/>
    <w:rsid w:val="004F2B08"/>
    <w:rsid w:val="004F2D09"/>
    <w:rsid w:val="004F3217"/>
    <w:rsid w:val="004F3413"/>
    <w:rsid w:val="004F358A"/>
    <w:rsid w:val="004F35C5"/>
    <w:rsid w:val="004F35DA"/>
    <w:rsid w:val="004F3688"/>
    <w:rsid w:val="004F36DB"/>
    <w:rsid w:val="004F36E8"/>
    <w:rsid w:val="004F39FA"/>
    <w:rsid w:val="004F3AAE"/>
    <w:rsid w:val="004F3ADF"/>
    <w:rsid w:val="004F3C26"/>
    <w:rsid w:val="004F4253"/>
    <w:rsid w:val="004F434F"/>
    <w:rsid w:val="004F43E2"/>
    <w:rsid w:val="004F46FB"/>
    <w:rsid w:val="004F4AD7"/>
    <w:rsid w:val="004F4B78"/>
    <w:rsid w:val="004F4BDE"/>
    <w:rsid w:val="004F4D4D"/>
    <w:rsid w:val="004F4D6F"/>
    <w:rsid w:val="004F4E08"/>
    <w:rsid w:val="004F4FD2"/>
    <w:rsid w:val="004F50F7"/>
    <w:rsid w:val="004F5339"/>
    <w:rsid w:val="004F561F"/>
    <w:rsid w:val="004F56DB"/>
    <w:rsid w:val="004F5A16"/>
    <w:rsid w:val="004F5A42"/>
    <w:rsid w:val="004F5F28"/>
    <w:rsid w:val="004F5FC2"/>
    <w:rsid w:val="004F6277"/>
    <w:rsid w:val="004F62C7"/>
    <w:rsid w:val="004F6751"/>
    <w:rsid w:val="004F68DE"/>
    <w:rsid w:val="004F6967"/>
    <w:rsid w:val="004F6A58"/>
    <w:rsid w:val="004F6ABA"/>
    <w:rsid w:val="004F7142"/>
    <w:rsid w:val="004F730C"/>
    <w:rsid w:val="004F7636"/>
    <w:rsid w:val="004F7793"/>
    <w:rsid w:val="004F79E3"/>
    <w:rsid w:val="004F7CAC"/>
    <w:rsid w:val="004F7EA2"/>
    <w:rsid w:val="004F7F6F"/>
    <w:rsid w:val="00500213"/>
    <w:rsid w:val="00500372"/>
    <w:rsid w:val="005003E2"/>
    <w:rsid w:val="00500AAE"/>
    <w:rsid w:val="00500AF0"/>
    <w:rsid w:val="00500B40"/>
    <w:rsid w:val="00500BA4"/>
    <w:rsid w:val="00500E28"/>
    <w:rsid w:val="00500EEB"/>
    <w:rsid w:val="00501048"/>
    <w:rsid w:val="005010BB"/>
    <w:rsid w:val="005010D1"/>
    <w:rsid w:val="0050159D"/>
    <w:rsid w:val="005015DE"/>
    <w:rsid w:val="0050170D"/>
    <w:rsid w:val="0050175A"/>
    <w:rsid w:val="005017C1"/>
    <w:rsid w:val="005018B7"/>
    <w:rsid w:val="00501A8F"/>
    <w:rsid w:val="00501CB3"/>
    <w:rsid w:val="00501CD5"/>
    <w:rsid w:val="00501D07"/>
    <w:rsid w:val="00501D27"/>
    <w:rsid w:val="00501DA1"/>
    <w:rsid w:val="00501E06"/>
    <w:rsid w:val="00501F42"/>
    <w:rsid w:val="00502229"/>
    <w:rsid w:val="0050251E"/>
    <w:rsid w:val="00502670"/>
    <w:rsid w:val="005027F5"/>
    <w:rsid w:val="00502F58"/>
    <w:rsid w:val="00502F72"/>
    <w:rsid w:val="0050322C"/>
    <w:rsid w:val="0050329A"/>
    <w:rsid w:val="00503571"/>
    <w:rsid w:val="005038DF"/>
    <w:rsid w:val="00503E41"/>
    <w:rsid w:val="00503E77"/>
    <w:rsid w:val="005042D2"/>
    <w:rsid w:val="005045E4"/>
    <w:rsid w:val="005047EE"/>
    <w:rsid w:val="005049DA"/>
    <w:rsid w:val="00504AB9"/>
    <w:rsid w:val="00504B94"/>
    <w:rsid w:val="00504DA3"/>
    <w:rsid w:val="00504E5F"/>
    <w:rsid w:val="00505345"/>
    <w:rsid w:val="00505362"/>
    <w:rsid w:val="00505844"/>
    <w:rsid w:val="00505C03"/>
    <w:rsid w:val="00505CB5"/>
    <w:rsid w:val="00505EDC"/>
    <w:rsid w:val="00506073"/>
    <w:rsid w:val="0050620D"/>
    <w:rsid w:val="0050689F"/>
    <w:rsid w:val="00506B4D"/>
    <w:rsid w:val="00506B51"/>
    <w:rsid w:val="00506B6C"/>
    <w:rsid w:val="00506D05"/>
    <w:rsid w:val="00506FA2"/>
    <w:rsid w:val="0050763B"/>
    <w:rsid w:val="0050764E"/>
    <w:rsid w:val="00507747"/>
    <w:rsid w:val="00507DB1"/>
    <w:rsid w:val="00507F6E"/>
    <w:rsid w:val="005100CE"/>
    <w:rsid w:val="0051025E"/>
    <w:rsid w:val="00510536"/>
    <w:rsid w:val="005106C7"/>
    <w:rsid w:val="005107FD"/>
    <w:rsid w:val="00510952"/>
    <w:rsid w:val="00510A76"/>
    <w:rsid w:val="00510C0E"/>
    <w:rsid w:val="00510DB2"/>
    <w:rsid w:val="0051105F"/>
    <w:rsid w:val="00511320"/>
    <w:rsid w:val="0051154B"/>
    <w:rsid w:val="00511567"/>
    <w:rsid w:val="005119C9"/>
    <w:rsid w:val="00511D98"/>
    <w:rsid w:val="00511DD8"/>
    <w:rsid w:val="00511E08"/>
    <w:rsid w:val="005123DB"/>
    <w:rsid w:val="0051247E"/>
    <w:rsid w:val="00512610"/>
    <w:rsid w:val="005126E4"/>
    <w:rsid w:val="00512997"/>
    <w:rsid w:val="00512AA6"/>
    <w:rsid w:val="00512AA7"/>
    <w:rsid w:val="00512BC0"/>
    <w:rsid w:val="00512D6F"/>
    <w:rsid w:val="00512DDA"/>
    <w:rsid w:val="00512FB1"/>
    <w:rsid w:val="005132BA"/>
    <w:rsid w:val="00513692"/>
    <w:rsid w:val="005137B7"/>
    <w:rsid w:val="00513939"/>
    <w:rsid w:val="00513BA1"/>
    <w:rsid w:val="00513CD3"/>
    <w:rsid w:val="00513F14"/>
    <w:rsid w:val="00513FC6"/>
    <w:rsid w:val="00513FD9"/>
    <w:rsid w:val="00514378"/>
    <w:rsid w:val="005143F9"/>
    <w:rsid w:val="0051480C"/>
    <w:rsid w:val="00514896"/>
    <w:rsid w:val="0051489A"/>
    <w:rsid w:val="00514B15"/>
    <w:rsid w:val="00514CF8"/>
    <w:rsid w:val="00514D01"/>
    <w:rsid w:val="00514D97"/>
    <w:rsid w:val="00514E56"/>
    <w:rsid w:val="00515206"/>
    <w:rsid w:val="00515368"/>
    <w:rsid w:val="005155E1"/>
    <w:rsid w:val="00515633"/>
    <w:rsid w:val="00515705"/>
    <w:rsid w:val="00515920"/>
    <w:rsid w:val="00515C0E"/>
    <w:rsid w:val="00515D4D"/>
    <w:rsid w:val="00515D79"/>
    <w:rsid w:val="00515E53"/>
    <w:rsid w:val="00515EE0"/>
    <w:rsid w:val="0051606E"/>
    <w:rsid w:val="0051621A"/>
    <w:rsid w:val="00516566"/>
    <w:rsid w:val="0051656D"/>
    <w:rsid w:val="005165B4"/>
    <w:rsid w:val="005167DB"/>
    <w:rsid w:val="00516886"/>
    <w:rsid w:val="00516A6D"/>
    <w:rsid w:val="00516E46"/>
    <w:rsid w:val="00517451"/>
    <w:rsid w:val="005174E7"/>
    <w:rsid w:val="0051772A"/>
    <w:rsid w:val="005178C2"/>
    <w:rsid w:val="00517B35"/>
    <w:rsid w:val="00517D77"/>
    <w:rsid w:val="00517DA7"/>
    <w:rsid w:val="00517EFE"/>
    <w:rsid w:val="00517F42"/>
    <w:rsid w:val="00520012"/>
    <w:rsid w:val="00520252"/>
    <w:rsid w:val="00520352"/>
    <w:rsid w:val="00520353"/>
    <w:rsid w:val="00520541"/>
    <w:rsid w:val="005207B4"/>
    <w:rsid w:val="005208E8"/>
    <w:rsid w:val="00520ABD"/>
    <w:rsid w:val="00520F8F"/>
    <w:rsid w:val="00521123"/>
    <w:rsid w:val="005218C3"/>
    <w:rsid w:val="00521979"/>
    <w:rsid w:val="00521C1F"/>
    <w:rsid w:val="00521DC0"/>
    <w:rsid w:val="005220E8"/>
    <w:rsid w:val="00522121"/>
    <w:rsid w:val="00522221"/>
    <w:rsid w:val="00522294"/>
    <w:rsid w:val="005225BE"/>
    <w:rsid w:val="00522962"/>
    <w:rsid w:val="00522A1F"/>
    <w:rsid w:val="00522B2A"/>
    <w:rsid w:val="00522E2A"/>
    <w:rsid w:val="005230E1"/>
    <w:rsid w:val="00523390"/>
    <w:rsid w:val="00523438"/>
    <w:rsid w:val="00523700"/>
    <w:rsid w:val="00523739"/>
    <w:rsid w:val="005239D2"/>
    <w:rsid w:val="00523D4C"/>
    <w:rsid w:val="00523DD0"/>
    <w:rsid w:val="00523E70"/>
    <w:rsid w:val="00523EAF"/>
    <w:rsid w:val="00523EB2"/>
    <w:rsid w:val="00524260"/>
    <w:rsid w:val="00524748"/>
    <w:rsid w:val="0052494B"/>
    <w:rsid w:val="00524B07"/>
    <w:rsid w:val="00524B3E"/>
    <w:rsid w:val="00524B6D"/>
    <w:rsid w:val="00525242"/>
    <w:rsid w:val="005253AD"/>
    <w:rsid w:val="00525417"/>
    <w:rsid w:val="00525773"/>
    <w:rsid w:val="00525DA6"/>
    <w:rsid w:val="00525E71"/>
    <w:rsid w:val="00526045"/>
    <w:rsid w:val="00526059"/>
    <w:rsid w:val="0052656B"/>
    <w:rsid w:val="00526660"/>
    <w:rsid w:val="00526C05"/>
    <w:rsid w:val="00526D80"/>
    <w:rsid w:val="005273B3"/>
    <w:rsid w:val="0052758B"/>
    <w:rsid w:val="005275AF"/>
    <w:rsid w:val="0052768E"/>
    <w:rsid w:val="005278B7"/>
    <w:rsid w:val="0052798B"/>
    <w:rsid w:val="00527A73"/>
    <w:rsid w:val="00527C54"/>
    <w:rsid w:val="00527D3A"/>
    <w:rsid w:val="00527F4E"/>
    <w:rsid w:val="00527FB3"/>
    <w:rsid w:val="005301AD"/>
    <w:rsid w:val="00530900"/>
    <w:rsid w:val="00530C08"/>
    <w:rsid w:val="00531010"/>
    <w:rsid w:val="0053122C"/>
    <w:rsid w:val="005313D9"/>
    <w:rsid w:val="005315FB"/>
    <w:rsid w:val="00531666"/>
    <w:rsid w:val="00531690"/>
    <w:rsid w:val="0053193D"/>
    <w:rsid w:val="00531B46"/>
    <w:rsid w:val="00531B7A"/>
    <w:rsid w:val="00531C11"/>
    <w:rsid w:val="00531EF3"/>
    <w:rsid w:val="00531FCD"/>
    <w:rsid w:val="00531FFC"/>
    <w:rsid w:val="0053211C"/>
    <w:rsid w:val="0053222A"/>
    <w:rsid w:val="0053232B"/>
    <w:rsid w:val="005326BA"/>
    <w:rsid w:val="005327AE"/>
    <w:rsid w:val="00532863"/>
    <w:rsid w:val="00532B34"/>
    <w:rsid w:val="00532D50"/>
    <w:rsid w:val="00532D6A"/>
    <w:rsid w:val="00532E82"/>
    <w:rsid w:val="00532FAA"/>
    <w:rsid w:val="0053301B"/>
    <w:rsid w:val="0053333A"/>
    <w:rsid w:val="005334C6"/>
    <w:rsid w:val="0053350B"/>
    <w:rsid w:val="0053370C"/>
    <w:rsid w:val="00533777"/>
    <w:rsid w:val="00533787"/>
    <w:rsid w:val="00533D1E"/>
    <w:rsid w:val="00533E05"/>
    <w:rsid w:val="00533E24"/>
    <w:rsid w:val="00533E61"/>
    <w:rsid w:val="00534251"/>
    <w:rsid w:val="00534370"/>
    <w:rsid w:val="005344F1"/>
    <w:rsid w:val="00534568"/>
    <w:rsid w:val="0053475D"/>
    <w:rsid w:val="0053494E"/>
    <w:rsid w:val="00534A20"/>
    <w:rsid w:val="00534BF1"/>
    <w:rsid w:val="00534D05"/>
    <w:rsid w:val="00534EB0"/>
    <w:rsid w:val="00535498"/>
    <w:rsid w:val="005358AA"/>
    <w:rsid w:val="00535982"/>
    <w:rsid w:val="005359FD"/>
    <w:rsid w:val="00535BA4"/>
    <w:rsid w:val="00535C74"/>
    <w:rsid w:val="00536011"/>
    <w:rsid w:val="005361AB"/>
    <w:rsid w:val="0053691A"/>
    <w:rsid w:val="00536BFC"/>
    <w:rsid w:val="00536E48"/>
    <w:rsid w:val="00536E6E"/>
    <w:rsid w:val="0053734F"/>
    <w:rsid w:val="00537495"/>
    <w:rsid w:val="00537AC5"/>
    <w:rsid w:val="00537C76"/>
    <w:rsid w:val="00537E59"/>
    <w:rsid w:val="0053FEB1"/>
    <w:rsid w:val="005405A3"/>
    <w:rsid w:val="00540816"/>
    <w:rsid w:val="00540A85"/>
    <w:rsid w:val="00540AAA"/>
    <w:rsid w:val="00540B96"/>
    <w:rsid w:val="00540C23"/>
    <w:rsid w:val="00540CDF"/>
    <w:rsid w:val="00540D1E"/>
    <w:rsid w:val="00540E16"/>
    <w:rsid w:val="00540E59"/>
    <w:rsid w:val="00540F8F"/>
    <w:rsid w:val="0054104D"/>
    <w:rsid w:val="00541133"/>
    <w:rsid w:val="00541184"/>
    <w:rsid w:val="005411FF"/>
    <w:rsid w:val="0054127C"/>
    <w:rsid w:val="005414D2"/>
    <w:rsid w:val="0054151F"/>
    <w:rsid w:val="005416CF"/>
    <w:rsid w:val="00541877"/>
    <w:rsid w:val="005418E5"/>
    <w:rsid w:val="005418FA"/>
    <w:rsid w:val="0054196D"/>
    <w:rsid w:val="00541B3B"/>
    <w:rsid w:val="00541D43"/>
    <w:rsid w:val="00541E73"/>
    <w:rsid w:val="00542068"/>
    <w:rsid w:val="00542169"/>
    <w:rsid w:val="00542424"/>
    <w:rsid w:val="00542578"/>
    <w:rsid w:val="00542887"/>
    <w:rsid w:val="00542999"/>
    <w:rsid w:val="00542BC7"/>
    <w:rsid w:val="00542DB7"/>
    <w:rsid w:val="00543439"/>
    <w:rsid w:val="005437D7"/>
    <w:rsid w:val="005439E5"/>
    <w:rsid w:val="00543AF9"/>
    <w:rsid w:val="00543D25"/>
    <w:rsid w:val="00543D95"/>
    <w:rsid w:val="00543E30"/>
    <w:rsid w:val="00543F14"/>
    <w:rsid w:val="00543F38"/>
    <w:rsid w:val="00544001"/>
    <w:rsid w:val="00544011"/>
    <w:rsid w:val="005441C6"/>
    <w:rsid w:val="005442D1"/>
    <w:rsid w:val="005443A3"/>
    <w:rsid w:val="005443E7"/>
    <w:rsid w:val="005444AE"/>
    <w:rsid w:val="0054469A"/>
    <w:rsid w:val="00544704"/>
    <w:rsid w:val="005448C1"/>
    <w:rsid w:val="00544A11"/>
    <w:rsid w:val="00544C5C"/>
    <w:rsid w:val="00544C74"/>
    <w:rsid w:val="00544CA9"/>
    <w:rsid w:val="00544DCD"/>
    <w:rsid w:val="00544DE1"/>
    <w:rsid w:val="005452AA"/>
    <w:rsid w:val="0054554F"/>
    <w:rsid w:val="00545978"/>
    <w:rsid w:val="00545C37"/>
    <w:rsid w:val="00545E30"/>
    <w:rsid w:val="00545E42"/>
    <w:rsid w:val="00545FA8"/>
    <w:rsid w:val="00546168"/>
    <w:rsid w:val="005461F6"/>
    <w:rsid w:val="005462DA"/>
    <w:rsid w:val="0054653B"/>
    <w:rsid w:val="00546701"/>
    <w:rsid w:val="00546822"/>
    <w:rsid w:val="00546A63"/>
    <w:rsid w:val="00546CF9"/>
    <w:rsid w:val="00546FD4"/>
    <w:rsid w:val="0054765A"/>
    <w:rsid w:val="00547931"/>
    <w:rsid w:val="00547B97"/>
    <w:rsid w:val="00547CD2"/>
    <w:rsid w:val="00547CD4"/>
    <w:rsid w:val="00547EC8"/>
    <w:rsid w:val="00547EDC"/>
    <w:rsid w:val="00547FC0"/>
    <w:rsid w:val="0055030E"/>
    <w:rsid w:val="005503BE"/>
    <w:rsid w:val="00550412"/>
    <w:rsid w:val="005504EC"/>
    <w:rsid w:val="005505E9"/>
    <w:rsid w:val="0055072B"/>
    <w:rsid w:val="00550B0E"/>
    <w:rsid w:val="00550D79"/>
    <w:rsid w:val="0055103D"/>
    <w:rsid w:val="00551135"/>
    <w:rsid w:val="00551208"/>
    <w:rsid w:val="00551286"/>
    <w:rsid w:val="00551613"/>
    <w:rsid w:val="005516FE"/>
    <w:rsid w:val="00551C26"/>
    <w:rsid w:val="00551CF6"/>
    <w:rsid w:val="00551DCF"/>
    <w:rsid w:val="00551E86"/>
    <w:rsid w:val="00551EB6"/>
    <w:rsid w:val="00551F24"/>
    <w:rsid w:val="00552033"/>
    <w:rsid w:val="0055211D"/>
    <w:rsid w:val="0055219D"/>
    <w:rsid w:val="00552279"/>
    <w:rsid w:val="00552417"/>
    <w:rsid w:val="00552428"/>
    <w:rsid w:val="00552A35"/>
    <w:rsid w:val="00552B31"/>
    <w:rsid w:val="00552CA9"/>
    <w:rsid w:val="00552EA9"/>
    <w:rsid w:val="0055323C"/>
    <w:rsid w:val="00553277"/>
    <w:rsid w:val="005532FE"/>
    <w:rsid w:val="00553548"/>
    <w:rsid w:val="005535A0"/>
    <w:rsid w:val="0055360D"/>
    <w:rsid w:val="0055372F"/>
    <w:rsid w:val="00553782"/>
    <w:rsid w:val="00553C40"/>
    <w:rsid w:val="00553E03"/>
    <w:rsid w:val="00553E5E"/>
    <w:rsid w:val="00553EAD"/>
    <w:rsid w:val="00553F8A"/>
    <w:rsid w:val="0055400E"/>
    <w:rsid w:val="00554481"/>
    <w:rsid w:val="00554691"/>
    <w:rsid w:val="005546C7"/>
    <w:rsid w:val="00554745"/>
    <w:rsid w:val="005547DA"/>
    <w:rsid w:val="00554A50"/>
    <w:rsid w:val="00554BBC"/>
    <w:rsid w:val="00554DE8"/>
    <w:rsid w:val="00554E2C"/>
    <w:rsid w:val="00554FAA"/>
    <w:rsid w:val="005550A4"/>
    <w:rsid w:val="0055530D"/>
    <w:rsid w:val="0055532F"/>
    <w:rsid w:val="00555416"/>
    <w:rsid w:val="0055560C"/>
    <w:rsid w:val="00555654"/>
    <w:rsid w:val="00555884"/>
    <w:rsid w:val="00555892"/>
    <w:rsid w:val="005558A9"/>
    <w:rsid w:val="0055595D"/>
    <w:rsid w:val="005559C6"/>
    <w:rsid w:val="00555AF2"/>
    <w:rsid w:val="00555E21"/>
    <w:rsid w:val="005560DD"/>
    <w:rsid w:val="00556262"/>
    <w:rsid w:val="0055636D"/>
    <w:rsid w:val="005567F2"/>
    <w:rsid w:val="00556DF3"/>
    <w:rsid w:val="0055723D"/>
    <w:rsid w:val="005573E2"/>
    <w:rsid w:val="005574CB"/>
    <w:rsid w:val="00557628"/>
    <w:rsid w:val="00557690"/>
    <w:rsid w:val="00557723"/>
    <w:rsid w:val="005577FA"/>
    <w:rsid w:val="0055780A"/>
    <w:rsid w:val="00557941"/>
    <w:rsid w:val="005579D6"/>
    <w:rsid w:val="00557A41"/>
    <w:rsid w:val="00557B41"/>
    <w:rsid w:val="00557E22"/>
    <w:rsid w:val="00560033"/>
    <w:rsid w:val="0056063D"/>
    <w:rsid w:val="005606BB"/>
    <w:rsid w:val="005607C6"/>
    <w:rsid w:val="005608AF"/>
    <w:rsid w:val="00560A99"/>
    <w:rsid w:val="00560AA8"/>
    <w:rsid w:val="00560AD9"/>
    <w:rsid w:val="00560B4A"/>
    <w:rsid w:val="00560BC3"/>
    <w:rsid w:val="00560C7E"/>
    <w:rsid w:val="00560D73"/>
    <w:rsid w:val="00560E84"/>
    <w:rsid w:val="00560EB2"/>
    <w:rsid w:val="00561169"/>
    <w:rsid w:val="0056118B"/>
    <w:rsid w:val="0056138F"/>
    <w:rsid w:val="005617DF"/>
    <w:rsid w:val="005618F7"/>
    <w:rsid w:val="00561A3D"/>
    <w:rsid w:val="00561D24"/>
    <w:rsid w:val="00561DFC"/>
    <w:rsid w:val="00561E27"/>
    <w:rsid w:val="00561E9B"/>
    <w:rsid w:val="00562004"/>
    <w:rsid w:val="005620A3"/>
    <w:rsid w:val="0056232E"/>
    <w:rsid w:val="0056236F"/>
    <w:rsid w:val="005623A5"/>
    <w:rsid w:val="005629EB"/>
    <w:rsid w:val="00562A59"/>
    <w:rsid w:val="00562AEC"/>
    <w:rsid w:val="00562B5C"/>
    <w:rsid w:val="00562CCE"/>
    <w:rsid w:val="005632F4"/>
    <w:rsid w:val="00563419"/>
    <w:rsid w:val="005634ED"/>
    <w:rsid w:val="00563A29"/>
    <w:rsid w:val="00563C8E"/>
    <w:rsid w:val="00563DD5"/>
    <w:rsid w:val="00563FDC"/>
    <w:rsid w:val="005640F8"/>
    <w:rsid w:val="005641C2"/>
    <w:rsid w:val="0056429D"/>
    <w:rsid w:val="005644C1"/>
    <w:rsid w:val="005644F8"/>
    <w:rsid w:val="0056454C"/>
    <w:rsid w:val="00564718"/>
    <w:rsid w:val="00564810"/>
    <w:rsid w:val="00564918"/>
    <w:rsid w:val="00564A21"/>
    <w:rsid w:val="00564A92"/>
    <w:rsid w:val="00564B9A"/>
    <w:rsid w:val="00564E75"/>
    <w:rsid w:val="0056501E"/>
    <w:rsid w:val="00565022"/>
    <w:rsid w:val="00565047"/>
    <w:rsid w:val="0056506D"/>
    <w:rsid w:val="005652B7"/>
    <w:rsid w:val="005655E2"/>
    <w:rsid w:val="0056561F"/>
    <w:rsid w:val="005657DA"/>
    <w:rsid w:val="00565A06"/>
    <w:rsid w:val="00565A56"/>
    <w:rsid w:val="00565BC3"/>
    <w:rsid w:val="00565C1B"/>
    <w:rsid w:val="00565CF6"/>
    <w:rsid w:val="00565F55"/>
    <w:rsid w:val="00565F83"/>
    <w:rsid w:val="0056610D"/>
    <w:rsid w:val="005664C0"/>
    <w:rsid w:val="00566599"/>
    <w:rsid w:val="00566926"/>
    <w:rsid w:val="00566A07"/>
    <w:rsid w:val="00566A5F"/>
    <w:rsid w:val="00566B8C"/>
    <w:rsid w:val="00566BB4"/>
    <w:rsid w:val="00567076"/>
    <w:rsid w:val="005670A4"/>
    <w:rsid w:val="00567389"/>
    <w:rsid w:val="005673A2"/>
    <w:rsid w:val="005673F3"/>
    <w:rsid w:val="0056758B"/>
    <w:rsid w:val="005676EA"/>
    <w:rsid w:val="005677C5"/>
    <w:rsid w:val="00567816"/>
    <w:rsid w:val="005679C9"/>
    <w:rsid w:val="00567ABA"/>
    <w:rsid w:val="0057050A"/>
    <w:rsid w:val="005705FF"/>
    <w:rsid w:val="0057063E"/>
    <w:rsid w:val="0057090A"/>
    <w:rsid w:val="00570A7D"/>
    <w:rsid w:val="00570DC4"/>
    <w:rsid w:val="00570E3C"/>
    <w:rsid w:val="00570F90"/>
    <w:rsid w:val="00571338"/>
    <w:rsid w:val="0057169A"/>
    <w:rsid w:val="005716A1"/>
    <w:rsid w:val="00571890"/>
    <w:rsid w:val="00571950"/>
    <w:rsid w:val="005719A7"/>
    <w:rsid w:val="00571B21"/>
    <w:rsid w:val="00571D72"/>
    <w:rsid w:val="00571DD2"/>
    <w:rsid w:val="005722D2"/>
    <w:rsid w:val="00572307"/>
    <w:rsid w:val="00572429"/>
    <w:rsid w:val="00572467"/>
    <w:rsid w:val="005724E8"/>
    <w:rsid w:val="005726C1"/>
    <w:rsid w:val="00572A71"/>
    <w:rsid w:val="00572CE4"/>
    <w:rsid w:val="00572E1A"/>
    <w:rsid w:val="0057324A"/>
    <w:rsid w:val="00573315"/>
    <w:rsid w:val="005733DB"/>
    <w:rsid w:val="005733DD"/>
    <w:rsid w:val="0057342A"/>
    <w:rsid w:val="005734B3"/>
    <w:rsid w:val="005738A6"/>
    <w:rsid w:val="00573B4D"/>
    <w:rsid w:val="00573C53"/>
    <w:rsid w:val="00573E2F"/>
    <w:rsid w:val="00574369"/>
    <w:rsid w:val="0057470E"/>
    <w:rsid w:val="00574AD8"/>
    <w:rsid w:val="00574FE8"/>
    <w:rsid w:val="005752A1"/>
    <w:rsid w:val="00575488"/>
    <w:rsid w:val="00575764"/>
    <w:rsid w:val="0057592B"/>
    <w:rsid w:val="00575A49"/>
    <w:rsid w:val="00575BAD"/>
    <w:rsid w:val="00575BB0"/>
    <w:rsid w:val="00575C14"/>
    <w:rsid w:val="00575FEC"/>
    <w:rsid w:val="00576297"/>
    <w:rsid w:val="005762CB"/>
    <w:rsid w:val="005768B3"/>
    <w:rsid w:val="005769F2"/>
    <w:rsid w:val="00576ADE"/>
    <w:rsid w:val="00576B5C"/>
    <w:rsid w:val="00576C0F"/>
    <w:rsid w:val="00576C16"/>
    <w:rsid w:val="00576E60"/>
    <w:rsid w:val="005770BA"/>
    <w:rsid w:val="0057712B"/>
    <w:rsid w:val="00577726"/>
    <w:rsid w:val="00577910"/>
    <w:rsid w:val="00577CFD"/>
    <w:rsid w:val="00577DEF"/>
    <w:rsid w:val="0057AA3E"/>
    <w:rsid w:val="0058001D"/>
    <w:rsid w:val="00580055"/>
    <w:rsid w:val="00580232"/>
    <w:rsid w:val="00580322"/>
    <w:rsid w:val="0058095E"/>
    <w:rsid w:val="00580DF6"/>
    <w:rsid w:val="00581622"/>
    <w:rsid w:val="005816FD"/>
    <w:rsid w:val="005817F6"/>
    <w:rsid w:val="00581A00"/>
    <w:rsid w:val="00581A6D"/>
    <w:rsid w:val="00581BA3"/>
    <w:rsid w:val="00581BD2"/>
    <w:rsid w:val="005828DF"/>
    <w:rsid w:val="00582A6F"/>
    <w:rsid w:val="00582B87"/>
    <w:rsid w:val="00582BE7"/>
    <w:rsid w:val="00582D05"/>
    <w:rsid w:val="00582F96"/>
    <w:rsid w:val="00583057"/>
    <w:rsid w:val="005830F3"/>
    <w:rsid w:val="00583103"/>
    <w:rsid w:val="00583278"/>
    <w:rsid w:val="005832AA"/>
    <w:rsid w:val="00583B13"/>
    <w:rsid w:val="00583D6E"/>
    <w:rsid w:val="00583F6A"/>
    <w:rsid w:val="00584869"/>
    <w:rsid w:val="005850BD"/>
    <w:rsid w:val="0058539A"/>
    <w:rsid w:val="00585644"/>
    <w:rsid w:val="005858FA"/>
    <w:rsid w:val="00585D0A"/>
    <w:rsid w:val="00585E44"/>
    <w:rsid w:val="00585E49"/>
    <w:rsid w:val="00585EAC"/>
    <w:rsid w:val="005861BC"/>
    <w:rsid w:val="005861DF"/>
    <w:rsid w:val="005862EF"/>
    <w:rsid w:val="0058643B"/>
    <w:rsid w:val="005865EA"/>
    <w:rsid w:val="005865F0"/>
    <w:rsid w:val="00586754"/>
    <w:rsid w:val="00586C34"/>
    <w:rsid w:val="00586CC0"/>
    <w:rsid w:val="00586CC4"/>
    <w:rsid w:val="00586CF3"/>
    <w:rsid w:val="0058710A"/>
    <w:rsid w:val="00587B3F"/>
    <w:rsid w:val="00587C3B"/>
    <w:rsid w:val="0059007C"/>
    <w:rsid w:val="0059020A"/>
    <w:rsid w:val="00590409"/>
    <w:rsid w:val="00590493"/>
    <w:rsid w:val="0059067C"/>
    <w:rsid w:val="005907FF"/>
    <w:rsid w:val="0059086C"/>
    <w:rsid w:val="0059097C"/>
    <w:rsid w:val="005913B6"/>
    <w:rsid w:val="005914A0"/>
    <w:rsid w:val="005915B1"/>
    <w:rsid w:val="0059223A"/>
    <w:rsid w:val="005922D6"/>
    <w:rsid w:val="00592311"/>
    <w:rsid w:val="00592442"/>
    <w:rsid w:val="00592479"/>
    <w:rsid w:val="005925D5"/>
    <w:rsid w:val="00592FC3"/>
    <w:rsid w:val="00593196"/>
    <w:rsid w:val="00593307"/>
    <w:rsid w:val="0059344D"/>
    <w:rsid w:val="00593A92"/>
    <w:rsid w:val="00593C66"/>
    <w:rsid w:val="00594206"/>
    <w:rsid w:val="005942F8"/>
    <w:rsid w:val="00594363"/>
    <w:rsid w:val="0059448B"/>
    <w:rsid w:val="0059451E"/>
    <w:rsid w:val="0059473A"/>
    <w:rsid w:val="00594904"/>
    <w:rsid w:val="005949DD"/>
    <w:rsid w:val="00594B9E"/>
    <w:rsid w:val="00594DEC"/>
    <w:rsid w:val="00594E17"/>
    <w:rsid w:val="00594FF8"/>
    <w:rsid w:val="005951FF"/>
    <w:rsid w:val="005956B4"/>
    <w:rsid w:val="005957FE"/>
    <w:rsid w:val="00595861"/>
    <w:rsid w:val="00595933"/>
    <w:rsid w:val="00595D14"/>
    <w:rsid w:val="00595FF6"/>
    <w:rsid w:val="00596248"/>
    <w:rsid w:val="005963FD"/>
    <w:rsid w:val="0059666A"/>
    <w:rsid w:val="005966F2"/>
    <w:rsid w:val="005967C8"/>
    <w:rsid w:val="00596964"/>
    <w:rsid w:val="00596BB4"/>
    <w:rsid w:val="00596D34"/>
    <w:rsid w:val="00596F93"/>
    <w:rsid w:val="005974DF"/>
    <w:rsid w:val="005976C6"/>
    <w:rsid w:val="005978D5"/>
    <w:rsid w:val="00597972"/>
    <w:rsid w:val="00597AEF"/>
    <w:rsid w:val="00597CE6"/>
    <w:rsid w:val="00597CF5"/>
    <w:rsid w:val="00597EE0"/>
    <w:rsid w:val="00597FAB"/>
    <w:rsid w:val="005A03F3"/>
    <w:rsid w:val="005A0632"/>
    <w:rsid w:val="005A100C"/>
    <w:rsid w:val="005A11A7"/>
    <w:rsid w:val="005A12DE"/>
    <w:rsid w:val="005A15A0"/>
    <w:rsid w:val="005A1667"/>
    <w:rsid w:val="005A1751"/>
    <w:rsid w:val="005A17FF"/>
    <w:rsid w:val="005A199B"/>
    <w:rsid w:val="005A1A1B"/>
    <w:rsid w:val="005A1CB5"/>
    <w:rsid w:val="005A1DF7"/>
    <w:rsid w:val="005A2001"/>
    <w:rsid w:val="005A20A0"/>
    <w:rsid w:val="005A2131"/>
    <w:rsid w:val="005A21ED"/>
    <w:rsid w:val="005A222E"/>
    <w:rsid w:val="005A2714"/>
    <w:rsid w:val="005A2854"/>
    <w:rsid w:val="005A2975"/>
    <w:rsid w:val="005A2A4A"/>
    <w:rsid w:val="005A2A52"/>
    <w:rsid w:val="005A2AD2"/>
    <w:rsid w:val="005A2D93"/>
    <w:rsid w:val="005A2F55"/>
    <w:rsid w:val="005A3132"/>
    <w:rsid w:val="005A3238"/>
    <w:rsid w:val="005A3281"/>
    <w:rsid w:val="005A36AA"/>
    <w:rsid w:val="005A3834"/>
    <w:rsid w:val="005A3A53"/>
    <w:rsid w:val="005A3D4D"/>
    <w:rsid w:val="005A3D5B"/>
    <w:rsid w:val="005A3E1B"/>
    <w:rsid w:val="005A41F1"/>
    <w:rsid w:val="005A4285"/>
    <w:rsid w:val="005A43ED"/>
    <w:rsid w:val="005A4473"/>
    <w:rsid w:val="005A465E"/>
    <w:rsid w:val="005A4787"/>
    <w:rsid w:val="005A48F9"/>
    <w:rsid w:val="005A4C43"/>
    <w:rsid w:val="005A4CD5"/>
    <w:rsid w:val="005A4CE2"/>
    <w:rsid w:val="005A507F"/>
    <w:rsid w:val="005A5151"/>
    <w:rsid w:val="005A542A"/>
    <w:rsid w:val="005A54CC"/>
    <w:rsid w:val="005A557D"/>
    <w:rsid w:val="005A56FC"/>
    <w:rsid w:val="005A59DC"/>
    <w:rsid w:val="005A5BF2"/>
    <w:rsid w:val="005A5C5E"/>
    <w:rsid w:val="005A5CCC"/>
    <w:rsid w:val="005A6509"/>
    <w:rsid w:val="005A66DB"/>
    <w:rsid w:val="005A675C"/>
    <w:rsid w:val="005A694B"/>
    <w:rsid w:val="005A6951"/>
    <w:rsid w:val="005A69B9"/>
    <w:rsid w:val="005A6B3A"/>
    <w:rsid w:val="005A6C46"/>
    <w:rsid w:val="005A6DBC"/>
    <w:rsid w:val="005A6FD2"/>
    <w:rsid w:val="005A7054"/>
    <w:rsid w:val="005A70D2"/>
    <w:rsid w:val="005A70DA"/>
    <w:rsid w:val="005A7125"/>
    <w:rsid w:val="005A713E"/>
    <w:rsid w:val="005A7173"/>
    <w:rsid w:val="005A745D"/>
    <w:rsid w:val="005A76A4"/>
    <w:rsid w:val="005A7781"/>
    <w:rsid w:val="005A7831"/>
    <w:rsid w:val="005A79A3"/>
    <w:rsid w:val="005A7B3E"/>
    <w:rsid w:val="005A7B6D"/>
    <w:rsid w:val="005A7D52"/>
    <w:rsid w:val="005A7DFE"/>
    <w:rsid w:val="005AA78C"/>
    <w:rsid w:val="005B0067"/>
    <w:rsid w:val="005B006E"/>
    <w:rsid w:val="005B01E8"/>
    <w:rsid w:val="005B0697"/>
    <w:rsid w:val="005B07EF"/>
    <w:rsid w:val="005B08B9"/>
    <w:rsid w:val="005B0975"/>
    <w:rsid w:val="005B0CCE"/>
    <w:rsid w:val="005B0FD5"/>
    <w:rsid w:val="005B0FE7"/>
    <w:rsid w:val="005B104C"/>
    <w:rsid w:val="005B104E"/>
    <w:rsid w:val="005B1305"/>
    <w:rsid w:val="005B141C"/>
    <w:rsid w:val="005B19F5"/>
    <w:rsid w:val="005B1C9E"/>
    <w:rsid w:val="005B1CE2"/>
    <w:rsid w:val="005B1DDC"/>
    <w:rsid w:val="005B1F6B"/>
    <w:rsid w:val="005B218A"/>
    <w:rsid w:val="005B21CB"/>
    <w:rsid w:val="005B2696"/>
    <w:rsid w:val="005B26B2"/>
    <w:rsid w:val="005B26E8"/>
    <w:rsid w:val="005B26E9"/>
    <w:rsid w:val="005B29A6"/>
    <w:rsid w:val="005B2B19"/>
    <w:rsid w:val="005B2D3E"/>
    <w:rsid w:val="005B2E2B"/>
    <w:rsid w:val="005B2F6B"/>
    <w:rsid w:val="005B31CD"/>
    <w:rsid w:val="005B3207"/>
    <w:rsid w:val="005B3239"/>
    <w:rsid w:val="005B326E"/>
    <w:rsid w:val="005B36C0"/>
    <w:rsid w:val="005B3FE2"/>
    <w:rsid w:val="005B43C4"/>
    <w:rsid w:val="005B4F41"/>
    <w:rsid w:val="005B4F91"/>
    <w:rsid w:val="005B50E2"/>
    <w:rsid w:val="005B531B"/>
    <w:rsid w:val="005B54DD"/>
    <w:rsid w:val="005B5687"/>
    <w:rsid w:val="005B57DB"/>
    <w:rsid w:val="005B5DED"/>
    <w:rsid w:val="005B5EA5"/>
    <w:rsid w:val="005B615F"/>
    <w:rsid w:val="005B61A0"/>
    <w:rsid w:val="005B61EA"/>
    <w:rsid w:val="005B6315"/>
    <w:rsid w:val="005B64C8"/>
    <w:rsid w:val="005B6648"/>
    <w:rsid w:val="005B6928"/>
    <w:rsid w:val="005B6D5F"/>
    <w:rsid w:val="005B6D74"/>
    <w:rsid w:val="005B744A"/>
    <w:rsid w:val="005B7588"/>
    <w:rsid w:val="005B75DF"/>
    <w:rsid w:val="005B77C4"/>
    <w:rsid w:val="005B782B"/>
    <w:rsid w:val="005B78C9"/>
    <w:rsid w:val="005B793C"/>
    <w:rsid w:val="005B7A67"/>
    <w:rsid w:val="005B7BAF"/>
    <w:rsid w:val="005B7BDD"/>
    <w:rsid w:val="005B7C32"/>
    <w:rsid w:val="005B7E1F"/>
    <w:rsid w:val="005C064E"/>
    <w:rsid w:val="005C0954"/>
    <w:rsid w:val="005C0A3B"/>
    <w:rsid w:val="005C0E7A"/>
    <w:rsid w:val="005C12A9"/>
    <w:rsid w:val="005C13CA"/>
    <w:rsid w:val="005C16CE"/>
    <w:rsid w:val="005C16EA"/>
    <w:rsid w:val="005C16FB"/>
    <w:rsid w:val="005C1729"/>
    <w:rsid w:val="005C17A6"/>
    <w:rsid w:val="005C186A"/>
    <w:rsid w:val="005C1952"/>
    <w:rsid w:val="005C1956"/>
    <w:rsid w:val="005C19DC"/>
    <w:rsid w:val="005C1B9D"/>
    <w:rsid w:val="005C1E12"/>
    <w:rsid w:val="005C1EB0"/>
    <w:rsid w:val="005C2085"/>
    <w:rsid w:val="005C21BA"/>
    <w:rsid w:val="005C2315"/>
    <w:rsid w:val="005C2572"/>
    <w:rsid w:val="005C2599"/>
    <w:rsid w:val="005C2650"/>
    <w:rsid w:val="005C267C"/>
    <w:rsid w:val="005C29F3"/>
    <w:rsid w:val="005C2B9B"/>
    <w:rsid w:val="005C2E89"/>
    <w:rsid w:val="005C2F8F"/>
    <w:rsid w:val="005C3368"/>
    <w:rsid w:val="005C3849"/>
    <w:rsid w:val="005C38B0"/>
    <w:rsid w:val="005C3A10"/>
    <w:rsid w:val="005C3A48"/>
    <w:rsid w:val="005C3B83"/>
    <w:rsid w:val="005C3C85"/>
    <w:rsid w:val="005C3D39"/>
    <w:rsid w:val="005C3E71"/>
    <w:rsid w:val="005C407E"/>
    <w:rsid w:val="005C408B"/>
    <w:rsid w:val="005C42D4"/>
    <w:rsid w:val="005C4341"/>
    <w:rsid w:val="005C447F"/>
    <w:rsid w:val="005C4817"/>
    <w:rsid w:val="005C493D"/>
    <w:rsid w:val="005C495A"/>
    <w:rsid w:val="005C4A93"/>
    <w:rsid w:val="005C4CF9"/>
    <w:rsid w:val="005C4EDD"/>
    <w:rsid w:val="005C513A"/>
    <w:rsid w:val="005C536F"/>
    <w:rsid w:val="005C53B6"/>
    <w:rsid w:val="005C5403"/>
    <w:rsid w:val="005C550E"/>
    <w:rsid w:val="005C569C"/>
    <w:rsid w:val="005C572A"/>
    <w:rsid w:val="005C57A3"/>
    <w:rsid w:val="005C58E6"/>
    <w:rsid w:val="005C59ED"/>
    <w:rsid w:val="005C5C0E"/>
    <w:rsid w:val="005C5E17"/>
    <w:rsid w:val="005C5F14"/>
    <w:rsid w:val="005C5F43"/>
    <w:rsid w:val="005C62E1"/>
    <w:rsid w:val="005C6434"/>
    <w:rsid w:val="005C650D"/>
    <w:rsid w:val="005C685C"/>
    <w:rsid w:val="005C68D7"/>
    <w:rsid w:val="005C698A"/>
    <w:rsid w:val="005C6A66"/>
    <w:rsid w:val="005C6C92"/>
    <w:rsid w:val="005C6DBD"/>
    <w:rsid w:val="005C6DEC"/>
    <w:rsid w:val="005C7059"/>
    <w:rsid w:val="005C70BB"/>
    <w:rsid w:val="005C7187"/>
    <w:rsid w:val="005C7486"/>
    <w:rsid w:val="005C74E5"/>
    <w:rsid w:val="005C78F1"/>
    <w:rsid w:val="005C793C"/>
    <w:rsid w:val="005C798D"/>
    <w:rsid w:val="005C7DD9"/>
    <w:rsid w:val="005C7EDC"/>
    <w:rsid w:val="005C7FA5"/>
    <w:rsid w:val="005D0469"/>
    <w:rsid w:val="005D0548"/>
    <w:rsid w:val="005D08B4"/>
    <w:rsid w:val="005D0956"/>
    <w:rsid w:val="005D0BC0"/>
    <w:rsid w:val="005D0BDF"/>
    <w:rsid w:val="005D0D21"/>
    <w:rsid w:val="005D0DCF"/>
    <w:rsid w:val="005D0F22"/>
    <w:rsid w:val="005D17BA"/>
    <w:rsid w:val="005D18E6"/>
    <w:rsid w:val="005D1BEC"/>
    <w:rsid w:val="005D1BEF"/>
    <w:rsid w:val="005D1D8C"/>
    <w:rsid w:val="005D1DDF"/>
    <w:rsid w:val="005D1FFF"/>
    <w:rsid w:val="005D2087"/>
    <w:rsid w:val="005D212D"/>
    <w:rsid w:val="005D22F8"/>
    <w:rsid w:val="005D23C0"/>
    <w:rsid w:val="005D2568"/>
    <w:rsid w:val="005D2593"/>
    <w:rsid w:val="005D2829"/>
    <w:rsid w:val="005D282C"/>
    <w:rsid w:val="005D2AC5"/>
    <w:rsid w:val="005D2EE2"/>
    <w:rsid w:val="005D2FA0"/>
    <w:rsid w:val="005D354E"/>
    <w:rsid w:val="005D37E5"/>
    <w:rsid w:val="005D3A8E"/>
    <w:rsid w:val="005D3AF1"/>
    <w:rsid w:val="005D3B8C"/>
    <w:rsid w:val="005D3BE3"/>
    <w:rsid w:val="005D3E75"/>
    <w:rsid w:val="005D3E90"/>
    <w:rsid w:val="005D3FE9"/>
    <w:rsid w:val="005D406C"/>
    <w:rsid w:val="005D4567"/>
    <w:rsid w:val="005D472B"/>
    <w:rsid w:val="005D480B"/>
    <w:rsid w:val="005D4BC7"/>
    <w:rsid w:val="005D4D1D"/>
    <w:rsid w:val="005D4EC8"/>
    <w:rsid w:val="005D4F74"/>
    <w:rsid w:val="005D5134"/>
    <w:rsid w:val="005D521D"/>
    <w:rsid w:val="005D599F"/>
    <w:rsid w:val="005D5B43"/>
    <w:rsid w:val="005D5B4C"/>
    <w:rsid w:val="005D5BA1"/>
    <w:rsid w:val="005D5E50"/>
    <w:rsid w:val="005D5F58"/>
    <w:rsid w:val="005D604B"/>
    <w:rsid w:val="005D6068"/>
    <w:rsid w:val="005D6244"/>
    <w:rsid w:val="005D63C7"/>
    <w:rsid w:val="005D65B7"/>
    <w:rsid w:val="005D6893"/>
    <w:rsid w:val="005D68CE"/>
    <w:rsid w:val="005D697E"/>
    <w:rsid w:val="005D6B81"/>
    <w:rsid w:val="005D6D12"/>
    <w:rsid w:val="005D6D1C"/>
    <w:rsid w:val="005D72D5"/>
    <w:rsid w:val="005D72F9"/>
    <w:rsid w:val="005D75D2"/>
    <w:rsid w:val="005D7605"/>
    <w:rsid w:val="005D768F"/>
    <w:rsid w:val="005D7956"/>
    <w:rsid w:val="005D797A"/>
    <w:rsid w:val="005D79A8"/>
    <w:rsid w:val="005D79E8"/>
    <w:rsid w:val="005D7A8A"/>
    <w:rsid w:val="005D7C5C"/>
    <w:rsid w:val="005D7D5C"/>
    <w:rsid w:val="005D7DA6"/>
    <w:rsid w:val="005D7E9C"/>
    <w:rsid w:val="005D7F48"/>
    <w:rsid w:val="005D7FA8"/>
    <w:rsid w:val="005E073C"/>
    <w:rsid w:val="005E094C"/>
    <w:rsid w:val="005E0BC4"/>
    <w:rsid w:val="005E1447"/>
    <w:rsid w:val="005E1514"/>
    <w:rsid w:val="005E1540"/>
    <w:rsid w:val="005E166B"/>
    <w:rsid w:val="005E183B"/>
    <w:rsid w:val="005E18C0"/>
    <w:rsid w:val="005E18CC"/>
    <w:rsid w:val="005E18FD"/>
    <w:rsid w:val="005E19CA"/>
    <w:rsid w:val="005E1AF2"/>
    <w:rsid w:val="005E1DA2"/>
    <w:rsid w:val="005E1FE4"/>
    <w:rsid w:val="005E21FE"/>
    <w:rsid w:val="005E2578"/>
    <w:rsid w:val="005E299C"/>
    <w:rsid w:val="005E2C8A"/>
    <w:rsid w:val="005E3174"/>
    <w:rsid w:val="005E3383"/>
    <w:rsid w:val="005E33CE"/>
    <w:rsid w:val="005E3499"/>
    <w:rsid w:val="005E3744"/>
    <w:rsid w:val="005E39BC"/>
    <w:rsid w:val="005E3A6B"/>
    <w:rsid w:val="005E3D5C"/>
    <w:rsid w:val="005E44FE"/>
    <w:rsid w:val="005E45FE"/>
    <w:rsid w:val="005E4632"/>
    <w:rsid w:val="005E49B2"/>
    <w:rsid w:val="005E4A52"/>
    <w:rsid w:val="005E4B11"/>
    <w:rsid w:val="005E4B22"/>
    <w:rsid w:val="005E4BB9"/>
    <w:rsid w:val="005E50DD"/>
    <w:rsid w:val="005E57BD"/>
    <w:rsid w:val="005E5902"/>
    <w:rsid w:val="005E596C"/>
    <w:rsid w:val="005E5BB7"/>
    <w:rsid w:val="005E5D1F"/>
    <w:rsid w:val="005E5D54"/>
    <w:rsid w:val="005E5E21"/>
    <w:rsid w:val="005E6358"/>
    <w:rsid w:val="005E63E9"/>
    <w:rsid w:val="005E6522"/>
    <w:rsid w:val="005E6582"/>
    <w:rsid w:val="005E676E"/>
    <w:rsid w:val="005E696D"/>
    <w:rsid w:val="005E6C49"/>
    <w:rsid w:val="005E6F89"/>
    <w:rsid w:val="005E72EA"/>
    <w:rsid w:val="005E747E"/>
    <w:rsid w:val="005E7591"/>
    <w:rsid w:val="005E75B9"/>
    <w:rsid w:val="005E76C7"/>
    <w:rsid w:val="005E796A"/>
    <w:rsid w:val="005E7A76"/>
    <w:rsid w:val="005E7C50"/>
    <w:rsid w:val="005E7DAB"/>
    <w:rsid w:val="005E7E9C"/>
    <w:rsid w:val="005E7FE7"/>
    <w:rsid w:val="005F0063"/>
    <w:rsid w:val="005F00DC"/>
    <w:rsid w:val="005F029C"/>
    <w:rsid w:val="005F0389"/>
    <w:rsid w:val="005F07EE"/>
    <w:rsid w:val="005F096E"/>
    <w:rsid w:val="005F0A04"/>
    <w:rsid w:val="005F0AE8"/>
    <w:rsid w:val="005F0BEB"/>
    <w:rsid w:val="005F0DCA"/>
    <w:rsid w:val="005F0F85"/>
    <w:rsid w:val="005F1554"/>
    <w:rsid w:val="005F15D7"/>
    <w:rsid w:val="005F1763"/>
    <w:rsid w:val="005F1956"/>
    <w:rsid w:val="005F1C34"/>
    <w:rsid w:val="005F1FD6"/>
    <w:rsid w:val="005F2138"/>
    <w:rsid w:val="005F2331"/>
    <w:rsid w:val="005F24F3"/>
    <w:rsid w:val="005F2515"/>
    <w:rsid w:val="005F2861"/>
    <w:rsid w:val="005F28D9"/>
    <w:rsid w:val="005F2A6B"/>
    <w:rsid w:val="005F2AAB"/>
    <w:rsid w:val="005F2CB8"/>
    <w:rsid w:val="005F30BC"/>
    <w:rsid w:val="005F3366"/>
    <w:rsid w:val="005F33A5"/>
    <w:rsid w:val="005F34FB"/>
    <w:rsid w:val="005F3860"/>
    <w:rsid w:val="005F39F3"/>
    <w:rsid w:val="005F3B46"/>
    <w:rsid w:val="005F3BE2"/>
    <w:rsid w:val="005F4076"/>
    <w:rsid w:val="005F40C1"/>
    <w:rsid w:val="005F41A7"/>
    <w:rsid w:val="005F4256"/>
    <w:rsid w:val="005F4586"/>
    <w:rsid w:val="005F458A"/>
    <w:rsid w:val="005F461E"/>
    <w:rsid w:val="005F4620"/>
    <w:rsid w:val="005F475B"/>
    <w:rsid w:val="005F4943"/>
    <w:rsid w:val="005F4965"/>
    <w:rsid w:val="005F4BD1"/>
    <w:rsid w:val="005F4D37"/>
    <w:rsid w:val="005F4F81"/>
    <w:rsid w:val="005F5352"/>
    <w:rsid w:val="005F5401"/>
    <w:rsid w:val="005F573F"/>
    <w:rsid w:val="005F57F5"/>
    <w:rsid w:val="005F59B5"/>
    <w:rsid w:val="005F5A73"/>
    <w:rsid w:val="005F5A84"/>
    <w:rsid w:val="005F5AA8"/>
    <w:rsid w:val="005F5AAF"/>
    <w:rsid w:val="005F5C77"/>
    <w:rsid w:val="005F61CD"/>
    <w:rsid w:val="005F62F2"/>
    <w:rsid w:val="005F63A1"/>
    <w:rsid w:val="005F64FD"/>
    <w:rsid w:val="005F651F"/>
    <w:rsid w:val="005F6E33"/>
    <w:rsid w:val="005F7109"/>
    <w:rsid w:val="005F71FC"/>
    <w:rsid w:val="005F71FF"/>
    <w:rsid w:val="005F7292"/>
    <w:rsid w:val="005F72FA"/>
    <w:rsid w:val="005F7361"/>
    <w:rsid w:val="005F7363"/>
    <w:rsid w:val="005F743D"/>
    <w:rsid w:val="005F7699"/>
    <w:rsid w:val="005F7829"/>
    <w:rsid w:val="005F785B"/>
    <w:rsid w:val="005F7F78"/>
    <w:rsid w:val="0060003E"/>
    <w:rsid w:val="0060021F"/>
    <w:rsid w:val="00600332"/>
    <w:rsid w:val="00600351"/>
    <w:rsid w:val="0060088C"/>
    <w:rsid w:val="006008D9"/>
    <w:rsid w:val="006008E0"/>
    <w:rsid w:val="00600A39"/>
    <w:rsid w:val="00600C81"/>
    <w:rsid w:val="0060102D"/>
    <w:rsid w:val="006014F5"/>
    <w:rsid w:val="006016D2"/>
    <w:rsid w:val="006016F2"/>
    <w:rsid w:val="00601967"/>
    <w:rsid w:val="006019D9"/>
    <w:rsid w:val="00601DAF"/>
    <w:rsid w:val="00601EE5"/>
    <w:rsid w:val="0060208F"/>
    <w:rsid w:val="006020BC"/>
    <w:rsid w:val="006024D3"/>
    <w:rsid w:val="00602596"/>
    <w:rsid w:val="00602649"/>
    <w:rsid w:val="00602801"/>
    <w:rsid w:val="00602A4A"/>
    <w:rsid w:val="00602B2B"/>
    <w:rsid w:val="00602C32"/>
    <w:rsid w:val="00602C87"/>
    <w:rsid w:val="00602E27"/>
    <w:rsid w:val="006030AF"/>
    <w:rsid w:val="0060315E"/>
    <w:rsid w:val="0060343B"/>
    <w:rsid w:val="006039A6"/>
    <w:rsid w:val="00603A26"/>
    <w:rsid w:val="00603B6F"/>
    <w:rsid w:val="00603BF7"/>
    <w:rsid w:val="00603C04"/>
    <w:rsid w:val="00603CF0"/>
    <w:rsid w:val="00603DEF"/>
    <w:rsid w:val="0060403C"/>
    <w:rsid w:val="00604C57"/>
    <w:rsid w:val="00604D4E"/>
    <w:rsid w:val="00604E2A"/>
    <w:rsid w:val="006050FC"/>
    <w:rsid w:val="00605490"/>
    <w:rsid w:val="006054EB"/>
    <w:rsid w:val="0060579F"/>
    <w:rsid w:val="00605829"/>
    <w:rsid w:val="00606114"/>
    <w:rsid w:val="00606560"/>
    <w:rsid w:val="00606580"/>
    <w:rsid w:val="006068E9"/>
    <w:rsid w:val="00606CA1"/>
    <w:rsid w:val="00606EF9"/>
    <w:rsid w:val="00606F81"/>
    <w:rsid w:val="00606FF8"/>
    <w:rsid w:val="0060701A"/>
    <w:rsid w:val="0060706A"/>
    <w:rsid w:val="006070FF"/>
    <w:rsid w:val="00607382"/>
    <w:rsid w:val="006074CB"/>
    <w:rsid w:val="00607552"/>
    <w:rsid w:val="00607758"/>
    <w:rsid w:val="00607834"/>
    <w:rsid w:val="00607B1F"/>
    <w:rsid w:val="00607BBE"/>
    <w:rsid w:val="00607C81"/>
    <w:rsid w:val="00607DE5"/>
    <w:rsid w:val="0061012C"/>
    <w:rsid w:val="00610476"/>
    <w:rsid w:val="006104C2"/>
    <w:rsid w:val="00610582"/>
    <w:rsid w:val="00610674"/>
    <w:rsid w:val="00610675"/>
    <w:rsid w:val="00610750"/>
    <w:rsid w:val="0061093A"/>
    <w:rsid w:val="006109E3"/>
    <w:rsid w:val="00610BDC"/>
    <w:rsid w:val="00610C00"/>
    <w:rsid w:val="00610D5E"/>
    <w:rsid w:val="00610DB9"/>
    <w:rsid w:val="006110E8"/>
    <w:rsid w:val="006112E3"/>
    <w:rsid w:val="00611702"/>
    <w:rsid w:val="00611869"/>
    <w:rsid w:val="00611DF6"/>
    <w:rsid w:val="00611ED0"/>
    <w:rsid w:val="0061200F"/>
    <w:rsid w:val="0061211B"/>
    <w:rsid w:val="0061224F"/>
    <w:rsid w:val="00612715"/>
    <w:rsid w:val="00612BB4"/>
    <w:rsid w:val="00612CE8"/>
    <w:rsid w:val="00612FE3"/>
    <w:rsid w:val="00613467"/>
    <w:rsid w:val="00613504"/>
    <w:rsid w:val="00613512"/>
    <w:rsid w:val="00613730"/>
    <w:rsid w:val="00613983"/>
    <w:rsid w:val="00613ABB"/>
    <w:rsid w:val="00613AE1"/>
    <w:rsid w:val="00613E26"/>
    <w:rsid w:val="00613F08"/>
    <w:rsid w:val="00613F33"/>
    <w:rsid w:val="00613FC6"/>
    <w:rsid w:val="0061429B"/>
    <w:rsid w:val="006142B5"/>
    <w:rsid w:val="006148EB"/>
    <w:rsid w:val="00614B32"/>
    <w:rsid w:val="00614B83"/>
    <w:rsid w:val="00614BAE"/>
    <w:rsid w:val="00614D8B"/>
    <w:rsid w:val="00614E4F"/>
    <w:rsid w:val="006154FD"/>
    <w:rsid w:val="00615925"/>
    <w:rsid w:val="006159FD"/>
    <w:rsid w:val="00615B90"/>
    <w:rsid w:val="0061632B"/>
    <w:rsid w:val="006166C6"/>
    <w:rsid w:val="0061671B"/>
    <w:rsid w:val="00616953"/>
    <w:rsid w:val="00616A13"/>
    <w:rsid w:val="00616C56"/>
    <w:rsid w:val="00616DBC"/>
    <w:rsid w:val="00616DBF"/>
    <w:rsid w:val="00616FE3"/>
    <w:rsid w:val="00617144"/>
    <w:rsid w:val="00617566"/>
    <w:rsid w:val="00617777"/>
    <w:rsid w:val="0061780D"/>
    <w:rsid w:val="00617DC1"/>
    <w:rsid w:val="0061C0C9"/>
    <w:rsid w:val="0062027A"/>
    <w:rsid w:val="006205CF"/>
    <w:rsid w:val="00620745"/>
    <w:rsid w:val="00620DD5"/>
    <w:rsid w:val="0062116E"/>
    <w:rsid w:val="00621A36"/>
    <w:rsid w:val="00621B77"/>
    <w:rsid w:val="00621DF4"/>
    <w:rsid w:val="006221A9"/>
    <w:rsid w:val="006221EC"/>
    <w:rsid w:val="006222AF"/>
    <w:rsid w:val="00622948"/>
    <w:rsid w:val="00622A2F"/>
    <w:rsid w:val="00622B06"/>
    <w:rsid w:val="00622B36"/>
    <w:rsid w:val="00622B44"/>
    <w:rsid w:val="00622BEF"/>
    <w:rsid w:val="00623092"/>
    <w:rsid w:val="00623454"/>
    <w:rsid w:val="00623649"/>
    <w:rsid w:val="00623760"/>
    <w:rsid w:val="00623894"/>
    <w:rsid w:val="0062391A"/>
    <w:rsid w:val="0062398E"/>
    <w:rsid w:val="00623CBF"/>
    <w:rsid w:val="00623D17"/>
    <w:rsid w:val="00623F20"/>
    <w:rsid w:val="00624014"/>
    <w:rsid w:val="006240A7"/>
    <w:rsid w:val="00624152"/>
    <w:rsid w:val="006241A9"/>
    <w:rsid w:val="006242ED"/>
    <w:rsid w:val="00624315"/>
    <w:rsid w:val="006245AB"/>
    <w:rsid w:val="006246B7"/>
    <w:rsid w:val="00624778"/>
    <w:rsid w:val="00624849"/>
    <w:rsid w:val="006249C1"/>
    <w:rsid w:val="00624AA8"/>
    <w:rsid w:val="00624DF7"/>
    <w:rsid w:val="00625082"/>
    <w:rsid w:val="00625185"/>
    <w:rsid w:val="006252F8"/>
    <w:rsid w:val="00625358"/>
    <w:rsid w:val="006253FA"/>
    <w:rsid w:val="00625456"/>
    <w:rsid w:val="0062545B"/>
    <w:rsid w:val="006254A4"/>
    <w:rsid w:val="0062552A"/>
    <w:rsid w:val="0062586C"/>
    <w:rsid w:val="00625B31"/>
    <w:rsid w:val="00625BB0"/>
    <w:rsid w:val="00625FCC"/>
    <w:rsid w:val="00626329"/>
    <w:rsid w:val="006264E2"/>
    <w:rsid w:val="006268E2"/>
    <w:rsid w:val="00626903"/>
    <w:rsid w:val="00626C96"/>
    <w:rsid w:val="00626E5E"/>
    <w:rsid w:val="00627241"/>
    <w:rsid w:val="0062726F"/>
    <w:rsid w:val="00627388"/>
    <w:rsid w:val="00627703"/>
    <w:rsid w:val="0062799E"/>
    <w:rsid w:val="00627C1F"/>
    <w:rsid w:val="00627CBC"/>
    <w:rsid w:val="00627CBD"/>
    <w:rsid w:val="00627CE9"/>
    <w:rsid w:val="00627E58"/>
    <w:rsid w:val="006301C5"/>
    <w:rsid w:val="00630283"/>
    <w:rsid w:val="00630496"/>
    <w:rsid w:val="006306FC"/>
    <w:rsid w:val="00630887"/>
    <w:rsid w:val="00631137"/>
    <w:rsid w:val="00631267"/>
    <w:rsid w:val="006312A7"/>
    <w:rsid w:val="00631969"/>
    <w:rsid w:val="0063232D"/>
    <w:rsid w:val="0063234E"/>
    <w:rsid w:val="00632509"/>
    <w:rsid w:val="00632749"/>
    <w:rsid w:val="006327DA"/>
    <w:rsid w:val="006329A5"/>
    <w:rsid w:val="00632D27"/>
    <w:rsid w:val="00632ED5"/>
    <w:rsid w:val="00632F90"/>
    <w:rsid w:val="0063305B"/>
    <w:rsid w:val="0063323B"/>
    <w:rsid w:val="006332BE"/>
    <w:rsid w:val="006333C5"/>
    <w:rsid w:val="00633474"/>
    <w:rsid w:val="00633594"/>
    <w:rsid w:val="006336B2"/>
    <w:rsid w:val="006338BE"/>
    <w:rsid w:val="00633CF0"/>
    <w:rsid w:val="00633DE1"/>
    <w:rsid w:val="00633EE7"/>
    <w:rsid w:val="00633F4E"/>
    <w:rsid w:val="00633F70"/>
    <w:rsid w:val="0063400C"/>
    <w:rsid w:val="00634045"/>
    <w:rsid w:val="00634069"/>
    <w:rsid w:val="006341CD"/>
    <w:rsid w:val="006346F0"/>
    <w:rsid w:val="006347A8"/>
    <w:rsid w:val="006348E7"/>
    <w:rsid w:val="00634E59"/>
    <w:rsid w:val="00634FF9"/>
    <w:rsid w:val="006350D7"/>
    <w:rsid w:val="0063516C"/>
    <w:rsid w:val="006351BD"/>
    <w:rsid w:val="006351C6"/>
    <w:rsid w:val="00635315"/>
    <w:rsid w:val="0063541F"/>
    <w:rsid w:val="0063554C"/>
    <w:rsid w:val="006355F9"/>
    <w:rsid w:val="00635678"/>
    <w:rsid w:val="0063582E"/>
    <w:rsid w:val="00635CF5"/>
    <w:rsid w:val="00635D56"/>
    <w:rsid w:val="00635EC6"/>
    <w:rsid w:val="00635F01"/>
    <w:rsid w:val="00636519"/>
    <w:rsid w:val="0063679D"/>
    <w:rsid w:val="00636B5B"/>
    <w:rsid w:val="00636BA1"/>
    <w:rsid w:val="00636CF2"/>
    <w:rsid w:val="00636D4D"/>
    <w:rsid w:val="00636D54"/>
    <w:rsid w:val="00636D93"/>
    <w:rsid w:val="00636F08"/>
    <w:rsid w:val="00636FFF"/>
    <w:rsid w:val="00637171"/>
    <w:rsid w:val="00637240"/>
    <w:rsid w:val="00637344"/>
    <w:rsid w:val="006374D6"/>
    <w:rsid w:val="006377D0"/>
    <w:rsid w:val="00637980"/>
    <w:rsid w:val="00637AF2"/>
    <w:rsid w:val="00637B31"/>
    <w:rsid w:val="00637C5B"/>
    <w:rsid w:val="00637D71"/>
    <w:rsid w:val="00640093"/>
    <w:rsid w:val="00640137"/>
    <w:rsid w:val="00640354"/>
    <w:rsid w:val="0064056B"/>
    <w:rsid w:val="006408C3"/>
    <w:rsid w:val="00640BCA"/>
    <w:rsid w:val="00640D30"/>
    <w:rsid w:val="00640E65"/>
    <w:rsid w:val="00641166"/>
    <w:rsid w:val="006412A6"/>
    <w:rsid w:val="006413C6"/>
    <w:rsid w:val="00641486"/>
    <w:rsid w:val="0064151C"/>
    <w:rsid w:val="0064171D"/>
    <w:rsid w:val="00641885"/>
    <w:rsid w:val="006419F8"/>
    <w:rsid w:val="00641A1A"/>
    <w:rsid w:val="00641AC2"/>
    <w:rsid w:val="00641DA9"/>
    <w:rsid w:val="00641F9D"/>
    <w:rsid w:val="00641FF4"/>
    <w:rsid w:val="0064213F"/>
    <w:rsid w:val="006422CE"/>
    <w:rsid w:val="006427B2"/>
    <w:rsid w:val="006427C1"/>
    <w:rsid w:val="006427CF"/>
    <w:rsid w:val="006428AF"/>
    <w:rsid w:val="0064290C"/>
    <w:rsid w:val="006429D8"/>
    <w:rsid w:val="00642B84"/>
    <w:rsid w:val="00642E56"/>
    <w:rsid w:val="00642F17"/>
    <w:rsid w:val="00643242"/>
    <w:rsid w:val="0064344A"/>
    <w:rsid w:val="006436B7"/>
    <w:rsid w:val="006440E9"/>
    <w:rsid w:val="00644247"/>
    <w:rsid w:val="006442C2"/>
    <w:rsid w:val="006448B0"/>
    <w:rsid w:val="006448C0"/>
    <w:rsid w:val="00644A72"/>
    <w:rsid w:val="00644A74"/>
    <w:rsid w:val="00644B00"/>
    <w:rsid w:val="00644B1E"/>
    <w:rsid w:val="00644CAD"/>
    <w:rsid w:val="0064503F"/>
    <w:rsid w:val="006450DE"/>
    <w:rsid w:val="00645107"/>
    <w:rsid w:val="00645430"/>
    <w:rsid w:val="006454BB"/>
    <w:rsid w:val="00645504"/>
    <w:rsid w:val="0064555A"/>
    <w:rsid w:val="006455D6"/>
    <w:rsid w:val="006457E0"/>
    <w:rsid w:val="00645AB3"/>
    <w:rsid w:val="00645B8F"/>
    <w:rsid w:val="00645C8A"/>
    <w:rsid w:val="00645FCF"/>
    <w:rsid w:val="006461B1"/>
    <w:rsid w:val="0064620D"/>
    <w:rsid w:val="00646355"/>
    <w:rsid w:val="00646488"/>
    <w:rsid w:val="0064653D"/>
    <w:rsid w:val="006465E6"/>
    <w:rsid w:val="006467F5"/>
    <w:rsid w:val="0064681B"/>
    <w:rsid w:val="006468C4"/>
    <w:rsid w:val="006469FD"/>
    <w:rsid w:val="00646B15"/>
    <w:rsid w:val="00646B51"/>
    <w:rsid w:val="00646B54"/>
    <w:rsid w:val="00646F1A"/>
    <w:rsid w:val="0064719A"/>
    <w:rsid w:val="00647463"/>
    <w:rsid w:val="00647547"/>
    <w:rsid w:val="006478A1"/>
    <w:rsid w:val="00647940"/>
    <w:rsid w:val="00647A15"/>
    <w:rsid w:val="00647B41"/>
    <w:rsid w:val="00647CB6"/>
    <w:rsid w:val="006500B1"/>
    <w:rsid w:val="006502D7"/>
    <w:rsid w:val="006504CE"/>
    <w:rsid w:val="006504FE"/>
    <w:rsid w:val="0065057F"/>
    <w:rsid w:val="006508D9"/>
    <w:rsid w:val="00650A74"/>
    <w:rsid w:val="00650BCF"/>
    <w:rsid w:val="00650D22"/>
    <w:rsid w:val="00650FF8"/>
    <w:rsid w:val="00650FF9"/>
    <w:rsid w:val="0065111C"/>
    <w:rsid w:val="0065138C"/>
    <w:rsid w:val="0065160C"/>
    <w:rsid w:val="00651850"/>
    <w:rsid w:val="006519DF"/>
    <w:rsid w:val="00651DAE"/>
    <w:rsid w:val="00651E63"/>
    <w:rsid w:val="00651FCA"/>
    <w:rsid w:val="0065226B"/>
    <w:rsid w:val="0065228C"/>
    <w:rsid w:val="006522D2"/>
    <w:rsid w:val="0065245E"/>
    <w:rsid w:val="0065274A"/>
    <w:rsid w:val="006528CF"/>
    <w:rsid w:val="006528EC"/>
    <w:rsid w:val="006529A1"/>
    <w:rsid w:val="00652C2A"/>
    <w:rsid w:val="00652CB5"/>
    <w:rsid w:val="00652F53"/>
    <w:rsid w:val="00652F58"/>
    <w:rsid w:val="00652F5C"/>
    <w:rsid w:val="006534C7"/>
    <w:rsid w:val="006534E3"/>
    <w:rsid w:val="0065392C"/>
    <w:rsid w:val="00653EB0"/>
    <w:rsid w:val="006542F9"/>
    <w:rsid w:val="006545E6"/>
    <w:rsid w:val="00654BEB"/>
    <w:rsid w:val="00654DB3"/>
    <w:rsid w:val="00654E27"/>
    <w:rsid w:val="00654E4E"/>
    <w:rsid w:val="00654E68"/>
    <w:rsid w:val="00654ECE"/>
    <w:rsid w:val="00654F0F"/>
    <w:rsid w:val="00654FA6"/>
    <w:rsid w:val="00655158"/>
    <w:rsid w:val="006551F9"/>
    <w:rsid w:val="00655229"/>
    <w:rsid w:val="006552DA"/>
    <w:rsid w:val="006553C8"/>
    <w:rsid w:val="00655482"/>
    <w:rsid w:val="006559AD"/>
    <w:rsid w:val="00655ADB"/>
    <w:rsid w:val="00655CEE"/>
    <w:rsid w:val="00655E1F"/>
    <w:rsid w:val="006563D6"/>
    <w:rsid w:val="00656534"/>
    <w:rsid w:val="00656644"/>
    <w:rsid w:val="006567A1"/>
    <w:rsid w:val="006568AF"/>
    <w:rsid w:val="006569E1"/>
    <w:rsid w:val="00656A27"/>
    <w:rsid w:val="00656C0C"/>
    <w:rsid w:val="00656CFF"/>
    <w:rsid w:val="00657156"/>
    <w:rsid w:val="00657685"/>
    <w:rsid w:val="00657754"/>
    <w:rsid w:val="00657F3A"/>
    <w:rsid w:val="006601AB"/>
    <w:rsid w:val="00660354"/>
    <w:rsid w:val="006604E8"/>
    <w:rsid w:val="00660709"/>
    <w:rsid w:val="006607D3"/>
    <w:rsid w:val="00660838"/>
    <w:rsid w:val="0066097F"/>
    <w:rsid w:val="00660A01"/>
    <w:rsid w:val="00660A39"/>
    <w:rsid w:val="00660AA2"/>
    <w:rsid w:val="00660D7E"/>
    <w:rsid w:val="00660ED2"/>
    <w:rsid w:val="006610A0"/>
    <w:rsid w:val="006611D5"/>
    <w:rsid w:val="00661395"/>
    <w:rsid w:val="00661450"/>
    <w:rsid w:val="006615E0"/>
    <w:rsid w:val="006616CA"/>
    <w:rsid w:val="00661752"/>
    <w:rsid w:val="006618AA"/>
    <w:rsid w:val="00661AFC"/>
    <w:rsid w:val="00661B7C"/>
    <w:rsid w:val="00661F09"/>
    <w:rsid w:val="00662316"/>
    <w:rsid w:val="006624E8"/>
    <w:rsid w:val="00662A7B"/>
    <w:rsid w:val="00662C80"/>
    <w:rsid w:val="00662C91"/>
    <w:rsid w:val="00662CC3"/>
    <w:rsid w:val="00662D3B"/>
    <w:rsid w:val="00662DFF"/>
    <w:rsid w:val="00662F4B"/>
    <w:rsid w:val="00663005"/>
    <w:rsid w:val="00663819"/>
    <w:rsid w:val="006638FC"/>
    <w:rsid w:val="006639E4"/>
    <w:rsid w:val="00663C57"/>
    <w:rsid w:val="00663FB8"/>
    <w:rsid w:val="00663FEC"/>
    <w:rsid w:val="006640E8"/>
    <w:rsid w:val="006641CA"/>
    <w:rsid w:val="006642EB"/>
    <w:rsid w:val="00664356"/>
    <w:rsid w:val="00664587"/>
    <w:rsid w:val="00664D33"/>
    <w:rsid w:val="00664EBB"/>
    <w:rsid w:val="006653B4"/>
    <w:rsid w:val="0066555E"/>
    <w:rsid w:val="006656B4"/>
    <w:rsid w:val="00665C3D"/>
    <w:rsid w:val="00665CD9"/>
    <w:rsid w:val="00665D12"/>
    <w:rsid w:val="00665E0B"/>
    <w:rsid w:val="00665FC6"/>
    <w:rsid w:val="00666336"/>
    <w:rsid w:val="00666421"/>
    <w:rsid w:val="006665AF"/>
    <w:rsid w:val="00666B8D"/>
    <w:rsid w:val="00666C4A"/>
    <w:rsid w:val="00666CE9"/>
    <w:rsid w:val="00666E50"/>
    <w:rsid w:val="00666EB4"/>
    <w:rsid w:val="00667098"/>
    <w:rsid w:val="00667104"/>
    <w:rsid w:val="00667171"/>
    <w:rsid w:val="006672B4"/>
    <w:rsid w:val="00667353"/>
    <w:rsid w:val="006673DE"/>
    <w:rsid w:val="00667642"/>
    <w:rsid w:val="00667B00"/>
    <w:rsid w:val="00667CBF"/>
    <w:rsid w:val="00667ECD"/>
    <w:rsid w:val="00667FE2"/>
    <w:rsid w:val="00670197"/>
    <w:rsid w:val="006702C9"/>
    <w:rsid w:val="006703E8"/>
    <w:rsid w:val="00670454"/>
    <w:rsid w:val="006706DF"/>
    <w:rsid w:val="00670B1E"/>
    <w:rsid w:val="0067102D"/>
    <w:rsid w:val="0067110E"/>
    <w:rsid w:val="0067118D"/>
    <w:rsid w:val="0067120F"/>
    <w:rsid w:val="006713D5"/>
    <w:rsid w:val="0067169D"/>
    <w:rsid w:val="00671705"/>
    <w:rsid w:val="006717E1"/>
    <w:rsid w:val="006718A3"/>
    <w:rsid w:val="00671936"/>
    <w:rsid w:val="00671B65"/>
    <w:rsid w:val="00671C3F"/>
    <w:rsid w:val="00671E72"/>
    <w:rsid w:val="00671F0A"/>
    <w:rsid w:val="00672107"/>
    <w:rsid w:val="00672120"/>
    <w:rsid w:val="00672285"/>
    <w:rsid w:val="00672540"/>
    <w:rsid w:val="006727C8"/>
    <w:rsid w:val="006728D7"/>
    <w:rsid w:val="00672B16"/>
    <w:rsid w:val="00672BE4"/>
    <w:rsid w:val="00672CF8"/>
    <w:rsid w:val="0067305A"/>
    <w:rsid w:val="0067327D"/>
    <w:rsid w:val="00673352"/>
    <w:rsid w:val="00673752"/>
    <w:rsid w:val="00673843"/>
    <w:rsid w:val="00673909"/>
    <w:rsid w:val="0067391F"/>
    <w:rsid w:val="0067394E"/>
    <w:rsid w:val="00673963"/>
    <w:rsid w:val="0067396B"/>
    <w:rsid w:val="00673A97"/>
    <w:rsid w:val="00673C56"/>
    <w:rsid w:val="00673FC9"/>
    <w:rsid w:val="0067414F"/>
    <w:rsid w:val="00674551"/>
    <w:rsid w:val="00674926"/>
    <w:rsid w:val="00674E44"/>
    <w:rsid w:val="00674EAB"/>
    <w:rsid w:val="00674F9E"/>
    <w:rsid w:val="00674F9F"/>
    <w:rsid w:val="0067505D"/>
    <w:rsid w:val="00675483"/>
    <w:rsid w:val="006757EF"/>
    <w:rsid w:val="00675909"/>
    <w:rsid w:val="0067596C"/>
    <w:rsid w:val="006759B2"/>
    <w:rsid w:val="00675B7B"/>
    <w:rsid w:val="00675DAF"/>
    <w:rsid w:val="00675E35"/>
    <w:rsid w:val="00675EC8"/>
    <w:rsid w:val="00675EF2"/>
    <w:rsid w:val="00675FBE"/>
    <w:rsid w:val="006760C3"/>
    <w:rsid w:val="00676490"/>
    <w:rsid w:val="006765D0"/>
    <w:rsid w:val="00676991"/>
    <w:rsid w:val="00676D83"/>
    <w:rsid w:val="00676E15"/>
    <w:rsid w:val="00676FB6"/>
    <w:rsid w:val="00676FEE"/>
    <w:rsid w:val="006770D5"/>
    <w:rsid w:val="006773FF"/>
    <w:rsid w:val="006774A5"/>
    <w:rsid w:val="00677672"/>
    <w:rsid w:val="00677702"/>
    <w:rsid w:val="00677893"/>
    <w:rsid w:val="00677928"/>
    <w:rsid w:val="00677962"/>
    <w:rsid w:val="00677B1A"/>
    <w:rsid w:val="00677E46"/>
    <w:rsid w:val="00680284"/>
    <w:rsid w:val="0068032F"/>
    <w:rsid w:val="0068037E"/>
    <w:rsid w:val="006803A6"/>
    <w:rsid w:val="006808D1"/>
    <w:rsid w:val="00680B6C"/>
    <w:rsid w:val="00680CBA"/>
    <w:rsid w:val="00680CCE"/>
    <w:rsid w:val="00680D41"/>
    <w:rsid w:val="00680D5F"/>
    <w:rsid w:val="00681025"/>
    <w:rsid w:val="0068107F"/>
    <w:rsid w:val="0068137F"/>
    <w:rsid w:val="0068180B"/>
    <w:rsid w:val="00681811"/>
    <w:rsid w:val="006819C7"/>
    <w:rsid w:val="00681C5B"/>
    <w:rsid w:val="00681D03"/>
    <w:rsid w:val="00681EED"/>
    <w:rsid w:val="00681FAB"/>
    <w:rsid w:val="006821AD"/>
    <w:rsid w:val="00682225"/>
    <w:rsid w:val="00682754"/>
    <w:rsid w:val="006829F9"/>
    <w:rsid w:val="00682D77"/>
    <w:rsid w:val="00682D96"/>
    <w:rsid w:val="00682E5F"/>
    <w:rsid w:val="0068368C"/>
    <w:rsid w:val="00683B0E"/>
    <w:rsid w:val="00683B33"/>
    <w:rsid w:val="00683E42"/>
    <w:rsid w:val="00683F83"/>
    <w:rsid w:val="0068401D"/>
    <w:rsid w:val="00684121"/>
    <w:rsid w:val="0068413A"/>
    <w:rsid w:val="00684291"/>
    <w:rsid w:val="0068446B"/>
    <w:rsid w:val="00684718"/>
    <w:rsid w:val="00684825"/>
    <w:rsid w:val="00684852"/>
    <w:rsid w:val="006848F7"/>
    <w:rsid w:val="0068491D"/>
    <w:rsid w:val="00684B1B"/>
    <w:rsid w:val="00684F4B"/>
    <w:rsid w:val="006856EB"/>
    <w:rsid w:val="006858A6"/>
    <w:rsid w:val="006859EA"/>
    <w:rsid w:val="00685DB0"/>
    <w:rsid w:val="0068650C"/>
    <w:rsid w:val="00686994"/>
    <w:rsid w:val="00686A53"/>
    <w:rsid w:val="00686A71"/>
    <w:rsid w:val="00686D54"/>
    <w:rsid w:val="00686FE3"/>
    <w:rsid w:val="00687047"/>
    <w:rsid w:val="00687076"/>
    <w:rsid w:val="006871A1"/>
    <w:rsid w:val="00687334"/>
    <w:rsid w:val="006874DB"/>
    <w:rsid w:val="00687941"/>
    <w:rsid w:val="00687B21"/>
    <w:rsid w:val="00687ECA"/>
    <w:rsid w:val="00687FD6"/>
    <w:rsid w:val="00690616"/>
    <w:rsid w:val="00690A4B"/>
    <w:rsid w:val="00690D59"/>
    <w:rsid w:val="00690EC9"/>
    <w:rsid w:val="00690F17"/>
    <w:rsid w:val="00691019"/>
    <w:rsid w:val="00691073"/>
    <w:rsid w:val="0069110A"/>
    <w:rsid w:val="00691198"/>
    <w:rsid w:val="006911CC"/>
    <w:rsid w:val="006911CE"/>
    <w:rsid w:val="00691211"/>
    <w:rsid w:val="0069123E"/>
    <w:rsid w:val="0069153C"/>
    <w:rsid w:val="00691913"/>
    <w:rsid w:val="006919E8"/>
    <w:rsid w:val="00692204"/>
    <w:rsid w:val="00692317"/>
    <w:rsid w:val="00692416"/>
    <w:rsid w:val="00692475"/>
    <w:rsid w:val="006924CD"/>
    <w:rsid w:val="0069266D"/>
    <w:rsid w:val="0069268B"/>
    <w:rsid w:val="0069296B"/>
    <w:rsid w:val="00692CF5"/>
    <w:rsid w:val="00692EB9"/>
    <w:rsid w:val="006931F0"/>
    <w:rsid w:val="00693251"/>
    <w:rsid w:val="006932ED"/>
    <w:rsid w:val="00693399"/>
    <w:rsid w:val="00693486"/>
    <w:rsid w:val="006935F6"/>
    <w:rsid w:val="0069385D"/>
    <w:rsid w:val="006939F5"/>
    <w:rsid w:val="00693B7E"/>
    <w:rsid w:val="00693B89"/>
    <w:rsid w:val="00693EDF"/>
    <w:rsid w:val="00693F86"/>
    <w:rsid w:val="00694233"/>
    <w:rsid w:val="0069433D"/>
    <w:rsid w:val="006943BD"/>
    <w:rsid w:val="00694434"/>
    <w:rsid w:val="00694445"/>
    <w:rsid w:val="00694503"/>
    <w:rsid w:val="00694597"/>
    <w:rsid w:val="0069459C"/>
    <w:rsid w:val="006947C4"/>
    <w:rsid w:val="00694937"/>
    <w:rsid w:val="00694956"/>
    <w:rsid w:val="00694C38"/>
    <w:rsid w:val="00694C4A"/>
    <w:rsid w:val="00694C7A"/>
    <w:rsid w:val="00695045"/>
    <w:rsid w:val="006955B8"/>
    <w:rsid w:val="006955E0"/>
    <w:rsid w:val="00695669"/>
    <w:rsid w:val="006956E6"/>
    <w:rsid w:val="0069583F"/>
    <w:rsid w:val="00695AC6"/>
    <w:rsid w:val="00695E6B"/>
    <w:rsid w:val="00695F4E"/>
    <w:rsid w:val="00695F82"/>
    <w:rsid w:val="006961B5"/>
    <w:rsid w:val="0069640B"/>
    <w:rsid w:val="00696572"/>
    <w:rsid w:val="006965F7"/>
    <w:rsid w:val="0069664E"/>
    <w:rsid w:val="0069681D"/>
    <w:rsid w:val="00696F8E"/>
    <w:rsid w:val="00696F95"/>
    <w:rsid w:val="006971E7"/>
    <w:rsid w:val="006974F9"/>
    <w:rsid w:val="00697619"/>
    <w:rsid w:val="00697935"/>
    <w:rsid w:val="00697B9A"/>
    <w:rsid w:val="00697D21"/>
    <w:rsid w:val="00697D8D"/>
    <w:rsid w:val="00697DC4"/>
    <w:rsid w:val="00697FD2"/>
    <w:rsid w:val="006A03B5"/>
    <w:rsid w:val="006A0630"/>
    <w:rsid w:val="006A0849"/>
    <w:rsid w:val="006A0B37"/>
    <w:rsid w:val="006A0C1B"/>
    <w:rsid w:val="006A0C3B"/>
    <w:rsid w:val="006A0CD8"/>
    <w:rsid w:val="006A0DD1"/>
    <w:rsid w:val="006A0FD7"/>
    <w:rsid w:val="006A10AD"/>
    <w:rsid w:val="006A1253"/>
    <w:rsid w:val="006A138B"/>
    <w:rsid w:val="006A13AC"/>
    <w:rsid w:val="006A1569"/>
    <w:rsid w:val="006A1578"/>
    <w:rsid w:val="006A15A5"/>
    <w:rsid w:val="006A15B9"/>
    <w:rsid w:val="006A1882"/>
    <w:rsid w:val="006A18A6"/>
    <w:rsid w:val="006A1AA5"/>
    <w:rsid w:val="006A1C69"/>
    <w:rsid w:val="006A1F5D"/>
    <w:rsid w:val="006A20B8"/>
    <w:rsid w:val="006A215D"/>
    <w:rsid w:val="006A239A"/>
    <w:rsid w:val="006A23E5"/>
    <w:rsid w:val="006A23FA"/>
    <w:rsid w:val="006A2438"/>
    <w:rsid w:val="006A2541"/>
    <w:rsid w:val="006A2F22"/>
    <w:rsid w:val="006A32C1"/>
    <w:rsid w:val="006A349B"/>
    <w:rsid w:val="006A36DB"/>
    <w:rsid w:val="006A3AC9"/>
    <w:rsid w:val="006A3ACD"/>
    <w:rsid w:val="006A3B3E"/>
    <w:rsid w:val="006A3C4C"/>
    <w:rsid w:val="006A3DF8"/>
    <w:rsid w:val="006A4431"/>
    <w:rsid w:val="006A4494"/>
    <w:rsid w:val="006A461D"/>
    <w:rsid w:val="006A475F"/>
    <w:rsid w:val="006A4872"/>
    <w:rsid w:val="006A4A12"/>
    <w:rsid w:val="006A4B71"/>
    <w:rsid w:val="006A5002"/>
    <w:rsid w:val="006A52CA"/>
    <w:rsid w:val="006A5341"/>
    <w:rsid w:val="006A550B"/>
    <w:rsid w:val="006A5618"/>
    <w:rsid w:val="006A572A"/>
    <w:rsid w:val="006A58BA"/>
    <w:rsid w:val="006A5C53"/>
    <w:rsid w:val="006A5D4D"/>
    <w:rsid w:val="006A5DC6"/>
    <w:rsid w:val="006A5EC4"/>
    <w:rsid w:val="006A5FA3"/>
    <w:rsid w:val="006A5FF3"/>
    <w:rsid w:val="006A607A"/>
    <w:rsid w:val="006A615D"/>
    <w:rsid w:val="006A6578"/>
    <w:rsid w:val="006A6756"/>
    <w:rsid w:val="006A680E"/>
    <w:rsid w:val="006A6BDD"/>
    <w:rsid w:val="006A6F13"/>
    <w:rsid w:val="006A723A"/>
    <w:rsid w:val="006A7386"/>
    <w:rsid w:val="006A7451"/>
    <w:rsid w:val="006A7496"/>
    <w:rsid w:val="006A7752"/>
    <w:rsid w:val="006A7776"/>
    <w:rsid w:val="006A7C65"/>
    <w:rsid w:val="006A7C89"/>
    <w:rsid w:val="006B02D5"/>
    <w:rsid w:val="006B03DB"/>
    <w:rsid w:val="006B0480"/>
    <w:rsid w:val="006B0567"/>
    <w:rsid w:val="006B09BA"/>
    <w:rsid w:val="006B0C97"/>
    <w:rsid w:val="006B10E4"/>
    <w:rsid w:val="006B12C1"/>
    <w:rsid w:val="006B140A"/>
    <w:rsid w:val="006B1473"/>
    <w:rsid w:val="006B16FD"/>
    <w:rsid w:val="006B17A5"/>
    <w:rsid w:val="006B189F"/>
    <w:rsid w:val="006B1A8D"/>
    <w:rsid w:val="006B1AA8"/>
    <w:rsid w:val="006B1AED"/>
    <w:rsid w:val="006B1FCE"/>
    <w:rsid w:val="006B21A7"/>
    <w:rsid w:val="006B2513"/>
    <w:rsid w:val="006B2645"/>
    <w:rsid w:val="006B29EA"/>
    <w:rsid w:val="006B2B24"/>
    <w:rsid w:val="006B2B3E"/>
    <w:rsid w:val="006B2B44"/>
    <w:rsid w:val="006B2D28"/>
    <w:rsid w:val="006B3202"/>
    <w:rsid w:val="006B32AD"/>
    <w:rsid w:val="006B3327"/>
    <w:rsid w:val="006B33E6"/>
    <w:rsid w:val="006B3405"/>
    <w:rsid w:val="006B3693"/>
    <w:rsid w:val="006B39E9"/>
    <w:rsid w:val="006B39FF"/>
    <w:rsid w:val="006B3A28"/>
    <w:rsid w:val="006B3AD8"/>
    <w:rsid w:val="006B3BD1"/>
    <w:rsid w:val="006B3D0E"/>
    <w:rsid w:val="006B3DF7"/>
    <w:rsid w:val="006B3F47"/>
    <w:rsid w:val="006B42CD"/>
    <w:rsid w:val="006B4423"/>
    <w:rsid w:val="006B44D0"/>
    <w:rsid w:val="006B45E7"/>
    <w:rsid w:val="006B495C"/>
    <w:rsid w:val="006B4A01"/>
    <w:rsid w:val="006B4A2C"/>
    <w:rsid w:val="006B4B90"/>
    <w:rsid w:val="006B4C86"/>
    <w:rsid w:val="006B4FA6"/>
    <w:rsid w:val="006B53A7"/>
    <w:rsid w:val="006B5483"/>
    <w:rsid w:val="006B5568"/>
    <w:rsid w:val="006B5918"/>
    <w:rsid w:val="006B5A0B"/>
    <w:rsid w:val="006B5A1F"/>
    <w:rsid w:val="006B5B70"/>
    <w:rsid w:val="006B5C43"/>
    <w:rsid w:val="006B5C7A"/>
    <w:rsid w:val="006B5CC6"/>
    <w:rsid w:val="006B5D29"/>
    <w:rsid w:val="006B6044"/>
    <w:rsid w:val="006B6633"/>
    <w:rsid w:val="006B665C"/>
    <w:rsid w:val="006B669A"/>
    <w:rsid w:val="006B687D"/>
    <w:rsid w:val="006B68D1"/>
    <w:rsid w:val="006B68E5"/>
    <w:rsid w:val="006B6BD6"/>
    <w:rsid w:val="006B6D02"/>
    <w:rsid w:val="006B6DDC"/>
    <w:rsid w:val="006B6DE4"/>
    <w:rsid w:val="006B71FE"/>
    <w:rsid w:val="006B73C5"/>
    <w:rsid w:val="006B74D2"/>
    <w:rsid w:val="006B75D6"/>
    <w:rsid w:val="006B783D"/>
    <w:rsid w:val="006B7BEA"/>
    <w:rsid w:val="006B7FCF"/>
    <w:rsid w:val="006C014A"/>
    <w:rsid w:val="006C02F2"/>
    <w:rsid w:val="006C0581"/>
    <w:rsid w:val="006C06B9"/>
    <w:rsid w:val="006C0862"/>
    <w:rsid w:val="006C0974"/>
    <w:rsid w:val="006C09E4"/>
    <w:rsid w:val="006C0BE7"/>
    <w:rsid w:val="006C0FB8"/>
    <w:rsid w:val="006C1158"/>
    <w:rsid w:val="006C13C4"/>
    <w:rsid w:val="006C145B"/>
    <w:rsid w:val="006C16D8"/>
    <w:rsid w:val="006C1842"/>
    <w:rsid w:val="006C18A2"/>
    <w:rsid w:val="006C1AA5"/>
    <w:rsid w:val="006C1D16"/>
    <w:rsid w:val="006C1F60"/>
    <w:rsid w:val="006C2102"/>
    <w:rsid w:val="006C2114"/>
    <w:rsid w:val="006C245A"/>
    <w:rsid w:val="006C2524"/>
    <w:rsid w:val="006C2612"/>
    <w:rsid w:val="006C27EA"/>
    <w:rsid w:val="006C2990"/>
    <w:rsid w:val="006C2A4F"/>
    <w:rsid w:val="006C2D6B"/>
    <w:rsid w:val="006C2F0E"/>
    <w:rsid w:val="006C34D1"/>
    <w:rsid w:val="006C356F"/>
    <w:rsid w:val="006C3714"/>
    <w:rsid w:val="006C39FC"/>
    <w:rsid w:val="006C3D3A"/>
    <w:rsid w:val="006C3E0C"/>
    <w:rsid w:val="006C40D2"/>
    <w:rsid w:val="006C4251"/>
    <w:rsid w:val="006C426D"/>
    <w:rsid w:val="006C43E1"/>
    <w:rsid w:val="006C4707"/>
    <w:rsid w:val="006C4754"/>
    <w:rsid w:val="006C4906"/>
    <w:rsid w:val="006C49C8"/>
    <w:rsid w:val="006C4AE6"/>
    <w:rsid w:val="006C504B"/>
    <w:rsid w:val="006C5192"/>
    <w:rsid w:val="006C521E"/>
    <w:rsid w:val="006C529B"/>
    <w:rsid w:val="006C546F"/>
    <w:rsid w:val="006C5756"/>
    <w:rsid w:val="006C57D7"/>
    <w:rsid w:val="006C5916"/>
    <w:rsid w:val="006C5919"/>
    <w:rsid w:val="006C598E"/>
    <w:rsid w:val="006C59D6"/>
    <w:rsid w:val="006C5B4C"/>
    <w:rsid w:val="006C5B78"/>
    <w:rsid w:val="006C5C67"/>
    <w:rsid w:val="006C5C8B"/>
    <w:rsid w:val="006C5CC2"/>
    <w:rsid w:val="006C661D"/>
    <w:rsid w:val="006C6AA6"/>
    <w:rsid w:val="006C6BB9"/>
    <w:rsid w:val="006C6E97"/>
    <w:rsid w:val="006C711C"/>
    <w:rsid w:val="006C733B"/>
    <w:rsid w:val="006C73D8"/>
    <w:rsid w:val="006C7598"/>
    <w:rsid w:val="006C77B8"/>
    <w:rsid w:val="006C7814"/>
    <w:rsid w:val="006C78BF"/>
    <w:rsid w:val="006C7C87"/>
    <w:rsid w:val="006D0471"/>
    <w:rsid w:val="006D08CB"/>
    <w:rsid w:val="006D08CD"/>
    <w:rsid w:val="006D0A49"/>
    <w:rsid w:val="006D0E39"/>
    <w:rsid w:val="006D0EB6"/>
    <w:rsid w:val="006D0F8A"/>
    <w:rsid w:val="006D10E0"/>
    <w:rsid w:val="006D1234"/>
    <w:rsid w:val="006D1249"/>
    <w:rsid w:val="006D12EA"/>
    <w:rsid w:val="006D149B"/>
    <w:rsid w:val="006D164E"/>
    <w:rsid w:val="006D1A39"/>
    <w:rsid w:val="006D1DE8"/>
    <w:rsid w:val="006D2480"/>
    <w:rsid w:val="006D259B"/>
    <w:rsid w:val="006D2C3D"/>
    <w:rsid w:val="006D2C88"/>
    <w:rsid w:val="006D2CEF"/>
    <w:rsid w:val="006D2CFC"/>
    <w:rsid w:val="006D2F56"/>
    <w:rsid w:val="006D3271"/>
    <w:rsid w:val="006D32C2"/>
    <w:rsid w:val="006D3324"/>
    <w:rsid w:val="006D33C5"/>
    <w:rsid w:val="006D346F"/>
    <w:rsid w:val="006D3743"/>
    <w:rsid w:val="006D3842"/>
    <w:rsid w:val="006D3986"/>
    <w:rsid w:val="006D39B5"/>
    <w:rsid w:val="006D3A72"/>
    <w:rsid w:val="006D3C90"/>
    <w:rsid w:val="006D475B"/>
    <w:rsid w:val="006D495D"/>
    <w:rsid w:val="006D4AB3"/>
    <w:rsid w:val="006D4BCE"/>
    <w:rsid w:val="006D4D1E"/>
    <w:rsid w:val="006D4D6A"/>
    <w:rsid w:val="006D4E1F"/>
    <w:rsid w:val="006D506D"/>
    <w:rsid w:val="006D511D"/>
    <w:rsid w:val="006D529C"/>
    <w:rsid w:val="006D5379"/>
    <w:rsid w:val="006D53DA"/>
    <w:rsid w:val="006D5426"/>
    <w:rsid w:val="006D560D"/>
    <w:rsid w:val="006D59D5"/>
    <w:rsid w:val="006D5ACE"/>
    <w:rsid w:val="006D5BFA"/>
    <w:rsid w:val="006D5D03"/>
    <w:rsid w:val="006D5E50"/>
    <w:rsid w:val="006D5F43"/>
    <w:rsid w:val="006D63C6"/>
    <w:rsid w:val="006D656A"/>
    <w:rsid w:val="006D6CD0"/>
    <w:rsid w:val="006D6E5F"/>
    <w:rsid w:val="006D6ED5"/>
    <w:rsid w:val="006D70E7"/>
    <w:rsid w:val="006D71B7"/>
    <w:rsid w:val="006D7363"/>
    <w:rsid w:val="006D75C3"/>
    <w:rsid w:val="006D7BAE"/>
    <w:rsid w:val="006D7D25"/>
    <w:rsid w:val="006D7D63"/>
    <w:rsid w:val="006D7DD8"/>
    <w:rsid w:val="006D7DE0"/>
    <w:rsid w:val="006D7E74"/>
    <w:rsid w:val="006D7EA0"/>
    <w:rsid w:val="006D7FEF"/>
    <w:rsid w:val="006D7FF7"/>
    <w:rsid w:val="006E083F"/>
    <w:rsid w:val="006E0B8F"/>
    <w:rsid w:val="006E0DC1"/>
    <w:rsid w:val="006E0EDC"/>
    <w:rsid w:val="006E1181"/>
    <w:rsid w:val="006E1234"/>
    <w:rsid w:val="006E1313"/>
    <w:rsid w:val="006E137A"/>
    <w:rsid w:val="006E157C"/>
    <w:rsid w:val="006E1598"/>
    <w:rsid w:val="006E166E"/>
    <w:rsid w:val="006E17AC"/>
    <w:rsid w:val="006E1CF8"/>
    <w:rsid w:val="006E1E35"/>
    <w:rsid w:val="006E21CF"/>
    <w:rsid w:val="006E21DA"/>
    <w:rsid w:val="006E2A2A"/>
    <w:rsid w:val="006E2B3F"/>
    <w:rsid w:val="006E30FB"/>
    <w:rsid w:val="006E33BF"/>
    <w:rsid w:val="006E3621"/>
    <w:rsid w:val="006E388E"/>
    <w:rsid w:val="006E3A23"/>
    <w:rsid w:val="006E3A68"/>
    <w:rsid w:val="006E3B38"/>
    <w:rsid w:val="006E3B8D"/>
    <w:rsid w:val="006E3C5C"/>
    <w:rsid w:val="006E3CAE"/>
    <w:rsid w:val="006E426F"/>
    <w:rsid w:val="006E4326"/>
    <w:rsid w:val="006E43A9"/>
    <w:rsid w:val="006E440A"/>
    <w:rsid w:val="006E4749"/>
    <w:rsid w:val="006E47D2"/>
    <w:rsid w:val="006E486C"/>
    <w:rsid w:val="006E4B3A"/>
    <w:rsid w:val="006E4CA3"/>
    <w:rsid w:val="006E4CC9"/>
    <w:rsid w:val="006E4CFA"/>
    <w:rsid w:val="006E4D76"/>
    <w:rsid w:val="006E4F94"/>
    <w:rsid w:val="006E5159"/>
    <w:rsid w:val="006E5515"/>
    <w:rsid w:val="006E58A2"/>
    <w:rsid w:val="006E5B28"/>
    <w:rsid w:val="006E5C5E"/>
    <w:rsid w:val="006E5CD3"/>
    <w:rsid w:val="006E5F6C"/>
    <w:rsid w:val="006E6360"/>
    <w:rsid w:val="006E652A"/>
    <w:rsid w:val="006E66D9"/>
    <w:rsid w:val="006E679E"/>
    <w:rsid w:val="006E68E5"/>
    <w:rsid w:val="006E68FC"/>
    <w:rsid w:val="006E6C1D"/>
    <w:rsid w:val="006E6C80"/>
    <w:rsid w:val="006E6DB6"/>
    <w:rsid w:val="006E720A"/>
    <w:rsid w:val="006E7302"/>
    <w:rsid w:val="006E73FF"/>
    <w:rsid w:val="006E7668"/>
    <w:rsid w:val="006E77BD"/>
    <w:rsid w:val="006E77C9"/>
    <w:rsid w:val="006E7CBD"/>
    <w:rsid w:val="006F0299"/>
    <w:rsid w:val="006F030F"/>
    <w:rsid w:val="006F0385"/>
    <w:rsid w:val="006F04AA"/>
    <w:rsid w:val="006F0518"/>
    <w:rsid w:val="006F0564"/>
    <w:rsid w:val="006F07C3"/>
    <w:rsid w:val="006F07F0"/>
    <w:rsid w:val="006F092A"/>
    <w:rsid w:val="006F0A10"/>
    <w:rsid w:val="006F0A55"/>
    <w:rsid w:val="006F0D5A"/>
    <w:rsid w:val="006F0E8B"/>
    <w:rsid w:val="006F0EDB"/>
    <w:rsid w:val="006F1030"/>
    <w:rsid w:val="006F10A1"/>
    <w:rsid w:val="006F10E4"/>
    <w:rsid w:val="006F128C"/>
    <w:rsid w:val="006F1364"/>
    <w:rsid w:val="006F1474"/>
    <w:rsid w:val="006F161E"/>
    <w:rsid w:val="006F179D"/>
    <w:rsid w:val="006F1AD9"/>
    <w:rsid w:val="006F1B01"/>
    <w:rsid w:val="006F1BB3"/>
    <w:rsid w:val="006F21CC"/>
    <w:rsid w:val="006F21F7"/>
    <w:rsid w:val="006F2322"/>
    <w:rsid w:val="006F2348"/>
    <w:rsid w:val="006F2571"/>
    <w:rsid w:val="006F25AD"/>
    <w:rsid w:val="006F2727"/>
    <w:rsid w:val="006F2A49"/>
    <w:rsid w:val="006F2AB8"/>
    <w:rsid w:val="006F301B"/>
    <w:rsid w:val="006F326E"/>
    <w:rsid w:val="006F345D"/>
    <w:rsid w:val="006F345F"/>
    <w:rsid w:val="006F34F3"/>
    <w:rsid w:val="006F350A"/>
    <w:rsid w:val="006F355D"/>
    <w:rsid w:val="006F3BC3"/>
    <w:rsid w:val="006F3CFB"/>
    <w:rsid w:val="006F3D68"/>
    <w:rsid w:val="006F3FCB"/>
    <w:rsid w:val="006F4355"/>
    <w:rsid w:val="006F473D"/>
    <w:rsid w:val="006F4D53"/>
    <w:rsid w:val="006F524B"/>
    <w:rsid w:val="006F546D"/>
    <w:rsid w:val="006F5769"/>
    <w:rsid w:val="006F5996"/>
    <w:rsid w:val="006F5A42"/>
    <w:rsid w:val="006F5A9C"/>
    <w:rsid w:val="006F5B21"/>
    <w:rsid w:val="006F5C9D"/>
    <w:rsid w:val="006F5D0E"/>
    <w:rsid w:val="006F6398"/>
    <w:rsid w:val="006F6566"/>
    <w:rsid w:val="006F66F3"/>
    <w:rsid w:val="006F6799"/>
    <w:rsid w:val="006F69DC"/>
    <w:rsid w:val="006F6BA5"/>
    <w:rsid w:val="006F6E62"/>
    <w:rsid w:val="006F71AD"/>
    <w:rsid w:val="006F7635"/>
    <w:rsid w:val="006F7750"/>
    <w:rsid w:val="006F7A2E"/>
    <w:rsid w:val="006F7C82"/>
    <w:rsid w:val="006F7EC8"/>
    <w:rsid w:val="006F7F34"/>
    <w:rsid w:val="007000B5"/>
    <w:rsid w:val="00700567"/>
    <w:rsid w:val="0070056B"/>
    <w:rsid w:val="00700582"/>
    <w:rsid w:val="007007E7"/>
    <w:rsid w:val="00700C5D"/>
    <w:rsid w:val="00700CBC"/>
    <w:rsid w:val="00700D22"/>
    <w:rsid w:val="00700E71"/>
    <w:rsid w:val="00700FE7"/>
    <w:rsid w:val="00701192"/>
    <w:rsid w:val="00701306"/>
    <w:rsid w:val="00701499"/>
    <w:rsid w:val="007014A8"/>
    <w:rsid w:val="007018FF"/>
    <w:rsid w:val="00701BD8"/>
    <w:rsid w:val="00701EA4"/>
    <w:rsid w:val="00701FED"/>
    <w:rsid w:val="007021D5"/>
    <w:rsid w:val="0070234D"/>
    <w:rsid w:val="007023B5"/>
    <w:rsid w:val="00702406"/>
    <w:rsid w:val="00702656"/>
    <w:rsid w:val="0070277E"/>
    <w:rsid w:val="00702992"/>
    <w:rsid w:val="00702BCB"/>
    <w:rsid w:val="00702E69"/>
    <w:rsid w:val="00703418"/>
    <w:rsid w:val="0070362A"/>
    <w:rsid w:val="00703727"/>
    <w:rsid w:val="007038C5"/>
    <w:rsid w:val="007039EE"/>
    <w:rsid w:val="00703C19"/>
    <w:rsid w:val="00703D37"/>
    <w:rsid w:val="00703ED3"/>
    <w:rsid w:val="007041FF"/>
    <w:rsid w:val="0070421E"/>
    <w:rsid w:val="00704285"/>
    <w:rsid w:val="007042B9"/>
    <w:rsid w:val="00704500"/>
    <w:rsid w:val="0070456D"/>
    <w:rsid w:val="0070459F"/>
    <w:rsid w:val="0070461E"/>
    <w:rsid w:val="00704885"/>
    <w:rsid w:val="0070488E"/>
    <w:rsid w:val="00704960"/>
    <w:rsid w:val="00704AD3"/>
    <w:rsid w:val="00704D7C"/>
    <w:rsid w:val="00704D90"/>
    <w:rsid w:val="00705384"/>
    <w:rsid w:val="0070543F"/>
    <w:rsid w:val="0070598E"/>
    <w:rsid w:val="00705A9E"/>
    <w:rsid w:val="00705B08"/>
    <w:rsid w:val="00705B82"/>
    <w:rsid w:val="007061AA"/>
    <w:rsid w:val="007063D3"/>
    <w:rsid w:val="007066B4"/>
    <w:rsid w:val="00706866"/>
    <w:rsid w:val="007069BC"/>
    <w:rsid w:val="00706EEB"/>
    <w:rsid w:val="00707399"/>
    <w:rsid w:val="007074F2"/>
    <w:rsid w:val="00707CEF"/>
    <w:rsid w:val="00707E2C"/>
    <w:rsid w:val="0071003C"/>
    <w:rsid w:val="00710051"/>
    <w:rsid w:val="0071033F"/>
    <w:rsid w:val="00710485"/>
    <w:rsid w:val="0071072E"/>
    <w:rsid w:val="00710834"/>
    <w:rsid w:val="00710894"/>
    <w:rsid w:val="00710977"/>
    <w:rsid w:val="00710979"/>
    <w:rsid w:val="007109D8"/>
    <w:rsid w:val="00711555"/>
    <w:rsid w:val="007115E8"/>
    <w:rsid w:val="00711A23"/>
    <w:rsid w:val="00711CA1"/>
    <w:rsid w:val="00711CBD"/>
    <w:rsid w:val="00711E12"/>
    <w:rsid w:val="00711E18"/>
    <w:rsid w:val="00711ED0"/>
    <w:rsid w:val="00712060"/>
    <w:rsid w:val="007122DF"/>
    <w:rsid w:val="00712531"/>
    <w:rsid w:val="00712549"/>
    <w:rsid w:val="007126FB"/>
    <w:rsid w:val="00712715"/>
    <w:rsid w:val="0071272A"/>
    <w:rsid w:val="00712BB6"/>
    <w:rsid w:val="00712C73"/>
    <w:rsid w:val="00712CA5"/>
    <w:rsid w:val="00712CEE"/>
    <w:rsid w:val="007134BD"/>
    <w:rsid w:val="0071362E"/>
    <w:rsid w:val="0071381B"/>
    <w:rsid w:val="00713910"/>
    <w:rsid w:val="0071392D"/>
    <w:rsid w:val="007139FE"/>
    <w:rsid w:val="00713A51"/>
    <w:rsid w:val="00713AB4"/>
    <w:rsid w:val="00713ACB"/>
    <w:rsid w:val="00713BB6"/>
    <w:rsid w:val="00713DB0"/>
    <w:rsid w:val="00714077"/>
    <w:rsid w:val="00714535"/>
    <w:rsid w:val="007145B2"/>
    <w:rsid w:val="0071474F"/>
    <w:rsid w:val="00714ADC"/>
    <w:rsid w:val="00714AEC"/>
    <w:rsid w:val="00714C67"/>
    <w:rsid w:val="00714E0D"/>
    <w:rsid w:val="00714F9D"/>
    <w:rsid w:val="00714FE3"/>
    <w:rsid w:val="00714FF7"/>
    <w:rsid w:val="00715033"/>
    <w:rsid w:val="0071513A"/>
    <w:rsid w:val="007151BF"/>
    <w:rsid w:val="0071532B"/>
    <w:rsid w:val="00715388"/>
    <w:rsid w:val="00715460"/>
    <w:rsid w:val="007155ED"/>
    <w:rsid w:val="00715791"/>
    <w:rsid w:val="00715A23"/>
    <w:rsid w:val="00715BE3"/>
    <w:rsid w:val="00715C28"/>
    <w:rsid w:val="00716325"/>
    <w:rsid w:val="0071691C"/>
    <w:rsid w:val="00716973"/>
    <w:rsid w:val="00716D66"/>
    <w:rsid w:val="00716EF0"/>
    <w:rsid w:val="0071717A"/>
    <w:rsid w:val="007175EA"/>
    <w:rsid w:val="0071791E"/>
    <w:rsid w:val="00717C8E"/>
    <w:rsid w:val="00717D70"/>
    <w:rsid w:val="00717DF4"/>
    <w:rsid w:val="00717EBE"/>
    <w:rsid w:val="0072019E"/>
    <w:rsid w:val="007203A8"/>
    <w:rsid w:val="0072048C"/>
    <w:rsid w:val="0072093D"/>
    <w:rsid w:val="00720E05"/>
    <w:rsid w:val="00720E59"/>
    <w:rsid w:val="00720F05"/>
    <w:rsid w:val="00720F4E"/>
    <w:rsid w:val="00721007"/>
    <w:rsid w:val="00721511"/>
    <w:rsid w:val="00721551"/>
    <w:rsid w:val="007215AB"/>
    <w:rsid w:val="0072175F"/>
    <w:rsid w:val="007217D1"/>
    <w:rsid w:val="00721CDD"/>
    <w:rsid w:val="00721FD6"/>
    <w:rsid w:val="00722081"/>
    <w:rsid w:val="00722107"/>
    <w:rsid w:val="00722446"/>
    <w:rsid w:val="0072248F"/>
    <w:rsid w:val="007225CA"/>
    <w:rsid w:val="007226D2"/>
    <w:rsid w:val="00722805"/>
    <w:rsid w:val="0072282F"/>
    <w:rsid w:val="007228F5"/>
    <w:rsid w:val="00722C89"/>
    <w:rsid w:val="00722CD6"/>
    <w:rsid w:val="00722D57"/>
    <w:rsid w:val="00722D83"/>
    <w:rsid w:val="00722F7F"/>
    <w:rsid w:val="0072329E"/>
    <w:rsid w:val="00723535"/>
    <w:rsid w:val="0072364A"/>
    <w:rsid w:val="00723698"/>
    <w:rsid w:val="007236B7"/>
    <w:rsid w:val="00723747"/>
    <w:rsid w:val="0072379F"/>
    <w:rsid w:val="00723A98"/>
    <w:rsid w:val="00723B9F"/>
    <w:rsid w:val="00723DE4"/>
    <w:rsid w:val="00723E1E"/>
    <w:rsid w:val="00723E5A"/>
    <w:rsid w:val="00724133"/>
    <w:rsid w:val="0072423B"/>
    <w:rsid w:val="007242FA"/>
    <w:rsid w:val="007243BE"/>
    <w:rsid w:val="00724591"/>
    <w:rsid w:val="007245AA"/>
    <w:rsid w:val="007245CC"/>
    <w:rsid w:val="00724757"/>
    <w:rsid w:val="00724868"/>
    <w:rsid w:val="007249AB"/>
    <w:rsid w:val="00724A0C"/>
    <w:rsid w:val="00724A0D"/>
    <w:rsid w:val="00724BAD"/>
    <w:rsid w:val="00724D9A"/>
    <w:rsid w:val="00724DAB"/>
    <w:rsid w:val="00724EA7"/>
    <w:rsid w:val="007250A1"/>
    <w:rsid w:val="007250BC"/>
    <w:rsid w:val="007251B6"/>
    <w:rsid w:val="00725280"/>
    <w:rsid w:val="0072577B"/>
    <w:rsid w:val="007257B1"/>
    <w:rsid w:val="007257C1"/>
    <w:rsid w:val="0072586C"/>
    <w:rsid w:val="007259E7"/>
    <w:rsid w:val="00725B65"/>
    <w:rsid w:val="00725F41"/>
    <w:rsid w:val="00725FF5"/>
    <w:rsid w:val="00726433"/>
    <w:rsid w:val="00726497"/>
    <w:rsid w:val="007266DE"/>
    <w:rsid w:val="0072672C"/>
    <w:rsid w:val="007267C0"/>
    <w:rsid w:val="00726804"/>
    <w:rsid w:val="0072685C"/>
    <w:rsid w:val="007268D0"/>
    <w:rsid w:val="00726A2C"/>
    <w:rsid w:val="00726DC3"/>
    <w:rsid w:val="00726DF3"/>
    <w:rsid w:val="00726F52"/>
    <w:rsid w:val="00726FF4"/>
    <w:rsid w:val="007270A0"/>
    <w:rsid w:val="00727248"/>
    <w:rsid w:val="007272C6"/>
    <w:rsid w:val="0072733D"/>
    <w:rsid w:val="00727739"/>
    <w:rsid w:val="007277D2"/>
    <w:rsid w:val="00727AE4"/>
    <w:rsid w:val="00727AF9"/>
    <w:rsid w:val="00727EA5"/>
    <w:rsid w:val="00727EB8"/>
    <w:rsid w:val="007300C2"/>
    <w:rsid w:val="0073021F"/>
    <w:rsid w:val="0073085C"/>
    <w:rsid w:val="00730D7F"/>
    <w:rsid w:val="00730FA6"/>
    <w:rsid w:val="00731285"/>
    <w:rsid w:val="007312C3"/>
    <w:rsid w:val="00731722"/>
    <w:rsid w:val="00731892"/>
    <w:rsid w:val="00731B84"/>
    <w:rsid w:val="00731C1C"/>
    <w:rsid w:val="00731DF4"/>
    <w:rsid w:val="00732138"/>
    <w:rsid w:val="0073223B"/>
    <w:rsid w:val="007323C0"/>
    <w:rsid w:val="007323EC"/>
    <w:rsid w:val="007324D1"/>
    <w:rsid w:val="007325ED"/>
    <w:rsid w:val="00732838"/>
    <w:rsid w:val="0073293E"/>
    <w:rsid w:val="007329D2"/>
    <w:rsid w:val="00732AFC"/>
    <w:rsid w:val="00732B84"/>
    <w:rsid w:val="00732C26"/>
    <w:rsid w:val="00732C63"/>
    <w:rsid w:val="00732D91"/>
    <w:rsid w:val="00733051"/>
    <w:rsid w:val="0073305D"/>
    <w:rsid w:val="0073318E"/>
    <w:rsid w:val="00733191"/>
    <w:rsid w:val="00733429"/>
    <w:rsid w:val="007338E4"/>
    <w:rsid w:val="00733E46"/>
    <w:rsid w:val="00734027"/>
    <w:rsid w:val="00734062"/>
    <w:rsid w:val="00734214"/>
    <w:rsid w:val="00734505"/>
    <w:rsid w:val="00734AD4"/>
    <w:rsid w:val="00734AFE"/>
    <w:rsid w:val="00734BCB"/>
    <w:rsid w:val="00734BF2"/>
    <w:rsid w:val="00734F0E"/>
    <w:rsid w:val="00734FEC"/>
    <w:rsid w:val="0073561E"/>
    <w:rsid w:val="007356F8"/>
    <w:rsid w:val="00735846"/>
    <w:rsid w:val="00735904"/>
    <w:rsid w:val="00735AF8"/>
    <w:rsid w:val="00735D1E"/>
    <w:rsid w:val="00736422"/>
    <w:rsid w:val="00736613"/>
    <w:rsid w:val="007366F4"/>
    <w:rsid w:val="00736ADE"/>
    <w:rsid w:val="00736B7B"/>
    <w:rsid w:val="00736E32"/>
    <w:rsid w:val="00736E4A"/>
    <w:rsid w:val="00737279"/>
    <w:rsid w:val="0073736A"/>
    <w:rsid w:val="007376D2"/>
    <w:rsid w:val="00737928"/>
    <w:rsid w:val="007379D7"/>
    <w:rsid w:val="00737C7C"/>
    <w:rsid w:val="00740158"/>
    <w:rsid w:val="0074029C"/>
    <w:rsid w:val="007402C9"/>
    <w:rsid w:val="007408D1"/>
    <w:rsid w:val="007408E3"/>
    <w:rsid w:val="007408F2"/>
    <w:rsid w:val="00740A17"/>
    <w:rsid w:val="00740A54"/>
    <w:rsid w:val="00740AC2"/>
    <w:rsid w:val="00740BE9"/>
    <w:rsid w:val="0074103D"/>
    <w:rsid w:val="007410AB"/>
    <w:rsid w:val="007411BE"/>
    <w:rsid w:val="00741256"/>
    <w:rsid w:val="0074125C"/>
    <w:rsid w:val="0074127B"/>
    <w:rsid w:val="0074143E"/>
    <w:rsid w:val="007416A8"/>
    <w:rsid w:val="00741700"/>
    <w:rsid w:val="00741729"/>
    <w:rsid w:val="00741CEC"/>
    <w:rsid w:val="00741D27"/>
    <w:rsid w:val="00741E3E"/>
    <w:rsid w:val="00741F5F"/>
    <w:rsid w:val="0074202B"/>
    <w:rsid w:val="007421DE"/>
    <w:rsid w:val="007425D6"/>
    <w:rsid w:val="007426DC"/>
    <w:rsid w:val="00742BD0"/>
    <w:rsid w:val="00742DB0"/>
    <w:rsid w:val="00742E40"/>
    <w:rsid w:val="0074305D"/>
    <w:rsid w:val="007430FF"/>
    <w:rsid w:val="007431E2"/>
    <w:rsid w:val="007433E5"/>
    <w:rsid w:val="0074340F"/>
    <w:rsid w:val="00743568"/>
    <w:rsid w:val="0074377D"/>
    <w:rsid w:val="007437C5"/>
    <w:rsid w:val="007438A3"/>
    <w:rsid w:val="007439DC"/>
    <w:rsid w:val="00743B80"/>
    <w:rsid w:val="00743BC8"/>
    <w:rsid w:val="00743E47"/>
    <w:rsid w:val="007442E0"/>
    <w:rsid w:val="00744331"/>
    <w:rsid w:val="00744446"/>
    <w:rsid w:val="0074452A"/>
    <w:rsid w:val="00744881"/>
    <w:rsid w:val="00744C62"/>
    <w:rsid w:val="00744E17"/>
    <w:rsid w:val="00744F51"/>
    <w:rsid w:val="0074524F"/>
    <w:rsid w:val="0074527B"/>
    <w:rsid w:val="007452CB"/>
    <w:rsid w:val="00745486"/>
    <w:rsid w:val="007455F6"/>
    <w:rsid w:val="0074569E"/>
    <w:rsid w:val="0074578C"/>
    <w:rsid w:val="007458D7"/>
    <w:rsid w:val="00745999"/>
    <w:rsid w:val="00745B40"/>
    <w:rsid w:val="00745BB5"/>
    <w:rsid w:val="0074642B"/>
    <w:rsid w:val="0074651C"/>
    <w:rsid w:val="007469BA"/>
    <w:rsid w:val="00746B14"/>
    <w:rsid w:val="00746E3E"/>
    <w:rsid w:val="007470AA"/>
    <w:rsid w:val="0074717C"/>
    <w:rsid w:val="00747380"/>
    <w:rsid w:val="00747400"/>
    <w:rsid w:val="00747B4E"/>
    <w:rsid w:val="00747C80"/>
    <w:rsid w:val="00747CB9"/>
    <w:rsid w:val="00747D36"/>
    <w:rsid w:val="007500DC"/>
    <w:rsid w:val="007501E0"/>
    <w:rsid w:val="00750274"/>
    <w:rsid w:val="0075037E"/>
    <w:rsid w:val="007503C5"/>
    <w:rsid w:val="00750420"/>
    <w:rsid w:val="007505CE"/>
    <w:rsid w:val="007505EA"/>
    <w:rsid w:val="00750704"/>
    <w:rsid w:val="0075082C"/>
    <w:rsid w:val="007508DB"/>
    <w:rsid w:val="00750930"/>
    <w:rsid w:val="007509A6"/>
    <w:rsid w:val="00750B5A"/>
    <w:rsid w:val="00750BC7"/>
    <w:rsid w:val="00750C64"/>
    <w:rsid w:val="00750E14"/>
    <w:rsid w:val="00750E7D"/>
    <w:rsid w:val="00750EA8"/>
    <w:rsid w:val="00750F03"/>
    <w:rsid w:val="0075114D"/>
    <w:rsid w:val="00751150"/>
    <w:rsid w:val="00751232"/>
    <w:rsid w:val="00751361"/>
    <w:rsid w:val="0075178B"/>
    <w:rsid w:val="00751A5D"/>
    <w:rsid w:val="00751C6B"/>
    <w:rsid w:val="00751E09"/>
    <w:rsid w:val="00751F15"/>
    <w:rsid w:val="00751FB9"/>
    <w:rsid w:val="00751FD4"/>
    <w:rsid w:val="00752183"/>
    <w:rsid w:val="0075218E"/>
    <w:rsid w:val="00752613"/>
    <w:rsid w:val="007526C9"/>
    <w:rsid w:val="00752771"/>
    <w:rsid w:val="007527EB"/>
    <w:rsid w:val="00752ADD"/>
    <w:rsid w:val="00752AED"/>
    <w:rsid w:val="00752BF8"/>
    <w:rsid w:val="00752C78"/>
    <w:rsid w:val="00752D14"/>
    <w:rsid w:val="00752E1D"/>
    <w:rsid w:val="00753431"/>
    <w:rsid w:val="007536D3"/>
    <w:rsid w:val="007537EC"/>
    <w:rsid w:val="00753893"/>
    <w:rsid w:val="00753A38"/>
    <w:rsid w:val="00753B84"/>
    <w:rsid w:val="00753BAC"/>
    <w:rsid w:val="00753C71"/>
    <w:rsid w:val="00753D36"/>
    <w:rsid w:val="00753F2B"/>
    <w:rsid w:val="00753FC9"/>
    <w:rsid w:val="0075415B"/>
    <w:rsid w:val="00754465"/>
    <w:rsid w:val="007545BB"/>
    <w:rsid w:val="0075460C"/>
    <w:rsid w:val="007549EA"/>
    <w:rsid w:val="00754B43"/>
    <w:rsid w:val="00754E85"/>
    <w:rsid w:val="00754E8C"/>
    <w:rsid w:val="00754F8E"/>
    <w:rsid w:val="007552DC"/>
    <w:rsid w:val="00755442"/>
    <w:rsid w:val="007558C8"/>
    <w:rsid w:val="007558FA"/>
    <w:rsid w:val="007558FC"/>
    <w:rsid w:val="0075596B"/>
    <w:rsid w:val="00755C8D"/>
    <w:rsid w:val="00755DAA"/>
    <w:rsid w:val="00755F44"/>
    <w:rsid w:val="0075603C"/>
    <w:rsid w:val="0075612D"/>
    <w:rsid w:val="007561A0"/>
    <w:rsid w:val="007561FE"/>
    <w:rsid w:val="00756215"/>
    <w:rsid w:val="00756385"/>
    <w:rsid w:val="00756528"/>
    <w:rsid w:val="00756837"/>
    <w:rsid w:val="00756AD4"/>
    <w:rsid w:val="00756C0D"/>
    <w:rsid w:val="00756E36"/>
    <w:rsid w:val="00757222"/>
    <w:rsid w:val="00757239"/>
    <w:rsid w:val="00757368"/>
    <w:rsid w:val="007574B4"/>
    <w:rsid w:val="007577B7"/>
    <w:rsid w:val="00757AC9"/>
    <w:rsid w:val="00757B3A"/>
    <w:rsid w:val="00757FE7"/>
    <w:rsid w:val="0076008C"/>
    <w:rsid w:val="007601BC"/>
    <w:rsid w:val="00760494"/>
    <w:rsid w:val="00760630"/>
    <w:rsid w:val="0076070A"/>
    <w:rsid w:val="00760779"/>
    <w:rsid w:val="00760995"/>
    <w:rsid w:val="00760B60"/>
    <w:rsid w:val="00760DB5"/>
    <w:rsid w:val="00760E14"/>
    <w:rsid w:val="00760E57"/>
    <w:rsid w:val="00761215"/>
    <w:rsid w:val="00761349"/>
    <w:rsid w:val="0076168B"/>
    <w:rsid w:val="00761727"/>
    <w:rsid w:val="00761743"/>
    <w:rsid w:val="00761C6B"/>
    <w:rsid w:val="00761EA8"/>
    <w:rsid w:val="00761F32"/>
    <w:rsid w:val="00761FC4"/>
    <w:rsid w:val="00762373"/>
    <w:rsid w:val="00762BD7"/>
    <w:rsid w:val="00762C7A"/>
    <w:rsid w:val="00762D39"/>
    <w:rsid w:val="00762DCA"/>
    <w:rsid w:val="00762FA8"/>
    <w:rsid w:val="007634CB"/>
    <w:rsid w:val="00763613"/>
    <w:rsid w:val="007636F5"/>
    <w:rsid w:val="00763781"/>
    <w:rsid w:val="00763C9E"/>
    <w:rsid w:val="00763D9B"/>
    <w:rsid w:val="00763EC1"/>
    <w:rsid w:val="00764022"/>
    <w:rsid w:val="007643EF"/>
    <w:rsid w:val="0076446C"/>
    <w:rsid w:val="0076471F"/>
    <w:rsid w:val="0076493D"/>
    <w:rsid w:val="00765186"/>
    <w:rsid w:val="00765301"/>
    <w:rsid w:val="00765533"/>
    <w:rsid w:val="00765617"/>
    <w:rsid w:val="007658D4"/>
    <w:rsid w:val="00765A17"/>
    <w:rsid w:val="00765A7D"/>
    <w:rsid w:val="00765C26"/>
    <w:rsid w:val="00765CC2"/>
    <w:rsid w:val="00765DAD"/>
    <w:rsid w:val="00765F18"/>
    <w:rsid w:val="0076607B"/>
    <w:rsid w:val="00766768"/>
    <w:rsid w:val="0076694E"/>
    <w:rsid w:val="00766C37"/>
    <w:rsid w:val="00766E13"/>
    <w:rsid w:val="0076708F"/>
    <w:rsid w:val="00767809"/>
    <w:rsid w:val="007679F9"/>
    <w:rsid w:val="00767AB7"/>
    <w:rsid w:val="00767AFE"/>
    <w:rsid w:val="00767CCE"/>
    <w:rsid w:val="0076EBCC"/>
    <w:rsid w:val="0077003B"/>
    <w:rsid w:val="00770067"/>
    <w:rsid w:val="0077047D"/>
    <w:rsid w:val="00770966"/>
    <w:rsid w:val="00770B81"/>
    <w:rsid w:val="007711F6"/>
    <w:rsid w:val="007712C4"/>
    <w:rsid w:val="007715D7"/>
    <w:rsid w:val="00771658"/>
    <w:rsid w:val="007716E5"/>
    <w:rsid w:val="007717BF"/>
    <w:rsid w:val="007724F1"/>
    <w:rsid w:val="00772B71"/>
    <w:rsid w:val="00772B94"/>
    <w:rsid w:val="00772C08"/>
    <w:rsid w:val="00772C70"/>
    <w:rsid w:val="00772D01"/>
    <w:rsid w:val="00772D45"/>
    <w:rsid w:val="0077302E"/>
    <w:rsid w:val="007730C0"/>
    <w:rsid w:val="007734E5"/>
    <w:rsid w:val="007735DD"/>
    <w:rsid w:val="007737B1"/>
    <w:rsid w:val="00773CCD"/>
    <w:rsid w:val="00773EC6"/>
    <w:rsid w:val="00774589"/>
    <w:rsid w:val="00774928"/>
    <w:rsid w:val="0077493E"/>
    <w:rsid w:val="00774AA3"/>
    <w:rsid w:val="007751A4"/>
    <w:rsid w:val="0077526E"/>
    <w:rsid w:val="007753B0"/>
    <w:rsid w:val="0077548D"/>
    <w:rsid w:val="00775572"/>
    <w:rsid w:val="00775858"/>
    <w:rsid w:val="00775B15"/>
    <w:rsid w:val="00776013"/>
    <w:rsid w:val="0077607A"/>
    <w:rsid w:val="00776129"/>
    <w:rsid w:val="00776507"/>
    <w:rsid w:val="0077660E"/>
    <w:rsid w:val="00776946"/>
    <w:rsid w:val="00776D52"/>
    <w:rsid w:val="00776FA8"/>
    <w:rsid w:val="007771F9"/>
    <w:rsid w:val="00777469"/>
    <w:rsid w:val="0077759C"/>
    <w:rsid w:val="007776FC"/>
    <w:rsid w:val="00777757"/>
    <w:rsid w:val="007777CD"/>
    <w:rsid w:val="0077784A"/>
    <w:rsid w:val="00777BD3"/>
    <w:rsid w:val="00777C0D"/>
    <w:rsid w:val="0077B2EE"/>
    <w:rsid w:val="0078097D"/>
    <w:rsid w:val="007809A9"/>
    <w:rsid w:val="007809C4"/>
    <w:rsid w:val="00780AE3"/>
    <w:rsid w:val="00780B01"/>
    <w:rsid w:val="00780EA6"/>
    <w:rsid w:val="007810DA"/>
    <w:rsid w:val="0078126E"/>
    <w:rsid w:val="007813BE"/>
    <w:rsid w:val="0078153C"/>
    <w:rsid w:val="00781604"/>
    <w:rsid w:val="007816EF"/>
    <w:rsid w:val="00781726"/>
    <w:rsid w:val="00781777"/>
    <w:rsid w:val="00781A14"/>
    <w:rsid w:val="00781AB8"/>
    <w:rsid w:val="00781CA9"/>
    <w:rsid w:val="00781D0B"/>
    <w:rsid w:val="00781EC7"/>
    <w:rsid w:val="00781F4B"/>
    <w:rsid w:val="0078218C"/>
    <w:rsid w:val="007821CD"/>
    <w:rsid w:val="007821DB"/>
    <w:rsid w:val="007823EE"/>
    <w:rsid w:val="007825ED"/>
    <w:rsid w:val="00782CFE"/>
    <w:rsid w:val="00782DD6"/>
    <w:rsid w:val="00782ED7"/>
    <w:rsid w:val="00782F1B"/>
    <w:rsid w:val="00783239"/>
    <w:rsid w:val="00783386"/>
    <w:rsid w:val="00783391"/>
    <w:rsid w:val="00783AAD"/>
    <w:rsid w:val="00783C33"/>
    <w:rsid w:val="00783D2D"/>
    <w:rsid w:val="00783DEF"/>
    <w:rsid w:val="007841F1"/>
    <w:rsid w:val="007841F9"/>
    <w:rsid w:val="00784359"/>
    <w:rsid w:val="007847FA"/>
    <w:rsid w:val="00784B5A"/>
    <w:rsid w:val="00784C3B"/>
    <w:rsid w:val="00784F0D"/>
    <w:rsid w:val="00784F3F"/>
    <w:rsid w:val="00785085"/>
    <w:rsid w:val="00785091"/>
    <w:rsid w:val="00785210"/>
    <w:rsid w:val="00785818"/>
    <w:rsid w:val="007858B4"/>
    <w:rsid w:val="00785909"/>
    <w:rsid w:val="0078594D"/>
    <w:rsid w:val="00785E4D"/>
    <w:rsid w:val="00785EC1"/>
    <w:rsid w:val="00786243"/>
    <w:rsid w:val="00786514"/>
    <w:rsid w:val="007865F8"/>
    <w:rsid w:val="00786B70"/>
    <w:rsid w:val="00786C0A"/>
    <w:rsid w:val="00786F18"/>
    <w:rsid w:val="007870E6"/>
    <w:rsid w:val="00787332"/>
    <w:rsid w:val="00787347"/>
    <w:rsid w:val="0078744D"/>
    <w:rsid w:val="007876BE"/>
    <w:rsid w:val="00787818"/>
    <w:rsid w:val="00787E85"/>
    <w:rsid w:val="00787FD4"/>
    <w:rsid w:val="0079039F"/>
    <w:rsid w:val="00790510"/>
    <w:rsid w:val="007907C9"/>
    <w:rsid w:val="00790910"/>
    <w:rsid w:val="007909C5"/>
    <w:rsid w:val="00790A0F"/>
    <w:rsid w:val="00790C20"/>
    <w:rsid w:val="00790D03"/>
    <w:rsid w:val="00790EC6"/>
    <w:rsid w:val="007911BD"/>
    <w:rsid w:val="00791220"/>
    <w:rsid w:val="0079130B"/>
    <w:rsid w:val="00791496"/>
    <w:rsid w:val="007915BB"/>
    <w:rsid w:val="00791748"/>
    <w:rsid w:val="00791812"/>
    <w:rsid w:val="00791A48"/>
    <w:rsid w:val="00791A84"/>
    <w:rsid w:val="00791ADA"/>
    <w:rsid w:val="00791DE1"/>
    <w:rsid w:val="00791F62"/>
    <w:rsid w:val="00792287"/>
    <w:rsid w:val="00792905"/>
    <w:rsid w:val="00792D94"/>
    <w:rsid w:val="00792EE1"/>
    <w:rsid w:val="0079314B"/>
    <w:rsid w:val="007934EC"/>
    <w:rsid w:val="00793718"/>
    <w:rsid w:val="0079375E"/>
    <w:rsid w:val="0079377D"/>
    <w:rsid w:val="00793850"/>
    <w:rsid w:val="00793CE5"/>
    <w:rsid w:val="0079403A"/>
    <w:rsid w:val="00794285"/>
    <w:rsid w:val="007943D9"/>
    <w:rsid w:val="007945EC"/>
    <w:rsid w:val="00794987"/>
    <w:rsid w:val="007949C1"/>
    <w:rsid w:val="00794A2D"/>
    <w:rsid w:val="00794BF1"/>
    <w:rsid w:val="0079515E"/>
    <w:rsid w:val="00795502"/>
    <w:rsid w:val="0079579F"/>
    <w:rsid w:val="00795808"/>
    <w:rsid w:val="0079586C"/>
    <w:rsid w:val="0079648E"/>
    <w:rsid w:val="00796670"/>
    <w:rsid w:val="007968D3"/>
    <w:rsid w:val="00796AE2"/>
    <w:rsid w:val="00796DCF"/>
    <w:rsid w:val="00796ECF"/>
    <w:rsid w:val="00797140"/>
    <w:rsid w:val="00797447"/>
    <w:rsid w:val="00797475"/>
    <w:rsid w:val="0079774F"/>
    <w:rsid w:val="007978A9"/>
    <w:rsid w:val="00797A1C"/>
    <w:rsid w:val="00797BB2"/>
    <w:rsid w:val="00797C3B"/>
    <w:rsid w:val="00797D36"/>
    <w:rsid w:val="00797E61"/>
    <w:rsid w:val="00797EF1"/>
    <w:rsid w:val="0079CE97"/>
    <w:rsid w:val="007A01DD"/>
    <w:rsid w:val="007A02B8"/>
    <w:rsid w:val="007A046C"/>
    <w:rsid w:val="007A05E7"/>
    <w:rsid w:val="007A0667"/>
    <w:rsid w:val="007A0719"/>
    <w:rsid w:val="007A08FD"/>
    <w:rsid w:val="007A0C94"/>
    <w:rsid w:val="007A0D38"/>
    <w:rsid w:val="007A0FF5"/>
    <w:rsid w:val="007A11EE"/>
    <w:rsid w:val="007A121F"/>
    <w:rsid w:val="007A12DE"/>
    <w:rsid w:val="007A13B4"/>
    <w:rsid w:val="007A13ED"/>
    <w:rsid w:val="007A15B8"/>
    <w:rsid w:val="007A1702"/>
    <w:rsid w:val="007A17A7"/>
    <w:rsid w:val="007A1AEB"/>
    <w:rsid w:val="007A1BA2"/>
    <w:rsid w:val="007A1DD2"/>
    <w:rsid w:val="007A1E53"/>
    <w:rsid w:val="007A1E8D"/>
    <w:rsid w:val="007A1EB1"/>
    <w:rsid w:val="007A21AA"/>
    <w:rsid w:val="007A2238"/>
    <w:rsid w:val="007A25E9"/>
    <w:rsid w:val="007A2766"/>
    <w:rsid w:val="007A295F"/>
    <w:rsid w:val="007A2961"/>
    <w:rsid w:val="007A29C5"/>
    <w:rsid w:val="007A2B37"/>
    <w:rsid w:val="007A2C95"/>
    <w:rsid w:val="007A3103"/>
    <w:rsid w:val="007A321D"/>
    <w:rsid w:val="007A33BB"/>
    <w:rsid w:val="007A3739"/>
    <w:rsid w:val="007A37EA"/>
    <w:rsid w:val="007A3A65"/>
    <w:rsid w:val="007A3A8C"/>
    <w:rsid w:val="007A3E87"/>
    <w:rsid w:val="007A4018"/>
    <w:rsid w:val="007A425B"/>
    <w:rsid w:val="007A42BD"/>
    <w:rsid w:val="007A42FF"/>
    <w:rsid w:val="007A4474"/>
    <w:rsid w:val="007A4499"/>
    <w:rsid w:val="007A4500"/>
    <w:rsid w:val="007A4846"/>
    <w:rsid w:val="007A4965"/>
    <w:rsid w:val="007A4B8C"/>
    <w:rsid w:val="007A4EC3"/>
    <w:rsid w:val="007A4F8C"/>
    <w:rsid w:val="007A4FBA"/>
    <w:rsid w:val="007A52CC"/>
    <w:rsid w:val="007A5692"/>
    <w:rsid w:val="007A59E4"/>
    <w:rsid w:val="007A5CFA"/>
    <w:rsid w:val="007A5D5B"/>
    <w:rsid w:val="007A5D8B"/>
    <w:rsid w:val="007A5E20"/>
    <w:rsid w:val="007A5EBD"/>
    <w:rsid w:val="007A5FB6"/>
    <w:rsid w:val="007A6254"/>
    <w:rsid w:val="007A64EF"/>
    <w:rsid w:val="007A65C6"/>
    <w:rsid w:val="007A65E2"/>
    <w:rsid w:val="007A65E9"/>
    <w:rsid w:val="007A6B22"/>
    <w:rsid w:val="007A71C4"/>
    <w:rsid w:val="007A7229"/>
    <w:rsid w:val="007A726D"/>
    <w:rsid w:val="007A7346"/>
    <w:rsid w:val="007A7483"/>
    <w:rsid w:val="007A7786"/>
    <w:rsid w:val="007A77B4"/>
    <w:rsid w:val="007A77C0"/>
    <w:rsid w:val="007A77DF"/>
    <w:rsid w:val="007A7E9D"/>
    <w:rsid w:val="007B00D1"/>
    <w:rsid w:val="007B01F6"/>
    <w:rsid w:val="007B02ED"/>
    <w:rsid w:val="007B02F3"/>
    <w:rsid w:val="007B055C"/>
    <w:rsid w:val="007B06EB"/>
    <w:rsid w:val="007B0713"/>
    <w:rsid w:val="007B0803"/>
    <w:rsid w:val="007B083A"/>
    <w:rsid w:val="007B0852"/>
    <w:rsid w:val="007B0E0C"/>
    <w:rsid w:val="007B14A9"/>
    <w:rsid w:val="007B1720"/>
    <w:rsid w:val="007B1897"/>
    <w:rsid w:val="007B1A9C"/>
    <w:rsid w:val="007B1AF2"/>
    <w:rsid w:val="007B1C13"/>
    <w:rsid w:val="007B1D59"/>
    <w:rsid w:val="007B1E99"/>
    <w:rsid w:val="007B1F6C"/>
    <w:rsid w:val="007B1FF7"/>
    <w:rsid w:val="007B20D7"/>
    <w:rsid w:val="007B2110"/>
    <w:rsid w:val="007B2154"/>
    <w:rsid w:val="007B225B"/>
    <w:rsid w:val="007B2376"/>
    <w:rsid w:val="007B23AF"/>
    <w:rsid w:val="007B2696"/>
    <w:rsid w:val="007B29CA"/>
    <w:rsid w:val="007B2ADE"/>
    <w:rsid w:val="007B2AF8"/>
    <w:rsid w:val="007B2BE4"/>
    <w:rsid w:val="007B2D47"/>
    <w:rsid w:val="007B2D7F"/>
    <w:rsid w:val="007B2D93"/>
    <w:rsid w:val="007B2E6E"/>
    <w:rsid w:val="007B2EC5"/>
    <w:rsid w:val="007B3038"/>
    <w:rsid w:val="007B3745"/>
    <w:rsid w:val="007B37C0"/>
    <w:rsid w:val="007B3A03"/>
    <w:rsid w:val="007B3FAA"/>
    <w:rsid w:val="007B41C9"/>
    <w:rsid w:val="007B4446"/>
    <w:rsid w:val="007B44A0"/>
    <w:rsid w:val="007B44EC"/>
    <w:rsid w:val="007B4531"/>
    <w:rsid w:val="007B4600"/>
    <w:rsid w:val="007B468A"/>
    <w:rsid w:val="007B477B"/>
    <w:rsid w:val="007B4DA7"/>
    <w:rsid w:val="007B4DBE"/>
    <w:rsid w:val="007B4DBF"/>
    <w:rsid w:val="007B4EBF"/>
    <w:rsid w:val="007B4F88"/>
    <w:rsid w:val="007B548F"/>
    <w:rsid w:val="007B56DC"/>
    <w:rsid w:val="007B5B9E"/>
    <w:rsid w:val="007B5E17"/>
    <w:rsid w:val="007B5ED5"/>
    <w:rsid w:val="007B6299"/>
    <w:rsid w:val="007B643A"/>
    <w:rsid w:val="007B6674"/>
    <w:rsid w:val="007B6785"/>
    <w:rsid w:val="007B6943"/>
    <w:rsid w:val="007B6B94"/>
    <w:rsid w:val="007B6D63"/>
    <w:rsid w:val="007B6EED"/>
    <w:rsid w:val="007B6F48"/>
    <w:rsid w:val="007B6F9D"/>
    <w:rsid w:val="007B7142"/>
    <w:rsid w:val="007B71D5"/>
    <w:rsid w:val="007B7814"/>
    <w:rsid w:val="007B786A"/>
    <w:rsid w:val="007B7988"/>
    <w:rsid w:val="007B79C5"/>
    <w:rsid w:val="007B7A97"/>
    <w:rsid w:val="007C037F"/>
    <w:rsid w:val="007C03FC"/>
    <w:rsid w:val="007C04E8"/>
    <w:rsid w:val="007C0686"/>
    <w:rsid w:val="007C06D4"/>
    <w:rsid w:val="007C0796"/>
    <w:rsid w:val="007C0931"/>
    <w:rsid w:val="007C09BD"/>
    <w:rsid w:val="007C0D0E"/>
    <w:rsid w:val="007C0EEE"/>
    <w:rsid w:val="007C0FF8"/>
    <w:rsid w:val="007C1072"/>
    <w:rsid w:val="007C108C"/>
    <w:rsid w:val="007C123C"/>
    <w:rsid w:val="007C1332"/>
    <w:rsid w:val="007C1537"/>
    <w:rsid w:val="007C1BC2"/>
    <w:rsid w:val="007C215F"/>
    <w:rsid w:val="007C2538"/>
    <w:rsid w:val="007C26E5"/>
    <w:rsid w:val="007C29F6"/>
    <w:rsid w:val="007C2E67"/>
    <w:rsid w:val="007C3265"/>
    <w:rsid w:val="007C32AC"/>
    <w:rsid w:val="007C34E1"/>
    <w:rsid w:val="007C3910"/>
    <w:rsid w:val="007C3BE7"/>
    <w:rsid w:val="007C3E8F"/>
    <w:rsid w:val="007C3F49"/>
    <w:rsid w:val="007C40A0"/>
    <w:rsid w:val="007C43BB"/>
    <w:rsid w:val="007C440F"/>
    <w:rsid w:val="007C477B"/>
    <w:rsid w:val="007C4795"/>
    <w:rsid w:val="007C4DD4"/>
    <w:rsid w:val="007C519D"/>
    <w:rsid w:val="007C52E4"/>
    <w:rsid w:val="007C5313"/>
    <w:rsid w:val="007C5378"/>
    <w:rsid w:val="007C5720"/>
    <w:rsid w:val="007C5B21"/>
    <w:rsid w:val="007C5B3C"/>
    <w:rsid w:val="007C5DCE"/>
    <w:rsid w:val="007C5ED4"/>
    <w:rsid w:val="007C649D"/>
    <w:rsid w:val="007C64D0"/>
    <w:rsid w:val="007C6557"/>
    <w:rsid w:val="007C682B"/>
    <w:rsid w:val="007C6B1D"/>
    <w:rsid w:val="007C6C8B"/>
    <w:rsid w:val="007C6D61"/>
    <w:rsid w:val="007C6DCF"/>
    <w:rsid w:val="007C712E"/>
    <w:rsid w:val="007C720A"/>
    <w:rsid w:val="007C72FF"/>
    <w:rsid w:val="007C7499"/>
    <w:rsid w:val="007C7636"/>
    <w:rsid w:val="007C763D"/>
    <w:rsid w:val="007D0331"/>
    <w:rsid w:val="007D0492"/>
    <w:rsid w:val="007D057B"/>
    <w:rsid w:val="007D063B"/>
    <w:rsid w:val="007D08DE"/>
    <w:rsid w:val="007D0A4A"/>
    <w:rsid w:val="007D0BCD"/>
    <w:rsid w:val="007D0BE9"/>
    <w:rsid w:val="007D0C41"/>
    <w:rsid w:val="007D0D7C"/>
    <w:rsid w:val="007D0DEA"/>
    <w:rsid w:val="007D1092"/>
    <w:rsid w:val="007D1162"/>
    <w:rsid w:val="007D118C"/>
    <w:rsid w:val="007D14BA"/>
    <w:rsid w:val="007D172C"/>
    <w:rsid w:val="007D17C0"/>
    <w:rsid w:val="007D1924"/>
    <w:rsid w:val="007D1996"/>
    <w:rsid w:val="007D1A0E"/>
    <w:rsid w:val="007D1AA5"/>
    <w:rsid w:val="007D1D93"/>
    <w:rsid w:val="007D209A"/>
    <w:rsid w:val="007D214B"/>
    <w:rsid w:val="007D2388"/>
    <w:rsid w:val="007D23DC"/>
    <w:rsid w:val="007D2621"/>
    <w:rsid w:val="007D28CE"/>
    <w:rsid w:val="007D29C3"/>
    <w:rsid w:val="007D2A39"/>
    <w:rsid w:val="007D2A78"/>
    <w:rsid w:val="007D2DB2"/>
    <w:rsid w:val="007D2F26"/>
    <w:rsid w:val="007D2F60"/>
    <w:rsid w:val="007D328D"/>
    <w:rsid w:val="007D32C4"/>
    <w:rsid w:val="007D32FC"/>
    <w:rsid w:val="007D34A6"/>
    <w:rsid w:val="007D3606"/>
    <w:rsid w:val="007D36C5"/>
    <w:rsid w:val="007D3786"/>
    <w:rsid w:val="007D38C3"/>
    <w:rsid w:val="007D3BFB"/>
    <w:rsid w:val="007D3CD8"/>
    <w:rsid w:val="007D3DAD"/>
    <w:rsid w:val="007D3DFD"/>
    <w:rsid w:val="007D3F8C"/>
    <w:rsid w:val="007D41C5"/>
    <w:rsid w:val="007D41F8"/>
    <w:rsid w:val="007D422C"/>
    <w:rsid w:val="007D427C"/>
    <w:rsid w:val="007D4462"/>
    <w:rsid w:val="007D45FB"/>
    <w:rsid w:val="007D4846"/>
    <w:rsid w:val="007D49BA"/>
    <w:rsid w:val="007D4BA2"/>
    <w:rsid w:val="007D4E38"/>
    <w:rsid w:val="007D50EE"/>
    <w:rsid w:val="007D5166"/>
    <w:rsid w:val="007D51A9"/>
    <w:rsid w:val="007D51D4"/>
    <w:rsid w:val="007D52AE"/>
    <w:rsid w:val="007D5337"/>
    <w:rsid w:val="007D5416"/>
    <w:rsid w:val="007D55B5"/>
    <w:rsid w:val="007D5837"/>
    <w:rsid w:val="007D5BB4"/>
    <w:rsid w:val="007D5CA8"/>
    <w:rsid w:val="007D5DAB"/>
    <w:rsid w:val="007D5FBD"/>
    <w:rsid w:val="007D631E"/>
    <w:rsid w:val="007D64B3"/>
    <w:rsid w:val="007D6A9E"/>
    <w:rsid w:val="007D6B11"/>
    <w:rsid w:val="007D6B9E"/>
    <w:rsid w:val="007D6BAD"/>
    <w:rsid w:val="007D6E2F"/>
    <w:rsid w:val="007D6EA5"/>
    <w:rsid w:val="007D6FC5"/>
    <w:rsid w:val="007D70D3"/>
    <w:rsid w:val="007D7120"/>
    <w:rsid w:val="007D72A4"/>
    <w:rsid w:val="007D7797"/>
    <w:rsid w:val="007D77A3"/>
    <w:rsid w:val="007D7825"/>
    <w:rsid w:val="007D787D"/>
    <w:rsid w:val="007D7A1D"/>
    <w:rsid w:val="007D7A74"/>
    <w:rsid w:val="007D7BB4"/>
    <w:rsid w:val="007D7ED1"/>
    <w:rsid w:val="007E07BF"/>
    <w:rsid w:val="007E0837"/>
    <w:rsid w:val="007E0982"/>
    <w:rsid w:val="007E0B6C"/>
    <w:rsid w:val="007E0CAF"/>
    <w:rsid w:val="007E0CEA"/>
    <w:rsid w:val="007E0EFE"/>
    <w:rsid w:val="007E10FD"/>
    <w:rsid w:val="007E119F"/>
    <w:rsid w:val="007E1215"/>
    <w:rsid w:val="007E13C1"/>
    <w:rsid w:val="007E158C"/>
    <w:rsid w:val="007E163A"/>
    <w:rsid w:val="007E17B9"/>
    <w:rsid w:val="007E1A86"/>
    <w:rsid w:val="007E1AE2"/>
    <w:rsid w:val="007E1BA8"/>
    <w:rsid w:val="007E1BD0"/>
    <w:rsid w:val="007E2308"/>
    <w:rsid w:val="007E2349"/>
    <w:rsid w:val="007E234A"/>
    <w:rsid w:val="007E238C"/>
    <w:rsid w:val="007E25A5"/>
    <w:rsid w:val="007E2648"/>
    <w:rsid w:val="007E271A"/>
    <w:rsid w:val="007E2A7F"/>
    <w:rsid w:val="007E2E0C"/>
    <w:rsid w:val="007E2E7E"/>
    <w:rsid w:val="007E2E9C"/>
    <w:rsid w:val="007E2F09"/>
    <w:rsid w:val="007E300C"/>
    <w:rsid w:val="007E30A6"/>
    <w:rsid w:val="007E30EF"/>
    <w:rsid w:val="007E30FF"/>
    <w:rsid w:val="007E327E"/>
    <w:rsid w:val="007E3572"/>
    <w:rsid w:val="007E3621"/>
    <w:rsid w:val="007E3943"/>
    <w:rsid w:val="007E3CC9"/>
    <w:rsid w:val="007E3E46"/>
    <w:rsid w:val="007E3F94"/>
    <w:rsid w:val="007E3FED"/>
    <w:rsid w:val="007E40E8"/>
    <w:rsid w:val="007E435A"/>
    <w:rsid w:val="007E44B6"/>
    <w:rsid w:val="007E466E"/>
    <w:rsid w:val="007E46D9"/>
    <w:rsid w:val="007E49C3"/>
    <w:rsid w:val="007E4C9F"/>
    <w:rsid w:val="007E4E81"/>
    <w:rsid w:val="007E4F5C"/>
    <w:rsid w:val="007E5123"/>
    <w:rsid w:val="007E51C6"/>
    <w:rsid w:val="007E545F"/>
    <w:rsid w:val="007E5896"/>
    <w:rsid w:val="007E58EB"/>
    <w:rsid w:val="007E5956"/>
    <w:rsid w:val="007E59E8"/>
    <w:rsid w:val="007E5ADE"/>
    <w:rsid w:val="007E5DD2"/>
    <w:rsid w:val="007E5FBF"/>
    <w:rsid w:val="007E6016"/>
    <w:rsid w:val="007E60D2"/>
    <w:rsid w:val="007E6114"/>
    <w:rsid w:val="007E61D5"/>
    <w:rsid w:val="007E6283"/>
    <w:rsid w:val="007E62A9"/>
    <w:rsid w:val="007E653E"/>
    <w:rsid w:val="007E6D31"/>
    <w:rsid w:val="007E7368"/>
    <w:rsid w:val="007E7570"/>
    <w:rsid w:val="007E7661"/>
    <w:rsid w:val="007E78BD"/>
    <w:rsid w:val="007E7B02"/>
    <w:rsid w:val="007E7C8E"/>
    <w:rsid w:val="007E7D48"/>
    <w:rsid w:val="007E7EDB"/>
    <w:rsid w:val="007F0613"/>
    <w:rsid w:val="007F0715"/>
    <w:rsid w:val="007F08CA"/>
    <w:rsid w:val="007F0B91"/>
    <w:rsid w:val="007F0CE5"/>
    <w:rsid w:val="007F0F6C"/>
    <w:rsid w:val="007F0FB8"/>
    <w:rsid w:val="007F1925"/>
    <w:rsid w:val="007F19AA"/>
    <w:rsid w:val="007F1A09"/>
    <w:rsid w:val="007F1B91"/>
    <w:rsid w:val="007F1D7D"/>
    <w:rsid w:val="007F1F28"/>
    <w:rsid w:val="007F1FEE"/>
    <w:rsid w:val="007F2250"/>
    <w:rsid w:val="007F241C"/>
    <w:rsid w:val="007F2572"/>
    <w:rsid w:val="007F2611"/>
    <w:rsid w:val="007F26A7"/>
    <w:rsid w:val="007F2884"/>
    <w:rsid w:val="007F2A0D"/>
    <w:rsid w:val="007F2BFE"/>
    <w:rsid w:val="007F2D5A"/>
    <w:rsid w:val="007F32BB"/>
    <w:rsid w:val="007F37E4"/>
    <w:rsid w:val="007F390A"/>
    <w:rsid w:val="007F3A38"/>
    <w:rsid w:val="007F3B6E"/>
    <w:rsid w:val="007F3C14"/>
    <w:rsid w:val="007F3D28"/>
    <w:rsid w:val="007F3E93"/>
    <w:rsid w:val="007F3EEC"/>
    <w:rsid w:val="007F401A"/>
    <w:rsid w:val="007F4084"/>
    <w:rsid w:val="007F40B4"/>
    <w:rsid w:val="007F42B6"/>
    <w:rsid w:val="007F477B"/>
    <w:rsid w:val="007F4A27"/>
    <w:rsid w:val="007F4D14"/>
    <w:rsid w:val="007F4D5F"/>
    <w:rsid w:val="007F509E"/>
    <w:rsid w:val="007F517F"/>
    <w:rsid w:val="007F5215"/>
    <w:rsid w:val="007F530B"/>
    <w:rsid w:val="007F55C7"/>
    <w:rsid w:val="007F5816"/>
    <w:rsid w:val="007F58FE"/>
    <w:rsid w:val="007F5C1C"/>
    <w:rsid w:val="007F5C93"/>
    <w:rsid w:val="007F5FC5"/>
    <w:rsid w:val="007F6087"/>
    <w:rsid w:val="007F632F"/>
    <w:rsid w:val="007F678B"/>
    <w:rsid w:val="007F67D6"/>
    <w:rsid w:val="007F6A36"/>
    <w:rsid w:val="007F6E05"/>
    <w:rsid w:val="007F6E5E"/>
    <w:rsid w:val="007F6E7E"/>
    <w:rsid w:val="007F6E93"/>
    <w:rsid w:val="007F6F10"/>
    <w:rsid w:val="007F7056"/>
    <w:rsid w:val="007F7158"/>
    <w:rsid w:val="007F74BC"/>
    <w:rsid w:val="007F75F5"/>
    <w:rsid w:val="007F787C"/>
    <w:rsid w:val="007F7894"/>
    <w:rsid w:val="007F7A74"/>
    <w:rsid w:val="007F7AC2"/>
    <w:rsid w:val="007F7C2A"/>
    <w:rsid w:val="00800029"/>
    <w:rsid w:val="00800064"/>
    <w:rsid w:val="00800436"/>
    <w:rsid w:val="0080065F"/>
    <w:rsid w:val="00800BA0"/>
    <w:rsid w:val="0080121F"/>
    <w:rsid w:val="00801240"/>
    <w:rsid w:val="0080129F"/>
    <w:rsid w:val="00801300"/>
    <w:rsid w:val="0080137A"/>
    <w:rsid w:val="00801726"/>
    <w:rsid w:val="008019C0"/>
    <w:rsid w:val="00801C5C"/>
    <w:rsid w:val="00801C77"/>
    <w:rsid w:val="00801F04"/>
    <w:rsid w:val="00801F40"/>
    <w:rsid w:val="008023F2"/>
    <w:rsid w:val="008026C9"/>
    <w:rsid w:val="00802AFA"/>
    <w:rsid w:val="00802B63"/>
    <w:rsid w:val="00802B97"/>
    <w:rsid w:val="00802C67"/>
    <w:rsid w:val="00802CAB"/>
    <w:rsid w:val="00802DF8"/>
    <w:rsid w:val="00802F42"/>
    <w:rsid w:val="0080353E"/>
    <w:rsid w:val="0080354E"/>
    <w:rsid w:val="00803700"/>
    <w:rsid w:val="00803785"/>
    <w:rsid w:val="00803976"/>
    <w:rsid w:val="00803A3D"/>
    <w:rsid w:val="00803C80"/>
    <w:rsid w:val="00803E72"/>
    <w:rsid w:val="00803F05"/>
    <w:rsid w:val="0080468D"/>
    <w:rsid w:val="00804731"/>
    <w:rsid w:val="00804AF1"/>
    <w:rsid w:val="00804BDD"/>
    <w:rsid w:val="00804CCC"/>
    <w:rsid w:val="00804F79"/>
    <w:rsid w:val="008051A4"/>
    <w:rsid w:val="0080527B"/>
    <w:rsid w:val="008053CA"/>
    <w:rsid w:val="0080562E"/>
    <w:rsid w:val="00805635"/>
    <w:rsid w:val="00805762"/>
    <w:rsid w:val="0080584A"/>
    <w:rsid w:val="00805D56"/>
    <w:rsid w:val="008060D4"/>
    <w:rsid w:val="008061C4"/>
    <w:rsid w:val="008063DE"/>
    <w:rsid w:val="0080641C"/>
    <w:rsid w:val="00806434"/>
    <w:rsid w:val="00806480"/>
    <w:rsid w:val="0080676D"/>
    <w:rsid w:val="00806D6B"/>
    <w:rsid w:val="00806E3E"/>
    <w:rsid w:val="00806EA8"/>
    <w:rsid w:val="00806FD6"/>
    <w:rsid w:val="008072D2"/>
    <w:rsid w:val="0080731F"/>
    <w:rsid w:val="00807485"/>
    <w:rsid w:val="0080748A"/>
    <w:rsid w:val="00807559"/>
    <w:rsid w:val="00807988"/>
    <w:rsid w:val="00807D22"/>
    <w:rsid w:val="00810297"/>
    <w:rsid w:val="00810565"/>
    <w:rsid w:val="00810922"/>
    <w:rsid w:val="00810EFE"/>
    <w:rsid w:val="008110BF"/>
    <w:rsid w:val="0081147B"/>
    <w:rsid w:val="00811526"/>
    <w:rsid w:val="008115BF"/>
    <w:rsid w:val="008115C2"/>
    <w:rsid w:val="0081160A"/>
    <w:rsid w:val="00811675"/>
    <w:rsid w:val="00811779"/>
    <w:rsid w:val="008117BF"/>
    <w:rsid w:val="008119DD"/>
    <w:rsid w:val="00811AC1"/>
    <w:rsid w:val="00811B03"/>
    <w:rsid w:val="008122B7"/>
    <w:rsid w:val="008127AA"/>
    <w:rsid w:val="00812D1A"/>
    <w:rsid w:val="00812F12"/>
    <w:rsid w:val="008130D2"/>
    <w:rsid w:val="00813148"/>
    <w:rsid w:val="00813288"/>
    <w:rsid w:val="00813689"/>
    <w:rsid w:val="00813736"/>
    <w:rsid w:val="00813A65"/>
    <w:rsid w:val="00813BC8"/>
    <w:rsid w:val="00813BD5"/>
    <w:rsid w:val="00813C0C"/>
    <w:rsid w:val="00813FB9"/>
    <w:rsid w:val="0081416F"/>
    <w:rsid w:val="0081444A"/>
    <w:rsid w:val="00814578"/>
    <w:rsid w:val="00814787"/>
    <w:rsid w:val="00814835"/>
    <w:rsid w:val="0081491F"/>
    <w:rsid w:val="008149C0"/>
    <w:rsid w:val="00814B61"/>
    <w:rsid w:val="00814CE9"/>
    <w:rsid w:val="00814DE2"/>
    <w:rsid w:val="00814F3A"/>
    <w:rsid w:val="00814FF6"/>
    <w:rsid w:val="00815270"/>
    <w:rsid w:val="008156ED"/>
    <w:rsid w:val="0081574B"/>
    <w:rsid w:val="008159A2"/>
    <w:rsid w:val="00815E3B"/>
    <w:rsid w:val="00815EE7"/>
    <w:rsid w:val="008160AA"/>
    <w:rsid w:val="008161C2"/>
    <w:rsid w:val="00816200"/>
    <w:rsid w:val="008164F6"/>
    <w:rsid w:val="00816844"/>
    <w:rsid w:val="008168EF"/>
    <w:rsid w:val="00816AFB"/>
    <w:rsid w:val="00816C1C"/>
    <w:rsid w:val="00816CEE"/>
    <w:rsid w:val="00816D04"/>
    <w:rsid w:val="00817071"/>
    <w:rsid w:val="008171D0"/>
    <w:rsid w:val="00817299"/>
    <w:rsid w:val="00817447"/>
    <w:rsid w:val="00817684"/>
    <w:rsid w:val="008176C6"/>
    <w:rsid w:val="00817A1C"/>
    <w:rsid w:val="00817C1C"/>
    <w:rsid w:val="00817C2A"/>
    <w:rsid w:val="00817CCC"/>
    <w:rsid w:val="00820162"/>
    <w:rsid w:val="00820196"/>
    <w:rsid w:val="00820215"/>
    <w:rsid w:val="008202FF"/>
    <w:rsid w:val="0082044A"/>
    <w:rsid w:val="00820768"/>
    <w:rsid w:val="008208E4"/>
    <w:rsid w:val="008210AE"/>
    <w:rsid w:val="0082112E"/>
    <w:rsid w:val="008212C0"/>
    <w:rsid w:val="008214C8"/>
    <w:rsid w:val="00821570"/>
    <w:rsid w:val="00821583"/>
    <w:rsid w:val="0082160C"/>
    <w:rsid w:val="008216C8"/>
    <w:rsid w:val="00821912"/>
    <w:rsid w:val="008219B1"/>
    <w:rsid w:val="00821A1D"/>
    <w:rsid w:val="00821A29"/>
    <w:rsid w:val="00821D2A"/>
    <w:rsid w:val="00821EA4"/>
    <w:rsid w:val="00822600"/>
    <w:rsid w:val="008227A5"/>
    <w:rsid w:val="008227FF"/>
    <w:rsid w:val="00822A40"/>
    <w:rsid w:val="00822AE8"/>
    <w:rsid w:val="0082302F"/>
    <w:rsid w:val="00823228"/>
    <w:rsid w:val="00823233"/>
    <w:rsid w:val="008235BA"/>
    <w:rsid w:val="00823805"/>
    <w:rsid w:val="00823DDF"/>
    <w:rsid w:val="00823F0A"/>
    <w:rsid w:val="008241B3"/>
    <w:rsid w:val="008241BD"/>
    <w:rsid w:val="00824426"/>
    <w:rsid w:val="008246BC"/>
    <w:rsid w:val="00824943"/>
    <w:rsid w:val="00824B0E"/>
    <w:rsid w:val="00824C9D"/>
    <w:rsid w:val="00825057"/>
    <w:rsid w:val="008250CF"/>
    <w:rsid w:val="008257D1"/>
    <w:rsid w:val="0082587B"/>
    <w:rsid w:val="00825A1A"/>
    <w:rsid w:val="00825DAA"/>
    <w:rsid w:val="00825EF7"/>
    <w:rsid w:val="008260B8"/>
    <w:rsid w:val="00826105"/>
    <w:rsid w:val="00826131"/>
    <w:rsid w:val="0082613A"/>
    <w:rsid w:val="0082614C"/>
    <w:rsid w:val="0082628E"/>
    <w:rsid w:val="008262DD"/>
    <w:rsid w:val="008263F9"/>
    <w:rsid w:val="00826811"/>
    <w:rsid w:val="008268E2"/>
    <w:rsid w:val="00826AB7"/>
    <w:rsid w:val="00826AFA"/>
    <w:rsid w:val="00826E9D"/>
    <w:rsid w:val="0082700F"/>
    <w:rsid w:val="00827126"/>
    <w:rsid w:val="0082758B"/>
    <w:rsid w:val="00827A05"/>
    <w:rsid w:val="00827ED1"/>
    <w:rsid w:val="00830340"/>
    <w:rsid w:val="008303C3"/>
    <w:rsid w:val="008303DB"/>
    <w:rsid w:val="0083050A"/>
    <w:rsid w:val="00830580"/>
    <w:rsid w:val="00830597"/>
    <w:rsid w:val="0083094B"/>
    <w:rsid w:val="008309B8"/>
    <w:rsid w:val="00830D7E"/>
    <w:rsid w:val="00830E52"/>
    <w:rsid w:val="00830FFF"/>
    <w:rsid w:val="00831087"/>
    <w:rsid w:val="008310C6"/>
    <w:rsid w:val="0083120E"/>
    <w:rsid w:val="0083123D"/>
    <w:rsid w:val="00831730"/>
    <w:rsid w:val="008317DE"/>
    <w:rsid w:val="00831F91"/>
    <w:rsid w:val="00831FB0"/>
    <w:rsid w:val="00831FCC"/>
    <w:rsid w:val="0083233F"/>
    <w:rsid w:val="008324E3"/>
    <w:rsid w:val="0083265A"/>
    <w:rsid w:val="00832741"/>
    <w:rsid w:val="00832940"/>
    <w:rsid w:val="00832966"/>
    <w:rsid w:val="00832C3B"/>
    <w:rsid w:val="00832E88"/>
    <w:rsid w:val="0083307C"/>
    <w:rsid w:val="008331BA"/>
    <w:rsid w:val="008333FE"/>
    <w:rsid w:val="00833699"/>
    <w:rsid w:val="008339CA"/>
    <w:rsid w:val="00833A7C"/>
    <w:rsid w:val="00833A7E"/>
    <w:rsid w:val="00833B9F"/>
    <w:rsid w:val="00833E59"/>
    <w:rsid w:val="008346F1"/>
    <w:rsid w:val="0083484F"/>
    <w:rsid w:val="00834904"/>
    <w:rsid w:val="00834A48"/>
    <w:rsid w:val="00834A79"/>
    <w:rsid w:val="00834A80"/>
    <w:rsid w:val="00834B02"/>
    <w:rsid w:val="00834BC1"/>
    <w:rsid w:val="00834EBF"/>
    <w:rsid w:val="00834FDF"/>
    <w:rsid w:val="0083507B"/>
    <w:rsid w:val="00835168"/>
    <w:rsid w:val="008352D9"/>
    <w:rsid w:val="00835434"/>
    <w:rsid w:val="00835700"/>
    <w:rsid w:val="008359CB"/>
    <w:rsid w:val="00835A01"/>
    <w:rsid w:val="00835AEB"/>
    <w:rsid w:val="00835BAD"/>
    <w:rsid w:val="00836236"/>
    <w:rsid w:val="00836279"/>
    <w:rsid w:val="008362FD"/>
    <w:rsid w:val="00836332"/>
    <w:rsid w:val="00836B29"/>
    <w:rsid w:val="00836BC6"/>
    <w:rsid w:val="00836C99"/>
    <w:rsid w:val="00836DC6"/>
    <w:rsid w:val="00836E24"/>
    <w:rsid w:val="00836E44"/>
    <w:rsid w:val="00836E8D"/>
    <w:rsid w:val="00836E98"/>
    <w:rsid w:val="00836EB5"/>
    <w:rsid w:val="008370B6"/>
    <w:rsid w:val="00837392"/>
    <w:rsid w:val="008374B5"/>
    <w:rsid w:val="008377F2"/>
    <w:rsid w:val="008378F0"/>
    <w:rsid w:val="00837BBC"/>
    <w:rsid w:val="00837CAC"/>
    <w:rsid w:val="00837EF5"/>
    <w:rsid w:val="0084065D"/>
    <w:rsid w:val="00840685"/>
    <w:rsid w:val="00840778"/>
    <w:rsid w:val="008407F1"/>
    <w:rsid w:val="008409C0"/>
    <w:rsid w:val="00840ACB"/>
    <w:rsid w:val="00840B31"/>
    <w:rsid w:val="00840E95"/>
    <w:rsid w:val="008411EA"/>
    <w:rsid w:val="00841281"/>
    <w:rsid w:val="0084146C"/>
    <w:rsid w:val="008414E6"/>
    <w:rsid w:val="00841968"/>
    <w:rsid w:val="00841A43"/>
    <w:rsid w:val="00841AC1"/>
    <w:rsid w:val="00841AD8"/>
    <w:rsid w:val="00841BAF"/>
    <w:rsid w:val="00841F47"/>
    <w:rsid w:val="00842060"/>
    <w:rsid w:val="008420A5"/>
    <w:rsid w:val="00842212"/>
    <w:rsid w:val="00842AAB"/>
    <w:rsid w:val="00842EE3"/>
    <w:rsid w:val="00843146"/>
    <w:rsid w:val="0084353B"/>
    <w:rsid w:val="008435B7"/>
    <w:rsid w:val="0084371A"/>
    <w:rsid w:val="00843887"/>
    <w:rsid w:val="00843AAD"/>
    <w:rsid w:val="00843BF3"/>
    <w:rsid w:val="00843DAF"/>
    <w:rsid w:val="008441CA"/>
    <w:rsid w:val="008442A8"/>
    <w:rsid w:val="00844347"/>
    <w:rsid w:val="0084437F"/>
    <w:rsid w:val="008443AB"/>
    <w:rsid w:val="00844729"/>
    <w:rsid w:val="00844791"/>
    <w:rsid w:val="00844871"/>
    <w:rsid w:val="00844975"/>
    <w:rsid w:val="00844AE2"/>
    <w:rsid w:val="00844C6A"/>
    <w:rsid w:val="008450F3"/>
    <w:rsid w:val="00845210"/>
    <w:rsid w:val="008452AC"/>
    <w:rsid w:val="0084532D"/>
    <w:rsid w:val="00845395"/>
    <w:rsid w:val="00845946"/>
    <w:rsid w:val="00845982"/>
    <w:rsid w:val="008459ED"/>
    <w:rsid w:val="00845A85"/>
    <w:rsid w:val="00845B1F"/>
    <w:rsid w:val="00845CAF"/>
    <w:rsid w:val="00845D71"/>
    <w:rsid w:val="0084603C"/>
    <w:rsid w:val="008461D5"/>
    <w:rsid w:val="00846330"/>
    <w:rsid w:val="00846341"/>
    <w:rsid w:val="008463F2"/>
    <w:rsid w:val="00846954"/>
    <w:rsid w:val="008469DB"/>
    <w:rsid w:val="00846AB1"/>
    <w:rsid w:val="00846AFC"/>
    <w:rsid w:val="00846B4C"/>
    <w:rsid w:val="00846BC6"/>
    <w:rsid w:val="00846BD2"/>
    <w:rsid w:val="00846F19"/>
    <w:rsid w:val="00847015"/>
    <w:rsid w:val="008470E6"/>
    <w:rsid w:val="00847188"/>
    <w:rsid w:val="0084728E"/>
    <w:rsid w:val="0084746B"/>
    <w:rsid w:val="00847696"/>
    <w:rsid w:val="008476A0"/>
    <w:rsid w:val="008476E2"/>
    <w:rsid w:val="00847935"/>
    <w:rsid w:val="00847ACF"/>
    <w:rsid w:val="00847E27"/>
    <w:rsid w:val="0085020D"/>
    <w:rsid w:val="008502A5"/>
    <w:rsid w:val="0085031A"/>
    <w:rsid w:val="0085041B"/>
    <w:rsid w:val="008505F9"/>
    <w:rsid w:val="00850652"/>
    <w:rsid w:val="0085072D"/>
    <w:rsid w:val="00850731"/>
    <w:rsid w:val="008507BE"/>
    <w:rsid w:val="008508A6"/>
    <w:rsid w:val="008509E0"/>
    <w:rsid w:val="00850A8B"/>
    <w:rsid w:val="00850AAE"/>
    <w:rsid w:val="00851091"/>
    <w:rsid w:val="00851128"/>
    <w:rsid w:val="00851431"/>
    <w:rsid w:val="0085147C"/>
    <w:rsid w:val="00851485"/>
    <w:rsid w:val="00851561"/>
    <w:rsid w:val="00851692"/>
    <w:rsid w:val="0085185A"/>
    <w:rsid w:val="008518CB"/>
    <w:rsid w:val="008519E2"/>
    <w:rsid w:val="00851C5E"/>
    <w:rsid w:val="00851DC2"/>
    <w:rsid w:val="00851E27"/>
    <w:rsid w:val="00851F84"/>
    <w:rsid w:val="00852359"/>
    <w:rsid w:val="00852557"/>
    <w:rsid w:val="00852742"/>
    <w:rsid w:val="008527FA"/>
    <w:rsid w:val="00852DCA"/>
    <w:rsid w:val="00852E76"/>
    <w:rsid w:val="00852E9A"/>
    <w:rsid w:val="00852F38"/>
    <w:rsid w:val="00852F50"/>
    <w:rsid w:val="0085310A"/>
    <w:rsid w:val="00853881"/>
    <w:rsid w:val="00853898"/>
    <w:rsid w:val="00853C52"/>
    <w:rsid w:val="00853E72"/>
    <w:rsid w:val="008540A4"/>
    <w:rsid w:val="00854337"/>
    <w:rsid w:val="008543A3"/>
    <w:rsid w:val="0085444F"/>
    <w:rsid w:val="008545CF"/>
    <w:rsid w:val="0085461C"/>
    <w:rsid w:val="0085490A"/>
    <w:rsid w:val="00854B87"/>
    <w:rsid w:val="00854D43"/>
    <w:rsid w:val="00854EF0"/>
    <w:rsid w:val="00854F43"/>
    <w:rsid w:val="00854FB5"/>
    <w:rsid w:val="00855059"/>
    <w:rsid w:val="00855307"/>
    <w:rsid w:val="00855409"/>
    <w:rsid w:val="00855761"/>
    <w:rsid w:val="00855879"/>
    <w:rsid w:val="00855A09"/>
    <w:rsid w:val="00855BD4"/>
    <w:rsid w:val="00855E87"/>
    <w:rsid w:val="00855F04"/>
    <w:rsid w:val="00855F51"/>
    <w:rsid w:val="00855F78"/>
    <w:rsid w:val="00855F7E"/>
    <w:rsid w:val="008560C2"/>
    <w:rsid w:val="008564D5"/>
    <w:rsid w:val="008567C4"/>
    <w:rsid w:val="00856C34"/>
    <w:rsid w:val="0085716B"/>
    <w:rsid w:val="008571EB"/>
    <w:rsid w:val="008574DF"/>
    <w:rsid w:val="0085759A"/>
    <w:rsid w:val="00857708"/>
    <w:rsid w:val="00857C9B"/>
    <w:rsid w:val="00857D7E"/>
    <w:rsid w:val="00860165"/>
    <w:rsid w:val="00860294"/>
    <w:rsid w:val="008602BF"/>
    <w:rsid w:val="00860552"/>
    <w:rsid w:val="008605AA"/>
    <w:rsid w:val="00860A1A"/>
    <w:rsid w:val="00860CF3"/>
    <w:rsid w:val="0086103B"/>
    <w:rsid w:val="0086114B"/>
    <w:rsid w:val="00861195"/>
    <w:rsid w:val="008612BB"/>
    <w:rsid w:val="0086181C"/>
    <w:rsid w:val="00861932"/>
    <w:rsid w:val="00861A00"/>
    <w:rsid w:val="00861A2A"/>
    <w:rsid w:val="00861BDE"/>
    <w:rsid w:val="00861CB7"/>
    <w:rsid w:val="00861E0F"/>
    <w:rsid w:val="00861FAD"/>
    <w:rsid w:val="008621C6"/>
    <w:rsid w:val="008622A8"/>
    <w:rsid w:val="008624A3"/>
    <w:rsid w:val="00862760"/>
    <w:rsid w:val="00862B2A"/>
    <w:rsid w:val="00862B69"/>
    <w:rsid w:val="00862E59"/>
    <w:rsid w:val="00862E8A"/>
    <w:rsid w:val="00862FED"/>
    <w:rsid w:val="00863152"/>
    <w:rsid w:val="008631B5"/>
    <w:rsid w:val="00863383"/>
    <w:rsid w:val="008637F9"/>
    <w:rsid w:val="00863C7C"/>
    <w:rsid w:val="00863E51"/>
    <w:rsid w:val="00863E95"/>
    <w:rsid w:val="00864049"/>
    <w:rsid w:val="0086431F"/>
    <w:rsid w:val="00864345"/>
    <w:rsid w:val="008643D4"/>
    <w:rsid w:val="0086451D"/>
    <w:rsid w:val="00864559"/>
    <w:rsid w:val="00864676"/>
    <w:rsid w:val="008647B7"/>
    <w:rsid w:val="008648D5"/>
    <w:rsid w:val="008648F0"/>
    <w:rsid w:val="00864962"/>
    <w:rsid w:val="00864989"/>
    <w:rsid w:val="00864AEE"/>
    <w:rsid w:val="00864D46"/>
    <w:rsid w:val="00864DAB"/>
    <w:rsid w:val="00864F19"/>
    <w:rsid w:val="00865546"/>
    <w:rsid w:val="0086592F"/>
    <w:rsid w:val="0086594D"/>
    <w:rsid w:val="008659BB"/>
    <w:rsid w:val="00865A58"/>
    <w:rsid w:val="00865BAC"/>
    <w:rsid w:val="00865D89"/>
    <w:rsid w:val="00865DC1"/>
    <w:rsid w:val="00865F45"/>
    <w:rsid w:val="0086607F"/>
    <w:rsid w:val="0086640D"/>
    <w:rsid w:val="008664FA"/>
    <w:rsid w:val="00866753"/>
    <w:rsid w:val="008668AF"/>
    <w:rsid w:val="00866C38"/>
    <w:rsid w:val="00866CFB"/>
    <w:rsid w:val="00866FD6"/>
    <w:rsid w:val="00867198"/>
    <w:rsid w:val="00867223"/>
    <w:rsid w:val="00867264"/>
    <w:rsid w:val="00867288"/>
    <w:rsid w:val="00867447"/>
    <w:rsid w:val="00867449"/>
    <w:rsid w:val="008676EB"/>
    <w:rsid w:val="008678F5"/>
    <w:rsid w:val="00867969"/>
    <w:rsid w:val="00867AE4"/>
    <w:rsid w:val="00867B15"/>
    <w:rsid w:val="00867D83"/>
    <w:rsid w:val="00867DAB"/>
    <w:rsid w:val="00867E67"/>
    <w:rsid w:val="00870112"/>
    <w:rsid w:val="00870165"/>
    <w:rsid w:val="008703DF"/>
    <w:rsid w:val="00870405"/>
    <w:rsid w:val="0087052C"/>
    <w:rsid w:val="0087056C"/>
    <w:rsid w:val="00870757"/>
    <w:rsid w:val="008709C2"/>
    <w:rsid w:val="00870C8E"/>
    <w:rsid w:val="00870E16"/>
    <w:rsid w:val="00870F51"/>
    <w:rsid w:val="008710D9"/>
    <w:rsid w:val="00871155"/>
    <w:rsid w:val="00871213"/>
    <w:rsid w:val="0087139E"/>
    <w:rsid w:val="008714A1"/>
    <w:rsid w:val="008717BA"/>
    <w:rsid w:val="00871AA0"/>
    <w:rsid w:val="00871E46"/>
    <w:rsid w:val="0087270D"/>
    <w:rsid w:val="008728BE"/>
    <w:rsid w:val="00872952"/>
    <w:rsid w:val="0087295E"/>
    <w:rsid w:val="00872961"/>
    <w:rsid w:val="00872BA8"/>
    <w:rsid w:val="00872D63"/>
    <w:rsid w:val="00872D97"/>
    <w:rsid w:val="00872FE6"/>
    <w:rsid w:val="008730A1"/>
    <w:rsid w:val="008730CF"/>
    <w:rsid w:val="008732F1"/>
    <w:rsid w:val="0087340B"/>
    <w:rsid w:val="008734B1"/>
    <w:rsid w:val="008734F7"/>
    <w:rsid w:val="0087365A"/>
    <w:rsid w:val="00873907"/>
    <w:rsid w:val="00873920"/>
    <w:rsid w:val="00873A65"/>
    <w:rsid w:val="00873B26"/>
    <w:rsid w:val="00873E50"/>
    <w:rsid w:val="008743C7"/>
    <w:rsid w:val="0087468C"/>
    <w:rsid w:val="008746E8"/>
    <w:rsid w:val="008746EF"/>
    <w:rsid w:val="008747DB"/>
    <w:rsid w:val="008747EC"/>
    <w:rsid w:val="00874854"/>
    <w:rsid w:val="00874944"/>
    <w:rsid w:val="00874E99"/>
    <w:rsid w:val="008750F9"/>
    <w:rsid w:val="008750FF"/>
    <w:rsid w:val="00875259"/>
    <w:rsid w:val="00875341"/>
    <w:rsid w:val="0087536E"/>
    <w:rsid w:val="0087536F"/>
    <w:rsid w:val="00875380"/>
    <w:rsid w:val="008754AF"/>
    <w:rsid w:val="00875729"/>
    <w:rsid w:val="00876018"/>
    <w:rsid w:val="00876CD4"/>
    <w:rsid w:val="00876E68"/>
    <w:rsid w:val="00877093"/>
    <w:rsid w:val="0087725A"/>
    <w:rsid w:val="008773CC"/>
    <w:rsid w:val="008775F9"/>
    <w:rsid w:val="00877678"/>
    <w:rsid w:val="00877727"/>
    <w:rsid w:val="00877972"/>
    <w:rsid w:val="00877C2C"/>
    <w:rsid w:val="00877D46"/>
    <w:rsid w:val="00877EAB"/>
    <w:rsid w:val="00877EED"/>
    <w:rsid w:val="0087B7E6"/>
    <w:rsid w:val="0087F4AD"/>
    <w:rsid w:val="00880351"/>
    <w:rsid w:val="00880645"/>
    <w:rsid w:val="00880723"/>
    <w:rsid w:val="008809A7"/>
    <w:rsid w:val="00880A40"/>
    <w:rsid w:val="00880A63"/>
    <w:rsid w:val="00880F3A"/>
    <w:rsid w:val="00881093"/>
    <w:rsid w:val="008810DB"/>
    <w:rsid w:val="00881229"/>
    <w:rsid w:val="0088172C"/>
    <w:rsid w:val="00881BA8"/>
    <w:rsid w:val="00881C81"/>
    <w:rsid w:val="00881E16"/>
    <w:rsid w:val="00882662"/>
    <w:rsid w:val="00882A90"/>
    <w:rsid w:val="00882AF0"/>
    <w:rsid w:val="00882C06"/>
    <w:rsid w:val="00882CC7"/>
    <w:rsid w:val="00882CE0"/>
    <w:rsid w:val="00882D81"/>
    <w:rsid w:val="008831E7"/>
    <w:rsid w:val="0088326F"/>
    <w:rsid w:val="0088339F"/>
    <w:rsid w:val="00883715"/>
    <w:rsid w:val="008837B2"/>
    <w:rsid w:val="00883829"/>
    <w:rsid w:val="0088388D"/>
    <w:rsid w:val="00883896"/>
    <w:rsid w:val="00883923"/>
    <w:rsid w:val="00883A25"/>
    <w:rsid w:val="00883C12"/>
    <w:rsid w:val="00883CC3"/>
    <w:rsid w:val="00883DD1"/>
    <w:rsid w:val="00883EC9"/>
    <w:rsid w:val="00883F00"/>
    <w:rsid w:val="0088461E"/>
    <w:rsid w:val="0088463A"/>
    <w:rsid w:val="008847BB"/>
    <w:rsid w:val="00884A25"/>
    <w:rsid w:val="00884A3F"/>
    <w:rsid w:val="00884A55"/>
    <w:rsid w:val="00884D4A"/>
    <w:rsid w:val="0088521F"/>
    <w:rsid w:val="008854E6"/>
    <w:rsid w:val="00885895"/>
    <w:rsid w:val="00885940"/>
    <w:rsid w:val="0088594A"/>
    <w:rsid w:val="00885B6D"/>
    <w:rsid w:val="00885BFB"/>
    <w:rsid w:val="008861FD"/>
    <w:rsid w:val="0088626A"/>
    <w:rsid w:val="0088643C"/>
    <w:rsid w:val="00886469"/>
    <w:rsid w:val="00886664"/>
    <w:rsid w:val="008866DF"/>
    <w:rsid w:val="008869F4"/>
    <w:rsid w:val="00886CA3"/>
    <w:rsid w:val="00886DED"/>
    <w:rsid w:val="00887309"/>
    <w:rsid w:val="00887503"/>
    <w:rsid w:val="00887595"/>
    <w:rsid w:val="008876EC"/>
    <w:rsid w:val="00887A84"/>
    <w:rsid w:val="00887BB2"/>
    <w:rsid w:val="00887CE2"/>
    <w:rsid w:val="00887EA3"/>
    <w:rsid w:val="00887EE4"/>
    <w:rsid w:val="00887F38"/>
    <w:rsid w:val="0088A7EA"/>
    <w:rsid w:val="008900AB"/>
    <w:rsid w:val="008903CB"/>
    <w:rsid w:val="00890570"/>
    <w:rsid w:val="00890949"/>
    <w:rsid w:val="008909E5"/>
    <w:rsid w:val="00890AD4"/>
    <w:rsid w:val="00890BF5"/>
    <w:rsid w:val="00890C88"/>
    <w:rsid w:val="00890F94"/>
    <w:rsid w:val="00891070"/>
    <w:rsid w:val="00891193"/>
    <w:rsid w:val="008911CB"/>
    <w:rsid w:val="008911FA"/>
    <w:rsid w:val="00891214"/>
    <w:rsid w:val="00891324"/>
    <w:rsid w:val="008913D3"/>
    <w:rsid w:val="0089150D"/>
    <w:rsid w:val="00891601"/>
    <w:rsid w:val="008917D9"/>
    <w:rsid w:val="0089199C"/>
    <w:rsid w:val="008919AE"/>
    <w:rsid w:val="00891C17"/>
    <w:rsid w:val="00891E92"/>
    <w:rsid w:val="0089219E"/>
    <w:rsid w:val="0089246A"/>
    <w:rsid w:val="00892544"/>
    <w:rsid w:val="0089274E"/>
    <w:rsid w:val="00892A4F"/>
    <w:rsid w:val="00892D55"/>
    <w:rsid w:val="00892F42"/>
    <w:rsid w:val="008931D3"/>
    <w:rsid w:val="008931F7"/>
    <w:rsid w:val="008933D9"/>
    <w:rsid w:val="00893460"/>
    <w:rsid w:val="0089360C"/>
    <w:rsid w:val="0089363A"/>
    <w:rsid w:val="00893819"/>
    <w:rsid w:val="0089384E"/>
    <w:rsid w:val="0089392F"/>
    <w:rsid w:val="00893988"/>
    <w:rsid w:val="00893B30"/>
    <w:rsid w:val="00893CA6"/>
    <w:rsid w:val="00893D6F"/>
    <w:rsid w:val="00893EEF"/>
    <w:rsid w:val="00893F87"/>
    <w:rsid w:val="008944D5"/>
    <w:rsid w:val="008947F4"/>
    <w:rsid w:val="00894AAC"/>
    <w:rsid w:val="00894B19"/>
    <w:rsid w:val="00894D6B"/>
    <w:rsid w:val="00894F81"/>
    <w:rsid w:val="00894FCF"/>
    <w:rsid w:val="0089551D"/>
    <w:rsid w:val="00895540"/>
    <w:rsid w:val="00895555"/>
    <w:rsid w:val="008959D3"/>
    <w:rsid w:val="00895A9B"/>
    <w:rsid w:val="00895D38"/>
    <w:rsid w:val="00895D4B"/>
    <w:rsid w:val="00895EDF"/>
    <w:rsid w:val="00895F4C"/>
    <w:rsid w:val="00895FEB"/>
    <w:rsid w:val="008962F1"/>
    <w:rsid w:val="00896360"/>
    <w:rsid w:val="00896930"/>
    <w:rsid w:val="008969E8"/>
    <w:rsid w:val="00896E49"/>
    <w:rsid w:val="00896E6B"/>
    <w:rsid w:val="00896EE9"/>
    <w:rsid w:val="00897046"/>
    <w:rsid w:val="008971BE"/>
    <w:rsid w:val="008971C7"/>
    <w:rsid w:val="008975A2"/>
    <w:rsid w:val="00897839"/>
    <w:rsid w:val="0089791C"/>
    <w:rsid w:val="00897B51"/>
    <w:rsid w:val="00897BD0"/>
    <w:rsid w:val="00897C75"/>
    <w:rsid w:val="008A01F1"/>
    <w:rsid w:val="008A0638"/>
    <w:rsid w:val="008A0698"/>
    <w:rsid w:val="008A0BC5"/>
    <w:rsid w:val="008A0F8A"/>
    <w:rsid w:val="008A11C2"/>
    <w:rsid w:val="008A12B3"/>
    <w:rsid w:val="008A135E"/>
    <w:rsid w:val="008A1381"/>
    <w:rsid w:val="008A14CB"/>
    <w:rsid w:val="008A16A3"/>
    <w:rsid w:val="008A16A6"/>
    <w:rsid w:val="008A16F1"/>
    <w:rsid w:val="008A175D"/>
    <w:rsid w:val="008A184F"/>
    <w:rsid w:val="008A1859"/>
    <w:rsid w:val="008A1869"/>
    <w:rsid w:val="008A1943"/>
    <w:rsid w:val="008A1C2C"/>
    <w:rsid w:val="008A1F19"/>
    <w:rsid w:val="008A2046"/>
    <w:rsid w:val="008A27FF"/>
    <w:rsid w:val="008A2843"/>
    <w:rsid w:val="008A28E2"/>
    <w:rsid w:val="008A2B76"/>
    <w:rsid w:val="008A2C72"/>
    <w:rsid w:val="008A33A9"/>
    <w:rsid w:val="008A3425"/>
    <w:rsid w:val="008A3490"/>
    <w:rsid w:val="008A34B6"/>
    <w:rsid w:val="008A3530"/>
    <w:rsid w:val="008A35C7"/>
    <w:rsid w:val="008A362E"/>
    <w:rsid w:val="008A370D"/>
    <w:rsid w:val="008A395B"/>
    <w:rsid w:val="008A3AB0"/>
    <w:rsid w:val="008A3ADD"/>
    <w:rsid w:val="008A3B19"/>
    <w:rsid w:val="008A3B7A"/>
    <w:rsid w:val="008A3BCD"/>
    <w:rsid w:val="008A3E1B"/>
    <w:rsid w:val="008A3F5A"/>
    <w:rsid w:val="008A4022"/>
    <w:rsid w:val="008A40BC"/>
    <w:rsid w:val="008A40DD"/>
    <w:rsid w:val="008A41CD"/>
    <w:rsid w:val="008A4863"/>
    <w:rsid w:val="008A4880"/>
    <w:rsid w:val="008A4931"/>
    <w:rsid w:val="008A4AC7"/>
    <w:rsid w:val="008A4F66"/>
    <w:rsid w:val="008A4FB8"/>
    <w:rsid w:val="008A5159"/>
    <w:rsid w:val="008A51BA"/>
    <w:rsid w:val="008A52B1"/>
    <w:rsid w:val="008A5729"/>
    <w:rsid w:val="008A5754"/>
    <w:rsid w:val="008A5765"/>
    <w:rsid w:val="008A5895"/>
    <w:rsid w:val="008A5999"/>
    <w:rsid w:val="008A5A0F"/>
    <w:rsid w:val="008A5B28"/>
    <w:rsid w:val="008A5C17"/>
    <w:rsid w:val="008A5E0E"/>
    <w:rsid w:val="008A5E1D"/>
    <w:rsid w:val="008A5FFE"/>
    <w:rsid w:val="008A6396"/>
    <w:rsid w:val="008A63C7"/>
    <w:rsid w:val="008A63E1"/>
    <w:rsid w:val="008A6976"/>
    <w:rsid w:val="008A6ACD"/>
    <w:rsid w:val="008A6E12"/>
    <w:rsid w:val="008A6E25"/>
    <w:rsid w:val="008A6F3F"/>
    <w:rsid w:val="008A73E2"/>
    <w:rsid w:val="008A7983"/>
    <w:rsid w:val="008A7A81"/>
    <w:rsid w:val="008A7B89"/>
    <w:rsid w:val="008A7DBC"/>
    <w:rsid w:val="008A7E19"/>
    <w:rsid w:val="008A7F7C"/>
    <w:rsid w:val="008A7FA7"/>
    <w:rsid w:val="008B01E1"/>
    <w:rsid w:val="008B0436"/>
    <w:rsid w:val="008B08EA"/>
    <w:rsid w:val="008B09B8"/>
    <w:rsid w:val="008B0A83"/>
    <w:rsid w:val="008B0C53"/>
    <w:rsid w:val="008B0C89"/>
    <w:rsid w:val="008B12B5"/>
    <w:rsid w:val="008B1382"/>
    <w:rsid w:val="008B1568"/>
    <w:rsid w:val="008B15A4"/>
    <w:rsid w:val="008B15EF"/>
    <w:rsid w:val="008B160B"/>
    <w:rsid w:val="008B1FFD"/>
    <w:rsid w:val="008B2287"/>
    <w:rsid w:val="008B24A5"/>
    <w:rsid w:val="008B2587"/>
    <w:rsid w:val="008B2A28"/>
    <w:rsid w:val="008B2AAB"/>
    <w:rsid w:val="008B2B3B"/>
    <w:rsid w:val="008B2BF8"/>
    <w:rsid w:val="008B2C31"/>
    <w:rsid w:val="008B2E71"/>
    <w:rsid w:val="008B31AE"/>
    <w:rsid w:val="008B346F"/>
    <w:rsid w:val="008B348B"/>
    <w:rsid w:val="008B35B2"/>
    <w:rsid w:val="008B3746"/>
    <w:rsid w:val="008B3926"/>
    <w:rsid w:val="008B3B9E"/>
    <w:rsid w:val="008B3ED0"/>
    <w:rsid w:val="008B4557"/>
    <w:rsid w:val="008B4B1F"/>
    <w:rsid w:val="008B4EA4"/>
    <w:rsid w:val="008B5290"/>
    <w:rsid w:val="008B544F"/>
    <w:rsid w:val="008B570B"/>
    <w:rsid w:val="008B5737"/>
    <w:rsid w:val="008B5767"/>
    <w:rsid w:val="008B580D"/>
    <w:rsid w:val="008B58AB"/>
    <w:rsid w:val="008B58BB"/>
    <w:rsid w:val="008B5B32"/>
    <w:rsid w:val="008B5B8F"/>
    <w:rsid w:val="008B5F43"/>
    <w:rsid w:val="008B6437"/>
    <w:rsid w:val="008B6727"/>
    <w:rsid w:val="008B6A94"/>
    <w:rsid w:val="008B6AA7"/>
    <w:rsid w:val="008B6C93"/>
    <w:rsid w:val="008B6DC5"/>
    <w:rsid w:val="008B702B"/>
    <w:rsid w:val="008B70F4"/>
    <w:rsid w:val="008B747A"/>
    <w:rsid w:val="008B756A"/>
    <w:rsid w:val="008B78C2"/>
    <w:rsid w:val="008C013F"/>
    <w:rsid w:val="008C0144"/>
    <w:rsid w:val="008C0891"/>
    <w:rsid w:val="008C09B5"/>
    <w:rsid w:val="008C0CAA"/>
    <w:rsid w:val="008C1612"/>
    <w:rsid w:val="008C171B"/>
    <w:rsid w:val="008C1839"/>
    <w:rsid w:val="008C1C25"/>
    <w:rsid w:val="008C1DB5"/>
    <w:rsid w:val="008C1FE2"/>
    <w:rsid w:val="008C211F"/>
    <w:rsid w:val="008C22BA"/>
    <w:rsid w:val="008C22BF"/>
    <w:rsid w:val="008C25F9"/>
    <w:rsid w:val="008C2989"/>
    <w:rsid w:val="008C2A5A"/>
    <w:rsid w:val="008C2B98"/>
    <w:rsid w:val="008C2E79"/>
    <w:rsid w:val="008C2E95"/>
    <w:rsid w:val="008C2F31"/>
    <w:rsid w:val="008C3372"/>
    <w:rsid w:val="008C3447"/>
    <w:rsid w:val="008C34E0"/>
    <w:rsid w:val="008C3552"/>
    <w:rsid w:val="008C3625"/>
    <w:rsid w:val="008C3747"/>
    <w:rsid w:val="008C38D3"/>
    <w:rsid w:val="008C39A1"/>
    <w:rsid w:val="008C39DE"/>
    <w:rsid w:val="008C3A2E"/>
    <w:rsid w:val="008C3A73"/>
    <w:rsid w:val="008C3D0F"/>
    <w:rsid w:val="008C3F63"/>
    <w:rsid w:val="008C3FD5"/>
    <w:rsid w:val="008C4074"/>
    <w:rsid w:val="008C4155"/>
    <w:rsid w:val="008C435C"/>
    <w:rsid w:val="008C43A3"/>
    <w:rsid w:val="008C460D"/>
    <w:rsid w:val="008C4644"/>
    <w:rsid w:val="008C4686"/>
    <w:rsid w:val="008C4AAA"/>
    <w:rsid w:val="008C4CBB"/>
    <w:rsid w:val="008C4DE1"/>
    <w:rsid w:val="008C4E7E"/>
    <w:rsid w:val="008C50EB"/>
    <w:rsid w:val="008C52DB"/>
    <w:rsid w:val="008C5339"/>
    <w:rsid w:val="008C5418"/>
    <w:rsid w:val="008C5871"/>
    <w:rsid w:val="008C5978"/>
    <w:rsid w:val="008C5AB2"/>
    <w:rsid w:val="008C5B96"/>
    <w:rsid w:val="008C5CA0"/>
    <w:rsid w:val="008C5E00"/>
    <w:rsid w:val="008C6339"/>
    <w:rsid w:val="008C6421"/>
    <w:rsid w:val="008C6516"/>
    <w:rsid w:val="008C6655"/>
    <w:rsid w:val="008C67E8"/>
    <w:rsid w:val="008C6805"/>
    <w:rsid w:val="008C68ED"/>
    <w:rsid w:val="008C6983"/>
    <w:rsid w:val="008C69C5"/>
    <w:rsid w:val="008C6B7B"/>
    <w:rsid w:val="008C6C4A"/>
    <w:rsid w:val="008C6CBC"/>
    <w:rsid w:val="008C6CF1"/>
    <w:rsid w:val="008C6D09"/>
    <w:rsid w:val="008C6E68"/>
    <w:rsid w:val="008C6E9C"/>
    <w:rsid w:val="008C6EC4"/>
    <w:rsid w:val="008C6F3B"/>
    <w:rsid w:val="008C76A7"/>
    <w:rsid w:val="008C76CB"/>
    <w:rsid w:val="008C7891"/>
    <w:rsid w:val="008C7961"/>
    <w:rsid w:val="008C79CC"/>
    <w:rsid w:val="008C7BFF"/>
    <w:rsid w:val="008C7CCA"/>
    <w:rsid w:val="008CBB0C"/>
    <w:rsid w:val="008D0146"/>
    <w:rsid w:val="008D0215"/>
    <w:rsid w:val="008D032D"/>
    <w:rsid w:val="008D09DD"/>
    <w:rsid w:val="008D0A63"/>
    <w:rsid w:val="008D0C3D"/>
    <w:rsid w:val="008D0E10"/>
    <w:rsid w:val="008D119F"/>
    <w:rsid w:val="008D12D9"/>
    <w:rsid w:val="008D1491"/>
    <w:rsid w:val="008D1784"/>
    <w:rsid w:val="008D1808"/>
    <w:rsid w:val="008D1937"/>
    <w:rsid w:val="008D1A21"/>
    <w:rsid w:val="008D1B61"/>
    <w:rsid w:val="008D1C1A"/>
    <w:rsid w:val="008D1D41"/>
    <w:rsid w:val="008D1D9E"/>
    <w:rsid w:val="008D1F71"/>
    <w:rsid w:val="008D2564"/>
    <w:rsid w:val="008D269A"/>
    <w:rsid w:val="008D26D5"/>
    <w:rsid w:val="008D2C4B"/>
    <w:rsid w:val="008D2E69"/>
    <w:rsid w:val="008D2EAA"/>
    <w:rsid w:val="008D2EC3"/>
    <w:rsid w:val="008D3168"/>
    <w:rsid w:val="008D32E3"/>
    <w:rsid w:val="008D3332"/>
    <w:rsid w:val="008D3452"/>
    <w:rsid w:val="008D34EE"/>
    <w:rsid w:val="008D3847"/>
    <w:rsid w:val="008D3A7E"/>
    <w:rsid w:val="008D3B23"/>
    <w:rsid w:val="008D3B7D"/>
    <w:rsid w:val="008D3C31"/>
    <w:rsid w:val="008D3F58"/>
    <w:rsid w:val="008D3F76"/>
    <w:rsid w:val="008D4271"/>
    <w:rsid w:val="008D42E7"/>
    <w:rsid w:val="008D434D"/>
    <w:rsid w:val="008D475B"/>
    <w:rsid w:val="008D4811"/>
    <w:rsid w:val="008D4AB5"/>
    <w:rsid w:val="008D4DDB"/>
    <w:rsid w:val="008D528E"/>
    <w:rsid w:val="008D529F"/>
    <w:rsid w:val="008D52CC"/>
    <w:rsid w:val="008D5421"/>
    <w:rsid w:val="008D552B"/>
    <w:rsid w:val="008D55CA"/>
    <w:rsid w:val="008D57D1"/>
    <w:rsid w:val="008D5B9C"/>
    <w:rsid w:val="008D5FF1"/>
    <w:rsid w:val="008D605C"/>
    <w:rsid w:val="008D60E3"/>
    <w:rsid w:val="008D6214"/>
    <w:rsid w:val="008D6297"/>
    <w:rsid w:val="008D649D"/>
    <w:rsid w:val="008D66E7"/>
    <w:rsid w:val="008D685E"/>
    <w:rsid w:val="008D717B"/>
    <w:rsid w:val="008D7738"/>
    <w:rsid w:val="008D77A9"/>
    <w:rsid w:val="008D78FF"/>
    <w:rsid w:val="008D7940"/>
    <w:rsid w:val="008D7BF5"/>
    <w:rsid w:val="008D7C1A"/>
    <w:rsid w:val="008D7D78"/>
    <w:rsid w:val="008D7DB3"/>
    <w:rsid w:val="008E013A"/>
    <w:rsid w:val="008E0494"/>
    <w:rsid w:val="008E04F4"/>
    <w:rsid w:val="008E053B"/>
    <w:rsid w:val="008E05E3"/>
    <w:rsid w:val="008E0862"/>
    <w:rsid w:val="008E0BFA"/>
    <w:rsid w:val="008E0F20"/>
    <w:rsid w:val="008E0FC4"/>
    <w:rsid w:val="008E123D"/>
    <w:rsid w:val="008E13CA"/>
    <w:rsid w:val="008E146A"/>
    <w:rsid w:val="008E1645"/>
    <w:rsid w:val="008E1954"/>
    <w:rsid w:val="008E1B2E"/>
    <w:rsid w:val="008E1FFF"/>
    <w:rsid w:val="008E221D"/>
    <w:rsid w:val="008E229D"/>
    <w:rsid w:val="008E2A66"/>
    <w:rsid w:val="008E2B7E"/>
    <w:rsid w:val="008E2BCE"/>
    <w:rsid w:val="008E2D5A"/>
    <w:rsid w:val="008E2EB5"/>
    <w:rsid w:val="008E3170"/>
    <w:rsid w:val="008E3239"/>
    <w:rsid w:val="008E3438"/>
    <w:rsid w:val="008E35B0"/>
    <w:rsid w:val="008E37C5"/>
    <w:rsid w:val="008E39D7"/>
    <w:rsid w:val="008E3A42"/>
    <w:rsid w:val="008E3B02"/>
    <w:rsid w:val="008E3CF0"/>
    <w:rsid w:val="008E3CFD"/>
    <w:rsid w:val="008E4016"/>
    <w:rsid w:val="008E40F1"/>
    <w:rsid w:val="008E416C"/>
    <w:rsid w:val="008E419B"/>
    <w:rsid w:val="008E4212"/>
    <w:rsid w:val="008E424C"/>
    <w:rsid w:val="008E4509"/>
    <w:rsid w:val="008E46C8"/>
    <w:rsid w:val="008E49D5"/>
    <w:rsid w:val="008E4C87"/>
    <w:rsid w:val="008E4E6A"/>
    <w:rsid w:val="008E50FB"/>
    <w:rsid w:val="008E5231"/>
    <w:rsid w:val="008E533F"/>
    <w:rsid w:val="008E5510"/>
    <w:rsid w:val="008E5595"/>
    <w:rsid w:val="008E573A"/>
    <w:rsid w:val="008E5910"/>
    <w:rsid w:val="008E5A19"/>
    <w:rsid w:val="008E5A80"/>
    <w:rsid w:val="008E5F54"/>
    <w:rsid w:val="008E6744"/>
    <w:rsid w:val="008E6C1A"/>
    <w:rsid w:val="008E6FD4"/>
    <w:rsid w:val="008E70F8"/>
    <w:rsid w:val="008E710A"/>
    <w:rsid w:val="008E727D"/>
    <w:rsid w:val="008E72EF"/>
    <w:rsid w:val="008E740F"/>
    <w:rsid w:val="008E7597"/>
    <w:rsid w:val="008E7624"/>
    <w:rsid w:val="008E7716"/>
    <w:rsid w:val="008E7763"/>
    <w:rsid w:val="008E7938"/>
    <w:rsid w:val="008E7B1B"/>
    <w:rsid w:val="008E7C39"/>
    <w:rsid w:val="008E7C64"/>
    <w:rsid w:val="008E7C8F"/>
    <w:rsid w:val="008E7CB2"/>
    <w:rsid w:val="008E7E45"/>
    <w:rsid w:val="008E7F00"/>
    <w:rsid w:val="008F008D"/>
    <w:rsid w:val="008F00CE"/>
    <w:rsid w:val="008F04AC"/>
    <w:rsid w:val="008F05C4"/>
    <w:rsid w:val="008F06DD"/>
    <w:rsid w:val="008F07FC"/>
    <w:rsid w:val="008F0C33"/>
    <w:rsid w:val="008F0DF2"/>
    <w:rsid w:val="008F0DF6"/>
    <w:rsid w:val="008F0FA7"/>
    <w:rsid w:val="008F1123"/>
    <w:rsid w:val="008F1906"/>
    <w:rsid w:val="008F19B6"/>
    <w:rsid w:val="008F1A04"/>
    <w:rsid w:val="008F1B70"/>
    <w:rsid w:val="008F1E05"/>
    <w:rsid w:val="008F2039"/>
    <w:rsid w:val="008F2041"/>
    <w:rsid w:val="008F2431"/>
    <w:rsid w:val="008F24E3"/>
    <w:rsid w:val="008F273A"/>
    <w:rsid w:val="008F2906"/>
    <w:rsid w:val="008F2A35"/>
    <w:rsid w:val="008F2AFE"/>
    <w:rsid w:val="008F2D5F"/>
    <w:rsid w:val="008F2EED"/>
    <w:rsid w:val="008F3034"/>
    <w:rsid w:val="008F3519"/>
    <w:rsid w:val="008F36AD"/>
    <w:rsid w:val="008F39C9"/>
    <w:rsid w:val="008F3DC5"/>
    <w:rsid w:val="008F3E77"/>
    <w:rsid w:val="008F41D8"/>
    <w:rsid w:val="008F424F"/>
    <w:rsid w:val="008F43EC"/>
    <w:rsid w:val="008F4A7E"/>
    <w:rsid w:val="008F4E27"/>
    <w:rsid w:val="008F518B"/>
    <w:rsid w:val="008F5299"/>
    <w:rsid w:val="008F5341"/>
    <w:rsid w:val="008F5359"/>
    <w:rsid w:val="008F5551"/>
    <w:rsid w:val="008F57F9"/>
    <w:rsid w:val="008F5878"/>
    <w:rsid w:val="008F59D9"/>
    <w:rsid w:val="008F5AF1"/>
    <w:rsid w:val="008F5C77"/>
    <w:rsid w:val="008F5E79"/>
    <w:rsid w:val="008F5FE8"/>
    <w:rsid w:val="008F60F4"/>
    <w:rsid w:val="008F616B"/>
    <w:rsid w:val="008F6264"/>
    <w:rsid w:val="008F6D39"/>
    <w:rsid w:val="008F6EEB"/>
    <w:rsid w:val="008F703E"/>
    <w:rsid w:val="008F7176"/>
    <w:rsid w:val="008F763A"/>
    <w:rsid w:val="008F7647"/>
    <w:rsid w:val="008F76AA"/>
    <w:rsid w:val="008F788E"/>
    <w:rsid w:val="008F7919"/>
    <w:rsid w:val="008F79E4"/>
    <w:rsid w:val="008F7B06"/>
    <w:rsid w:val="008F7F73"/>
    <w:rsid w:val="008F7F8C"/>
    <w:rsid w:val="009000D1"/>
    <w:rsid w:val="00900174"/>
    <w:rsid w:val="009001EC"/>
    <w:rsid w:val="009003BE"/>
    <w:rsid w:val="00900483"/>
    <w:rsid w:val="0090075A"/>
    <w:rsid w:val="009008EA"/>
    <w:rsid w:val="00900A9D"/>
    <w:rsid w:val="00900B53"/>
    <w:rsid w:val="00901089"/>
    <w:rsid w:val="009010F5"/>
    <w:rsid w:val="00901195"/>
    <w:rsid w:val="00901346"/>
    <w:rsid w:val="009015C4"/>
    <w:rsid w:val="009017DC"/>
    <w:rsid w:val="00901C26"/>
    <w:rsid w:val="00901E61"/>
    <w:rsid w:val="00901FDD"/>
    <w:rsid w:val="0090213F"/>
    <w:rsid w:val="009023B3"/>
    <w:rsid w:val="00902646"/>
    <w:rsid w:val="00902720"/>
    <w:rsid w:val="0090284A"/>
    <w:rsid w:val="009028DB"/>
    <w:rsid w:val="00902B08"/>
    <w:rsid w:val="00902B33"/>
    <w:rsid w:val="00902ECC"/>
    <w:rsid w:val="00903042"/>
    <w:rsid w:val="009030F6"/>
    <w:rsid w:val="0090359D"/>
    <w:rsid w:val="009037FC"/>
    <w:rsid w:val="0090392B"/>
    <w:rsid w:val="00903D0D"/>
    <w:rsid w:val="00903F33"/>
    <w:rsid w:val="00904628"/>
    <w:rsid w:val="00904920"/>
    <w:rsid w:val="00904B22"/>
    <w:rsid w:val="00904E8B"/>
    <w:rsid w:val="00904F17"/>
    <w:rsid w:val="009052F5"/>
    <w:rsid w:val="00905A32"/>
    <w:rsid w:val="00905C12"/>
    <w:rsid w:val="00905C8D"/>
    <w:rsid w:val="00905D73"/>
    <w:rsid w:val="00905D94"/>
    <w:rsid w:val="00905E83"/>
    <w:rsid w:val="00905F86"/>
    <w:rsid w:val="00905FFE"/>
    <w:rsid w:val="009066E8"/>
    <w:rsid w:val="0090675D"/>
    <w:rsid w:val="00906A78"/>
    <w:rsid w:val="00906C2F"/>
    <w:rsid w:val="00906C7F"/>
    <w:rsid w:val="00906C93"/>
    <w:rsid w:val="00907075"/>
    <w:rsid w:val="00907240"/>
    <w:rsid w:val="009072A1"/>
    <w:rsid w:val="009072FB"/>
    <w:rsid w:val="0090734D"/>
    <w:rsid w:val="009073F4"/>
    <w:rsid w:val="00907508"/>
    <w:rsid w:val="00907684"/>
    <w:rsid w:val="0090771F"/>
    <w:rsid w:val="00907899"/>
    <w:rsid w:val="00907B3C"/>
    <w:rsid w:val="00907C09"/>
    <w:rsid w:val="0090EE2F"/>
    <w:rsid w:val="009100CF"/>
    <w:rsid w:val="00910410"/>
    <w:rsid w:val="0091043D"/>
    <w:rsid w:val="00910822"/>
    <w:rsid w:val="00911309"/>
    <w:rsid w:val="0091155A"/>
    <w:rsid w:val="009116BF"/>
    <w:rsid w:val="00911721"/>
    <w:rsid w:val="009117A4"/>
    <w:rsid w:val="00911A1A"/>
    <w:rsid w:val="00911BAB"/>
    <w:rsid w:val="00911E20"/>
    <w:rsid w:val="00911FA9"/>
    <w:rsid w:val="0091238F"/>
    <w:rsid w:val="009124B8"/>
    <w:rsid w:val="009124ED"/>
    <w:rsid w:val="0091283E"/>
    <w:rsid w:val="00912882"/>
    <w:rsid w:val="00912925"/>
    <w:rsid w:val="00912A41"/>
    <w:rsid w:val="00912A76"/>
    <w:rsid w:val="00912B34"/>
    <w:rsid w:val="00912EB4"/>
    <w:rsid w:val="00912F77"/>
    <w:rsid w:val="009133F4"/>
    <w:rsid w:val="0091344F"/>
    <w:rsid w:val="009134E3"/>
    <w:rsid w:val="00913C05"/>
    <w:rsid w:val="00913C91"/>
    <w:rsid w:val="00913CFF"/>
    <w:rsid w:val="00913D12"/>
    <w:rsid w:val="00913D14"/>
    <w:rsid w:val="0091402D"/>
    <w:rsid w:val="00914240"/>
    <w:rsid w:val="009143EC"/>
    <w:rsid w:val="009146EF"/>
    <w:rsid w:val="009148D1"/>
    <w:rsid w:val="009149B3"/>
    <w:rsid w:val="00914A82"/>
    <w:rsid w:val="00914DA7"/>
    <w:rsid w:val="00915174"/>
    <w:rsid w:val="009151DB"/>
    <w:rsid w:val="009152BC"/>
    <w:rsid w:val="00915301"/>
    <w:rsid w:val="009154B3"/>
    <w:rsid w:val="009155CC"/>
    <w:rsid w:val="009157F9"/>
    <w:rsid w:val="009158A1"/>
    <w:rsid w:val="00915AE0"/>
    <w:rsid w:val="00915BF8"/>
    <w:rsid w:val="00915CD2"/>
    <w:rsid w:val="00915EEB"/>
    <w:rsid w:val="00915F63"/>
    <w:rsid w:val="00915FD3"/>
    <w:rsid w:val="009162B5"/>
    <w:rsid w:val="0091668E"/>
    <w:rsid w:val="00916886"/>
    <w:rsid w:val="009168D8"/>
    <w:rsid w:val="00916903"/>
    <w:rsid w:val="00916A6A"/>
    <w:rsid w:val="00916A6F"/>
    <w:rsid w:val="00916AFA"/>
    <w:rsid w:val="00916B4A"/>
    <w:rsid w:val="00916BCC"/>
    <w:rsid w:val="00916F46"/>
    <w:rsid w:val="00916FB3"/>
    <w:rsid w:val="00917295"/>
    <w:rsid w:val="0091729D"/>
    <w:rsid w:val="00917368"/>
    <w:rsid w:val="0091747F"/>
    <w:rsid w:val="0091766A"/>
    <w:rsid w:val="009176ED"/>
    <w:rsid w:val="009177E9"/>
    <w:rsid w:val="00917856"/>
    <w:rsid w:val="009178A7"/>
    <w:rsid w:val="0091796D"/>
    <w:rsid w:val="009179CD"/>
    <w:rsid w:val="009179DF"/>
    <w:rsid w:val="00917CD1"/>
    <w:rsid w:val="00917E3B"/>
    <w:rsid w:val="00920050"/>
    <w:rsid w:val="00920188"/>
    <w:rsid w:val="009201C3"/>
    <w:rsid w:val="00920211"/>
    <w:rsid w:val="00920254"/>
    <w:rsid w:val="009204A0"/>
    <w:rsid w:val="009204A7"/>
    <w:rsid w:val="00920656"/>
    <w:rsid w:val="009208CD"/>
    <w:rsid w:val="009209D9"/>
    <w:rsid w:val="00920AC0"/>
    <w:rsid w:val="00920F83"/>
    <w:rsid w:val="009210E7"/>
    <w:rsid w:val="009211F9"/>
    <w:rsid w:val="00921234"/>
    <w:rsid w:val="009212A7"/>
    <w:rsid w:val="009212C1"/>
    <w:rsid w:val="0092134F"/>
    <w:rsid w:val="0092139D"/>
    <w:rsid w:val="009213CB"/>
    <w:rsid w:val="0092149F"/>
    <w:rsid w:val="0092183B"/>
    <w:rsid w:val="0092192D"/>
    <w:rsid w:val="00921B2E"/>
    <w:rsid w:val="00921B45"/>
    <w:rsid w:val="009220D6"/>
    <w:rsid w:val="009221AD"/>
    <w:rsid w:val="0092222C"/>
    <w:rsid w:val="0092238F"/>
    <w:rsid w:val="009226CC"/>
    <w:rsid w:val="00922716"/>
    <w:rsid w:val="009227C2"/>
    <w:rsid w:val="009227F8"/>
    <w:rsid w:val="00922ACA"/>
    <w:rsid w:val="00922EA3"/>
    <w:rsid w:val="0092321A"/>
    <w:rsid w:val="00923366"/>
    <w:rsid w:val="00923396"/>
    <w:rsid w:val="009233EE"/>
    <w:rsid w:val="00923650"/>
    <w:rsid w:val="00923782"/>
    <w:rsid w:val="009238F0"/>
    <w:rsid w:val="00923969"/>
    <w:rsid w:val="00923AEC"/>
    <w:rsid w:val="00923B72"/>
    <w:rsid w:val="00923DE7"/>
    <w:rsid w:val="009240B7"/>
    <w:rsid w:val="00924214"/>
    <w:rsid w:val="0092437C"/>
    <w:rsid w:val="009246FE"/>
    <w:rsid w:val="009248C6"/>
    <w:rsid w:val="00924C51"/>
    <w:rsid w:val="00924D44"/>
    <w:rsid w:val="00924D6F"/>
    <w:rsid w:val="0092515B"/>
    <w:rsid w:val="009251D6"/>
    <w:rsid w:val="009253C6"/>
    <w:rsid w:val="0092548F"/>
    <w:rsid w:val="009255EB"/>
    <w:rsid w:val="00925788"/>
    <w:rsid w:val="00925931"/>
    <w:rsid w:val="0092600B"/>
    <w:rsid w:val="0092634A"/>
    <w:rsid w:val="009265C7"/>
    <w:rsid w:val="00926627"/>
    <w:rsid w:val="009266E4"/>
    <w:rsid w:val="0092683D"/>
    <w:rsid w:val="00926C40"/>
    <w:rsid w:val="0092768C"/>
    <w:rsid w:val="00927926"/>
    <w:rsid w:val="00927A14"/>
    <w:rsid w:val="00927CB1"/>
    <w:rsid w:val="009281F0"/>
    <w:rsid w:val="009303CE"/>
    <w:rsid w:val="009303E7"/>
    <w:rsid w:val="009304E3"/>
    <w:rsid w:val="0093050A"/>
    <w:rsid w:val="0093056F"/>
    <w:rsid w:val="00930698"/>
    <w:rsid w:val="00930D09"/>
    <w:rsid w:val="00930F8A"/>
    <w:rsid w:val="009310AC"/>
    <w:rsid w:val="009310AF"/>
    <w:rsid w:val="0093116D"/>
    <w:rsid w:val="00931229"/>
    <w:rsid w:val="009312A3"/>
    <w:rsid w:val="00931536"/>
    <w:rsid w:val="0093156C"/>
    <w:rsid w:val="00931E72"/>
    <w:rsid w:val="00932142"/>
    <w:rsid w:val="00932143"/>
    <w:rsid w:val="0093242F"/>
    <w:rsid w:val="00932625"/>
    <w:rsid w:val="009326AA"/>
    <w:rsid w:val="009328C9"/>
    <w:rsid w:val="00932996"/>
    <w:rsid w:val="00933083"/>
    <w:rsid w:val="009331CF"/>
    <w:rsid w:val="0093326C"/>
    <w:rsid w:val="0093331F"/>
    <w:rsid w:val="00933327"/>
    <w:rsid w:val="009334AC"/>
    <w:rsid w:val="009337D4"/>
    <w:rsid w:val="00933A41"/>
    <w:rsid w:val="00933ABB"/>
    <w:rsid w:val="00933C1D"/>
    <w:rsid w:val="00933FCD"/>
    <w:rsid w:val="00934060"/>
    <w:rsid w:val="009340AC"/>
    <w:rsid w:val="0093415D"/>
    <w:rsid w:val="009342BF"/>
    <w:rsid w:val="009342C6"/>
    <w:rsid w:val="00934305"/>
    <w:rsid w:val="0093430F"/>
    <w:rsid w:val="0093443B"/>
    <w:rsid w:val="00934564"/>
    <w:rsid w:val="00934622"/>
    <w:rsid w:val="00934734"/>
    <w:rsid w:val="0093474D"/>
    <w:rsid w:val="00934829"/>
    <w:rsid w:val="0093486C"/>
    <w:rsid w:val="009348C9"/>
    <w:rsid w:val="00934939"/>
    <w:rsid w:val="00934DCF"/>
    <w:rsid w:val="00935473"/>
    <w:rsid w:val="009356BB"/>
    <w:rsid w:val="00935777"/>
    <w:rsid w:val="00935CAC"/>
    <w:rsid w:val="00935CD8"/>
    <w:rsid w:val="00935E03"/>
    <w:rsid w:val="0093615F"/>
    <w:rsid w:val="009362B1"/>
    <w:rsid w:val="00936530"/>
    <w:rsid w:val="009369EA"/>
    <w:rsid w:val="00936B24"/>
    <w:rsid w:val="00936CBC"/>
    <w:rsid w:val="00937086"/>
    <w:rsid w:val="009371B2"/>
    <w:rsid w:val="00937244"/>
    <w:rsid w:val="00937391"/>
    <w:rsid w:val="0093760E"/>
    <w:rsid w:val="009377DC"/>
    <w:rsid w:val="009378E4"/>
    <w:rsid w:val="009378F5"/>
    <w:rsid w:val="00937A24"/>
    <w:rsid w:val="00937DDA"/>
    <w:rsid w:val="00937E53"/>
    <w:rsid w:val="009400AF"/>
    <w:rsid w:val="009401BF"/>
    <w:rsid w:val="00940249"/>
    <w:rsid w:val="009402F6"/>
    <w:rsid w:val="0094059E"/>
    <w:rsid w:val="009405E2"/>
    <w:rsid w:val="009408E1"/>
    <w:rsid w:val="00940944"/>
    <w:rsid w:val="0094096D"/>
    <w:rsid w:val="00940A87"/>
    <w:rsid w:val="00940E7A"/>
    <w:rsid w:val="0094109C"/>
    <w:rsid w:val="009410A9"/>
    <w:rsid w:val="009412A3"/>
    <w:rsid w:val="0094146D"/>
    <w:rsid w:val="00941538"/>
    <w:rsid w:val="00941657"/>
    <w:rsid w:val="009416BF"/>
    <w:rsid w:val="00941A22"/>
    <w:rsid w:val="00941A54"/>
    <w:rsid w:val="00941DDC"/>
    <w:rsid w:val="00941E77"/>
    <w:rsid w:val="00941ED9"/>
    <w:rsid w:val="00941FA7"/>
    <w:rsid w:val="00942010"/>
    <w:rsid w:val="0094215B"/>
    <w:rsid w:val="009421D3"/>
    <w:rsid w:val="00942229"/>
    <w:rsid w:val="00942440"/>
    <w:rsid w:val="00942648"/>
    <w:rsid w:val="00942700"/>
    <w:rsid w:val="00942922"/>
    <w:rsid w:val="00942946"/>
    <w:rsid w:val="00942A73"/>
    <w:rsid w:val="00942E91"/>
    <w:rsid w:val="00942FB7"/>
    <w:rsid w:val="0094320A"/>
    <w:rsid w:val="00943284"/>
    <w:rsid w:val="00943446"/>
    <w:rsid w:val="00943784"/>
    <w:rsid w:val="00943B01"/>
    <w:rsid w:val="00943B7A"/>
    <w:rsid w:val="00943CC8"/>
    <w:rsid w:val="009441B0"/>
    <w:rsid w:val="009442C7"/>
    <w:rsid w:val="00944331"/>
    <w:rsid w:val="00944526"/>
    <w:rsid w:val="00944923"/>
    <w:rsid w:val="00944926"/>
    <w:rsid w:val="00944933"/>
    <w:rsid w:val="00944DA1"/>
    <w:rsid w:val="00944F0E"/>
    <w:rsid w:val="00944F54"/>
    <w:rsid w:val="00945776"/>
    <w:rsid w:val="0094581C"/>
    <w:rsid w:val="009459D6"/>
    <w:rsid w:val="00945A89"/>
    <w:rsid w:val="00945F40"/>
    <w:rsid w:val="009462B7"/>
    <w:rsid w:val="0094639F"/>
    <w:rsid w:val="00946572"/>
    <w:rsid w:val="0094668A"/>
    <w:rsid w:val="0094681A"/>
    <w:rsid w:val="0094694E"/>
    <w:rsid w:val="0094697D"/>
    <w:rsid w:val="00946B4A"/>
    <w:rsid w:val="00946E4C"/>
    <w:rsid w:val="0094702C"/>
    <w:rsid w:val="00947416"/>
    <w:rsid w:val="00947872"/>
    <w:rsid w:val="009478F5"/>
    <w:rsid w:val="0094793A"/>
    <w:rsid w:val="00947AF6"/>
    <w:rsid w:val="00947C27"/>
    <w:rsid w:val="0095016E"/>
    <w:rsid w:val="00950188"/>
    <w:rsid w:val="009501D5"/>
    <w:rsid w:val="009508BD"/>
    <w:rsid w:val="00950976"/>
    <w:rsid w:val="009509C9"/>
    <w:rsid w:val="00950B3F"/>
    <w:rsid w:val="00950C35"/>
    <w:rsid w:val="00950EAF"/>
    <w:rsid w:val="00951131"/>
    <w:rsid w:val="0095170D"/>
    <w:rsid w:val="0095177D"/>
    <w:rsid w:val="0095197E"/>
    <w:rsid w:val="009519A7"/>
    <w:rsid w:val="009519E6"/>
    <w:rsid w:val="00951A27"/>
    <w:rsid w:val="00951A5A"/>
    <w:rsid w:val="00952359"/>
    <w:rsid w:val="00952632"/>
    <w:rsid w:val="009527AE"/>
    <w:rsid w:val="009528F7"/>
    <w:rsid w:val="009529D3"/>
    <w:rsid w:val="00952AC7"/>
    <w:rsid w:val="00952D39"/>
    <w:rsid w:val="00952EB7"/>
    <w:rsid w:val="00953064"/>
    <w:rsid w:val="0095307F"/>
    <w:rsid w:val="00953109"/>
    <w:rsid w:val="0095318C"/>
    <w:rsid w:val="00953268"/>
    <w:rsid w:val="009532F2"/>
    <w:rsid w:val="0095384D"/>
    <w:rsid w:val="009538F9"/>
    <w:rsid w:val="00953B9F"/>
    <w:rsid w:val="00953C81"/>
    <w:rsid w:val="00953D1E"/>
    <w:rsid w:val="00953E6A"/>
    <w:rsid w:val="00954064"/>
    <w:rsid w:val="00954412"/>
    <w:rsid w:val="0095452B"/>
    <w:rsid w:val="00954718"/>
    <w:rsid w:val="009547AC"/>
    <w:rsid w:val="0095488E"/>
    <w:rsid w:val="0095489A"/>
    <w:rsid w:val="009548FF"/>
    <w:rsid w:val="00954E8A"/>
    <w:rsid w:val="00954FCB"/>
    <w:rsid w:val="009550F1"/>
    <w:rsid w:val="0095531A"/>
    <w:rsid w:val="00955526"/>
    <w:rsid w:val="00955ABB"/>
    <w:rsid w:val="00955B06"/>
    <w:rsid w:val="00955BCE"/>
    <w:rsid w:val="00955C27"/>
    <w:rsid w:val="00955F1D"/>
    <w:rsid w:val="009562A2"/>
    <w:rsid w:val="009562F6"/>
    <w:rsid w:val="00956532"/>
    <w:rsid w:val="00956D4A"/>
    <w:rsid w:val="0095714F"/>
    <w:rsid w:val="00957562"/>
    <w:rsid w:val="00957706"/>
    <w:rsid w:val="00957AB6"/>
    <w:rsid w:val="00957E02"/>
    <w:rsid w:val="00957FD5"/>
    <w:rsid w:val="00960379"/>
    <w:rsid w:val="009608EB"/>
    <w:rsid w:val="009608FF"/>
    <w:rsid w:val="00960993"/>
    <w:rsid w:val="00960A01"/>
    <w:rsid w:val="00960A60"/>
    <w:rsid w:val="00960C4F"/>
    <w:rsid w:val="00961054"/>
    <w:rsid w:val="00961082"/>
    <w:rsid w:val="00961410"/>
    <w:rsid w:val="0096180E"/>
    <w:rsid w:val="0096181B"/>
    <w:rsid w:val="00961854"/>
    <w:rsid w:val="009619E2"/>
    <w:rsid w:val="00961A17"/>
    <w:rsid w:val="00961A21"/>
    <w:rsid w:val="00961CD2"/>
    <w:rsid w:val="00961E05"/>
    <w:rsid w:val="00961F5A"/>
    <w:rsid w:val="00961F7D"/>
    <w:rsid w:val="0096201B"/>
    <w:rsid w:val="00962046"/>
    <w:rsid w:val="009620B0"/>
    <w:rsid w:val="009620D6"/>
    <w:rsid w:val="00962478"/>
    <w:rsid w:val="009624F6"/>
    <w:rsid w:val="00962538"/>
    <w:rsid w:val="00962589"/>
    <w:rsid w:val="009626E0"/>
    <w:rsid w:val="0096297B"/>
    <w:rsid w:val="00962BC6"/>
    <w:rsid w:val="00962C84"/>
    <w:rsid w:val="00962D46"/>
    <w:rsid w:val="00962D8F"/>
    <w:rsid w:val="00962FD0"/>
    <w:rsid w:val="00963215"/>
    <w:rsid w:val="0096323A"/>
    <w:rsid w:val="009633A4"/>
    <w:rsid w:val="00963511"/>
    <w:rsid w:val="009635BF"/>
    <w:rsid w:val="00963C01"/>
    <w:rsid w:val="00963E15"/>
    <w:rsid w:val="0096406D"/>
    <w:rsid w:val="009640D4"/>
    <w:rsid w:val="0096420C"/>
    <w:rsid w:val="0096461B"/>
    <w:rsid w:val="00964624"/>
    <w:rsid w:val="0096476B"/>
    <w:rsid w:val="00964955"/>
    <w:rsid w:val="0096497F"/>
    <w:rsid w:val="00964997"/>
    <w:rsid w:val="00964A43"/>
    <w:rsid w:val="00964B77"/>
    <w:rsid w:val="00964E49"/>
    <w:rsid w:val="00964FF5"/>
    <w:rsid w:val="00965054"/>
    <w:rsid w:val="009651D3"/>
    <w:rsid w:val="00965269"/>
    <w:rsid w:val="00965295"/>
    <w:rsid w:val="009654F5"/>
    <w:rsid w:val="00965550"/>
    <w:rsid w:val="00965650"/>
    <w:rsid w:val="00965726"/>
    <w:rsid w:val="009657DA"/>
    <w:rsid w:val="00965FB8"/>
    <w:rsid w:val="009660C4"/>
    <w:rsid w:val="0096611E"/>
    <w:rsid w:val="0096614E"/>
    <w:rsid w:val="0096663F"/>
    <w:rsid w:val="009667A9"/>
    <w:rsid w:val="0096686D"/>
    <w:rsid w:val="0096688B"/>
    <w:rsid w:val="00966C09"/>
    <w:rsid w:val="00966EAE"/>
    <w:rsid w:val="00966F2E"/>
    <w:rsid w:val="00966F82"/>
    <w:rsid w:val="00966FB7"/>
    <w:rsid w:val="009670C9"/>
    <w:rsid w:val="009671CC"/>
    <w:rsid w:val="00967241"/>
    <w:rsid w:val="0096736B"/>
    <w:rsid w:val="009674E2"/>
    <w:rsid w:val="0096766A"/>
    <w:rsid w:val="009678A8"/>
    <w:rsid w:val="009678EB"/>
    <w:rsid w:val="00967ACE"/>
    <w:rsid w:val="00967CE3"/>
    <w:rsid w:val="009700E8"/>
    <w:rsid w:val="0097024B"/>
    <w:rsid w:val="0097029C"/>
    <w:rsid w:val="009703E8"/>
    <w:rsid w:val="0097044F"/>
    <w:rsid w:val="009707D0"/>
    <w:rsid w:val="00970A21"/>
    <w:rsid w:val="00970CA7"/>
    <w:rsid w:val="00970CE2"/>
    <w:rsid w:val="00970D2E"/>
    <w:rsid w:val="00970D85"/>
    <w:rsid w:val="00970D9A"/>
    <w:rsid w:val="009710CB"/>
    <w:rsid w:val="009710CD"/>
    <w:rsid w:val="0097185E"/>
    <w:rsid w:val="009718F6"/>
    <w:rsid w:val="00971B14"/>
    <w:rsid w:val="00971B60"/>
    <w:rsid w:val="00971D09"/>
    <w:rsid w:val="00971EC5"/>
    <w:rsid w:val="009721EC"/>
    <w:rsid w:val="0097229D"/>
    <w:rsid w:val="009722E3"/>
    <w:rsid w:val="00972469"/>
    <w:rsid w:val="00972830"/>
    <w:rsid w:val="009729A2"/>
    <w:rsid w:val="00972B5C"/>
    <w:rsid w:val="00972C88"/>
    <w:rsid w:val="00972F40"/>
    <w:rsid w:val="00973068"/>
    <w:rsid w:val="009732E6"/>
    <w:rsid w:val="00973649"/>
    <w:rsid w:val="0097375D"/>
    <w:rsid w:val="00973A9D"/>
    <w:rsid w:val="00973E9B"/>
    <w:rsid w:val="00974047"/>
    <w:rsid w:val="00974104"/>
    <w:rsid w:val="00974232"/>
    <w:rsid w:val="009745B4"/>
    <w:rsid w:val="009749FD"/>
    <w:rsid w:val="00974FC5"/>
    <w:rsid w:val="00975096"/>
    <w:rsid w:val="009750C5"/>
    <w:rsid w:val="009752F5"/>
    <w:rsid w:val="00975817"/>
    <w:rsid w:val="00975877"/>
    <w:rsid w:val="0097594B"/>
    <w:rsid w:val="00975A51"/>
    <w:rsid w:val="00975A73"/>
    <w:rsid w:val="00976217"/>
    <w:rsid w:val="0097631E"/>
    <w:rsid w:val="0097651E"/>
    <w:rsid w:val="0097670E"/>
    <w:rsid w:val="00976855"/>
    <w:rsid w:val="009768D2"/>
    <w:rsid w:val="00976ECA"/>
    <w:rsid w:val="00977486"/>
    <w:rsid w:val="009776DC"/>
    <w:rsid w:val="009779EF"/>
    <w:rsid w:val="00977B85"/>
    <w:rsid w:val="00977CAF"/>
    <w:rsid w:val="00977CB4"/>
    <w:rsid w:val="00977D5C"/>
    <w:rsid w:val="00977E1A"/>
    <w:rsid w:val="00977EEE"/>
    <w:rsid w:val="009800E0"/>
    <w:rsid w:val="009803AC"/>
    <w:rsid w:val="009803C9"/>
    <w:rsid w:val="00980659"/>
    <w:rsid w:val="00980969"/>
    <w:rsid w:val="00980A65"/>
    <w:rsid w:val="00980E30"/>
    <w:rsid w:val="00980EE0"/>
    <w:rsid w:val="00980F87"/>
    <w:rsid w:val="00981005"/>
    <w:rsid w:val="009810BB"/>
    <w:rsid w:val="00981427"/>
    <w:rsid w:val="00981467"/>
    <w:rsid w:val="009814CD"/>
    <w:rsid w:val="0098158B"/>
    <w:rsid w:val="009815A2"/>
    <w:rsid w:val="009815CC"/>
    <w:rsid w:val="009817BE"/>
    <w:rsid w:val="00981B6F"/>
    <w:rsid w:val="00981C5A"/>
    <w:rsid w:val="009822BA"/>
    <w:rsid w:val="0098237E"/>
    <w:rsid w:val="009825BF"/>
    <w:rsid w:val="0098268D"/>
    <w:rsid w:val="00982751"/>
    <w:rsid w:val="00982C26"/>
    <w:rsid w:val="00982DE7"/>
    <w:rsid w:val="00982F69"/>
    <w:rsid w:val="00983123"/>
    <w:rsid w:val="00983544"/>
    <w:rsid w:val="00983584"/>
    <w:rsid w:val="00983AB7"/>
    <w:rsid w:val="00983BD9"/>
    <w:rsid w:val="00983E15"/>
    <w:rsid w:val="00983ED3"/>
    <w:rsid w:val="00984065"/>
    <w:rsid w:val="0098424F"/>
    <w:rsid w:val="00984441"/>
    <w:rsid w:val="009844CF"/>
    <w:rsid w:val="009846B2"/>
    <w:rsid w:val="009849E6"/>
    <w:rsid w:val="00984C19"/>
    <w:rsid w:val="00984CDE"/>
    <w:rsid w:val="00984DD8"/>
    <w:rsid w:val="009850A1"/>
    <w:rsid w:val="00985341"/>
    <w:rsid w:val="00985347"/>
    <w:rsid w:val="00985815"/>
    <w:rsid w:val="00985858"/>
    <w:rsid w:val="00985929"/>
    <w:rsid w:val="00985A47"/>
    <w:rsid w:val="00985A83"/>
    <w:rsid w:val="00985B90"/>
    <w:rsid w:val="00985C6A"/>
    <w:rsid w:val="00985F28"/>
    <w:rsid w:val="00985FFA"/>
    <w:rsid w:val="00985FFE"/>
    <w:rsid w:val="00986090"/>
    <w:rsid w:val="009860D5"/>
    <w:rsid w:val="0098636B"/>
    <w:rsid w:val="009864B6"/>
    <w:rsid w:val="00986793"/>
    <w:rsid w:val="00986AE5"/>
    <w:rsid w:val="00986D58"/>
    <w:rsid w:val="00987008"/>
    <w:rsid w:val="0098719C"/>
    <w:rsid w:val="00987488"/>
    <w:rsid w:val="009874CF"/>
    <w:rsid w:val="00987615"/>
    <w:rsid w:val="009876CC"/>
    <w:rsid w:val="00987888"/>
    <w:rsid w:val="0098792F"/>
    <w:rsid w:val="009879CA"/>
    <w:rsid w:val="00987A4A"/>
    <w:rsid w:val="00987DC7"/>
    <w:rsid w:val="00987F08"/>
    <w:rsid w:val="00987F4B"/>
    <w:rsid w:val="00987F93"/>
    <w:rsid w:val="00990020"/>
    <w:rsid w:val="0099085F"/>
    <w:rsid w:val="00990C09"/>
    <w:rsid w:val="00990D64"/>
    <w:rsid w:val="009917AC"/>
    <w:rsid w:val="00991885"/>
    <w:rsid w:val="00991954"/>
    <w:rsid w:val="00991B21"/>
    <w:rsid w:val="00991C03"/>
    <w:rsid w:val="00991F4B"/>
    <w:rsid w:val="00991F74"/>
    <w:rsid w:val="00992317"/>
    <w:rsid w:val="009923BA"/>
    <w:rsid w:val="009923FC"/>
    <w:rsid w:val="009925DB"/>
    <w:rsid w:val="00992736"/>
    <w:rsid w:val="00992776"/>
    <w:rsid w:val="00992B7A"/>
    <w:rsid w:val="00992C86"/>
    <w:rsid w:val="00992EFF"/>
    <w:rsid w:val="00992F71"/>
    <w:rsid w:val="0099300E"/>
    <w:rsid w:val="00993114"/>
    <w:rsid w:val="0099311A"/>
    <w:rsid w:val="00993161"/>
    <w:rsid w:val="00993338"/>
    <w:rsid w:val="00993374"/>
    <w:rsid w:val="009936B1"/>
    <w:rsid w:val="00993998"/>
    <w:rsid w:val="00993B72"/>
    <w:rsid w:val="00993CC9"/>
    <w:rsid w:val="00993DC7"/>
    <w:rsid w:val="00993FAE"/>
    <w:rsid w:val="009940A4"/>
    <w:rsid w:val="0099412D"/>
    <w:rsid w:val="0099448E"/>
    <w:rsid w:val="00994507"/>
    <w:rsid w:val="00994792"/>
    <w:rsid w:val="0099495A"/>
    <w:rsid w:val="009949CF"/>
    <w:rsid w:val="00994A3E"/>
    <w:rsid w:val="00994A6B"/>
    <w:rsid w:val="00994AFD"/>
    <w:rsid w:val="00994D91"/>
    <w:rsid w:val="00994D98"/>
    <w:rsid w:val="00995004"/>
    <w:rsid w:val="00995131"/>
    <w:rsid w:val="009952B4"/>
    <w:rsid w:val="00995635"/>
    <w:rsid w:val="009956A5"/>
    <w:rsid w:val="00995AD7"/>
    <w:rsid w:val="00995AE0"/>
    <w:rsid w:val="00995B3C"/>
    <w:rsid w:val="00995BA0"/>
    <w:rsid w:val="00995D0C"/>
    <w:rsid w:val="00995E43"/>
    <w:rsid w:val="00995EAC"/>
    <w:rsid w:val="00995FAC"/>
    <w:rsid w:val="00996208"/>
    <w:rsid w:val="009962E6"/>
    <w:rsid w:val="0099674E"/>
    <w:rsid w:val="009969B1"/>
    <w:rsid w:val="00996A9D"/>
    <w:rsid w:val="00996AB0"/>
    <w:rsid w:val="00996B66"/>
    <w:rsid w:val="00996F6B"/>
    <w:rsid w:val="00996FC5"/>
    <w:rsid w:val="00997216"/>
    <w:rsid w:val="00997431"/>
    <w:rsid w:val="00997445"/>
    <w:rsid w:val="00997528"/>
    <w:rsid w:val="009975D9"/>
    <w:rsid w:val="009977BF"/>
    <w:rsid w:val="0099798F"/>
    <w:rsid w:val="00997AC5"/>
    <w:rsid w:val="00997BB3"/>
    <w:rsid w:val="00997CBC"/>
    <w:rsid w:val="00997DC4"/>
    <w:rsid w:val="009A0170"/>
    <w:rsid w:val="009A0196"/>
    <w:rsid w:val="009A0836"/>
    <w:rsid w:val="009A08CC"/>
    <w:rsid w:val="009A0A50"/>
    <w:rsid w:val="009A0B1A"/>
    <w:rsid w:val="009A0B75"/>
    <w:rsid w:val="009A0C75"/>
    <w:rsid w:val="009A0D27"/>
    <w:rsid w:val="009A0E75"/>
    <w:rsid w:val="009A0E85"/>
    <w:rsid w:val="009A0EC8"/>
    <w:rsid w:val="009A1038"/>
    <w:rsid w:val="009A1121"/>
    <w:rsid w:val="009A1166"/>
    <w:rsid w:val="009A1460"/>
    <w:rsid w:val="009A15CC"/>
    <w:rsid w:val="009A172D"/>
    <w:rsid w:val="009A1740"/>
    <w:rsid w:val="009A1B22"/>
    <w:rsid w:val="009A1C28"/>
    <w:rsid w:val="009A1C5F"/>
    <w:rsid w:val="009A1E38"/>
    <w:rsid w:val="009A1F03"/>
    <w:rsid w:val="009A1F7C"/>
    <w:rsid w:val="009A1FF3"/>
    <w:rsid w:val="009A2002"/>
    <w:rsid w:val="009A2132"/>
    <w:rsid w:val="009A221E"/>
    <w:rsid w:val="009A2313"/>
    <w:rsid w:val="009A23D7"/>
    <w:rsid w:val="009A2405"/>
    <w:rsid w:val="009A256E"/>
    <w:rsid w:val="009A26F0"/>
    <w:rsid w:val="009A284C"/>
    <w:rsid w:val="009A2EED"/>
    <w:rsid w:val="009A2F4C"/>
    <w:rsid w:val="009A314A"/>
    <w:rsid w:val="009A31D6"/>
    <w:rsid w:val="009A3309"/>
    <w:rsid w:val="009A3568"/>
    <w:rsid w:val="009A37C0"/>
    <w:rsid w:val="009A3B89"/>
    <w:rsid w:val="009A3C75"/>
    <w:rsid w:val="009A3CCD"/>
    <w:rsid w:val="009A3CF5"/>
    <w:rsid w:val="009A3E3E"/>
    <w:rsid w:val="009A3E7C"/>
    <w:rsid w:val="009A3EFC"/>
    <w:rsid w:val="009A3F6C"/>
    <w:rsid w:val="009A4100"/>
    <w:rsid w:val="009A42DF"/>
    <w:rsid w:val="009A4305"/>
    <w:rsid w:val="009A44BC"/>
    <w:rsid w:val="009A44F0"/>
    <w:rsid w:val="009A4683"/>
    <w:rsid w:val="009A4775"/>
    <w:rsid w:val="009A4CA3"/>
    <w:rsid w:val="009A4E29"/>
    <w:rsid w:val="009A4FDC"/>
    <w:rsid w:val="009A512E"/>
    <w:rsid w:val="009A5242"/>
    <w:rsid w:val="009A532C"/>
    <w:rsid w:val="009A5540"/>
    <w:rsid w:val="009A5554"/>
    <w:rsid w:val="009A580E"/>
    <w:rsid w:val="009A5979"/>
    <w:rsid w:val="009A5ADC"/>
    <w:rsid w:val="009A5C4F"/>
    <w:rsid w:val="009A5C56"/>
    <w:rsid w:val="009A60D9"/>
    <w:rsid w:val="009A60EF"/>
    <w:rsid w:val="009A627A"/>
    <w:rsid w:val="009A68ED"/>
    <w:rsid w:val="009A6A4D"/>
    <w:rsid w:val="009A6B33"/>
    <w:rsid w:val="009A6CC0"/>
    <w:rsid w:val="009A6D80"/>
    <w:rsid w:val="009A6E00"/>
    <w:rsid w:val="009A6F74"/>
    <w:rsid w:val="009A6FCE"/>
    <w:rsid w:val="009A72B0"/>
    <w:rsid w:val="009A7671"/>
    <w:rsid w:val="009A7694"/>
    <w:rsid w:val="009A7813"/>
    <w:rsid w:val="009A799F"/>
    <w:rsid w:val="009A7AA1"/>
    <w:rsid w:val="009A7CA7"/>
    <w:rsid w:val="009B0608"/>
    <w:rsid w:val="009B0768"/>
    <w:rsid w:val="009B0932"/>
    <w:rsid w:val="009B097D"/>
    <w:rsid w:val="009B0996"/>
    <w:rsid w:val="009B0DA3"/>
    <w:rsid w:val="009B0E13"/>
    <w:rsid w:val="009B1079"/>
    <w:rsid w:val="009B1371"/>
    <w:rsid w:val="009B15CD"/>
    <w:rsid w:val="009B1783"/>
    <w:rsid w:val="009B19DE"/>
    <w:rsid w:val="009B1A17"/>
    <w:rsid w:val="009B1BEF"/>
    <w:rsid w:val="009B1C64"/>
    <w:rsid w:val="009B211D"/>
    <w:rsid w:val="009B2138"/>
    <w:rsid w:val="009B227A"/>
    <w:rsid w:val="009B2577"/>
    <w:rsid w:val="009B310F"/>
    <w:rsid w:val="009B31FD"/>
    <w:rsid w:val="009B33BA"/>
    <w:rsid w:val="009B34D3"/>
    <w:rsid w:val="009B353A"/>
    <w:rsid w:val="009B38C5"/>
    <w:rsid w:val="009B38E9"/>
    <w:rsid w:val="009B3A95"/>
    <w:rsid w:val="009B3F3C"/>
    <w:rsid w:val="009B40C5"/>
    <w:rsid w:val="009B4257"/>
    <w:rsid w:val="009B438D"/>
    <w:rsid w:val="009B45F3"/>
    <w:rsid w:val="009B477E"/>
    <w:rsid w:val="009B491A"/>
    <w:rsid w:val="009B4983"/>
    <w:rsid w:val="009B4C46"/>
    <w:rsid w:val="009B4F90"/>
    <w:rsid w:val="009B4FD9"/>
    <w:rsid w:val="009B520B"/>
    <w:rsid w:val="009B5231"/>
    <w:rsid w:val="009B53CC"/>
    <w:rsid w:val="009B541D"/>
    <w:rsid w:val="009B553A"/>
    <w:rsid w:val="009B5591"/>
    <w:rsid w:val="009B56F6"/>
    <w:rsid w:val="009B5714"/>
    <w:rsid w:val="009B59F5"/>
    <w:rsid w:val="009B5A3C"/>
    <w:rsid w:val="009B5AC4"/>
    <w:rsid w:val="009B5E62"/>
    <w:rsid w:val="009B5E98"/>
    <w:rsid w:val="009B5F21"/>
    <w:rsid w:val="009B62CD"/>
    <w:rsid w:val="009B6321"/>
    <w:rsid w:val="009B69DC"/>
    <w:rsid w:val="009B6A39"/>
    <w:rsid w:val="009B6A97"/>
    <w:rsid w:val="009B6C2F"/>
    <w:rsid w:val="009B73E9"/>
    <w:rsid w:val="009B75AC"/>
    <w:rsid w:val="009B7797"/>
    <w:rsid w:val="009B7A46"/>
    <w:rsid w:val="009B7B0B"/>
    <w:rsid w:val="009B7CF5"/>
    <w:rsid w:val="009B7E0D"/>
    <w:rsid w:val="009C0B2D"/>
    <w:rsid w:val="009C0CC4"/>
    <w:rsid w:val="009C0D5A"/>
    <w:rsid w:val="009C0E3B"/>
    <w:rsid w:val="009C0EAD"/>
    <w:rsid w:val="009C0F03"/>
    <w:rsid w:val="009C1760"/>
    <w:rsid w:val="009C1B24"/>
    <w:rsid w:val="009C1C2D"/>
    <w:rsid w:val="009C1D19"/>
    <w:rsid w:val="009C1E46"/>
    <w:rsid w:val="009C1F3F"/>
    <w:rsid w:val="009C2205"/>
    <w:rsid w:val="009C2294"/>
    <w:rsid w:val="009C2554"/>
    <w:rsid w:val="009C266C"/>
    <w:rsid w:val="009C2729"/>
    <w:rsid w:val="009C27A9"/>
    <w:rsid w:val="009C293A"/>
    <w:rsid w:val="009C2BEE"/>
    <w:rsid w:val="009C2E6F"/>
    <w:rsid w:val="009C2EED"/>
    <w:rsid w:val="009C30AA"/>
    <w:rsid w:val="009C3207"/>
    <w:rsid w:val="009C3308"/>
    <w:rsid w:val="009C3323"/>
    <w:rsid w:val="009C33B1"/>
    <w:rsid w:val="009C37E4"/>
    <w:rsid w:val="009C38C3"/>
    <w:rsid w:val="009C3C47"/>
    <w:rsid w:val="009C3D70"/>
    <w:rsid w:val="009C3DB4"/>
    <w:rsid w:val="009C3E84"/>
    <w:rsid w:val="009C4051"/>
    <w:rsid w:val="009C417A"/>
    <w:rsid w:val="009C41EE"/>
    <w:rsid w:val="009C443A"/>
    <w:rsid w:val="009C44FC"/>
    <w:rsid w:val="009C4583"/>
    <w:rsid w:val="009C462D"/>
    <w:rsid w:val="009C4631"/>
    <w:rsid w:val="009C48F3"/>
    <w:rsid w:val="009C4BC6"/>
    <w:rsid w:val="009C4BF2"/>
    <w:rsid w:val="009C4D08"/>
    <w:rsid w:val="009C4D27"/>
    <w:rsid w:val="009C4E47"/>
    <w:rsid w:val="009C4F22"/>
    <w:rsid w:val="009C50DF"/>
    <w:rsid w:val="009C50E5"/>
    <w:rsid w:val="009C52FB"/>
    <w:rsid w:val="009C54F5"/>
    <w:rsid w:val="009C57C4"/>
    <w:rsid w:val="009C5A4D"/>
    <w:rsid w:val="009C5DFD"/>
    <w:rsid w:val="009C5EC3"/>
    <w:rsid w:val="009C5F25"/>
    <w:rsid w:val="009C6003"/>
    <w:rsid w:val="009C60FC"/>
    <w:rsid w:val="009C63D2"/>
    <w:rsid w:val="009C64F4"/>
    <w:rsid w:val="009C6529"/>
    <w:rsid w:val="009C67F9"/>
    <w:rsid w:val="009C68B3"/>
    <w:rsid w:val="009C68B6"/>
    <w:rsid w:val="009C6BFD"/>
    <w:rsid w:val="009C6E53"/>
    <w:rsid w:val="009C70BD"/>
    <w:rsid w:val="009C72C7"/>
    <w:rsid w:val="009C7305"/>
    <w:rsid w:val="009C748D"/>
    <w:rsid w:val="009C74DA"/>
    <w:rsid w:val="009C74FC"/>
    <w:rsid w:val="009C76D5"/>
    <w:rsid w:val="009C79ED"/>
    <w:rsid w:val="009C7EEF"/>
    <w:rsid w:val="009D014D"/>
    <w:rsid w:val="009D01B3"/>
    <w:rsid w:val="009D038B"/>
    <w:rsid w:val="009D0451"/>
    <w:rsid w:val="009D0453"/>
    <w:rsid w:val="009D0560"/>
    <w:rsid w:val="009D05FF"/>
    <w:rsid w:val="009D07E5"/>
    <w:rsid w:val="009D0811"/>
    <w:rsid w:val="009D0983"/>
    <w:rsid w:val="009D099B"/>
    <w:rsid w:val="009D0A54"/>
    <w:rsid w:val="009D0A69"/>
    <w:rsid w:val="009D0B96"/>
    <w:rsid w:val="009D0BCD"/>
    <w:rsid w:val="009D0C33"/>
    <w:rsid w:val="009D0D01"/>
    <w:rsid w:val="009D0F55"/>
    <w:rsid w:val="009D0F5E"/>
    <w:rsid w:val="009D0FE6"/>
    <w:rsid w:val="009D0FE7"/>
    <w:rsid w:val="009D11B6"/>
    <w:rsid w:val="009D14FC"/>
    <w:rsid w:val="009D166F"/>
    <w:rsid w:val="009D1C84"/>
    <w:rsid w:val="009D1D30"/>
    <w:rsid w:val="009D1F48"/>
    <w:rsid w:val="009D1FE5"/>
    <w:rsid w:val="009D23A5"/>
    <w:rsid w:val="009D2425"/>
    <w:rsid w:val="009D2591"/>
    <w:rsid w:val="009D25A7"/>
    <w:rsid w:val="009D2770"/>
    <w:rsid w:val="009D28A3"/>
    <w:rsid w:val="009D2A05"/>
    <w:rsid w:val="009D2AC2"/>
    <w:rsid w:val="009D2BBD"/>
    <w:rsid w:val="009D2D6E"/>
    <w:rsid w:val="009D2D91"/>
    <w:rsid w:val="009D2F5E"/>
    <w:rsid w:val="009D30BA"/>
    <w:rsid w:val="009D315A"/>
    <w:rsid w:val="009D319C"/>
    <w:rsid w:val="009D3237"/>
    <w:rsid w:val="009D3328"/>
    <w:rsid w:val="009D347F"/>
    <w:rsid w:val="009D34DA"/>
    <w:rsid w:val="009D360C"/>
    <w:rsid w:val="009D3628"/>
    <w:rsid w:val="009D37A2"/>
    <w:rsid w:val="009D3AEE"/>
    <w:rsid w:val="009D3E2B"/>
    <w:rsid w:val="009D3F18"/>
    <w:rsid w:val="009D3F46"/>
    <w:rsid w:val="009D3F94"/>
    <w:rsid w:val="009D4236"/>
    <w:rsid w:val="009D4269"/>
    <w:rsid w:val="009D42DA"/>
    <w:rsid w:val="009D4306"/>
    <w:rsid w:val="009D46C3"/>
    <w:rsid w:val="009D48A1"/>
    <w:rsid w:val="009D48BB"/>
    <w:rsid w:val="009D4C2A"/>
    <w:rsid w:val="009D4CAE"/>
    <w:rsid w:val="009D546F"/>
    <w:rsid w:val="009D54FA"/>
    <w:rsid w:val="009D560F"/>
    <w:rsid w:val="009D57F2"/>
    <w:rsid w:val="009D5839"/>
    <w:rsid w:val="009D59F3"/>
    <w:rsid w:val="009D5E4A"/>
    <w:rsid w:val="009D611C"/>
    <w:rsid w:val="009D627D"/>
    <w:rsid w:val="009D640E"/>
    <w:rsid w:val="009D6472"/>
    <w:rsid w:val="009D64B6"/>
    <w:rsid w:val="009D6507"/>
    <w:rsid w:val="009D688C"/>
    <w:rsid w:val="009D6914"/>
    <w:rsid w:val="009D69B4"/>
    <w:rsid w:val="009D6EF4"/>
    <w:rsid w:val="009D7119"/>
    <w:rsid w:val="009D71E1"/>
    <w:rsid w:val="009D7427"/>
    <w:rsid w:val="009D75B7"/>
    <w:rsid w:val="009D75F3"/>
    <w:rsid w:val="009D77AB"/>
    <w:rsid w:val="009D7966"/>
    <w:rsid w:val="009D79B1"/>
    <w:rsid w:val="009D7B10"/>
    <w:rsid w:val="009D7CB5"/>
    <w:rsid w:val="009D7E17"/>
    <w:rsid w:val="009D7E39"/>
    <w:rsid w:val="009D7F79"/>
    <w:rsid w:val="009DC226"/>
    <w:rsid w:val="009DD1E2"/>
    <w:rsid w:val="009E0010"/>
    <w:rsid w:val="009E02F1"/>
    <w:rsid w:val="009E03F7"/>
    <w:rsid w:val="009E0579"/>
    <w:rsid w:val="009E06FF"/>
    <w:rsid w:val="009E0711"/>
    <w:rsid w:val="009E07B2"/>
    <w:rsid w:val="009E08FB"/>
    <w:rsid w:val="009E0ACA"/>
    <w:rsid w:val="009E0E78"/>
    <w:rsid w:val="009E0F4F"/>
    <w:rsid w:val="009E114E"/>
    <w:rsid w:val="009E132A"/>
    <w:rsid w:val="009E14E4"/>
    <w:rsid w:val="009E15C2"/>
    <w:rsid w:val="009E17A2"/>
    <w:rsid w:val="009E1A3C"/>
    <w:rsid w:val="009E1C22"/>
    <w:rsid w:val="009E20C8"/>
    <w:rsid w:val="009E2286"/>
    <w:rsid w:val="009E237A"/>
    <w:rsid w:val="009E2481"/>
    <w:rsid w:val="009E250C"/>
    <w:rsid w:val="009E255A"/>
    <w:rsid w:val="009E261C"/>
    <w:rsid w:val="009E2636"/>
    <w:rsid w:val="009E2713"/>
    <w:rsid w:val="009E2A8C"/>
    <w:rsid w:val="009E2C22"/>
    <w:rsid w:val="009E3175"/>
    <w:rsid w:val="009E3226"/>
    <w:rsid w:val="009E327C"/>
    <w:rsid w:val="009E327E"/>
    <w:rsid w:val="009E3317"/>
    <w:rsid w:val="009E3606"/>
    <w:rsid w:val="009E36D5"/>
    <w:rsid w:val="009E3753"/>
    <w:rsid w:val="009E37E4"/>
    <w:rsid w:val="009E393C"/>
    <w:rsid w:val="009E3C7E"/>
    <w:rsid w:val="009E3EC3"/>
    <w:rsid w:val="009E3F2F"/>
    <w:rsid w:val="009E3F46"/>
    <w:rsid w:val="009E41BE"/>
    <w:rsid w:val="009E432B"/>
    <w:rsid w:val="009E43E8"/>
    <w:rsid w:val="009E4907"/>
    <w:rsid w:val="009E4ABC"/>
    <w:rsid w:val="009E4B20"/>
    <w:rsid w:val="009E4B5D"/>
    <w:rsid w:val="009E4BBB"/>
    <w:rsid w:val="009E4C70"/>
    <w:rsid w:val="009E4E7C"/>
    <w:rsid w:val="009E50E8"/>
    <w:rsid w:val="009E5285"/>
    <w:rsid w:val="009E5473"/>
    <w:rsid w:val="009E54EA"/>
    <w:rsid w:val="009E55FF"/>
    <w:rsid w:val="009E5AAC"/>
    <w:rsid w:val="009E5B28"/>
    <w:rsid w:val="009E5E96"/>
    <w:rsid w:val="009E5FF9"/>
    <w:rsid w:val="009E61CF"/>
    <w:rsid w:val="009E631C"/>
    <w:rsid w:val="009E6479"/>
    <w:rsid w:val="009E65D9"/>
    <w:rsid w:val="009E6A5F"/>
    <w:rsid w:val="009E6A8D"/>
    <w:rsid w:val="009E6D6C"/>
    <w:rsid w:val="009E6E04"/>
    <w:rsid w:val="009E6E47"/>
    <w:rsid w:val="009E7215"/>
    <w:rsid w:val="009E7538"/>
    <w:rsid w:val="009E7696"/>
    <w:rsid w:val="009E7819"/>
    <w:rsid w:val="009E79C4"/>
    <w:rsid w:val="009E79D1"/>
    <w:rsid w:val="009E7A04"/>
    <w:rsid w:val="009E7A06"/>
    <w:rsid w:val="009E7CC6"/>
    <w:rsid w:val="009E7E13"/>
    <w:rsid w:val="009E7F08"/>
    <w:rsid w:val="009E7F5C"/>
    <w:rsid w:val="009F000A"/>
    <w:rsid w:val="009F0381"/>
    <w:rsid w:val="009F0888"/>
    <w:rsid w:val="009F0ACC"/>
    <w:rsid w:val="009F0DB6"/>
    <w:rsid w:val="009F0E91"/>
    <w:rsid w:val="009F119D"/>
    <w:rsid w:val="009F11E0"/>
    <w:rsid w:val="009F1281"/>
    <w:rsid w:val="009F1325"/>
    <w:rsid w:val="009F13F4"/>
    <w:rsid w:val="009F1463"/>
    <w:rsid w:val="009F172A"/>
    <w:rsid w:val="009F1763"/>
    <w:rsid w:val="009F193A"/>
    <w:rsid w:val="009F19BD"/>
    <w:rsid w:val="009F1A56"/>
    <w:rsid w:val="009F1C47"/>
    <w:rsid w:val="009F1E7D"/>
    <w:rsid w:val="009F2181"/>
    <w:rsid w:val="009F29F0"/>
    <w:rsid w:val="009F2C8C"/>
    <w:rsid w:val="009F2E4D"/>
    <w:rsid w:val="009F30B7"/>
    <w:rsid w:val="009F3177"/>
    <w:rsid w:val="009F31A7"/>
    <w:rsid w:val="009F31D4"/>
    <w:rsid w:val="009F32E6"/>
    <w:rsid w:val="009F3631"/>
    <w:rsid w:val="009F363C"/>
    <w:rsid w:val="009F36BD"/>
    <w:rsid w:val="009F3710"/>
    <w:rsid w:val="009F3790"/>
    <w:rsid w:val="009F3C08"/>
    <w:rsid w:val="009F3C3B"/>
    <w:rsid w:val="009F406D"/>
    <w:rsid w:val="009F429F"/>
    <w:rsid w:val="009F4323"/>
    <w:rsid w:val="009F4477"/>
    <w:rsid w:val="009F476C"/>
    <w:rsid w:val="009F4793"/>
    <w:rsid w:val="009F4883"/>
    <w:rsid w:val="009F4959"/>
    <w:rsid w:val="009F4987"/>
    <w:rsid w:val="009F49A8"/>
    <w:rsid w:val="009F4B06"/>
    <w:rsid w:val="009F4B83"/>
    <w:rsid w:val="009F4BBC"/>
    <w:rsid w:val="009F4BFC"/>
    <w:rsid w:val="009F4D97"/>
    <w:rsid w:val="009F52E4"/>
    <w:rsid w:val="009F53E1"/>
    <w:rsid w:val="009F53FC"/>
    <w:rsid w:val="009F586C"/>
    <w:rsid w:val="009F5967"/>
    <w:rsid w:val="009F5B84"/>
    <w:rsid w:val="009F5BF3"/>
    <w:rsid w:val="009F5D30"/>
    <w:rsid w:val="009F6135"/>
    <w:rsid w:val="009F64AB"/>
    <w:rsid w:val="009F668E"/>
    <w:rsid w:val="009F6B45"/>
    <w:rsid w:val="009F7088"/>
    <w:rsid w:val="009F75E2"/>
    <w:rsid w:val="009F7A7B"/>
    <w:rsid w:val="009F7A90"/>
    <w:rsid w:val="009F7B6F"/>
    <w:rsid w:val="009F7BAF"/>
    <w:rsid w:val="009F7CEB"/>
    <w:rsid w:val="009F7E25"/>
    <w:rsid w:val="00A000AD"/>
    <w:rsid w:val="00A00132"/>
    <w:rsid w:val="00A00594"/>
    <w:rsid w:val="00A00670"/>
    <w:rsid w:val="00A00B69"/>
    <w:rsid w:val="00A00B77"/>
    <w:rsid w:val="00A010B7"/>
    <w:rsid w:val="00A013C0"/>
    <w:rsid w:val="00A01685"/>
    <w:rsid w:val="00A0189B"/>
    <w:rsid w:val="00A0196C"/>
    <w:rsid w:val="00A01BA4"/>
    <w:rsid w:val="00A01CC8"/>
    <w:rsid w:val="00A01D5F"/>
    <w:rsid w:val="00A01F26"/>
    <w:rsid w:val="00A02111"/>
    <w:rsid w:val="00A02262"/>
    <w:rsid w:val="00A022A9"/>
    <w:rsid w:val="00A022AE"/>
    <w:rsid w:val="00A022F9"/>
    <w:rsid w:val="00A023DC"/>
    <w:rsid w:val="00A023F4"/>
    <w:rsid w:val="00A025BB"/>
    <w:rsid w:val="00A02878"/>
    <w:rsid w:val="00A03058"/>
    <w:rsid w:val="00A03237"/>
    <w:rsid w:val="00A03256"/>
    <w:rsid w:val="00A03258"/>
    <w:rsid w:val="00A0344F"/>
    <w:rsid w:val="00A0370A"/>
    <w:rsid w:val="00A03755"/>
    <w:rsid w:val="00A0389B"/>
    <w:rsid w:val="00A03B21"/>
    <w:rsid w:val="00A03E3E"/>
    <w:rsid w:val="00A03E5D"/>
    <w:rsid w:val="00A04018"/>
    <w:rsid w:val="00A040FD"/>
    <w:rsid w:val="00A0426A"/>
    <w:rsid w:val="00A045C7"/>
    <w:rsid w:val="00A047F4"/>
    <w:rsid w:val="00A04C0D"/>
    <w:rsid w:val="00A050C1"/>
    <w:rsid w:val="00A053F9"/>
    <w:rsid w:val="00A05688"/>
    <w:rsid w:val="00A0590D"/>
    <w:rsid w:val="00A05A64"/>
    <w:rsid w:val="00A05C5F"/>
    <w:rsid w:val="00A05CEF"/>
    <w:rsid w:val="00A05E37"/>
    <w:rsid w:val="00A05F34"/>
    <w:rsid w:val="00A0667A"/>
    <w:rsid w:val="00A06844"/>
    <w:rsid w:val="00A06923"/>
    <w:rsid w:val="00A06B69"/>
    <w:rsid w:val="00A06BC5"/>
    <w:rsid w:val="00A06BF5"/>
    <w:rsid w:val="00A06E26"/>
    <w:rsid w:val="00A06EF4"/>
    <w:rsid w:val="00A06F47"/>
    <w:rsid w:val="00A0721F"/>
    <w:rsid w:val="00A07327"/>
    <w:rsid w:val="00A075D6"/>
    <w:rsid w:val="00A07C2F"/>
    <w:rsid w:val="00A07FF6"/>
    <w:rsid w:val="00A1077D"/>
    <w:rsid w:val="00A107EF"/>
    <w:rsid w:val="00A10D47"/>
    <w:rsid w:val="00A10FBF"/>
    <w:rsid w:val="00A11368"/>
    <w:rsid w:val="00A115EF"/>
    <w:rsid w:val="00A1172A"/>
    <w:rsid w:val="00A11911"/>
    <w:rsid w:val="00A119E9"/>
    <w:rsid w:val="00A11A3A"/>
    <w:rsid w:val="00A11B59"/>
    <w:rsid w:val="00A11B5A"/>
    <w:rsid w:val="00A11E62"/>
    <w:rsid w:val="00A12018"/>
    <w:rsid w:val="00A121A5"/>
    <w:rsid w:val="00A124C1"/>
    <w:rsid w:val="00A125AE"/>
    <w:rsid w:val="00A1262B"/>
    <w:rsid w:val="00A1269E"/>
    <w:rsid w:val="00A12764"/>
    <w:rsid w:val="00A12A44"/>
    <w:rsid w:val="00A12CF9"/>
    <w:rsid w:val="00A130A6"/>
    <w:rsid w:val="00A13257"/>
    <w:rsid w:val="00A133FC"/>
    <w:rsid w:val="00A13495"/>
    <w:rsid w:val="00A135B7"/>
    <w:rsid w:val="00A13D07"/>
    <w:rsid w:val="00A13E67"/>
    <w:rsid w:val="00A14609"/>
    <w:rsid w:val="00A14847"/>
    <w:rsid w:val="00A14C02"/>
    <w:rsid w:val="00A14EEE"/>
    <w:rsid w:val="00A1540D"/>
    <w:rsid w:val="00A1544F"/>
    <w:rsid w:val="00A15468"/>
    <w:rsid w:val="00A15679"/>
    <w:rsid w:val="00A15762"/>
    <w:rsid w:val="00A15793"/>
    <w:rsid w:val="00A159BB"/>
    <w:rsid w:val="00A15C11"/>
    <w:rsid w:val="00A15DA2"/>
    <w:rsid w:val="00A15F62"/>
    <w:rsid w:val="00A15F80"/>
    <w:rsid w:val="00A15F85"/>
    <w:rsid w:val="00A162A2"/>
    <w:rsid w:val="00A1644A"/>
    <w:rsid w:val="00A1645F"/>
    <w:rsid w:val="00A1656F"/>
    <w:rsid w:val="00A16638"/>
    <w:rsid w:val="00A1696E"/>
    <w:rsid w:val="00A16B00"/>
    <w:rsid w:val="00A16C56"/>
    <w:rsid w:val="00A16C9C"/>
    <w:rsid w:val="00A16D0A"/>
    <w:rsid w:val="00A16F25"/>
    <w:rsid w:val="00A170B9"/>
    <w:rsid w:val="00A171F9"/>
    <w:rsid w:val="00A17334"/>
    <w:rsid w:val="00A17490"/>
    <w:rsid w:val="00A174A9"/>
    <w:rsid w:val="00A175D3"/>
    <w:rsid w:val="00A17727"/>
    <w:rsid w:val="00A178BD"/>
    <w:rsid w:val="00A179C8"/>
    <w:rsid w:val="00A17A57"/>
    <w:rsid w:val="00A17AC9"/>
    <w:rsid w:val="00A17E58"/>
    <w:rsid w:val="00A17EB5"/>
    <w:rsid w:val="00A20047"/>
    <w:rsid w:val="00A2015B"/>
    <w:rsid w:val="00A203AD"/>
    <w:rsid w:val="00A205F8"/>
    <w:rsid w:val="00A207F8"/>
    <w:rsid w:val="00A20B1A"/>
    <w:rsid w:val="00A20E64"/>
    <w:rsid w:val="00A20F40"/>
    <w:rsid w:val="00A20F8C"/>
    <w:rsid w:val="00A21326"/>
    <w:rsid w:val="00A2140C"/>
    <w:rsid w:val="00A216F9"/>
    <w:rsid w:val="00A21ABC"/>
    <w:rsid w:val="00A21ACB"/>
    <w:rsid w:val="00A21B6D"/>
    <w:rsid w:val="00A21DB2"/>
    <w:rsid w:val="00A21E92"/>
    <w:rsid w:val="00A222E9"/>
    <w:rsid w:val="00A22406"/>
    <w:rsid w:val="00A22870"/>
    <w:rsid w:val="00A2295B"/>
    <w:rsid w:val="00A22A39"/>
    <w:rsid w:val="00A22C04"/>
    <w:rsid w:val="00A22D27"/>
    <w:rsid w:val="00A22FC9"/>
    <w:rsid w:val="00A22FFB"/>
    <w:rsid w:val="00A230DC"/>
    <w:rsid w:val="00A2315A"/>
    <w:rsid w:val="00A23325"/>
    <w:rsid w:val="00A2349D"/>
    <w:rsid w:val="00A23544"/>
    <w:rsid w:val="00A23652"/>
    <w:rsid w:val="00A23B4B"/>
    <w:rsid w:val="00A23CDD"/>
    <w:rsid w:val="00A23D5F"/>
    <w:rsid w:val="00A2408A"/>
    <w:rsid w:val="00A241F1"/>
    <w:rsid w:val="00A24414"/>
    <w:rsid w:val="00A2451C"/>
    <w:rsid w:val="00A245FF"/>
    <w:rsid w:val="00A24764"/>
    <w:rsid w:val="00A24A7D"/>
    <w:rsid w:val="00A24E90"/>
    <w:rsid w:val="00A24EB7"/>
    <w:rsid w:val="00A25066"/>
    <w:rsid w:val="00A25350"/>
    <w:rsid w:val="00A257B5"/>
    <w:rsid w:val="00A262D7"/>
    <w:rsid w:val="00A26332"/>
    <w:rsid w:val="00A2672F"/>
    <w:rsid w:val="00A26756"/>
    <w:rsid w:val="00A26CEF"/>
    <w:rsid w:val="00A26E4A"/>
    <w:rsid w:val="00A26E7A"/>
    <w:rsid w:val="00A26F33"/>
    <w:rsid w:val="00A270CE"/>
    <w:rsid w:val="00A27139"/>
    <w:rsid w:val="00A271CC"/>
    <w:rsid w:val="00A27251"/>
    <w:rsid w:val="00A275D1"/>
    <w:rsid w:val="00A27652"/>
    <w:rsid w:val="00A277F9"/>
    <w:rsid w:val="00A278B8"/>
    <w:rsid w:val="00A27E12"/>
    <w:rsid w:val="00A27F43"/>
    <w:rsid w:val="00A3004B"/>
    <w:rsid w:val="00A30878"/>
    <w:rsid w:val="00A30AF6"/>
    <w:rsid w:val="00A30CA8"/>
    <w:rsid w:val="00A30FB7"/>
    <w:rsid w:val="00A31227"/>
    <w:rsid w:val="00A31516"/>
    <w:rsid w:val="00A315E0"/>
    <w:rsid w:val="00A3160A"/>
    <w:rsid w:val="00A31797"/>
    <w:rsid w:val="00A31A49"/>
    <w:rsid w:val="00A31C02"/>
    <w:rsid w:val="00A31DB6"/>
    <w:rsid w:val="00A32171"/>
    <w:rsid w:val="00A321F3"/>
    <w:rsid w:val="00A323FD"/>
    <w:rsid w:val="00A324FC"/>
    <w:rsid w:val="00A3268A"/>
    <w:rsid w:val="00A32846"/>
    <w:rsid w:val="00A32928"/>
    <w:rsid w:val="00A3295F"/>
    <w:rsid w:val="00A32BC2"/>
    <w:rsid w:val="00A32CB9"/>
    <w:rsid w:val="00A32DFA"/>
    <w:rsid w:val="00A32E06"/>
    <w:rsid w:val="00A331D6"/>
    <w:rsid w:val="00A3350A"/>
    <w:rsid w:val="00A335AF"/>
    <w:rsid w:val="00A33967"/>
    <w:rsid w:val="00A33B9A"/>
    <w:rsid w:val="00A33C7C"/>
    <w:rsid w:val="00A33D31"/>
    <w:rsid w:val="00A34222"/>
    <w:rsid w:val="00A3436F"/>
    <w:rsid w:val="00A34436"/>
    <w:rsid w:val="00A34480"/>
    <w:rsid w:val="00A347B9"/>
    <w:rsid w:val="00A347CD"/>
    <w:rsid w:val="00A34852"/>
    <w:rsid w:val="00A34FD8"/>
    <w:rsid w:val="00A35C21"/>
    <w:rsid w:val="00A361E4"/>
    <w:rsid w:val="00A362D5"/>
    <w:rsid w:val="00A364E7"/>
    <w:rsid w:val="00A36603"/>
    <w:rsid w:val="00A3663D"/>
    <w:rsid w:val="00A36809"/>
    <w:rsid w:val="00A369CB"/>
    <w:rsid w:val="00A36CB2"/>
    <w:rsid w:val="00A36D2D"/>
    <w:rsid w:val="00A36E9B"/>
    <w:rsid w:val="00A36FA5"/>
    <w:rsid w:val="00A370F3"/>
    <w:rsid w:val="00A37306"/>
    <w:rsid w:val="00A37452"/>
    <w:rsid w:val="00A37572"/>
    <w:rsid w:val="00A377CC"/>
    <w:rsid w:val="00A37845"/>
    <w:rsid w:val="00A37C42"/>
    <w:rsid w:val="00A37D17"/>
    <w:rsid w:val="00A4000A"/>
    <w:rsid w:val="00A40306"/>
    <w:rsid w:val="00A40599"/>
    <w:rsid w:val="00A40722"/>
    <w:rsid w:val="00A407A9"/>
    <w:rsid w:val="00A40A71"/>
    <w:rsid w:val="00A40B2C"/>
    <w:rsid w:val="00A41221"/>
    <w:rsid w:val="00A41338"/>
    <w:rsid w:val="00A4136D"/>
    <w:rsid w:val="00A41435"/>
    <w:rsid w:val="00A414D1"/>
    <w:rsid w:val="00A41540"/>
    <w:rsid w:val="00A4171F"/>
    <w:rsid w:val="00A4172E"/>
    <w:rsid w:val="00A419E2"/>
    <w:rsid w:val="00A41A6D"/>
    <w:rsid w:val="00A41BE8"/>
    <w:rsid w:val="00A41BED"/>
    <w:rsid w:val="00A41E5D"/>
    <w:rsid w:val="00A42219"/>
    <w:rsid w:val="00A42433"/>
    <w:rsid w:val="00A424B3"/>
    <w:rsid w:val="00A42658"/>
    <w:rsid w:val="00A426F5"/>
    <w:rsid w:val="00A4295D"/>
    <w:rsid w:val="00A42BF3"/>
    <w:rsid w:val="00A42C8F"/>
    <w:rsid w:val="00A42CAC"/>
    <w:rsid w:val="00A42D6B"/>
    <w:rsid w:val="00A42D6C"/>
    <w:rsid w:val="00A42ED0"/>
    <w:rsid w:val="00A43017"/>
    <w:rsid w:val="00A4335B"/>
    <w:rsid w:val="00A43533"/>
    <w:rsid w:val="00A4353B"/>
    <w:rsid w:val="00A436CA"/>
    <w:rsid w:val="00A4460A"/>
    <w:rsid w:val="00A446DC"/>
    <w:rsid w:val="00A44773"/>
    <w:rsid w:val="00A44778"/>
    <w:rsid w:val="00A447A3"/>
    <w:rsid w:val="00A44844"/>
    <w:rsid w:val="00A449F3"/>
    <w:rsid w:val="00A44B92"/>
    <w:rsid w:val="00A44D6A"/>
    <w:rsid w:val="00A44FDA"/>
    <w:rsid w:val="00A45200"/>
    <w:rsid w:val="00A4528A"/>
    <w:rsid w:val="00A45331"/>
    <w:rsid w:val="00A45378"/>
    <w:rsid w:val="00A45533"/>
    <w:rsid w:val="00A457E7"/>
    <w:rsid w:val="00A458C9"/>
    <w:rsid w:val="00A459E5"/>
    <w:rsid w:val="00A45A2E"/>
    <w:rsid w:val="00A45AEE"/>
    <w:rsid w:val="00A45B05"/>
    <w:rsid w:val="00A460B0"/>
    <w:rsid w:val="00A46206"/>
    <w:rsid w:val="00A46275"/>
    <w:rsid w:val="00A46368"/>
    <w:rsid w:val="00A463CE"/>
    <w:rsid w:val="00A466B0"/>
    <w:rsid w:val="00A46711"/>
    <w:rsid w:val="00A4691F"/>
    <w:rsid w:val="00A46EA5"/>
    <w:rsid w:val="00A471F9"/>
    <w:rsid w:val="00A47393"/>
    <w:rsid w:val="00A476DA"/>
    <w:rsid w:val="00A4772A"/>
    <w:rsid w:val="00A4775D"/>
    <w:rsid w:val="00A477E4"/>
    <w:rsid w:val="00A47827"/>
    <w:rsid w:val="00A4787C"/>
    <w:rsid w:val="00A478F1"/>
    <w:rsid w:val="00A47C60"/>
    <w:rsid w:val="00A47E24"/>
    <w:rsid w:val="00A50391"/>
    <w:rsid w:val="00A5043A"/>
    <w:rsid w:val="00A5077E"/>
    <w:rsid w:val="00A508CE"/>
    <w:rsid w:val="00A50C56"/>
    <w:rsid w:val="00A50D5E"/>
    <w:rsid w:val="00A50E68"/>
    <w:rsid w:val="00A50F6F"/>
    <w:rsid w:val="00A510DE"/>
    <w:rsid w:val="00A51207"/>
    <w:rsid w:val="00A513BA"/>
    <w:rsid w:val="00A51B23"/>
    <w:rsid w:val="00A52032"/>
    <w:rsid w:val="00A521EE"/>
    <w:rsid w:val="00A52427"/>
    <w:rsid w:val="00A52443"/>
    <w:rsid w:val="00A5289B"/>
    <w:rsid w:val="00A52F32"/>
    <w:rsid w:val="00A530A2"/>
    <w:rsid w:val="00A53305"/>
    <w:rsid w:val="00A53513"/>
    <w:rsid w:val="00A535FB"/>
    <w:rsid w:val="00A539E3"/>
    <w:rsid w:val="00A53A4B"/>
    <w:rsid w:val="00A53ABB"/>
    <w:rsid w:val="00A53BCF"/>
    <w:rsid w:val="00A53C2E"/>
    <w:rsid w:val="00A53E5C"/>
    <w:rsid w:val="00A53F22"/>
    <w:rsid w:val="00A53FA8"/>
    <w:rsid w:val="00A542E2"/>
    <w:rsid w:val="00A5433C"/>
    <w:rsid w:val="00A5434D"/>
    <w:rsid w:val="00A543DF"/>
    <w:rsid w:val="00A5449D"/>
    <w:rsid w:val="00A5453C"/>
    <w:rsid w:val="00A54901"/>
    <w:rsid w:val="00A54B0C"/>
    <w:rsid w:val="00A54C34"/>
    <w:rsid w:val="00A54DF9"/>
    <w:rsid w:val="00A54ED7"/>
    <w:rsid w:val="00A54F0D"/>
    <w:rsid w:val="00A550AE"/>
    <w:rsid w:val="00A55273"/>
    <w:rsid w:val="00A5535C"/>
    <w:rsid w:val="00A55452"/>
    <w:rsid w:val="00A55469"/>
    <w:rsid w:val="00A55610"/>
    <w:rsid w:val="00A5562D"/>
    <w:rsid w:val="00A557FE"/>
    <w:rsid w:val="00A55D66"/>
    <w:rsid w:val="00A56022"/>
    <w:rsid w:val="00A5607D"/>
    <w:rsid w:val="00A5620C"/>
    <w:rsid w:val="00A563FB"/>
    <w:rsid w:val="00A564DA"/>
    <w:rsid w:val="00A56BE5"/>
    <w:rsid w:val="00A56CC3"/>
    <w:rsid w:val="00A56DDA"/>
    <w:rsid w:val="00A56E38"/>
    <w:rsid w:val="00A56EC6"/>
    <w:rsid w:val="00A56F95"/>
    <w:rsid w:val="00A57130"/>
    <w:rsid w:val="00A571F7"/>
    <w:rsid w:val="00A575CA"/>
    <w:rsid w:val="00A577FC"/>
    <w:rsid w:val="00A579FD"/>
    <w:rsid w:val="00A57B62"/>
    <w:rsid w:val="00A57B71"/>
    <w:rsid w:val="00A6009F"/>
    <w:rsid w:val="00A600C5"/>
    <w:rsid w:val="00A60364"/>
    <w:rsid w:val="00A603B1"/>
    <w:rsid w:val="00A603CC"/>
    <w:rsid w:val="00A606FB"/>
    <w:rsid w:val="00A609C8"/>
    <w:rsid w:val="00A60B99"/>
    <w:rsid w:val="00A60C73"/>
    <w:rsid w:val="00A60DA3"/>
    <w:rsid w:val="00A61290"/>
    <w:rsid w:val="00A6129E"/>
    <w:rsid w:val="00A614AC"/>
    <w:rsid w:val="00A61601"/>
    <w:rsid w:val="00A6168C"/>
    <w:rsid w:val="00A61720"/>
    <w:rsid w:val="00A61726"/>
    <w:rsid w:val="00A6173E"/>
    <w:rsid w:val="00A617EC"/>
    <w:rsid w:val="00A6198C"/>
    <w:rsid w:val="00A619D9"/>
    <w:rsid w:val="00A61A58"/>
    <w:rsid w:val="00A61B06"/>
    <w:rsid w:val="00A61ECE"/>
    <w:rsid w:val="00A61F99"/>
    <w:rsid w:val="00A61FDA"/>
    <w:rsid w:val="00A62026"/>
    <w:rsid w:val="00A620B1"/>
    <w:rsid w:val="00A621FC"/>
    <w:rsid w:val="00A62398"/>
    <w:rsid w:val="00A62942"/>
    <w:rsid w:val="00A62A08"/>
    <w:rsid w:val="00A62E60"/>
    <w:rsid w:val="00A63202"/>
    <w:rsid w:val="00A63630"/>
    <w:rsid w:val="00A63699"/>
    <w:rsid w:val="00A63736"/>
    <w:rsid w:val="00A6374D"/>
    <w:rsid w:val="00A638DD"/>
    <w:rsid w:val="00A638E1"/>
    <w:rsid w:val="00A6390F"/>
    <w:rsid w:val="00A63A3D"/>
    <w:rsid w:val="00A63BEC"/>
    <w:rsid w:val="00A63C67"/>
    <w:rsid w:val="00A63DE6"/>
    <w:rsid w:val="00A6412D"/>
    <w:rsid w:val="00A6444E"/>
    <w:rsid w:val="00A6458C"/>
    <w:rsid w:val="00A64659"/>
    <w:rsid w:val="00A64856"/>
    <w:rsid w:val="00A6485D"/>
    <w:rsid w:val="00A64995"/>
    <w:rsid w:val="00A65051"/>
    <w:rsid w:val="00A6517D"/>
    <w:rsid w:val="00A65197"/>
    <w:rsid w:val="00A65211"/>
    <w:rsid w:val="00A65693"/>
    <w:rsid w:val="00A657C1"/>
    <w:rsid w:val="00A65938"/>
    <w:rsid w:val="00A659E1"/>
    <w:rsid w:val="00A65B15"/>
    <w:rsid w:val="00A65C1F"/>
    <w:rsid w:val="00A65D39"/>
    <w:rsid w:val="00A65ED2"/>
    <w:rsid w:val="00A66037"/>
    <w:rsid w:val="00A6603E"/>
    <w:rsid w:val="00A66239"/>
    <w:rsid w:val="00A66295"/>
    <w:rsid w:val="00A663A0"/>
    <w:rsid w:val="00A663FE"/>
    <w:rsid w:val="00A667C9"/>
    <w:rsid w:val="00A667CF"/>
    <w:rsid w:val="00A668FB"/>
    <w:rsid w:val="00A6694D"/>
    <w:rsid w:val="00A66CCC"/>
    <w:rsid w:val="00A67076"/>
    <w:rsid w:val="00A67447"/>
    <w:rsid w:val="00A674A1"/>
    <w:rsid w:val="00A674AB"/>
    <w:rsid w:val="00A674E5"/>
    <w:rsid w:val="00A67718"/>
    <w:rsid w:val="00A679AC"/>
    <w:rsid w:val="00A67C2B"/>
    <w:rsid w:val="00A67DBF"/>
    <w:rsid w:val="00A6B833"/>
    <w:rsid w:val="00A7013C"/>
    <w:rsid w:val="00A70471"/>
    <w:rsid w:val="00A7051C"/>
    <w:rsid w:val="00A709E1"/>
    <w:rsid w:val="00A70A2A"/>
    <w:rsid w:val="00A70CC7"/>
    <w:rsid w:val="00A70F20"/>
    <w:rsid w:val="00A71505"/>
    <w:rsid w:val="00A71554"/>
    <w:rsid w:val="00A7159D"/>
    <w:rsid w:val="00A715DF"/>
    <w:rsid w:val="00A7163B"/>
    <w:rsid w:val="00A7180C"/>
    <w:rsid w:val="00A718B0"/>
    <w:rsid w:val="00A71A5F"/>
    <w:rsid w:val="00A71C1B"/>
    <w:rsid w:val="00A71CDD"/>
    <w:rsid w:val="00A71F63"/>
    <w:rsid w:val="00A72986"/>
    <w:rsid w:val="00A72CFF"/>
    <w:rsid w:val="00A72D8A"/>
    <w:rsid w:val="00A72FC5"/>
    <w:rsid w:val="00A730AB"/>
    <w:rsid w:val="00A732CB"/>
    <w:rsid w:val="00A7344C"/>
    <w:rsid w:val="00A73517"/>
    <w:rsid w:val="00A735FE"/>
    <w:rsid w:val="00A73701"/>
    <w:rsid w:val="00A73A9C"/>
    <w:rsid w:val="00A73B36"/>
    <w:rsid w:val="00A73BF8"/>
    <w:rsid w:val="00A73C9F"/>
    <w:rsid w:val="00A73D12"/>
    <w:rsid w:val="00A73E2A"/>
    <w:rsid w:val="00A73E80"/>
    <w:rsid w:val="00A73FC6"/>
    <w:rsid w:val="00A7400D"/>
    <w:rsid w:val="00A740DA"/>
    <w:rsid w:val="00A74192"/>
    <w:rsid w:val="00A7420F"/>
    <w:rsid w:val="00A74417"/>
    <w:rsid w:val="00A744B7"/>
    <w:rsid w:val="00A745BE"/>
    <w:rsid w:val="00A7476F"/>
    <w:rsid w:val="00A747AA"/>
    <w:rsid w:val="00A749A6"/>
    <w:rsid w:val="00A74A42"/>
    <w:rsid w:val="00A74C42"/>
    <w:rsid w:val="00A74D1B"/>
    <w:rsid w:val="00A74D37"/>
    <w:rsid w:val="00A74EEB"/>
    <w:rsid w:val="00A74F66"/>
    <w:rsid w:val="00A75112"/>
    <w:rsid w:val="00A756A5"/>
    <w:rsid w:val="00A75709"/>
    <w:rsid w:val="00A757DE"/>
    <w:rsid w:val="00A75B14"/>
    <w:rsid w:val="00A75C1A"/>
    <w:rsid w:val="00A75DA1"/>
    <w:rsid w:val="00A75DD6"/>
    <w:rsid w:val="00A761F3"/>
    <w:rsid w:val="00A765B6"/>
    <w:rsid w:val="00A7681C"/>
    <w:rsid w:val="00A7695E"/>
    <w:rsid w:val="00A76996"/>
    <w:rsid w:val="00A76B6F"/>
    <w:rsid w:val="00A76B70"/>
    <w:rsid w:val="00A76C13"/>
    <w:rsid w:val="00A76EA4"/>
    <w:rsid w:val="00A76F6B"/>
    <w:rsid w:val="00A77192"/>
    <w:rsid w:val="00A77222"/>
    <w:rsid w:val="00A7722E"/>
    <w:rsid w:val="00A772A9"/>
    <w:rsid w:val="00A77307"/>
    <w:rsid w:val="00A7773A"/>
    <w:rsid w:val="00A77871"/>
    <w:rsid w:val="00A779AC"/>
    <w:rsid w:val="00A77B87"/>
    <w:rsid w:val="00A77BDE"/>
    <w:rsid w:val="00A77CBB"/>
    <w:rsid w:val="00A77E83"/>
    <w:rsid w:val="00A77F64"/>
    <w:rsid w:val="00A80646"/>
    <w:rsid w:val="00A8065D"/>
    <w:rsid w:val="00A8078D"/>
    <w:rsid w:val="00A807FC"/>
    <w:rsid w:val="00A80C98"/>
    <w:rsid w:val="00A80E9C"/>
    <w:rsid w:val="00A8124B"/>
    <w:rsid w:val="00A81300"/>
    <w:rsid w:val="00A81613"/>
    <w:rsid w:val="00A8164E"/>
    <w:rsid w:val="00A81698"/>
    <w:rsid w:val="00A81B0D"/>
    <w:rsid w:val="00A81B6F"/>
    <w:rsid w:val="00A81BE0"/>
    <w:rsid w:val="00A81EBF"/>
    <w:rsid w:val="00A81F82"/>
    <w:rsid w:val="00A82076"/>
    <w:rsid w:val="00A82131"/>
    <w:rsid w:val="00A8222E"/>
    <w:rsid w:val="00A82238"/>
    <w:rsid w:val="00A82437"/>
    <w:rsid w:val="00A8253C"/>
    <w:rsid w:val="00A826A5"/>
    <w:rsid w:val="00A827FE"/>
    <w:rsid w:val="00A82885"/>
    <w:rsid w:val="00A82A0A"/>
    <w:rsid w:val="00A82A6A"/>
    <w:rsid w:val="00A82B37"/>
    <w:rsid w:val="00A83221"/>
    <w:rsid w:val="00A8371C"/>
    <w:rsid w:val="00A83861"/>
    <w:rsid w:val="00A838E0"/>
    <w:rsid w:val="00A8394F"/>
    <w:rsid w:val="00A83987"/>
    <w:rsid w:val="00A83A32"/>
    <w:rsid w:val="00A83A62"/>
    <w:rsid w:val="00A83CC6"/>
    <w:rsid w:val="00A83DD8"/>
    <w:rsid w:val="00A83E03"/>
    <w:rsid w:val="00A83E4F"/>
    <w:rsid w:val="00A841B0"/>
    <w:rsid w:val="00A84298"/>
    <w:rsid w:val="00A84308"/>
    <w:rsid w:val="00A84472"/>
    <w:rsid w:val="00A8449B"/>
    <w:rsid w:val="00A84653"/>
    <w:rsid w:val="00A8472D"/>
    <w:rsid w:val="00A8497C"/>
    <w:rsid w:val="00A84ACA"/>
    <w:rsid w:val="00A84E72"/>
    <w:rsid w:val="00A84EAA"/>
    <w:rsid w:val="00A84FC2"/>
    <w:rsid w:val="00A851AD"/>
    <w:rsid w:val="00A85651"/>
    <w:rsid w:val="00A856EA"/>
    <w:rsid w:val="00A8592A"/>
    <w:rsid w:val="00A85A2B"/>
    <w:rsid w:val="00A85B8D"/>
    <w:rsid w:val="00A85CA6"/>
    <w:rsid w:val="00A85F19"/>
    <w:rsid w:val="00A86148"/>
    <w:rsid w:val="00A86259"/>
    <w:rsid w:val="00A86450"/>
    <w:rsid w:val="00A865A1"/>
    <w:rsid w:val="00A8679B"/>
    <w:rsid w:val="00A86A46"/>
    <w:rsid w:val="00A86BB5"/>
    <w:rsid w:val="00A86BD8"/>
    <w:rsid w:val="00A86D22"/>
    <w:rsid w:val="00A86D29"/>
    <w:rsid w:val="00A873B4"/>
    <w:rsid w:val="00A875D5"/>
    <w:rsid w:val="00A87715"/>
    <w:rsid w:val="00A8789B"/>
    <w:rsid w:val="00A87AC6"/>
    <w:rsid w:val="00A87D57"/>
    <w:rsid w:val="00A87D58"/>
    <w:rsid w:val="00A87E35"/>
    <w:rsid w:val="00A87F81"/>
    <w:rsid w:val="00A901C9"/>
    <w:rsid w:val="00A90293"/>
    <w:rsid w:val="00A90640"/>
    <w:rsid w:val="00A9077A"/>
    <w:rsid w:val="00A907D4"/>
    <w:rsid w:val="00A908FB"/>
    <w:rsid w:val="00A90A78"/>
    <w:rsid w:val="00A90EFF"/>
    <w:rsid w:val="00A91111"/>
    <w:rsid w:val="00A91146"/>
    <w:rsid w:val="00A91530"/>
    <w:rsid w:val="00A91A5A"/>
    <w:rsid w:val="00A91C08"/>
    <w:rsid w:val="00A91D90"/>
    <w:rsid w:val="00A91EF2"/>
    <w:rsid w:val="00A91FF0"/>
    <w:rsid w:val="00A9270A"/>
    <w:rsid w:val="00A9279E"/>
    <w:rsid w:val="00A9282B"/>
    <w:rsid w:val="00A9284F"/>
    <w:rsid w:val="00A92AF6"/>
    <w:rsid w:val="00A92E3C"/>
    <w:rsid w:val="00A93055"/>
    <w:rsid w:val="00A930E9"/>
    <w:rsid w:val="00A93169"/>
    <w:rsid w:val="00A93257"/>
    <w:rsid w:val="00A933DA"/>
    <w:rsid w:val="00A93543"/>
    <w:rsid w:val="00A93596"/>
    <w:rsid w:val="00A936CC"/>
    <w:rsid w:val="00A93838"/>
    <w:rsid w:val="00A93BAE"/>
    <w:rsid w:val="00A93E0A"/>
    <w:rsid w:val="00A93F16"/>
    <w:rsid w:val="00A93F6B"/>
    <w:rsid w:val="00A943AD"/>
    <w:rsid w:val="00A94439"/>
    <w:rsid w:val="00A94806"/>
    <w:rsid w:val="00A94A13"/>
    <w:rsid w:val="00A94AAD"/>
    <w:rsid w:val="00A94BCA"/>
    <w:rsid w:val="00A94C9F"/>
    <w:rsid w:val="00A94CF0"/>
    <w:rsid w:val="00A94DD6"/>
    <w:rsid w:val="00A94EC9"/>
    <w:rsid w:val="00A94EFC"/>
    <w:rsid w:val="00A950D1"/>
    <w:rsid w:val="00A950D2"/>
    <w:rsid w:val="00A9539F"/>
    <w:rsid w:val="00A956C7"/>
    <w:rsid w:val="00A95991"/>
    <w:rsid w:val="00A95C02"/>
    <w:rsid w:val="00A95CC8"/>
    <w:rsid w:val="00A95D1F"/>
    <w:rsid w:val="00A95E68"/>
    <w:rsid w:val="00A95F26"/>
    <w:rsid w:val="00A961D6"/>
    <w:rsid w:val="00A963DD"/>
    <w:rsid w:val="00A9644D"/>
    <w:rsid w:val="00A9646F"/>
    <w:rsid w:val="00A96472"/>
    <w:rsid w:val="00A9649E"/>
    <w:rsid w:val="00A96898"/>
    <w:rsid w:val="00A968D0"/>
    <w:rsid w:val="00A96996"/>
    <w:rsid w:val="00A96AAF"/>
    <w:rsid w:val="00A96AFA"/>
    <w:rsid w:val="00A96B2E"/>
    <w:rsid w:val="00A96B6F"/>
    <w:rsid w:val="00A96BE9"/>
    <w:rsid w:val="00A96DFC"/>
    <w:rsid w:val="00A9714D"/>
    <w:rsid w:val="00A972EB"/>
    <w:rsid w:val="00A9740A"/>
    <w:rsid w:val="00A977E6"/>
    <w:rsid w:val="00A97881"/>
    <w:rsid w:val="00A97999"/>
    <w:rsid w:val="00A97A24"/>
    <w:rsid w:val="00A97A9A"/>
    <w:rsid w:val="00A97BF9"/>
    <w:rsid w:val="00A97C58"/>
    <w:rsid w:val="00A97D30"/>
    <w:rsid w:val="00A97E2E"/>
    <w:rsid w:val="00A97E70"/>
    <w:rsid w:val="00A97F66"/>
    <w:rsid w:val="00AA00D6"/>
    <w:rsid w:val="00AA00E2"/>
    <w:rsid w:val="00AA02EF"/>
    <w:rsid w:val="00AA037C"/>
    <w:rsid w:val="00AA03D1"/>
    <w:rsid w:val="00AA07C1"/>
    <w:rsid w:val="00AA0DCF"/>
    <w:rsid w:val="00AA1026"/>
    <w:rsid w:val="00AA1044"/>
    <w:rsid w:val="00AA1681"/>
    <w:rsid w:val="00AA17DD"/>
    <w:rsid w:val="00AA186A"/>
    <w:rsid w:val="00AA1975"/>
    <w:rsid w:val="00AA1A68"/>
    <w:rsid w:val="00AA1A74"/>
    <w:rsid w:val="00AA1B72"/>
    <w:rsid w:val="00AA1C7E"/>
    <w:rsid w:val="00AA1CEE"/>
    <w:rsid w:val="00AA1DB5"/>
    <w:rsid w:val="00AA1E9F"/>
    <w:rsid w:val="00AA1EBB"/>
    <w:rsid w:val="00AA22E8"/>
    <w:rsid w:val="00AA23CB"/>
    <w:rsid w:val="00AA2472"/>
    <w:rsid w:val="00AA2899"/>
    <w:rsid w:val="00AA2955"/>
    <w:rsid w:val="00AA29C9"/>
    <w:rsid w:val="00AA2A63"/>
    <w:rsid w:val="00AA2B86"/>
    <w:rsid w:val="00AA2DD3"/>
    <w:rsid w:val="00AA2EAF"/>
    <w:rsid w:val="00AA2FA1"/>
    <w:rsid w:val="00AA2FD3"/>
    <w:rsid w:val="00AA30E1"/>
    <w:rsid w:val="00AA31AA"/>
    <w:rsid w:val="00AA341D"/>
    <w:rsid w:val="00AA3C48"/>
    <w:rsid w:val="00AA3D52"/>
    <w:rsid w:val="00AA3E1A"/>
    <w:rsid w:val="00AA3F87"/>
    <w:rsid w:val="00AA4121"/>
    <w:rsid w:val="00AA4174"/>
    <w:rsid w:val="00AA4640"/>
    <w:rsid w:val="00AA47EB"/>
    <w:rsid w:val="00AA4883"/>
    <w:rsid w:val="00AA4A0F"/>
    <w:rsid w:val="00AA4BFB"/>
    <w:rsid w:val="00AA4EBC"/>
    <w:rsid w:val="00AA51C1"/>
    <w:rsid w:val="00AA5B9A"/>
    <w:rsid w:val="00AA5CA9"/>
    <w:rsid w:val="00AA602F"/>
    <w:rsid w:val="00AA6156"/>
    <w:rsid w:val="00AA6357"/>
    <w:rsid w:val="00AA64C5"/>
    <w:rsid w:val="00AA6610"/>
    <w:rsid w:val="00AA6910"/>
    <w:rsid w:val="00AA6DB6"/>
    <w:rsid w:val="00AA6F3E"/>
    <w:rsid w:val="00AA71A4"/>
    <w:rsid w:val="00AA7249"/>
    <w:rsid w:val="00AA73AC"/>
    <w:rsid w:val="00AA7591"/>
    <w:rsid w:val="00AA7658"/>
    <w:rsid w:val="00AA7742"/>
    <w:rsid w:val="00AA793E"/>
    <w:rsid w:val="00AA79A9"/>
    <w:rsid w:val="00AA7A00"/>
    <w:rsid w:val="00AA7B77"/>
    <w:rsid w:val="00AA7BEE"/>
    <w:rsid w:val="00AA7D08"/>
    <w:rsid w:val="00AA7E9B"/>
    <w:rsid w:val="00AB0011"/>
    <w:rsid w:val="00AB00C8"/>
    <w:rsid w:val="00AB01DC"/>
    <w:rsid w:val="00AB041E"/>
    <w:rsid w:val="00AB056A"/>
    <w:rsid w:val="00AB06FF"/>
    <w:rsid w:val="00AB074C"/>
    <w:rsid w:val="00AB0ABC"/>
    <w:rsid w:val="00AB0CE9"/>
    <w:rsid w:val="00AB0DF8"/>
    <w:rsid w:val="00AB0EF0"/>
    <w:rsid w:val="00AB1443"/>
    <w:rsid w:val="00AB16B6"/>
    <w:rsid w:val="00AB1722"/>
    <w:rsid w:val="00AB1837"/>
    <w:rsid w:val="00AB184B"/>
    <w:rsid w:val="00AB187A"/>
    <w:rsid w:val="00AB18D7"/>
    <w:rsid w:val="00AB1E41"/>
    <w:rsid w:val="00AB1EBC"/>
    <w:rsid w:val="00AB1ECE"/>
    <w:rsid w:val="00AB1F21"/>
    <w:rsid w:val="00AB2006"/>
    <w:rsid w:val="00AB20FA"/>
    <w:rsid w:val="00AB2190"/>
    <w:rsid w:val="00AB2A9E"/>
    <w:rsid w:val="00AB2C88"/>
    <w:rsid w:val="00AB2CBD"/>
    <w:rsid w:val="00AB2DEF"/>
    <w:rsid w:val="00AB2F20"/>
    <w:rsid w:val="00AB2FB8"/>
    <w:rsid w:val="00AB2FCD"/>
    <w:rsid w:val="00AB3169"/>
    <w:rsid w:val="00AB32F2"/>
    <w:rsid w:val="00AB336C"/>
    <w:rsid w:val="00AB37E5"/>
    <w:rsid w:val="00AB3978"/>
    <w:rsid w:val="00AB3C3E"/>
    <w:rsid w:val="00AB3CE7"/>
    <w:rsid w:val="00AB42FC"/>
    <w:rsid w:val="00AB495F"/>
    <w:rsid w:val="00AB49C2"/>
    <w:rsid w:val="00AB4A49"/>
    <w:rsid w:val="00AB4BF9"/>
    <w:rsid w:val="00AB4CB9"/>
    <w:rsid w:val="00AB4DD1"/>
    <w:rsid w:val="00AB514A"/>
    <w:rsid w:val="00AB5312"/>
    <w:rsid w:val="00AB53A1"/>
    <w:rsid w:val="00AB544F"/>
    <w:rsid w:val="00AB56E4"/>
    <w:rsid w:val="00AB577A"/>
    <w:rsid w:val="00AB57A2"/>
    <w:rsid w:val="00AB57BD"/>
    <w:rsid w:val="00AB5912"/>
    <w:rsid w:val="00AB5D8D"/>
    <w:rsid w:val="00AB5DFF"/>
    <w:rsid w:val="00AB5F97"/>
    <w:rsid w:val="00AB6240"/>
    <w:rsid w:val="00AB62F8"/>
    <w:rsid w:val="00AB6503"/>
    <w:rsid w:val="00AB65A9"/>
    <w:rsid w:val="00AB66FA"/>
    <w:rsid w:val="00AB68CF"/>
    <w:rsid w:val="00AB6939"/>
    <w:rsid w:val="00AB6AAD"/>
    <w:rsid w:val="00AB6D34"/>
    <w:rsid w:val="00AB6D64"/>
    <w:rsid w:val="00AB6E2E"/>
    <w:rsid w:val="00AB6EEF"/>
    <w:rsid w:val="00AB6F47"/>
    <w:rsid w:val="00AB6FAA"/>
    <w:rsid w:val="00AB7700"/>
    <w:rsid w:val="00AB7702"/>
    <w:rsid w:val="00AB7805"/>
    <w:rsid w:val="00AB78D8"/>
    <w:rsid w:val="00AB7A7D"/>
    <w:rsid w:val="00AB7D16"/>
    <w:rsid w:val="00AB7FF9"/>
    <w:rsid w:val="00AC0082"/>
    <w:rsid w:val="00AC0083"/>
    <w:rsid w:val="00AC01AD"/>
    <w:rsid w:val="00AC032C"/>
    <w:rsid w:val="00AC03C4"/>
    <w:rsid w:val="00AC0541"/>
    <w:rsid w:val="00AC05FE"/>
    <w:rsid w:val="00AC0BA0"/>
    <w:rsid w:val="00AC0D4B"/>
    <w:rsid w:val="00AC17FD"/>
    <w:rsid w:val="00AC1867"/>
    <w:rsid w:val="00AC1E12"/>
    <w:rsid w:val="00AC229E"/>
    <w:rsid w:val="00AC252B"/>
    <w:rsid w:val="00AC26EE"/>
    <w:rsid w:val="00AC276C"/>
    <w:rsid w:val="00AC2801"/>
    <w:rsid w:val="00AC2B8D"/>
    <w:rsid w:val="00AC2D2E"/>
    <w:rsid w:val="00AC2E5C"/>
    <w:rsid w:val="00AC30F7"/>
    <w:rsid w:val="00AC31A7"/>
    <w:rsid w:val="00AC32A7"/>
    <w:rsid w:val="00AC33DB"/>
    <w:rsid w:val="00AC3AE1"/>
    <w:rsid w:val="00AC3B34"/>
    <w:rsid w:val="00AC3BF9"/>
    <w:rsid w:val="00AC3EDC"/>
    <w:rsid w:val="00AC4810"/>
    <w:rsid w:val="00AC4907"/>
    <w:rsid w:val="00AC49F5"/>
    <w:rsid w:val="00AC4C6B"/>
    <w:rsid w:val="00AC4CEE"/>
    <w:rsid w:val="00AC4D91"/>
    <w:rsid w:val="00AC4E6F"/>
    <w:rsid w:val="00AC504C"/>
    <w:rsid w:val="00AC50E3"/>
    <w:rsid w:val="00AC5127"/>
    <w:rsid w:val="00AC512D"/>
    <w:rsid w:val="00AC5530"/>
    <w:rsid w:val="00AC554F"/>
    <w:rsid w:val="00AC567A"/>
    <w:rsid w:val="00AC56D7"/>
    <w:rsid w:val="00AC5737"/>
    <w:rsid w:val="00AC5776"/>
    <w:rsid w:val="00AC59CF"/>
    <w:rsid w:val="00AC59EF"/>
    <w:rsid w:val="00AC5BF6"/>
    <w:rsid w:val="00AC5DB0"/>
    <w:rsid w:val="00AC5DC6"/>
    <w:rsid w:val="00AC6198"/>
    <w:rsid w:val="00AC6260"/>
    <w:rsid w:val="00AC6500"/>
    <w:rsid w:val="00AC6556"/>
    <w:rsid w:val="00AC6819"/>
    <w:rsid w:val="00AC6869"/>
    <w:rsid w:val="00AC6AC6"/>
    <w:rsid w:val="00AC6DF4"/>
    <w:rsid w:val="00AC6E3B"/>
    <w:rsid w:val="00AC76A8"/>
    <w:rsid w:val="00AC7A1B"/>
    <w:rsid w:val="00AC7CF9"/>
    <w:rsid w:val="00AC7D76"/>
    <w:rsid w:val="00AC7DCE"/>
    <w:rsid w:val="00AC7E62"/>
    <w:rsid w:val="00AD01D0"/>
    <w:rsid w:val="00AD057E"/>
    <w:rsid w:val="00AD068D"/>
    <w:rsid w:val="00AD0709"/>
    <w:rsid w:val="00AD07F5"/>
    <w:rsid w:val="00AD08FB"/>
    <w:rsid w:val="00AD0EDC"/>
    <w:rsid w:val="00AD1063"/>
    <w:rsid w:val="00AD1147"/>
    <w:rsid w:val="00AD11B0"/>
    <w:rsid w:val="00AD12C7"/>
    <w:rsid w:val="00AD145E"/>
    <w:rsid w:val="00AD148C"/>
    <w:rsid w:val="00AD15EA"/>
    <w:rsid w:val="00AD1867"/>
    <w:rsid w:val="00AD1CA3"/>
    <w:rsid w:val="00AD1F23"/>
    <w:rsid w:val="00AD1F43"/>
    <w:rsid w:val="00AD2167"/>
    <w:rsid w:val="00AD2895"/>
    <w:rsid w:val="00AD2BA7"/>
    <w:rsid w:val="00AD2C01"/>
    <w:rsid w:val="00AD3100"/>
    <w:rsid w:val="00AD32A6"/>
    <w:rsid w:val="00AD350F"/>
    <w:rsid w:val="00AD35BC"/>
    <w:rsid w:val="00AD396F"/>
    <w:rsid w:val="00AD3B89"/>
    <w:rsid w:val="00AD3B8B"/>
    <w:rsid w:val="00AD3E70"/>
    <w:rsid w:val="00AD3ED5"/>
    <w:rsid w:val="00AD4194"/>
    <w:rsid w:val="00AD444C"/>
    <w:rsid w:val="00AD4613"/>
    <w:rsid w:val="00AD4652"/>
    <w:rsid w:val="00AD4730"/>
    <w:rsid w:val="00AD4A25"/>
    <w:rsid w:val="00AD4B88"/>
    <w:rsid w:val="00AD4CFE"/>
    <w:rsid w:val="00AD51C9"/>
    <w:rsid w:val="00AD542F"/>
    <w:rsid w:val="00AD54D1"/>
    <w:rsid w:val="00AD55D7"/>
    <w:rsid w:val="00AD58F3"/>
    <w:rsid w:val="00AD5B78"/>
    <w:rsid w:val="00AD5EB5"/>
    <w:rsid w:val="00AD5EE8"/>
    <w:rsid w:val="00AD5FBD"/>
    <w:rsid w:val="00AD62F2"/>
    <w:rsid w:val="00AD63A8"/>
    <w:rsid w:val="00AD64CD"/>
    <w:rsid w:val="00AD6515"/>
    <w:rsid w:val="00AD6542"/>
    <w:rsid w:val="00AD659D"/>
    <w:rsid w:val="00AD70E8"/>
    <w:rsid w:val="00AD769A"/>
    <w:rsid w:val="00AD7743"/>
    <w:rsid w:val="00AD7C60"/>
    <w:rsid w:val="00AD7F13"/>
    <w:rsid w:val="00AD7FFD"/>
    <w:rsid w:val="00AE0110"/>
    <w:rsid w:val="00AE058A"/>
    <w:rsid w:val="00AE07B4"/>
    <w:rsid w:val="00AE08FF"/>
    <w:rsid w:val="00AE096D"/>
    <w:rsid w:val="00AE0E0F"/>
    <w:rsid w:val="00AE0EEC"/>
    <w:rsid w:val="00AE0F58"/>
    <w:rsid w:val="00AE0FE3"/>
    <w:rsid w:val="00AE102A"/>
    <w:rsid w:val="00AE10EF"/>
    <w:rsid w:val="00AE1902"/>
    <w:rsid w:val="00AE19F6"/>
    <w:rsid w:val="00AE1D0D"/>
    <w:rsid w:val="00AE1DBF"/>
    <w:rsid w:val="00AE2598"/>
    <w:rsid w:val="00AE2893"/>
    <w:rsid w:val="00AE2A68"/>
    <w:rsid w:val="00AE3379"/>
    <w:rsid w:val="00AE3630"/>
    <w:rsid w:val="00AE36AC"/>
    <w:rsid w:val="00AE37B4"/>
    <w:rsid w:val="00AE3A06"/>
    <w:rsid w:val="00AE3A5A"/>
    <w:rsid w:val="00AE3BA2"/>
    <w:rsid w:val="00AE3BF6"/>
    <w:rsid w:val="00AE3DB7"/>
    <w:rsid w:val="00AE3E04"/>
    <w:rsid w:val="00AE40A9"/>
    <w:rsid w:val="00AE418A"/>
    <w:rsid w:val="00AE43D5"/>
    <w:rsid w:val="00AE445E"/>
    <w:rsid w:val="00AE45AA"/>
    <w:rsid w:val="00AE4642"/>
    <w:rsid w:val="00AE4B2E"/>
    <w:rsid w:val="00AE4B42"/>
    <w:rsid w:val="00AE4BFE"/>
    <w:rsid w:val="00AE4D6B"/>
    <w:rsid w:val="00AE4E4D"/>
    <w:rsid w:val="00AE4F5E"/>
    <w:rsid w:val="00AE51D1"/>
    <w:rsid w:val="00AE5313"/>
    <w:rsid w:val="00AE573D"/>
    <w:rsid w:val="00AE5AC3"/>
    <w:rsid w:val="00AE5D65"/>
    <w:rsid w:val="00AE5DB9"/>
    <w:rsid w:val="00AE613C"/>
    <w:rsid w:val="00AE6362"/>
    <w:rsid w:val="00AE63FE"/>
    <w:rsid w:val="00AE6421"/>
    <w:rsid w:val="00AE64D4"/>
    <w:rsid w:val="00AE64F3"/>
    <w:rsid w:val="00AE6963"/>
    <w:rsid w:val="00AE6AEA"/>
    <w:rsid w:val="00AE6CA8"/>
    <w:rsid w:val="00AE6D2A"/>
    <w:rsid w:val="00AE6F2D"/>
    <w:rsid w:val="00AE72A4"/>
    <w:rsid w:val="00AE76D1"/>
    <w:rsid w:val="00AE772D"/>
    <w:rsid w:val="00AE7CA7"/>
    <w:rsid w:val="00AE7F82"/>
    <w:rsid w:val="00AF049A"/>
    <w:rsid w:val="00AF04E2"/>
    <w:rsid w:val="00AF0671"/>
    <w:rsid w:val="00AF08BA"/>
    <w:rsid w:val="00AF0A48"/>
    <w:rsid w:val="00AF0D89"/>
    <w:rsid w:val="00AF0DF9"/>
    <w:rsid w:val="00AF0EA9"/>
    <w:rsid w:val="00AF0FD2"/>
    <w:rsid w:val="00AF1139"/>
    <w:rsid w:val="00AF1286"/>
    <w:rsid w:val="00AF163F"/>
    <w:rsid w:val="00AF17A6"/>
    <w:rsid w:val="00AF197A"/>
    <w:rsid w:val="00AF1A88"/>
    <w:rsid w:val="00AF1BF1"/>
    <w:rsid w:val="00AF1D6E"/>
    <w:rsid w:val="00AF1E05"/>
    <w:rsid w:val="00AF1F22"/>
    <w:rsid w:val="00AF1F79"/>
    <w:rsid w:val="00AF20A9"/>
    <w:rsid w:val="00AF2319"/>
    <w:rsid w:val="00AF231A"/>
    <w:rsid w:val="00AF238F"/>
    <w:rsid w:val="00AF2584"/>
    <w:rsid w:val="00AF29FD"/>
    <w:rsid w:val="00AF2D84"/>
    <w:rsid w:val="00AF313E"/>
    <w:rsid w:val="00AF31A4"/>
    <w:rsid w:val="00AF32D5"/>
    <w:rsid w:val="00AF33ED"/>
    <w:rsid w:val="00AF38EF"/>
    <w:rsid w:val="00AF3980"/>
    <w:rsid w:val="00AF3989"/>
    <w:rsid w:val="00AF3B00"/>
    <w:rsid w:val="00AF3BE0"/>
    <w:rsid w:val="00AF3F1C"/>
    <w:rsid w:val="00AF42A8"/>
    <w:rsid w:val="00AF45CF"/>
    <w:rsid w:val="00AF45E9"/>
    <w:rsid w:val="00AF475D"/>
    <w:rsid w:val="00AF4A20"/>
    <w:rsid w:val="00AF4BE4"/>
    <w:rsid w:val="00AF4C16"/>
    <w:rsid w:val="00AF4DD9"/>
    <w:rsid w:val="00AF4E35"/>
    <w:rsid w:val="00AF522E"/>
    <w:rsid w:val="00AF559E"/>
    <w:rsid w:val="00AF582A"/>
    <w:rsid w:val="00AF5845"/>
    <w:rsid w:val="00AF59AC"/>
    <w:rsid w:val="00AF59E1"/>
    <w:rsid w:val="00AF5BDC"/>
    <w:rsid w:val="00AF5D4B"/>
    <w:rsid w:val="00AF5D51"/>
    <w:rsid w:val="00AF5ED8"/>
    <w:rsid w:val="00AF6038"/>
    <w:rsid w:val="00AF60CB"/>
    <w:rsid w:val="00AF62A5"/>
    <w:rsid w:val="00AF6326"/>
    <w:rsid w:val="00AF6412"/>
    <w:rsid w:val="00AF6585"/>
    <w:rsid w:val="00AF6801"/>
    <w:rsid w:val="00AF68CC"/>
    <w:rsid w:val="00AF69EA"/>
    <w:rsid w:val="00AF6B77"/>
    <w:rsid w:val="00AF6D04"/>
    <w:rsid w:val="00AF6E37"/>
    <w:rsid w:val="00AF6F9F"/>
    <w:rsid w:val="00AF6FB0"/>
    <w:rsid w:val="00AF7016"/>
    <w:rsid w:val="00AF7178"/>
    <w:rsid w:val="00AF7274"/>
    <w:rsid w:val="00AF7383"/>
    <w:rsid w:val="00AF73C7"/>
    <w:rsid w:val="00AF7449"/>
    <w:rsid w:val="00AF75EA"/>
    <w:rsid w:val="00AF7703"/>
    <w:rsid w:val="00AF78F5"/>
    <w:rsid w:val="00AF7BF2"/>
    <w:rsid w:val="00AF7CEA"/>
    <w:rsid w:val="00AF7D62"/>
    <w:rsid w:val="00AF7D68"/>
    <w:rsid w:val="00AF7EAB"/>
    <w:rsid w:val="00AF7F01"/>
    <w:rsid w:val="00B002A4"/>
    <w:rsid w:val="00B0031A"/>
    <w:rsid w:val="00B00345"/>
    <w:rsid w:val="00B00B0C"/>
    <w:rsid w:val="00B00DC9"/>
    <w:rsid w:val="00B00E30"/>
    <w:rsid w:val="00B00F27"/>
    <w:rsid w:val="00B00F81"/>
    <w:rsid w:val="00B01170"/>
    <w:rsid w:val="00B0118E"/>
    <w:rsid w:val="00B01838"/>
    <w:rsid w:val="00B01B40"/>
    <w:rsid w:val="00B01B71"/>
    <w:rsid w:val="00B01B80"/>
    <w:rsid w:val="00B01BBE"/>
    <w:rsid w:val="00B01C3D"/>
    <w:rsid w:val="00B01FD1"/>
    <w:rsid w:val="00B02286"/>
    <w:rsid w:val="00B0230D"/>
    <w:rsid w:val="00B023B9"/>
    <w:rsid w:val="00B02505"/>
    <w:rsid w:val="00B02A0C"/>
    <w:rsid w:val="00B02B57"/>
    <w:rsid w:val="00B02FD3"/>
    <w:rsid w:val="00B0328E"/>
    <w:rsid w:val="00B033F3"/>
    <w:rsid w:val="00B0375A"/>
    <w:rsid w:val="00B03844"/>
    <w:rsid w:val="00B03BEA"/>
    <w:rsid w:val="00B03C1F"/>
    <w:rsid w:val="00B03EC2"/>
    <w:rsid w:val="00B04344"/>
    <w:rsid w:val="00B04490"/>
    <w:rsid w:val="00B04500"/>
    <w:rsid w:val="00B04653"/>
    <w:rsid w:val="00B0492E"/>
    <w:rsid w:val="00B04B62"/>
    <w:rsid w:val="00B04CB6"/>
    <w:rsid w:val="00B04D64"/>
    <w:rsid w:val="00B0510C"/>
    <w:rsid w:val="00B0522C"/>
    <w:rsid w:val="00B0527B"/>
    <w:rsid w:val="00B0529B"/>
    <w:rsid w:val="00B0537D"/>
    <w:rsid w:val="00B0548A"/>
    <w:rsid w:val="00B0557D"/>
    <w:rsid w:val="00B055CC"/>
    <w:rsid w:val="00B0560C"/>
    <w:rsid w:val="00B05923"/>
    <w:rsid w:val="00B05A6C"/>
    <w:rsid w:val="00B05CD6"/>
    <w:rsid w:val="00B05E21"/>
    <w:rsid w:val="00B05FD4"/>
    <w:rsid w:val="00B06046"/>
    <w:rsid w:val="00B06115"/>
    <w:rsid w:val="00B0613C"/>
    <w:rsid w:val="00B0658A"/>
    <w:rsid w:val="00B067B2"/>
    <w:rsid w:val="00B0695A"/>
    <w:rsid w:val="00B06CE8"/>
    <w:rsid w:val="00B06D18"/>
    <w:rsid w:val="00B06D95"/>
    <w:rsid w:val="00B06E68"/>
    <w:rsid w:val="00B06ED6"/>
    <w:rsid w:val="00B06F73"/>
    <w:rsid w:val="00B07272"/>
    <w:rsid w:val="00B0739F"/>
    <w:rsid w:val="00B07553"/>
    <w:rsid w:val="00B078B2"/>
    <w:rsid w:val="00B07935"/>
    <w:rsid w:val="00B07A2F"/>
    <w:rsid w:val="00B07AEC"/>
    <w:rsid w:val="00B07CFB"/>
    <w:rsid w:val="00B07D55"/>
    <w:rsid w:val="00B0CF91"/>
    <w:rsid w:val="00B0D56A"/>
    <w:rsid w:val="00B0DE6F"/>
    <w:rsid w:val="00B100BC"/>
    <w:rsid w:val="00B10316"/>
    <w:rsid w:val="00B10646"/>
    <w:rsid w:val="00B1080A"/>
    <w:rsid w:val="00B10BA3"/>
    <w:rsid w:val="00B10E0C"/>
    <w:rsid w:val="00B1108F"/>
    <w:rsid w:val="00B110C8"/>
    <w:rsid w:val="00B111AE"/>
    <w:rsid w:val="00B11216"/>
    <w:rsid w:val="00B1123B"/>
    <w:rsid w:val="00B11424"/>
    <w:rsid w:val="00B11456"/>
    <w:rsid w:val="00B11667"/>
    <w:rsid w:val="00B116A3"/>
    <w:rsid w:val="00B1171D"/>
    <w:rsid w:val="00B1176A"/>
    <w:rsid w:val="00B117AC"/>
    <w:rsid w:val="00B119CD"/>
    <w:rsid w:val="00B11C84"/>
    <w:rsid w:val="00B11D89"/>
    <w:rsid w:val="00B11EA0"/>
    <w:rsid w:val="00B11FC6"/>
    <w:rsid w:val="00B121DC"/>
    <w:rsid w:val="00B1235F"/>
    <w:rsid w:val="00B12501"/>
    <w:rsid w:val="00B127D9"/>
    <w:rsid w:val="00B12802"/>
    <w:rsid w:val="00B12A91"/>
    <w:rsid w:val="00B12BFF"/>
    <w:rsid w:val="00B12C02"/>
    <w:rsid w:val="00B12CF0"/>
    <w:rsid w:val="00B12F4A"/>
    <w:rsid w:val="00B12FB9"/>
    <w:rsid w:val="00B1305F"/>
    <w:rsid w:val="00B132AA"/>
    <w:rsid w:val="00B13338"/>
    <w:rsid w:val="00B1339D"/>
    <w:rsid w:val="00B13515"/>
    <w:rsid w:val="00B136CC"/>
    <w:rsid w:val="00B1382F"/>
    <w:rsid w:val="00B13906"/>
    <w:rsid w:val="00B13BA7"/>
    <w:rsid w:val="00B13EC9"/>
    <w:rsid w:val="00B13FC5"/>
    <w:rsid w:val="00B140DC"/>
    <w:rsid w:val="00B14327"/>
    <w:rsid w:val="00B143B9"/>
    <w:rsid w:val="00B14850"/>
    <w:rsid w:val="00B148D3"/>
    <w:rsid w:val="00B14A57"/>
    <w:rsid w:val="00B14BC7"/>
    <w:rsid w:val="00B14DC3"/>
    <w:rsid w:val="00B151F9"/>
    <w:rsid w:val="00B1542E"/>
    <w:rsid w:val="00B15489"/>
    <w:rsid w:val="00B1567D"/>
    <w:rsid w:val="00B15792"/>
    <w:rsid w:val="00B15A46"/>
    <w:rsid w:val="00B15A8B"/>
    <w:rsid w:val="00B15EA5"/>
    <w:rsid w:val="00B162B6"/>
    <w:rsid w:val="00B16597"/>
    <w:rsid w:val="00B16679"/>
    <w:rsid w:val="00B168E9"/>
    <w:rsid w:val="00B16E7E"/>
    <w:rsid w:val="00B16E95"/>
    <w:rsid w:val="00B1735D"/>
    <w:rsid w:val="00B174B3"/>
    <w:rsid w:val="00B1762E"/>
    <w:rsid w:val="00B17FB8"/>
    <w:rsid w:val="00B17FDB"/>
    <w:rsid w:val="00B200F2"/>
    <w:rsid w:val="00B200F8"/>
    <w:rsid w:val="00B20691"/>
    <w:rsid w:val="00B20763"/>
    <w:rsid w:val="00B20941"/>
    <w:rsid w:val="00B21009"/>
    <w:rsid w:val="00B2138A"/>
    <w:rsid w:val="00B2189C"/>
    <w:rsid w:val="00B219CA"/>
    <w:rsid w:val="00B219E2"/>
    <w:rsid w:val="00B21BB1"/>
    <w:rsid w:val="00B21E71"/>
    <w:rsid w:val="00B22005"/>
    <w:rsid w:val="00B22101"/>
    <w:rsid w:val="00B22352"/>
    <w:rsid w:val="00B223C1"/>
    <w:rsid w:val="00B22582"/>
    <w:rsid w:val="00B225C3"/>
    <w:rsid w:val="00B225D0"/>
    <w:rsid w:val="00B22866"/>
    <w:rsid w:val="00B22A72"/>
    <w:rsid w:val="00B22AF0"/>
    <w:rsid w:val="00B22AFC"/>
    <w:rsid w:val="00B22B8D"/>
    <w:rsid w:val="00B22BBD"/>
    <w:rsid w:val="00B22C76"/>
    <w:rsid w:val="00B22E4C"/>
    <w:rsid w:val="00B2345F"/>
    <w:rsid w:val="00B235C9"/>
    <w:rsid w:val="00B23714"/>
    <w:rsid w:val="00B2384B"/>
    <w:rsid w:val="00B23AF6"/>
    <w:rsid w:val="00B23D1C"/>
    <w:rsid w:val="00B23F30"/>
    <w:rsid w:val="00B24018"/>
    <w:rsid w:val="00B241A7"/>
    <w:rsid w:val="00B241D4"/>
    <w:rsid w:val="00B2445C"/>
    <w:rsid w:val="00B24562"/>
    <w:rsid w:val="00B245EF"/>
    <w:rsid w:val="00B24603"/>
    <w:rsid w:val="00B24895"/>
    <w:rsid w:val="00B24929"/>
    <w:rsid w:val="00B24999"/>
    <w:rsid w:val="00B24B8C"/>
    <w:rsid w:val="00B24C68"/>
    <w:rsid w:val="00B24CB5"/>
    <w:rsid w:val="00B24D2D"/>
    <w:rsid w:val="00B24DD7"/>
    <w:rsid w:val="00B24E22"/>
    <w:rsid w:val="00B24EA6"/>
    <w:rsid w:val="00B24FBB"/>
    <w:rsid w:val="00B25039"/>
    <w:rsid w:val="00B25161"/>
    <w:rsid w:val="00B25189"/>
    <w:rsid w:val="00B251B7"/>
    <w:rsid w:val="00B25312"/>
    <w:rsid w:val="00B253B4"/>
    <w:rsid w:val="00B25499"/>
    <w:rsid w:val="00B257D8"/>
    <w:rsid w:val="00B259DF"/>
    <w:rsid w:val="00B25C2B"/>
    <w:rsid w:val="00B25D68"/>
    <w:rsid w:val="00B26350"/>
    <w:rsid w:val="00B265E0"/>
    <w:rsid w:val="00B2664E"/>
    <w:rsid w:val="00B26E1D"/>
    <w:rsid w:val="00B26EB0"/>
    <w:rsid w:val="00B26F1C"/>
    <w:rsid w:val="00B26FC2"/>
    <w:rsid w:val="00B2757B"/>
    <w:rsid w:val="00B2777B"/>
    <w:rsid w:val="00B27BB0"/>
    <w:rsid w:val="00B27C05"/>
    <w:rsid w:val="00B27E15"/>
    <w:rsid w:val="00B30120"/>
    <w:rsid w:val="00B3018B"/>
    <w:rsid w:val="00B302B3"/>
    <w:rsid w:val="00B306F7"/>
    <w:rsid w:val="00B3070E"/>
    <w:rsid w:val="00B3082A"/>
    <w:rsid w:val="00B30838"/>
    <w:rsid w:val="00B30AD6"/>
    <w:rsid w:val="00B30AF3"/>
    <w:rsid w:val="00B30C79"/>
    <w:rsid w:val="00B30D73"/>
    <w:rsid w:val="00B30F10"/>
    <w:rsid w:val="00B30F4D"/>
    <w:rsid w:val="00B30FCE"/>
    <w:rsid w:val="00B312F3"/>
    <w:rsid w:val="00B31818"/>
    <w:rsid w:val="00B31E3C"/>
    <w:rsid w:val="00B31F99"/>
    <w:rsid w:val="00B31FF0"/>
    <w:rsid w:val="00B320EA"/>
    <w:rsid w:val="00B32203"/>
    <w:rsid w:val="00B32355"/>
    <w:rsid w:val="00B32414"/>
    <w:rsid w:val="00B32521"/>
    <w:rsid w:val="00B3253F"/>
    <w:rsid w:val="00B32562"/>
    <w:rsid w:val="00B329D7"/>
    <w:rsid w:val="00B329F6"/>
    <w:rsid w:val="00B32CFE"/>
    <w:rsid w:val="00B32D28"/>
    <w:rsid w:val="00B32EB3"/>
    <w:rsid w:val="00B33225"/>
    <w:rsid w:val="00B3329F"/>
    <w:rsid w:val="00B33560"/>
    <w:rsid w:val="00B33914"/>
    <w:rsid w:val="00B33C62"/>
    <w:rsid w:val="00B33D16"/>
    <w:rsid w:val="00B33D70"/>
    <w:rsid w:val="00B33DBC"/>
    <w:rsid w:val="00B33DBE"/>
    <w:rsid w:val="00B33DE4"/>
    <w:rsid w:val="00B34216"/>
    <w:rsid w:val="00B34506"/>
    <w:rsid w:val="00B34925"/>
    <w:rsid w:val="00B34C7F"/>
    <w:rsid w:val="00B34D12"/>
    <w:rsid w:val="00B34DAD"/>
    <w:rsid w:val="00B34FDE"/>
    <w:rsid w:val="00B350B7"/>
    <w:rsid w:val="00B35272"/>
    <w:rsid w:val="00B35335"/>
    <w:rsid w:val="00B355F1"/>
    <w:rsid w:val="00B356AC"/>
    <w:rsid w:val="00B35D2B"/>
    <w:rsid w:val="00B360D1"/>
    <w:rsid w:val="00B36598"/>
    <w:rsid w:val="00B3667D"/>
    <w:rsid w:val="00B367E2"/>
    <w:rsid w:val="00B36AFE"/>
    <w:rsid w:val="00B36C69"/>
    <w:rsid w:val="00B36D3A"/>
    <w:rsid w:val="00B36E8F"/>
    <w:rsid w:val="00B3704D"/>
    <w:rsid w:val="00B37236"/>
    <w:rsid w:val="00B37339"/>
    <w:rsid w:val="00B3734F"/>
    <w:rsid w:val="00B37866"/>
    <w:rsid w:val="00B37ADC"/>
    <w:rsid w:val="00B4014D"/>
    <w:rsid w:val="00B40425"/>
    <w:rsid w:val="00B40704"/>
    <w:rsid w:val="00B4078C"/>
    <w:rsid w:val="00B407C3"/>
    <w:rsid w:val="00B407C8"/>
    <w:rsid w:val="00B4149F"/>
    <w:rsid w:val="00B4155B"/>
    <w:rsid w:val="00B41578"/>
    <w:rsid w:val="00B4162D"/>
    <w:rsid w:val="00B417E0"/>
    <w:rsid w:val="00B4197F"/>
    <w:rsid w:val="00B41AB6"/>
    <w:rsid w:val="00B41DBD"/>
    <w:rsid w:val="00B420A9"/>
    <w:rsid w:val="00B4220C"/>
    <w:rsid w:val="00B42557"/>
    <w:rsid w:val="00B42629"/>
    <w:rsid w:val="00B42986"/>
    <w:rsid w:val="00B42ECF"/>
    <w:rsid w:val="00B42FA1"/>
    <w:rsid w:val="00B43121"/>
    <w:rsid w:val="00B43172"/>
    <w:rsid w:val="00B433B7"/>
    <w:rsid w:val="00B433B8"/>
    <w:rsid w:val="00B43581"/>
    <w:rsid w:val="00B437AC"/>
    <w:rsid w:val="00B43961"/>
    <w:rsid w:val="00B43B1C"/>
    <w:rsid w:val="00B44132"/>
    <w:rsid w:val="00B441C7"/>
    <w:rsid w:val="00B442F2"/>
    <w:rsid w:val="00B44550"/>
    <w:rsid w:val="00B446B2"/>
    <w:rsid w:val="00B446C2"/>
    <w:rsid w:val="00B44A87"/>
    <w:rsid w:val="00B44B16"/>
    <w:rsid w:val="00B44BCA"/>
    <w:rsid w:val="00B44D38"/>
    <w:rsid w:val="00B44EEF"/>
    <w:rsid w:val="00B44F37"/>
    <w:rsid w:val="00B45038"/>
    <w:rsid w:val="00B450AB"/>
    <w:rsid w:val="00B45184"/>
    <w:rsid w:val="00B452EE"/>
    <w:rsid w:val="00B4542F"/>
    <w:rsid w:val="00B454BD"/>
    <w:rsid w:val="00B454EA"/>
    <w:rsid w:val="00B45761"/>
    <w:rsid w:val="00B45764"/>
    <w:rsid w:val="00B45852"/>
    <w:rsid w:val="00B45E22"/>
    <w:rsid w:val="00B45F6F"/>
    <w:rsid w:val="00B46389"/>
    <w:rsid w:val="00B46425"/>
    <w:rsid w:val="00B4656A"/>
    <w:rsid w:val="00B467FA"/>
    <w:rsid w:val="00B46BE8"/>
    <w:rsid w:val="00B46E77"/>
    <w:rsid w:val="00B46F06"/>
    <w:rsid w:val="00B46F41"/>
    <w:rsid w:val="00B47067"/>
    <w:rsid w:val="00B4708C"/>
    <w:rsid w:val="00B470ED"/>
    <w:rsid w:val="00B47134"/>
    <w:rsid w:val="00B47140"/>
    <w:rsid w:val="00B471DF"/>
    <w:rsid w:val="00B47631"/>
    <w:rsid w:val="00B47B0C"/>
    <w:rsid w:val="00B47C6C"/>
    <w:rsid w:val="00B47F77"/>
    <w:rsid w:val="00B47F8F"/>
    <w:rsid w:val="00B4F734"/>
    <w:rsid w:val="00B5073F"/>
    <w:rsid w:val="00B50BD5"/>
    <w:rsid w:val="00B50EEA"/>
    <w:rsid w:val="00B51226"/>
    <w:rsid w:val="00B5128D"/>
    <w:rsid w:val="00B5190C"/>
    <w:rsid w:val="00B5195D"/>
    <w:rsid w:val="00B51FBE"/>
    <w:rsid w:val="00B52962"/>
    <w:rsid w:val="00B52AA9"/>
    <w:rsid w:val="00B52C7E"/>
    <w:rsid w:val="00B52D11"/>
    <w:rsid w:val="00B52D99"/>
    <w:rsid w:val="00B52DC9"/>
    <w:rsid w:val="00B52F85"/>
    <w:rsid w:val="00B537E5"/>
    <w:rsid w:val="00B53AC2"/>
    <w:rsid w:val="00B53D37"/>
    <w:rsid w:val="00B53DFC"/>
    <w:rsid w:val="00B54187"/>
    <w:rsid w:val="00B541C1"/>
    <w:rsid w:val="00B54238"/>
    <w:rsid w:val="00B54659"/>
    <w:rsid w:val="00B54E3C"/>
    <w:rsid w:val="00B54F4B"/>
    <w:rsid w:val="00B550E0"/>
    <w:rsid w:val="00B550EC"/>
    <w:rsid w:val="00B55351"/>
    <w:rsid w:val="00B554B9"/>
    <w:rsid w:val="00B55725"/>
    <w:rsid w:val="00B557CF"/>
    <w:rsid w:val="00B55833"/>
    <w:rsid w:val="00B55887"/>
    <w:rsid w:val="00B558AC"/>
    <w:rsid w:val="00B55B96"/>
    <w:rsid w:val="00B55C69"/>
    <w:rsid w:val="00B55CAC"/>
    <w:rsid w:val="00B55D43"/>
    <w:rsid w:val="00B56050"/>
    <w:rsid w:val="00B56195"/>
    <w:rsid w:val="00B5669D"/>
    <w:rsid w:val="00B56C47"/>
    <w:rsid w:val="00B56D6A"/>
    <w:rsid w:val="00B5713C"/>
    <w:rsid w:val="00B57418"/>
    <w:rsid w:val="00B574C6"/>
    <w:rsid w:val="00B576C2"/>
    <w:rsid w:val="00B57707"/>
    <w:rsid w:val="00B578A3"/>
    <w:rsid w:val="00B57973"/>
    <w:rsid w:val="00B57997"/>
    <w:rsid w:val="00B57AE6"/>
    <w:rsid w:val="00B57F16"/>
    <w:rsid w:val="00B6075F"/>
    <w:rsid w:val="00B608B0"/>
    <w:rsid w:val="00B609E7"/>
    <w:rsid w:val="00B60A1B"/>
    <w:rsid w:val="00B60B11"/>
    <w:rsid w:val="00B60B5B"/>
    <w:rsid w:val="00B60E66"/>
    <w:rsid w:val="00B610B9"/>
    <w:rsid w:val="00B613ED"/>
    <w:rsid w:val="00B613FE"/>
    <w:rsid w:val="00B61824"/>
    <w:rsid w:val="00B6189E"/>
    <w:rsid w:val="00B61A49"/>
    <w:rsid w:val="00B62186"/>
    <w:rsid w:val="00B621A6"/>
    <w:rsid w:val="00B62298"/>
    <w:rsid w:val="00B62360"/>
    <w:rsid w:val="00B62437"/>
    <w:rsid w:val="00B6262F"/>
    <w:rsid w:val="00B629CC"/>
    <w:rsid w:val="00B62A8E"/>
    <w:rsid w:val="00B62ACE"/>
    <w:rsid w:val="00B62AFF"/>
    <w:rsid w:val="00B62EF5"/>
    <w:rsid w:val="00B62F5C"/>
    <w:rsid w:val="00B63385"/>
    <w:rsid w:val="00B63460"/>
    <w:rsid w:val="00B634BC"/>
    <w:rsid w:val="00B63736"/>
    <w:rsid w:val="00B637F3"/>
    <w:rsid w:val="00B63A51"/>
    <w:rsid w:val="00B63A9E"/>
    <w:rsid w:val="00B63AF1"/>
    <w:rsid w:val="00B63BD5"/>
    <w:rsid w:val="00B63D0D"/>
    <w:rsid w:val="00B63D57"/>
    <w:rsid w:val="00B6457B"/>
    <w:rsid w:val="00B64919"/>
    <w:rsid w:val="00B64C95"/>
    <w:rsid w:val="00B64F6D"/>
    <w:rsid w:val="00B6502A"/>
    <w:rsid w:val="00B65C65"/>
    <w:rsid w:val="00B65FC6"/>
    <w:rsid w:val="00B662A7"/>
    <w:rsid w:val="00B6665E"/>
    <w:rsid w:val="00B6696E"/>
    <w:rsid w:val="00B66A0E"/>
    <w:rsid w:val="00B66C04"/>
    <w:rsid w:val="00B66C37"/>
    <w:rsid w:val="00B66CC9"/>
    <w:rsid w:val="00B66E4D"/>
    <w:rsid w:val="00B67119"/>
    <w:rsid w:val="00B672A9"/>
    <w:rsid w:val="00B672C3"/>
    <w:rsid w:val="00B674A7"/>
    <w:rsid w:val="00B6775E"/>
    <w:rsid w:val="00B67944"/>
    <w:rsid w:val="00B67BC9"/>
    <w:rsid w:val="00B70272"/>
    <w:rsid w:val="00B70282"/>
    <w:rsid w:val="00B703B7"/>
    <w:rsid w:val="00B70417"/>
    <w:rsid w:val="00B70496"/>
    <w:rsid w:val="00B70522"/>
    <w:rsid w:val="00B70679"/>
    <w:rsid w:val="00B70923"/>
    <w:rsid w:val="00B7097A"/>
    <w:rsid w:val="00B70F1B"/>
    <w:rsid w:val="00B70F26"/>
    <w:rsid w:val="00B70FB4"/>
    <w:rsid w:val="00B71229"/>
    <w:rsid w:val="00B713F7"/>
    <w:rsid w:val="00B71675"/>
    <w:rsid w:val="00B71921"/>
    <w:rsid w:val="00B71AC2"/>
    <w:rsid w:val="00B71B62"/>
    <w:rsid w:val="00B71B88"/>
    <w:rsid w:val="00B71B9C"/>
    <w:rsid w:val="00B71EA8"/>
    <w:rsid w:val="00B71EFC"/>
    <w:rsid w:val="00B7206F"/>
    <w:rsid w:val="00B72177"/>
    <w:rsid w:val="00B721CA"/>
    <w:rsid w:val="00B7286C"/>
    <w:rsid w:val="00B72889"/>
    <w:rsid w:val="00B72A02"/>
    <w:rsid w:val="00B72B1D"/>
    <w:rsid w:val="00B72B91"/>
    <w:rsid w:val="00B72F81"/>
    <w:rsid w:val="00B730D4"/>
    <w:rsid w:val="00B732DE"/>
    <w:rsid w:val="00B733D8"/>
    <w:rsid w:val="00B733FA"/>
    <w:rsid w:val="00B73755"/>
    <w:rsid w:val="00B7399C"/>
    <w:rsid w:val="00B73A8D"/>
    <w:rsid w:val="00B73C90"/>
    <w:rsid w:val="00B73C99"/>
    <w:rsid w:val="00B74123"/>
    <w:rsid w:val="00B741AE"/>
    <w:rsid w:val="00B74559"/>
    <w:rsid w:val="00B74724"/>
    <w:rsid w:val="00B74797"/>
    <w:rsid w:val="00B74C49"/>
    <w:rsid w:val="00B74FA1"/>
    <w:rsid w:val="00B750F5"/>
    <w:rsid w:val="00B75218"/>
    <w:rsid w:val="00B754ED"/>
    <w:rsid w:val="00B757D9"/>
    <w:rsid w:val="00B75821"/>
    <w:rsid w:val="00B75A80"/>
    <w:rsid w:val="00B75BC0"/>
    <w:rsid w:val="00B75E34"/>
    <w:rsid w:val="00B75E78"/>
    <w:rsid w:val="00B75FCD"/>
    <w:rsid w:val="00B7636B"/>
    <w:rsid w:val="00B76492"/>
    <w:rsid w:val="00B76499"/>
    <w:rsid w:val="00B76569"/>
    <w:rsid w:val="00B7680E"/>
    <w:rsid w:val="00B76822"/>
    <w:rsid w:val="00B76918"/>
    <w:rsid w:val="00B76923"/>
    <w:rsid w:val="00B769A2"/>
    <w:rsid w:val="00B7719A"/>
    <w:rsid w:val="00B771AB"/>
    <w:rsid w:val="00B771F2"/>
    <w:rsid w:val="00B772CA"/>
    <w:rsid w:val="00B77340"/>
    <w:rsid w:val="00B77535"/>
    <w:rsid w:val="00B7755B"/>
    <w:rsid w:val="00B776BC"/>
    <w:rsid w:val="00B7796D"/>
    <w:rsid w:val="00B77B6D"/>
    <w:rsid w:val="00B77D23"/>
    <w:rsid w:val="00B77DC4"/>
    <w:rsid w:val="00B77DCC"/>
    <w:rsid w:val="00B77E90"/>
    <w:rsid w:val="00B77FAD"/>
    <w:rsid w:val="00B800CA"/>
    <w:rsid w:val="00B80137"/>
    <w:rsid w:val="00B8020C"/>
    <w:rsid w:val="00B803D0"/>
    <w:rsid w:val="00B80437"/>
    <w:rsid w:val="00B80B83"/>
    <w:rsid w:val="00B80BE0"/>
    <w:rsid w:val="00B80C15"/>
    <w:rsid w:val="00B80C6A"/>
    <w:rsid w:val="00B80EE6"/>
    <w:rsid w:val="00B813B4"/>
    <w:rsid w:val="00B813CC"/>
    <w:rsid w:val="00B81453"/>
    <w:rsid w:val="00B814B7"/>
    <w:rsid w:val="00B814E3"/>
    <w:rsid w:val="00B81619"/>
    <w:rsid w:val="00B81829"/>
    <w:rsid w:val="00B81D63"/>
    <w:rsid w:val="00B81EC3"/>
    <w:rsid w:val="00B81F01"/>
    <w:rsid w:val="00B8201F"/>
    <w:rsid w:val="00B82062"/>
    <w:rsid w:val="00B82084"/>
    <w:rsid w:val="00B820EF"/>
    <w:rsid w:val="00B82171"/>
    <w:rsid w:val="00B8219E"/>
    <w:rsid w:val="00B82347"/>
    <w:rsid w:val="00B82475"/>
    <w:rsid w:val="00B8254D"/>
    <w:rsid w:val="00B82634"/>
    <w:rsid w:val="00B82694"/>
    <w:rsid w:val="00B82756"/>
    <w:rsid w:val="00B8291C"/>
    <w:rsid w:val="00B829C1"/>
    <w:rsid w:val="00B83132"/>
    <w:rsid w:val="00B8324B"/>
    <w:rsid w:val="00B832DD"/>
    <w:rsid w:val="00B83300"/>
    <w:rsid w:val="00B83B96"/>
    <w:rsid w:val="00B83F58"/>
    <w:rsid w:val="00B83F75"/>
    <w:rsid w:val="00B840A4"/>
    <w:rsid w:val="00B84302"/>
    <w:rsid w:val="00B84403"/>
    <w:rsid w:val="00B84606"/>
    <w:rsid w:val="00B846DD"/>
    <w:rsid w:val="00B8486F"/>
    <w:rsid w:val="00B84A13"/>
    <w:rsid w:val="00B84C0B"/>
    <w:rsid w:val="00B84FD4"/>
    <w:rsid w:val="00B85072"/>
    <w:rsid w:val="00B85409"/>
    <w:rsid w:val="00B8560C"/>
    <w:rsid w:val="00B85BF0"/>
    <w:rsid w:val="00B860FF"/>
    <w:rsid w:val="00B86161"/>
    <w:rsid w:val="00B863A0"/>
    <w:rsid w:val="00B864F3"/>
    <w:rsid w:val="00B86961"/>
    <w:rsid w:val="00B869CD"/>
    <w:rsid w:val="00B86A24"/>
    <w:rsid w:val="00B86AE7"/>
    <w:rsid w:val="00B86EF9"/>
    <w:rsid w:val="00B86FEA"/>
    <w:rsid w:val="00B8714E"/>
    <w:rsid w:val="00B87687"/>
    <w:rsid w:val="00B876C7"/>
    <w:rsid w:val="00B8774A"/>
    <w:rsid w:val="00B8791A"/>
    <w:rsid w:val="00B87CAC"/>
    <w:rsid w:val="00B87CEE"/>
    <w:rsid w:val="00B87D07"/>
    <w:rsid w:val="00B87F28"/>
    <w:rsid w:val="00B87F91"/>
    <w:rsid w:val="00B90076"/>
    <w:rsid w:val="00B90156"/>
    <w:rsid w:val="00B9015A"/>
    <w:rsid w:val="00B904E4"/>
    <w:rsid w:val="00B9075D"/>
    <w:rsid w:val="00B9079B"/>
    <w:rsid w:val="00B90AA7"/>
    <w:rsid w:val="00B90B2F"/>
    <w:rsid w:val="00B90B37"/>
    <w:rsid w:val="00B90BD3"/>
    <w:rsid w:val="00B90C62"/>
    <w:rsid w:val="00B90DC6"/>
    <w:rsid w:val="00B90EE8"/>
    <w:rsid w:val="00B90F40"/>
    <w:rsid w:val="00B90FD6"/>
    <w:rsid w:val="00B91083"/>
    <w:rsid w:val="00B91337"/>
    <w:rsid w:val="00B914E9"/>
    <w:rsid w:val="00B91E75"/>
    <w:rsid w:val="00B91EAE"/>
    <w:rsid w:val="00B92024"/>
    <w:rsid w:val="00B92182"/>
    <w:rsid w:val="00B9277C"/>
    <w:rsid w:val="00B9277F"/>
    <w:rsid w:val="00B92823"/>
    <w:rsid w:val="00B92855"/>
    <w:rsid w:val="00B928D3"/>
    <w:rsid w:val="00B92A1D"/>
    <w:rsid w:val="00B92ADF"/>
    <w:rsid w:val="00B92FE5"/>
    <w:rsid w:val="00B93119"/>
    <w:rsid w:val="00B934A4"/>
    <w:rsid w:val="00B9358A"/>
    <w:rsid w:val="00B9362D"/>
    <w:rsid w:val="00B937E4"/>
    <w:rsid w:val="00B937F4"/>
    <w:rsid w:val="00B93858"/>
    <w:rsid w:val="00B9385B"/>
    <w:rsid w:val="00B93988"/>
    <w:rsid w:val="00B93CCD"/>
    <w:rsid w:val="00B93E84"/>
    <w:rsid w:val="00B9401D"/>
    <w:rsid w:val="00B94215"/>
    <w:rsid w:val="00B94322"/>
    <w:rsid w:val="00B9437A"/>
    <w:rsid w:val="00B94820"/>
    <w:rsid w:val="00B94E83"/>
    <w:rsid w:val="00B94FBD"/>
    <w:rsid w:val="00B95266"/>
    <w:rsid w:val="00B958AD"/>
    <w:rsid w:val="00B959AA"/>
    <w:rsid w:val="00B959C8"/>
    <w:rsid w:val="00B95F15"/>
    <w:rsid w:val="00B962CC"/>
    <w:rsid w:val="00B96346"/>
    <w:rsid w:val="00B96846"/>
    <w:rsid w:val="00B96A11"/>
    <w:rsid w:val="00B96A65"/>
    <w:rsid w:val="00B96CEE"/>
    <w:rsid w:val="00B96E56"/>
    <w:rsid w:val="00B9700B"/>
    <w:rsid w:val="00B97168"/>
    <w:rsid w:val="00B9723A"/>
    <w:rsid w:val="00B9735C"/>
    <w:rsid w:val="00B973E4"/>
    <w:rsid w:val="00B9762B"/>
    <w:rsid w:val="00B97695"/>
    <w:rsid w:val="00B9770C"/>
    <w:rsid w:val="00B9772D"/>
    <w:rsid w:val="00B97836"/>
    <w:rsid w:val="00B97C06"/>
    <w:rsid w:val="00B97C79"/>
    <w:rsid w:val="00BA01AB"/>
    <w:rsid w:val="00BA064D"/>
    <w:rsid w:val="00BA065D"/>
    <w:rsid w:val="00BA0766"/>
    <w:rsid w:val="00BA0985"/>
    <w:rsid w:val="00BA0A76"/>
    <w:rsid w:val="00BA0B00"/>
    <w:rsid w:val="00BA0B36"/>
    <w:rsid w:val="00BA0DDE"/>
    <w:rsid w:val="00BA0E50"/>
    <w:rsid w:val="00BA0F6C"/>
    <w:rsid w:val="00BA1415"/>
    <w:rsid w:val="00BA14F1"/>
    <w:rsid w:val="00BA15B9"/>
    <w:rsid w:val="00BA1721"/>
    <w:rsid w:val="00BA1910"/>
    <w:rsid w:val="00BA1B4C"/>
    <w:rsid w:val="00BA1DCD"/>
    <w:rsid w:val="00BA1F33"/>
    <w:rsid w:val="00BA20A0"/>
    <w:rsid w:val="00BA215A"/>
    <w:rsid w:val="00BA222C"/>
    <w:rsid w:val="00BA22A0"/>
    <w:rsid w:val="00BA2311"/>
    <w:rsid w:val="00BA2375"/>
    <w:rsid w:val="00BA23D4"/>
    <w:rsid w:val="00BA2589"/>
    <w:rsid w:val="00BA2846"/>
    <w:rsid w:val="00BA295E"/>
    <w:rsid w:val="00BA29E4"/>
    <w:rsid w:val="00BA2E13"/>
    <w:rsid w:val="00BA2F5A"/>
    <w:rsid w:val="00BA2FC7"/>
    <w:rsid w:val="00BA312E"/>
    <w:rsid w:val="00BA3287"/>
    <w:rsid w:val="00BA3303"/>
    <w:rsid w:val="00BA3306"/>
    <w:rsid w:val="00BA354F"/>
    <w:rsid w:val="00BA35FE"/>
    <w:rsid w:val="00BA3690"/>
    <w:rsid w:val="00BA3758"/>
    <w:rsid w:val="00BA387B"/>
    <w:rsid w:val="00BA3966"/>
    <w:rsid w:val="00BA3A80"/>
    <w:rsid w:val="00BA3B0E"/>
    <w:rsid w:val="00BA3BCA"/>
    <w:rsid w:val="00BA3BEC"/>
    <w:rsid w:val="00BA3D70"/>
    <w:rsid w:val="00BA4240"/>
    <w:rsid w:val="00BA435D"/>
    <w:rsid w:val="00BA43D9"/>
    <w:rsid w:val="00BA43DD"/>
    <w:rsid w:val="00BA43EA"/>
    <w:rsid w:val="00BA465C"/>
    <w:rsid w:val="00BA4764"/>
    <w:rsid w:val="00BA490F"/>
    <w:rsid w:val="00BA4940"/>
    <w:rsid w:val="00BA4D31"/>
    <w:rsid w:val="00BA4D8C"/>
    <w:rsid w:val="00BA509B"/>
    <w:rsid w:val="00BA52D3"/>
    <w:rsid w:val="00BA5397"/>
    <w:rsid w:val="00BA5431"/>
    <w:rsid w:val="00BA5669"/>
    <w:rsid w:val="00BA5724"/>
    <w:rsid w:val="00BA581B"/>
    <w:rsid w:val="00BA586E"/>
    <w:rsid w:val="00BA5886"/>
    <w:rsid w:val="00BA5CC1"/>
    <w:rsid w:val="00BA5DE1"/>
    <w:rsid w:val="00BA5FE7"/>
    <w:rsid w:val="00BA602E"/>
    <w:rsid w:val="00BA6047"/>
    <w:rsid w:val="00BA6121"/>
    <w:rsid w:val="00BA617C"/>
    <w:rsid w:val="00BA6537"/>
    <w:rsid w:val="00BA66B3"/>
    <w:rsid w:val="00BA678B"/>
    <w:rsid w:val="00BA6AC4"/>
    <w:rsid w:val="00BA6C89"/>
    <w:rsid w:val="00BA6F91"/>
    <w:rsid w:val="00BA7131"/>
    <w:rsid w:val="00BA7367"/>
    <w:rsid w:val="00BA73EE"/>
    <w:rsid w:val="00BA74CE"/>
    <w:rsid w:val="00BA752B"/>
    <w:rsid w:val="00BA7702"/>
    <w:rsid w:val="00BA7B97"/>
    <w:rsid w:val="00BA7C24"/>
    <w:rsid w:val="00BA7CC2"/>
    <w:rsid w:val="00BA7E28"/>
    <w:rsid w:val="00BA7F98"/>
    <w:rsid w:val="00BB01A8"/>
    <w:rsid w:val="00BB023B"/>
    <w:rsid w:val="00BB0305"/>
    <w:rsid w:val="00BB0625"/>
    <w:rsid w:val="00BB0819"/>
    <w:rsid w:val="00BB0B3B"/>
    <w:rsid w:val="00BB0C91"/>
    <w:rsid w:val="00BB0E85"/>
    <w:rsid w:val="00BB103E"/>
    <w:rsid w:val="00BB1044"/>
    <w:rsid w:val="00BB139D"/>
    <w:rsid w:val="00BB15AB"/>
    <w:rsid w:val="00BB16D2"/>
    <w:rsid w:val="00BB173E"/>
    <w:rsid w:val="00BB18BE"/>
    <w:rsid w:val="00BB19DF"/>
    <w:rsid w:val="00BB1A5C"/>
    <w:rsid w:val="00BB2329"/>
    <w:rsid w:val="00BB242E"/>
    <w:rsid w:val="00BB2511"/>
    <w:rsid w:val="00BB25F0"/>
    <w:rsid w:val="00BB2627"/>
    <w:rsid w:val="00BB2BD7"/>
    <w:rsid w:val="00BB2E3A"/>
    <w:rsid w:val="00BB2E99"/>
    <w:rsid w:val="00BB2F82"/>
    <w:rsid w:val="00BB3110"/>
    <w:rsid w:val="00BB356A"/>
    <w:rsid w:val="00BB35BE"/>
    <w:rsid w:val="00BB37B5"/>
    <w:rsid w:val="00BB3818"/>
    <w:rsid w:val="00BB3B21"/>
    <w:rsid w:val="00BB3E2B"/>
    <w:rsid w:val="00BB3F82"/>
    <w:rsid w:val="00BB3F9A"/>
    <w:rsid w:val="00BB416C"/>
    <w:rsid w:val="00BB44CC"/>
    <w:rsid w:val="00BB4599"/>
    <w:rsid w:val="00BB4697"/>
    <w:rsid w:val="00BB4894"/>
    <w:rsid w:val="00BB48AA"/>
    <w:rsid w:val="00BB4930"/>
    <w:rsid w:val="00BB4C2B"/>
    <w:rsid w:val="00BB502D"/>
    <w:rsid w:val="00BB5134"/>
    <w:rsid w:val="00BB5257"/>
    <w:rsid w:val="00BB54A6"/>
    <w:rsid w:val="00BB5707"/>
    <w:rsid w:val="00BB5733"/>
    <w:rsid w:val="00BB5836"/>
    <w:rsid w:val="00BB5907"/>
    <w:rsid w:val="00BB5FF9"/>
    <w:rsid w:val="00BB60C7"/>
    <w:rsid w:val="00BB6424"/>
    <w:rsid w:val="00BB64FC"/>
    <w:rsid w:val="00BB6739"/>
    <w:rsid w:val="00BB6875"/>
    <w:rsid w:val="00BB6920"/>
    <w:rsid w:val="00BB696D"/>
    <w:rsid w:val="00BB6978"/>
    <w:rsid w:val="00BB6A69"/>
    <w:rsid w:val="00BB6BEA"/>
    <w:rsid w:val="00BB72D3"/>
    <w:rsid w:val="00BB7488"/>
    <w:rsid w:val="00BB75AD"/>
    <w:rsid w:val="00BB7630"/>
    <w:rsid w:val="00BB76FD"/>
    <w:rsid w:val="00BB7712"/>
    <w:rsid w:val="00BB7806"/>
    <w:rsid w:val="00BB78EA"/>
    <w:rsid w:val="00BB790D"/>
    <w:rsid w:val="00BC0305"/>
    <w:rsid w:val="00BC0359"/>
    <w:rsid w:val="00BC0493"/>
    <w:rsid w:val="00BC059C"/>
    <w:rsid w:val="00BC0780"/>
    <w:rsid w:val="00BC0DC7"/>
    <w:rsid w:val="00BC0E02"/>
    <w:rsid w:val="00BC0E84"/>
    <w:rsid w:val="00BC0FEE"/>
    <w:rsid w:val="00BC19B1"/>
    <w:rsid w:val="00BC1C6F"/>
    <w:rsid w:val="00BC1CAF"/>
    <w:rsid w:val="00BC1D44"/>
    <w:rsid w:val="00BC1ECD"/>
    <w:rsid w:val="00BC1F0B"/>
    <w:rsid w:val="00BC240D"/>
    <w:rsid w:val="00BC2613"/>
    <w:rsid w:val="00BC26F5"/>
    <w:rsid w:val="00BC2B22"/>
    <w:rsid w:val="00BC2EEB"/>
    <w:rsid w:val="00BC2FF1"/>
    <w:rsid w:val="00BC306E"/>
    <w:rsid w:val="00BC3151"/>
    <w:rsid w:val="00BC31E2"/>
    <w:rsid w:val="00BC3791"/>
    <w:rsid w:val="00BC37F9"/>
    <w:rsid w:val="00BC39F2"/>
    <w:rsid w:val="00BC3C51"/>
    <w:rsid w:val="00BC3D66"/>
    <w:rsid w:val="00BC3FEC"/>
    <w:rsid w:val="00BC42F1"/>
    <w:rsid w:val="00BC4397"/>
    <w:rsid w:val="00BC44DC"/>
    <w:rsid w:val="00BC458C"/>
    <w:rsid w:val="00BC47E9"/>
    <w:rsid w:val="00BC4914"/>
    <w:rsid w:val="00BC4942"/>
    <w:rsid w:val="00BC4E00"/>
    <w:rsid w:val="00BC4EB9"/>
    <w:rsid w:val="00BC4F16"/>
    <w:rsid w:val="00BC4F8D"/>
    <w:rsid w:val="00BC5026"/>
    <w:rsid w:val="00BC503C"/>
    <w:rsid w:val="00BC5144"/>
    <w:rsid w:val="00BC515C"/>
    <w:rsid w:val="00BC55BA"/>
    <w:rsid w:val="00BC55CF"/>
    <w:rsid w:val="00BC5629"/>
    <w:rsid w:val="00BC5681"/>
    <w:rsid w:val="00BC581E"/>
    <w:rsid w:val="00BC588D"/>
    <w:rsid w:val="00BC5965"/>
    <w:rsid w:val="00BC5ACA"/>
    <w:rsid w:val="00BC5C5E"/>
    <w:rsid w:val="00BC5F64"/>
    <w:rsid w:val="00BC5FC6"/>
    <w:rsid w:val="00BC6042"/>
    <w:rsid w:val="00BC61AE"/>
    <w:rsid w:val="00BC61EB"/>
    <w:rsid w:val="00BC6420"/>
    <w:rsid w:val="00BC64B2"/>
    <w:rsid w:val="00BC6542"/>
    <w:rsid w:val="00BC6AAE"/>
    <w:rsid w:val="00BC6B04"/>
    <w:rsid w:val="00BC7731"/>
    <w:rsid w:val="00BC7830"/>
    <w:rsid w:val="00BC7C58"/>
    <w:rsid w:val="00BC7DC0"/>
    <w:rsid w:val="00BC7DE2"/>
    <w:rsid w:val="00BC7E62"/>
    <w:rsid w:val="00BD03EC"/>
    <w:rsid w:val="00BD03F1"/>
    <w:rsid w:val="00BD074A"/>
    <w:rsid w:val="00BD07D3"/>
    <w:rsid w:val="00BD07F4"/>
    <w:rsid w:val="00BD0978"/>
    <w:rsid w:val="00BD0988"/>
    <w:rsid w:val="00BD0AE1"/>
    <w:rsid w:val="00BD0AE4"/>
    <w:rsid w:val="00BD0B05"/>
    <w:rsid w:val="00BD0C1A"/>
    <w:rsid w:val="00BD0E4A"/>
    <w:rsid w:val="00BD0F6A"/>
    <w:rsid w:val="00BD0FE3"/>
    <w:rsid w:val="00BD120B"/>
    <w:rsid w:val="00BD131A"/>
    <w:rsid w:val="00BD1510"/>
    <w:rsid w:val="00BD1540"/>
    <w:rsid w:val="00BD169E"/>
    <w:rsid w:val="00BD17E8"/>
    <w:rsid w:val="00BD1E01"/>
    <w:rsid w:val="00BD1F66"/>
    <w:rsid w:val="00BD1FA5"/>
    <w:rsid w:val="00BD2024"/>
    <w:rsid w:val="00BD2289"/>
    <w:rsid w:val="00BD229D"/>
    <w:rsid w:val="00BD22AB"/>
    <w:rsid w:val="00BD245F"/>
    <w:rsid w:val="00BD2697"/>
    <w:rsid w:val="00BD2800"/>
    <w:rsid w:val="00BD2BC3"/>
    <w:rsid w:val="00BD2CB0"/>
    <w:rsid w:val="00BD2CF2"/>
    <w:rsid w:val="00BD2ECE"/>
    <w:rsid w:val="00BD328C"/>
    <w:rsid w:val="00BD3872"/>
    <w:rsid w:val="00BD39ED"/>
    <w:rsid w:val="00BD3A8B"/>
    <w:rsid w:val="00BD3ABE"/>
    <w:rsid w:val="00BD3DD7"/>
    <w:rsid w:val="00BD3EF0"/>
    <w:rsid w:val="00BD3F48"/>
    <w:rsid w:val="00BD4092"/>
    <w:rsid w:val="00BD40D9"/>
    <w:rsid w:val="00BD4192"/>
    <w:rsid w:val="00BD43B9"/>
    <w:rsid w:val="00BD48E3"/>
    <w:rsid w:val="00BD4A66"/>
    <w:rsid w:val="00BD4C33"/>
    <w:rsid w:val="00BD4CC3"/>
    <w:rsid w:val="00BD4E13"/>
    <w:rsid w:val="00BD4F86"/>
    <w:rsid w:val="00BD50CE"/>
    <w:rsid w:val="00BD5226"/>
    <w:rsid w:val="00BD52F1"/>
    <w:rsid w:val="00BD5434"/>
    <w:rsid w:val="00BD590A"/>
    <w:rsid w:val="00BD591A"/>
    <w:rsid w:val="00BD5DC2"/>
    <w:rsid w:val="00BD5DC6"/>
    <w:rsid w:val="00BD5E44"/>
    <w:rsid w:val="00BD5FC6"/>
    <w:rsid w:val="00BD6253"/>
    <w:rsid w:val="00BD63A9"/>
    <w:rsid w:val="00BD665D"/>
    <w:rsid w:val="00BD6781"/>
    <w:rsid w:val="00BD686D"/>
    <w:rsid w:val="00BD6A04"/>
    <w:rsid w:val="00BD6B84"/>
    <w:rsid w:val="00BD6F36"/>
    <w:rsid w:val="00BD71AE"/>
    <w:rsid w:val="00BD76A5"/>
    <w:rsid w:val="00BD7746"/>
    <w:rsid w:val="00BD79AD"/>
    <w:rsid w:val="00BD7A41"/>
    <w:rsid w:val="00BD7AF0"/>
    <w:rsid w:val="00BD7DEF"/>
    <w:rsid w:val="00BD7F06"/>
    <w:rsid w:val="00BD7F2E"/>
    <w:rsid w:val="00BE01C9"/>
    <w:rsid w:val="00BE0232"/>
    <w:rsid w:val="00BE027C"/>
    <w:rsid w:val="00BE0416"/>
    <w:rsid w:val="00BE0534"/>
    <w:rsid w:val="00BE0621"/>
    <w:rsid w:val="00BE0640"/>
    <w:rsid w:val="00BE06BD"/>
    <w:rsid w:val="00BE06FD"/>
    <w:rsid w:val="00BE0721"/>
    <w:rsid w:val="00BE07C5"/>
    <w:rsid w:val="00BE09E6"/>
    <w:rsid w:val="00BE0ADA"/>
    <w:rsid w:val="00BE0B8E"/>
    <w:rsid w:val="00BE0F74"/>
    <w:rsid w:val="00BE0FC4"/>
    <w:rsid w:val="00BE10A5"/>
    <w:rsid w:val="00BE1215"/>
    <w:rsid w:val="00BE142D"/>
    <w:rsid w:val="00BE1463"/>
    <w:rsid w:val="00BE165F"/>
    <w:rsid w:val="00BE1A10"/>
    <w:rsid w:val="00BE1F8D"/>
    <w:rsid w:val="00BE2330"/>
    <w:rsid w:val="00BE23F5"/>
    <w:rsid w:val="00BE272D"/>
    <w:rsid w:val="00BE3113"/>
    <w:rsid w:val="00BE32D4"/>
    <w:rsid w:val="00BE36A3"/>
    <w:rsid w:val="00BE36CF"/>
    <w:rsid w:val="00BE3717"/>
    <w:rsid w:val="00BE3751"/>
    <w:rsid w:val="00BE37E9"/>
    <w:rsid w:val="00BE3AE2"/>
    <w:rsid w:val="00BE3C5A"/>
    <w:rsid w:val="00BE3CAA"/>
    <w:rsid w:val="00BE3D49"/>
    <w:rsid w:val="00BE3E5F"/>
    <w:rsid w:val="00BE4385"/>
    <w:rsid w:val="00BE43C3"/>
    <w:rsid w:val="00BE49D8"/>
    <w:rsid w:val="00BE4CEF"/>
    <w:rsid w:val="00BE4D60"/>
    <w:rsid w:val="00BE4F79"/>
    <w:rsid w:val="00BE5050"/>
    <w:rsid w:val="00BE5120"/>
    <w:rsid w:val="00BE55CB"/>
    <w:rsid w:val="00BE57AD"/>
    <w:rsid w:val="00BE57D9"/>
    <w:rsid w:val="00BE583A"/>
    <w:rsid w:val="00BE58A0"/>
    <w:rsid w:val="00BE58BA"/>
    <w:rsid w:val="00BE5925"/>
    <w:rsid w:val="00BE5AB6"/>
    <w:rsid w:val="00BE5B72"/>
    <w:rsid w:val="00BE5E07"/>
    <w:rsid w:val="00BE608B"/>
    <w:rsid w:val="00BE60F1"/>
    <w:rsid w:val="00BE613E"/>
    <w:rsid w:val="00BE6297"/>
    <w:rsid w:val="00BE65E7"/>
    <w:rsid w:val="00BE67E0"/>
    <w:rsid w:val="00BE6943"/>
    <w:rsid w:val="00BE6A17"/>
    <w:rsid w:val="00BE6D19"/>
    <w:rsid w:val="00BE6F2A"/>
    <w:rsid w:val="00BE7A38"/>
    <w:rsid w:val="00BE7A54"/>
    <w:rsid w:val="00BE7A86"/>
    <w:rsid w:val="00BE7AE4"/>
    <w:rsid w:val="00BE7FC0"/>
    <w:rsid w:val="00BEEF9B"/>
    <w:rsid w:val="00BF0249"/>
    <w:rsid w:val="00BF0346"/>
    <w:rsid w:val="00BF07CC"/>
    <w:rsid w:val="00BF0943"/>
    <w:rsid w:val="00BF0B71"/>
    <w:rsid w:val="00BF0BA3"/>
    <w:rsid w:val="00BF0BEC"/>
    <w:rsid w:val="00BF0BF9"/>
    <w:rsid w:val="00BF0E79"/>
    <w:rsid w:val="00BF0F11"/>
    <w:rsid w:val="00BF10F5"/>
    <w:rsid w:val="00BF11CF"/>
    <w:rsid w:val="00BF1257"/>
    <w:rsid w:val="00BF1275"/>
    <w:rsid w:val="00BF127B"/>
    <w:rsid w:val="00BF12E1"/>
    <w:rsid w:val="00BF14FB"/>
    <w:rsid w:val="00BF159E"/>
    <w:rsid w:val="00BF185D"/>
    <w:rsid w:val="00BF1877"/>
    <w:rsid w:val="00BF1942"/>
    <w:rsid w:val="00BF1AE2"/>
    <w:rsid w:val="00BF1D59"/>
    <w:rsid w:val="00BF1E0C"/>
    <w:rsid w:val="00BF1E55"/>
    <w:rsid w:val="00BF1F6E"/>
    <w:rsid w:val="00BF206D"/>
    <w:rsid w:val="00BF24AA"/>
    <w:rsid w:val="00BF2D48"/>
    <w:rsid w:val="00BF2FF5"/>
    <w:rsid w:val="00BF302F"/>
    <w:rsid w:val="00BF306B"/>
    <w:rsid w:val="00BF34CF"/>
    <w:rsid w:val="00BF35C4"/>
    <w:rsid w:val="00BF3602"/>
    <w:rsid w:val="00BF3793"/>
    <w:rsid w:val="00BF3979"/>
    <w:rsid w:val="00BF3A98"/>
    <w:rsid w:val="00BF3C6B"/>
    <w:rsid w:val="00BF3E29"/>
    <w:rsid w:val="00BF3F46"/>
    <w:rsid w:val="00BF4362"/>
    <w:rsid w:val="00BF4610"/>
    <w:rsid w:val="00BF4844"/>
    <w:rsid w:val="00BF50D8"/>
    <w:rsid w:val="00BF512B"/>
    <w:rsid w:val="00BF52B1"/>
    <w:rsid w:val="00BF5427"/>
    <w:rsid w:val="00BF546F"/>
    <w:rsid w:val="00BF5482"/>
    <w:rsid w:val="00BF5569"/>
    <w:rsid w:val="00BF5761"/>
    <w:rsid w:val="00BF5788"/>
    <w:rsid w:val="00BF57D1"/>
    <w:rsid w:val="00BF5AB3"/>
    <w:rsid w:val="00BF5E80"/>
    <w:rsid w:val="00BF5E82"/>
    <w:rsid w:val="00BF6074"/>
    <w:rsid w:val="00BF6307"/>
    <w:rsid w:val="00BF632A"/>
    <w:rsid w:val="00BF6355"/>
    <w:rsid w:val="00BF638F"/>
    <w:rsid w:val="00BF6AA4"/>
    <w:rsid w:val="00BF6B89"/>
    <w:rsid w:val="00BF6D64"/>
    <w:rsid w:val="00BF6EDE"/>
    <w:rsid w:val="00BF6F69"/>
    <w:rsid w:val="00BF704F"/>
    <w:rsid w:val="00BF7222"/>
    <w:rsid w:val="00BF7702"/>
    <w:rsid w:val="00BF7740"/>
    <w:rsid w:val="00BF78EB"/>
    <w:rsid w:val="00BF79CF"/>
    <w:rsid w:val="00BF7A17"/>
    <w:rsid w:val="00BF7E30"/>
    <w:rsid w:val="00C004A4"/>
    <w:rsid w:val="00C00539"/>
    <w:rsid w:val="00C00552"/>
    <w:rsid w:val="00C006BD"/>
    <w:rsid w:val="00C007F8"/>
    <w:rsid w:val="00C0089D"/>
    <w:rsid w:val="00C00A0A"/>
    <w:rsid w:val="00C00DF3"/>
    <w:rsid w:val="00C00E08"/>
    <w:rsid w:val="00C00FE8"/>
    <w:rsid w:val="00C013FF"/>
    <w:rsid w:val="00C014FD"/>
    <w:rsid w:val="00C01529"/>
    <w:rsid w:val="00C016C6"/>
    <w:rsid w:val="00C0178C"/>
    <w:rsid w:val="00C01851"/>
    <w:rsid w:val="00C01939"/>
    <w:rsid w:val="00C01CF8"/>
    <w:rsid w:val="00C02112"/>
    <w:rsid w:val="00C02179"/>
    <w:rsid w:val="00C02214"/>
    <w:rsid w:val="00C02383"/>
    <w:rsid w:val="00C02418"/>
    <w:rsid w:val="00C025B2"/>
    <w:rsid w:val="00C02B5A"/>
    <w:rsid w:val="00C02BB4"/>
    <w:rsid w:val="00C031FA"/>
    <w:rsid w:val="00C03559"/>
    <w:rsid w:val="00C03730"/>
    <w:rsid w:val="00C0377A"/>
    <w:rsid w:val="00C03C5D"/>
    <w:rsid w:val="00C03C71"/>
    <w:rsid w:val="00C04071"/>
    <w:rsid w:val="00C0408D"/>
    <w:rsid w:val="00C0497E"/>
    <w:rsid w:val="00C04ACA"/>
    <w:rsid w:val="00C04D63"/>
    <w:rsid w:val="00C04FC2"/>
    <w:rsid w:val="00C050CA"/>
    <w:rsid w:val="00C05170"/>
    <w:rsid w:val="00C053BC"/>
    <w:rsid w:val="00C0573E"/>
    <w:rsid w:val="00C05988"/>
    <w:rsid w:val="00C059AF"/>
    <w:rsid w:val="00C05A6C"/>
    <w:rsid w:val="00C05B69"/>
    <w:rsid w:val="00C05EB4"/>
    <w:rsid w:val="00C06459"/>
    <w:rsid w:val="00C066C5"/>
    <w:rsid w:val="00C06A26"/>
    <w:rsid w:val="00C06C0A"/>
    <w:rsid w:val="00C06D42"/>
    <w:rsid w:val="00C06D4C"/>
    <w:rsid w:val="00C06ECF"/>
    <w:rsid w:val="00C06FCB"/>
    <w:rsid w:val="00C07013"/>
    <w:rsid w:val="00C07417"/>
    <w:rsid w:val="00C074E9"/>
    <w:rsid w:val="00C0767B"/>
    <w:rsid w:val="00C07BBA"/>
    <w:rsid w:val="00C07C4C"/>
    <w:rsid w:val="00C07F2C"/>
    <w:rsid w:val="00C07FE4"/>
    <w:rsid w:val="00C10397"/>
    <w:rsid w:val="00C10407"/>
    <w:rsid w:val="00C10433"/>
    <w:rsid w:val="00C105C3"/>
    <w:rsid w:val="00C106AC"/>
    <w:rsid w:val="00C1084B"/>
    <w:rsid w:val="00C10A71"/>
    <w:rsid w:val="00C10ABD"/>
    <w:rsid w:val="00C10B0C"/>
    <w:rsid w:val="00C10B20"/>
    <w:rsid w:val="00C10B79"/>
    <w:rsid w:val="00C10B84"/>
    <w:rsid w:val="00C10CEC"/>
    <w:rsid w:val="00C1118A"/>
    <w:rsid w:val="00C111BC"/>
    <w:rsid w:val="00C113AB"/>
    <w:rsid w:val="00C115F0"/>
    <w:rsid w:val="00C119A2"/>
    <w:rsid w:val="00C11A01"/>
    <w:rsid w:val="00C11D00"/>
    <w:rsid w:val="00C11DEE"/>
    <w:rsid w:val="00C11E13"/>
    <w:rsid w:val="00C12332"/>
    <w:rsid w:val="00C12392"/>
    <w:rsid w:val="00C12402"/>
    <w:rsid w:val="00C124A0"/>
    <w:rsid w:val="00C124D1"/>
    <w:rsid w:val="00C126A7"/>
    <w:rsid w:val="00C12D3A"/>
    <w:rsid w:val="00C12FAB"/>
    <w:rsid w:val="00C1382C"/>
    <w:rsid w:val="00C1383C"/>
    <w:rsid w:val="00C13905"/>
    <w:rsid w:val="00C13EF0"/>
    <w:rsid w:val="00C14375"/>
    <w:rsid w:val="00C1446C"/>
    <w:rsid w:val="00C145A1"/>
    <w:rsid w:val="00C14695"/>
    <w:rsid w:val="00C149B3"/>
    <w:rsid w:val="00C14EF0"/>
    <w:rsid w:val="00C150B7"/>
    <w:rsid w:val="00C15436"/>
    <w:rsid w:val="00C154F3"/>
    <w:rsid w:val="00C1598B"/>
    <w:rsid w:val="00C15E12"/>
    <w:rsid w:val="00C15EDC"/>
    <w:rsid w:val="00C15EE0"/>
    <w:rsid w:val="00C15FE8"/>
    <w:rsid w:val="00C1606E"/>
    <w:rsid w:val="00C16070"/>
    <w:rsid w:val="00C164A4"/>
    <w:rsid w:val="00C164D9"/>
    <w:rsid w:val="00C16653"/>
    <w:rsid w:val="00C166D5"/>
    <w:rsid w:val="00C16752"/>
    <w:rsid w:val="00C16760"/>
    <w:rsid w:val="00C16778"/>
    <w:rsid w:val="00C1689B"/>
    <w:rsid w:val="00C16ACC"/>
    <w:rsid w:val="00C16E0F"/>
    <w:rsid w:val="00C16E1F"/>
    <w:rsid w:val="00C16F08"/>
    <w:rsid w:val="00C170FC"/>
    <w:rsid w:val="00C17105"/>
    <w:rsid w:val="00C1763A"/>
    <w:rsid w:val="00C1783B"/>
    <w:rsid w:val="00C178B7"/>
    <w:rsid w:val="00C17D3F"/>
    <w:rsid w:val="00C20220"/>
    <w:rsid w:val="00C20553"/>
    <w:rsid w:val="00C206A1"/>
    <w:rsid w:val="00C206F1"/>
    <w:rsid w:val="00C20983"/>
    <w:rsid w:val="00C20AC3"/>
    <w:rsid w:val="00C20E61"/>
    <w:rsid w:val="00C20F7B"/>
    <w:rsid w:val="00C210EC"/>
    <w:rsid w:val="00C213F2"/>
    <w:rsid w:val="00C2162A"/>
    <w:rsid w:val="00C216DC"/>
    <w:rsid w:val="00C219D7"/>
    <w:rsid w:val="00C21F95"/>
    <w:rsid w:val="00C21FB5"/>
    <w:rsid w:val="00C22018"/>
    <w:rsid w:val="00C2201B"/>
    <w:rsid w:val="00C221BF"/>
    <w:rsid w:val="00C22226"/>
    <w:rsid w:val="00C22271"/>
    <w:rsid w:val="00C22298"/>
    <w:rsid w:val="00C2232B"/>
    <w:rsid w:val="00C22E45"/>
    <w:rsid w:val="00C22E73"/>
    <w:rsid w:val="00C232ED"/>
    <w:rsid w:val="00C233AD"/>
    <w:rsid w:val="00C233B7"/>
    <w:rsid w:val="00C2367C"/>
    <w:rsid w:val="00C23E89"/>
    <w:rsid w:val="00C23FEA"/>
    <w:rsid w:val="00C240C3"/>
    <w:rsid w:val="00C24128"/>
    <w:rsid w:val="00C24345"/>
    <w:rsid w:val="00C24453"/>
    <w:rsid w:val="00C24523"/>
    <w:rsid w:val="00C24EAC"/>
    <w:rsid w:val="00C25372"/>
    <w:rsid w:val="00C25462"/>
    <w:rsid w:val="00C2582F"/>
    <w:rsid w:val="00C25B12"/>
    <w:rsid w:val="00C25C4F"/>
    <w:rsid w:val="00C25C78"/>
    <w:rsid w:val="00C25E1A"/>
    <w:rsid w:val="00C260DA"/>
    <w:rsid w:val="00C262DC"/>
    <w:rsid w:val="00C264C7"/>
    <w:rsid w:val="00C264D3"/>
    <w:rsid w:val="00C26576"/>
    <w:rsid w:val="00C268B9"/>
    <w:rsid w:val="00C268CF"/>
    <w:rsid w:val="00C268E3"/>
    <w:rsid w:val="00C26F45"/>
    <w:rsid w:val="00C270B6"/>
    <w:rsid w:val="00C27161"/>
    <w:rsid w:val="00C27221"/>
    <w:rsid w:val="00C2731A"/>
    <w:rsid w:val="00C273EA"/>
    <w:rsid w:val="00C27B56"/>
    <w:rsid w:val="00C27E59"/>
    <w:rsid w:val="00C30036"/>
    <w:rsid w:val="00C3022E"/>
    <w:rsid w:val="00C30237"/>
    <w:rsid w:val="00C302E1"/>
    <w:rsid w:val="00C303F7"/>
    <w:rsid w:val="00C306C2"/>
    <w:rsid w:val="00C3084C"/>
    <w:rsid w:val="00C30A09"/>
    <w:rsid w:val="00C30D55"/>
    <w:rsid w:val="00C30E18"/>
    <w:rsid w:val="00C30E3C"/>
    <w:rsid w:val="00C30F25"/>
    <w:rsid w:val="00C312B5"/>
    <w:rsid w:val="00C3133A"/>
    <w:rsid w:val="00C31403"/>
    <w:rsid w:val="00C315CF"/>
    <w:rsid w:val="00C316B0"/>
    <w:rsid w:val="00C317F3"/>
    <w:rsid w:val="00C3203A"/>
    <w:rsid w:val="00C32157"/>
    <w:rsid w:val="00C3218C"/>
    <w:rsid w:val="00C324CC"/>
    <w:rsid w:val="00C325DF"/>
    <w:rsid w:val="00C326A9"/>
    <w:rsid w:val="00C32BB2"/>
    <w:rsid w:val="00C32F14"/>
    <w:rsid w:val="00C3306B"/>
    <w:rsid w:val="00C332DF"/>
    <w:rsid w:val="00C3330D"/>
    <w:rsid w:val="00C333BE"/>
    <w:rsid w:val="00C334D7"/>
    <w:rsid w:val="00C3358A"/>
    <w:rsid w:val="00C33609"/>
    <w:rsid w:val="00C3364F"/>
    <w:rsid w:val="00C3375D"/>
    <w:rsid w:val="00C337A4"/>
    <w:rsid w:val="00C339CC"/>
    <w:rsid w:val="00C339E1"/>
    <w:rsid w:val="00C33A08"/>
    <w:rsid w:val="00C33AB6"/>
    <w:rsid w:val="00C33B5C"/>
    <w:rsid w:val="00C33E09"/>
    <w:rsid w:val="00C33E49"/>
    <w:rsid w:val="00C33F03"/>
    <w:rsid w:val="00C33F61"/>
    <w:rsid w:val="00C341E1"/>
    <w:rsid w:val="00C3425E"/>
    <w:rsid w:val="00C3431D"/>
    <w:rsid w:val="00C34485"/>
    <w:rsid w:val="00C3463B"/>
    <w:rsid w:val="00C34640"/>
    <w:rsid w:val="00C34686"/>
    <w:rsid w:val="00C34776"/>
    <w:rsid w:val="00C34846"/>
    <w:rsid w:val="00C349C2"/>
    <w:rsid w:val="00C34A05"/>
    <w:rsid w:val="00C34A9F"/>
    <w:rsid w:val="00C34BE7"/>
    <w:rsid w:val="00C34CCB"/>
    <w:rsid w:val="00C3504B"/>
    <w:rsid w:val="00C352A6"/>
    <w:rsid w:val="00C352A8"/>
    <w:rsid w:val="00C355CD"/>
    <w:rsid w:val="00C35937"/>
    <w:rsid w:val="00C35A04"/>
    <w:rsid w:val="00C35AD0"/>
    <w:rsid w:val="00C35B1C"/>
    <w:rsid w:val="00C35B36"/>
    <w:rsid w:val="00C35CD5"/>
    <w:rsid w:val="00C35EC7"/>
    <w:rsid w:val="00C360CE"/>
    <w:rsid w:val="00C3614F"/>
    <w:rsid w:val="00C361F4"/>
    <w:rsid w:val="00C362BF"/>
    <w:rsid w:val="00C3656D"/>
    <w:rsid w:val="00C36891"/>
    <w:rsid w:val="00C369D5"/>
    <w:rsid w:val="00C36A27"/>
    <w:rsid w:val="00C36DC7"/>
    <w:rsid w:val="00C3708A"/>
    <w:rsid w:val="00C37206"/>
    <w:rsid w:val="00C372F5"/>
    <w:rsid w:val="00C37582"/>
    <w:rsid w:val="00C37A17"/>
    <w:rsid w:val="00C37E9A"/>
    <w:rsid w:val="00C37EFF"/>
    <w:rsid w:val="00C40100"/>
    <w:rsid w:val="00C40260"/>
    <w:rsid w:val="00C404AE"/>
    <w:rsid w:val="00C4056D"/>
    <w:rsid w:val="00C4073C"/>
    <w:rsid w:val="00C408EF"/>
    <w:rsid w:val="00C409BF"/>
    <w:rsid w:val="00C40A89"/>
    <w:rsid w:val="00C40FA3"/>
    <w:rsid w:val="00C41001"/>
    <w:rsid w:val="00C4117F"/>
    <w:rsid w:val="00C411FC"/>
    <w:rsid w:val="00C41416"/>
    <w:rsid w:val="00C416B8"/>
    <w:rsid w:val="00C41BBB"/>
    <w:rsid w:val="00C41CE2"/>
    <w:rsid w:val="00C41F2A"/>
    <w:rsid w:val="00C41F73"/>
    <w:rsid w:val="00C4233F"/>
    <w:rsid w:val="00C423C5"/>
    <w:rsid w:val="00C42422"/>
    <w:rsid w:val="00C42450"/>
    <w:rsid w:val="00C42515"/>
    <w:rsid w:val="00C427EF"/>
    <w:rsid w:val="00C42CF9"/>
    <w:rsid w:val="00C42D10"/>
    <w:rsid w:val="00C42E9F"/>
    <w:rsid w:val="00C42F0F"/>
    <w:rsid w:val="00C42FAB"/>
    <w:rsid w:val="00C430E5"/>
    <w:rsid w:val="00C431F3"/>
    <w:rsid w:val="00C433B9"/>
    <w:rsid w:val="00C4355C"/>
    <w:rsid w:val="00C4358F"/>
    <w:rsid w:val="00C436F9"/>
    <w:rsid w:val="00C437C7"/>
    <w:rsid w:val="00C43A31"/>
    <w:rsid w:val="00C43D01"/>
    <w:rsid w:val="00C43E76"/>
    <w:rsid w:val="00C43E7E"/>
    <w:rsid w:val="00C4428A"/>
    <w:rsid w:val="00C444C9"/>
    <w:rsid w:val="00C44660"/>
    <w:rsid w:val="00C44B38"/>
    <w:rsid w:val="00C44BE9"/>
    <w:rsid w:val="00C44C37"/>
    <w:rsid w:val="00C44CDF"/>
    <w:rsid w:val="00C44D8B"/>
    <w:rsid w:val="00C45282"/>
    <w:rsid w:val="00C45429"/>
    <w:rsid w:val="00C45608"/>
    <w:rsid w:val="00C458E9"/>
    <w:rsid w:val="00C45A97"/>
    <w:rsid w:val="00C45BFE"/>
    <w:rsid w:val="00C45F1E"/>
    <w:rsid w:val="00C46192"/>
    <w:rsid w:val="00C4626E"/>
    <w:rsid w:val="00C464BC"/>
    <w:rsid w:val="00C46753"/>
    <w:rsid w:val="00C46771"/>
    <w:rsid w:val="00C4690A"/>
    <w:rsid w:val="00C4699E"/>
    <w:rsid w:val="00C46A9A"/>
    <w:rsid w:val="00C46AE5"/>
    <w:rsid w:val="00C46B4C"/>
    <w:rsid w:val="00C46B53"/>
    <w:rsid w:val="00C46B92"/>
    <w:rsid w:val="00C46DE8"/>
    <w:rsid w:val="00C46E86"/>
    <w:rsid w:val="00C4723E"/>
    <w:rsid w:val="00C4734A"/>
    <w:rsid w:val="00C47654"/>
    <w:rsid w:val="00C479B7"/>
    <w:rsid w:val="00C47B40"/>
    <w:rsid w:val="00C47B94"/>
    <w:rsid w:val="00C47C75"/>
    <w:rsid w:val="00C47E70"/>
    <w:rsid w:val="00C47FD4"/>
    <w:rsid w:val="00C50259"/>
    <w:rsid w:val="00C502A3"/>
    <w:rsid w:val="00C502F6"/>
    <w:rsid w:val="00C502FD"/>
    <w:rsid w:val="00C50380"/>
    <w:rsid w:val="00C50457"/>
    <w:rsid w:val="00C5048E"/>
    <w:rsid w:val="00C50551"/>
    <w:rsid w:val="00C50C2C"/>
    <w:rsid w:val="00C51184"/>
    <w:rsid w:val="00C511FB"/>
    <w:rsid w:val="00C5131F"/>
    <w:rsid w:val="00C514A5"/>
    <w:rsid w:val="00C51689"/>
    <w:rsid w:val="00C5169C"/>
    <w:rsid w:val="00C516DE"/>
    <w:rsid w:val="00C518CD"/>
    <w:rsid w:val="00C519BF"/>
    <w:rsid w:val="00C519EA"/>
    <w:rsid w:val="00C51EAB"/>
    <w:rsid w:val="00C51EB3"/>
    <w:rsid w:val="00C51F4F"/>
    <w:rsid w:val="00C522A7"/>
    <w:rsid w:val="00C5245A"/>
    <w:rsid w:val="00C52632"/>
    <w:rsid w:val="00C52BE0"/>
    <w:rsid w:val="00C52FD3"/>
    <w:rsid w:val="00C5301E"/>
    <w:rsid w:val="00C530CD"/>
    <w:rsid w:val="00C53392"/>
    <w:rsid w:val="00C533C6"/>
    <w:rsid w:val="00C535F0"/>
    <w:rsid w:val="00C53677"/>
    <w:rsid w:val="00C53A1E"/>
    <w:rsid w:val="00C53B19"/>
    <w:rsid w:val="00C53C01"/>
    <w:rsid w:val="00C53E76"/>
    <w:rsid w:val="00C54254"/>
    <w:rsid w:val="00C5447A"/>
    <w:rsid w:val="00C54623"/>
    <w:rsid w:val="00C54639"/>
    <w:rsid w:val="00C547C4"/>
    <w:rsid w:val="00C547DA"/>
    <w:rsid w:val="00C54A41"/>
    <w:rsid w:val="00C55460"/>
    <w:rsid w:val="00C555B2"/>
    <w:rsid w:val="00C55679"/>
    <w:rsid w:val="00C55711"/>
    <w:rsid w:val="00C55A09"/>
    <w:rsid w:val="00C55E79"/>
    <w:rsid w:val="00C56093"/>
    <w:rsid w:val="00C562A2"/>
    <w:rsid w:val="00C562A7"/>
    <w:rsid w:val="00C562C6"/>
    <w:rsid w:val="00C568C2"/>
    <w:rsid w:val="00C56A6F"/>
    <w:rsid w:val="00C56B59"/>
    <w:rsid w:val="00C56C6D"/>
    <w:rsid w:val="00C56D76"/>
    <w:rsid w:val="00C56E6C"/>
    <w:rsid w:val="00C56E7B"/>
    <w:rsid w:val="00C56FB0"/>
    <w:rsid w:val="00C5702F"/>
    <w:rsid w:val="00C5738C"/>
    <w:rsid w:val="00C5759A"/>
    <w:rsid w:val="00C57AF6"/>
    <w:rsid w:val="00C57C5A"/>
    <w:rsid w:val="00C57E4D"/>
    <w:rsid w:val="00C57FC0"/>
    <w:rsid w:val="00C6005A"/>
    <w:rsid w:val="00C60293"/>
    <w:rsid w:val="00C6041A"/>
    <w:rsid w:val="00C60563"/>
    <w:rsid w:val="00C6089D"/>
    <w:rsid w:val="00C60AD3"/>
    <w:rsid w:val="00C60B27"/>
    <w:rsid w:val="00C60B6E"/>
    <w:rsid w:val="00C60D38"/>
    <w:rsid w:val="00C60D47"/>
    <w:rsid w:val="00C60F8B"/>
    <w:rsid w:val="00C61327"/>
    <w:rsid w:val="00C61558"/>
    <w:rsid w:val="00C61645"/>
    <w:rsid w:val="00C61948"/>
    <w:rsid w:val="00C61A3D"/>
    <w:rsid w:val="00C61A6C"/>
    <w:rsid w:val="00C61B06"/>
    <w:rsid w:val="00C61C52"/>
    <w:rsid w:val="00C61E4C"/>
    <w:rsid w:val="00C61ECB"/>
    <w:rsid w:val="00C622A3"/>
    <w:rsid w:val="00C622B7"/>
    <w:rsid w:val="00C62324"/>
    <w:rsid w:val="00C62424"/>
    <w:rsid w:val="00C626B6"/>
    <w:rsid w:val="00C626E2"/>
    <w:rsid w:val="00C6279E"/>
    <w:rsid w:val="00C6287B"/>
    <w:rsid w:val="00C628C8"/>
    <w:rsid w:val="00C629DF"/>
    <w:rsid w:val="00C62A1F"/>
    <w:rsid w:val="00C62B7A"/>
    <w:rsid w:val="00C62C40"/>
    <w:rsid w:val="00C62E6A"/>
    <w:rsid w:val="00C632A0"/>
    <w:rsid w:val="00C63404"/>
    <w:rsid w:val="00C636C9"/>
    <w:rsid w:val="00C63B51"/>
    <w:rsid w:val="00C640F6"/>
    <w:rsid w:val="00C641FB"/>
    <w:rsid w:val="00C642BE"/>
    <w:rsid w:val="00C64617"/>
    <w:rsid w:val="00C646C0"/>
    <w:rsid w:val="00C646F3"/>
    <w:rsid w:val="00C6490C"/>
    <w:rsid w:val="00C64975"/>
    <w:rsid w:val="00C6499E"/>
    <w:rsid w:val="00C64A41"/>
    <w:rsid w:val="00C64AFC"/>
    <w:rsid w:val="00C64BBB"/>
    <w:rsid w:val="00C64D7C"/>
    <w:rsid w:val="00C64E5C"/>
    <w:rsid w:val="00C6542E"/>
    <w:rsid w:val="00C6546B"/>
    <w:rsid w:val="00C65540"/>
    <w:rsid w:val="00C655A8"/>
    <w:rsid w:val="00C65BC0"/>
    <w:rsid w:val="00C65BEF"/>
    <w:rsid w:val="00C65F6F"/>
    <w:rsid w:val="00C6609F"/>
    <w:rsid w:val="00C66361"/>
    <w:rsid w:val="00C66446"/>
    <w:rsid w:val="00C66979"/>
    <w:rsid w:val="00C66CFC"/>
    <w:rsid w:val="00C66D57"/>
    <w:rsid w:val="00C66DBC"/>
    <w:rsid w:val="00C66E69"/>
    <w:rsid w:val="00C66FAD"/>
    <w:rsid w:val="00C670A1"/>
    <w:rsid w:val="00C6720D"/>
    <w:rsid w:val="00C673F8"/>
    <w:rsid w:val="00C674A9"/>
    <w:rsid w:val="00C674BC"/>
    <w:rsid w:val="00C67697"/>
    <w:rsid w:val="00C676CA"/>
    <w:rsid w:val="00C677B2"/>
    <w:rsid w:val="00C67B57"/>
    <w:rsid w:val="00C67B61"/>
    <w:rsid w:val="00C67B78"/>
    <w:rsid w:val="00C67E40"/>
    <w:rsid w:val="00C70301"/>
    <w:rsid w:val="00C7046F"/>
    <w:rsid w:val="00C70C98"/>
    <w:rsid w:val="00C70E01"/>
    <w:rsid w:val="00C70E7B"/>
    <w:rsid w:val="00C70E94"/>
    <w:rsid w:val="00C71434"/>
    <w:rsid w:val="00C715CA"/>
    <w:rsid w:val="00C71685"/>
    <w:rsid w:val="00C71987"/>
    <w:rsid w:val="00C719A7"/>
    <w:rsid w:val="00C71A5D"/>
    <w:rsid w:val="00C71F5B"/>
    <w:rsid w:val="00C71FA4"/>
    <w:rsid w:val="00C72046"/>
    <w:rsid w:val="00C721CC"/>
    <w:rsid w:val="00C721E4"/>
    <w:rsid w:val="00C721FE"/>
    <w:rsid w:val="00C72285"/>
    <w:rsid w:val="00C72620"/>
    <w:rsid w:val="00C7264E"/>
    <w:rsid w:val="00C727EE"/>
    <w:rsid w:val="00C72A99"/>
    <w:rsid w:val="00C72B21"/>
    <w:rsid w:val="00C72C36"/>
    <w:rsid w:val="00C72D5D"/>
    <w:rsid w:val="00C72D87"/>
    <w:rsid w:val="00C72EEC"/>
    <w:rsid w:val="00C7309A"/>
    <w:rsid w:val="00C73144"/>
    <w:rsid w:val="00C73340"/>
    <w:rsid w:val="00C73449"/>
    <w:rsid w:val="00C736E7"/>
    <w:rsid w:val="00C73E47"/>
    <w:rsid w:val="00C7440B"/>
    <w:rsid w:val="00C74431"/>
    <w:rsid w:val="00C74693"/>
    <w:rsid w:val="00C747B5"/>
    <w:rsid w:val="00C74BA9"/>
    <w:rsid w:val="00C74C0D"/>
    <w:rsid w:val="00C74C33"/>
    <w:rsid w:val="00C74E85"/>
    <w:rsid w:val="00C74F15"/>
    <w:rsid w:val="00C750F7"/>
    <w:rsid w:val="00C7519E"/>
    <w:rsid w:val="00C755E3"/>
    <w:rsid w:val="00C75892"/>
    <w:rsid w:val="00C758A6"/>
    <w:rsid w:val="00C759DF"/>
    <w:rsid w:val="00C75CC5"/>
    <w:rsid w:val="00C75CE1"/>
    <w:rsid w:val="00C75D6E"/>
    <w:rsid w:val="00C761AC"/>
    <w:rsid w:val="00C76332"/>
    <w:rsid w:val="00C76612"/>
    <w:rsid w:val="00C76683"/>
    <w:rsid w:val="00C769A3"/>
    <w:rsid w:val="00C76AAB"/>
    <w:rsid w:val="00C76B4C"/>
    <w:rsid w:val="00C76C0B"/>
    <w:rsid w:val="00C76C20"/>
    <w:rsid w:val="00C7768E"/>
    <w:rsid w:val="00C77833"/>
    <w:rsid w:val="00C77A21"/>
    <w:rsid w:val="00C77BF4"/>
    <w:rsid w:val="00C77E3D"/>
    <w:rsid w:val="00C803C5"/>
    <w:rsid w:val="00C80AFF"/>
    <w:rsid w:val="00C80DE1"/>
    <w:rsid w:val="00C80E86"/>
    <w:rsid w:val="00C8107B"/>
    <w:rsid w:val="00C810A6"/>
    <w:rsid w:val="00C81165"/>
    <w:rsid w:val="00C81459"/>
    <w:rsid w:val="00C8188E"/>
    <w:rsid w:val="00C8196E"/>
    <w:rsid w:val="00C81A12"/>
    <w:rsid w:val="00C81BC6"/>
    <w:rsid w:val="00C81C3C"/>
    <w:rsid w:val="00C81CE6"/>
    <w:rsid w:val="00C81F22"/>
    <w:rsid w:val="00C82261"/>
    <w:rsid w:val="00C8232C"/>
    <w:rsid w:val="00C82480"/>
    <w:rsid w:val="00C824E4"/>
    <w:rsid w:val="00C8255E"/>
    <w:rsid w:val="00C82632"/>
    <w:rsid w:val="00C826A4"/>
    <w:rsid w:val="00C828DB"/>
    <w:rsid w:val="00C8296F"/>
    <w:rsid w:val="00C8298F"/>
    <w:rsid w:val="00C82AED"/>
    <w:rsid w:val="00C82AEE"/>
    <w:rsid w:val="00C82D42"/>
    <w:rsid w:val="00C82E65"/>
    <w:rsid w:val="00C83412"/>
    <w:rsid w:val="00C8354F"/>
    <w:rsid w:val="00C8369D"/>
    <w:rsid w:val="00C83902"/>
    <w:rsid w:val="00C839DA"/>
    <w:rsid w:val="00C8401D"/>
    <w:rsid w:val="00C84203"/>
    <w:rsid w:val="00C84342"/>
    <w:rsid w:val="00C844AB"/>
    <w:rsid w:val="00C845A7"/>
    <w:rsid w:val="00C846BE"/>
    <w:rsid w:val="00C84816"/>
    <w:rsid w:val="00C8484B"/>
    <w:rsid w:val="00C84908"/>
    <w:rsid w:val="00C849CF"/>
    <w:rsid w:val="00C84B30"/>
    <w:rsid w:val="00C84C02"/>
    <w:rsid w:val="00C84E08"/>
    <w:rsid w:val="00C84F0F"/>
    <w:rsid w:val="00C852AA"/>
    <w:rsid w:val="00C853DF"/>
    <w:rsid w:val="00C8596C"/>
    <w:rsid w:val="00C859B0"/>
    <w:rsid w:val="00C859D1"/>
    <w:rsid w:val="00C85A36"/>
    <w:rsid w:val="00C85C9C"/>
    <w:rsid w:val="00C85CEF"/>
    <w:rsid w:val="00C85E0B"/>
    <w:rsid w:val="00C85E6D"/>
    <w:rsid w:val="00C85ECC"/>
    <w:rsid w:val="00C8606C"/>
    <w:rsid w:val="00C86854"/>
    <w:rsid w:val="00C86916"/>
    <w:rsid w:val="00C86934"/>
    <w:rsid w:val="00C86A89"/>
    <w:rsid w:val="00C87120"/>
    <w:rsid w:val="00C876F1"/>
    <w:rsid w:val="00C876F6"/>
    <w:rsid w:val="00C87879"/>
    <w:rsid w:val="00C87AC6"/>
    <w:rsid w:val="00C87B80"/>
    <w:rsid w:val="00C87CC8"/>
    <w:rsid w:val="00C87EB1"/>
    <w:rsid w:val="00C87F5E"/>
    <w:rsid w:val="00C9018F"/>
    <w:rsid w:val="00C901B2"/>
    <w:rsid w:val="00C90490"/>
    <w:rsid w:val="00C905BC"/>
    <w:rsid w:val="00C909EB"/>
    <w:rsid w:val="00C90A94"/>
    <w:rsid w:val="00C90B5D"/>
    <w:rsid w:val="00C90B93"/>
    <w:rsid w:val="00C90C04"/>
    <w:rsid w:val="00C90C74"/>
    <w:rsid w:val="00C9126F"/>
    <w:rsid w:val="00C91583"/>
    <w:rsid w:val="00C915F8"/>
    <w:rsid w:val="00C9161F"/>
    <w:rsid w:val="00C9166C"/>
    <w:rsid w:val="00C9168E"/>
    <w:rsid w:val="00C918A6"/>
    <w:rsid w:val="00C91A10"/>
    <w:rsid w:val="00C920A1"/>
    <w:rsid w:val="00C922D6"/>
    <w:rsid w:val="00C92311"/>
    <w:rsid w:val="00C92394"/>
    <w:rsid w:val="00C923B5"/>
    <w:rsid w:val="00C92432"/>
    <w:rsid w:val="00C92696"/>
    <w:rsid w:val="00C926CB"/>
    <w:rsid w:val="00C9275B"/>
    <w:rsid w:val="00C929DA"/>
    <w:rsid w:val="00C92BE8"/>
    <w:rsid w:val="00C92D57"/>
    <w:rsid w:val="00C92DBB"/>
    <w:rsid w:val="00C92DF4"/>
    <w:rsid w:val="00C92E46"/>
    <w:rsid w:val="00C930F3"/>
    <w:rsid w:val="00C931DE"/>
    <w:rsid w:val="00C933DE"/>
    <w:rsid w:val="00C93417"/>
    <w:rsid w:val="00C934DC"/>
    <w:rsid w:val="00C93787"/>
    <w:rsid w:val="00C93846"/>
    <w:rsid w:val="00C939CB"/>
    <w:rsid w:val="00C93E6C"/>
    <w:rsid w:val="00C9403C"/>
    <w:rsid w:val="00C9404C"/>
    <w:rsid w:val="00C9407C"/>
    <w:rsid w:val="00C942B3"/>
    <w:rsid w:val="00C942B7"/>
    <w:rsid w:val="00C94429"/>
    <w:rsid w:val="00C9466C"/>
    <w:rsid w:val="00C94B13"/>
    <w:rsid w:val="00C94B8B"/>
    <w:rsid w:val="00C94EDC"/>
    <w:rsid w:val="00C94EE3"/>
    <w:rsid w:val="00C94F6B"/>
    <w:rsid w:val="00C95655"/>
    <w:rsid w:val="00C956EA"/>
    <w:rsid w:val="00C959C1"/>
    <w:rsid w:val="00C959CA"/>
    <w:rsid w:val="00C963DE"/>
    <w:rsid w:val="00C964CF"/>
    <w:rsid w:val="00C96671"/>
    <w:rsid w:val="00C969D4"/>
    <w:rsid w:val="00C96BE1"/>
    <w:rsid w:val="00C96DE4"/>
    <w:rsid w:val="00C96FB6"/>
    <w:rsid w:val="00C97198"/>
    <w:rsid w:val="00C972D0"/>
    <w:rsid w:val="00C97631"/>
    <w:rsid w:val="00C978DC"/>
    <w:rsid w:val="00C97A51"/>
    <w:rsid w:val="00C97AF5"/>
    <w:rsid w:val="00C97F10"/>
    <w:rsid w:val="00CA0018"/>
    <w:rsid w:val="00CA002B"/>
    <w:rsid w:val="00CA0178"/>
    <w:rsid w:val="00CA056D"/>
    <w:rsid w:val="00CA06E7"/>
    <w:rsid w:val="00CA09D2"/>
    <w:rsid w:val="00CA09F9"/>
    <w:rsid w:val="00CA0C26"/>
    <w:rsid w:val="00CA0DAE"/>
    <w:rsid w:val="00CA0FE2"/>
    <w:rsid w:val="00CA0FF1"/>
    <w:rsid w:val="00CA10AB"/>
    <w:rsid w:val="00CA11B6"/>
    <w:rsid w:val="00CA11FC"/>
    <w:rsid w:val="00CA1291"/>
    <w:rsid w:val="00CA12C7"/>
    <w:rsid w:val="00CA1466"/>
    <w:rsid w:val="00CA148E"/>
    <w:rsid w:val="00CA15A7"/>
    <w:rsid w:val="00CA18C5"/>
    <w:rsid w:val="00CA2181"/>
    <w:rsid w:val="00CA25AB"/>
    <w:rsid w:val="00CA260D"/>
    <w:rsid w:val="00CA2AA7"/>
    <w:rsid w:val="00CA2BDF"/>
    <w:rsid w:val="00CA2C9C"/>
    <w:rsid w:val="00CA2CFF"/>
    <w:rsid w:val="00CA2F28"/>
    <w:rsid w:val="00CA31F5"/>
    <w:rsid w:val="00CA338C"/>
    <w:rsid w:val="00CA366B"/>
    <w:rsid w:val="00CA3732"/>
    <w:rsid w:val="00CA3888"/>
    <w:rsid w:val="00CA3DBA"/>
    <w:rsid w:val="00CA3F7A"/>
    <w:rsid w:val="00CA3F9C"/>
    <w:rsid w:val="00CA42DC"/>
    <w:rsid w:val="00CA433E"/>
    <w:rsid w:val="00CA43DA"/>
    <w:rsid w:val="00CA4839"/>
    <w:rsid w:val="00CA48BB"/>
    <w:rsid w:val="00CA4D66"/>
    <w:rsid w:val="00CA4D6A"/>
    <w:rsid w:val="00CA5151"/>
    <w:rsid w:val="00CA5352"/>
    <w:rsid w:val="00CA54C9"/>
    <w:rsid w:val="00CA5807"/>
    <w:rsid w:val="00CA5927"/>
    <w:rsid w:val="00CA5A0D"/>
    <w:rsid w:val="00CA5A83"/>
    <w:rsid w:val="00CA5AD1"/>
    <w:rsid w:val="00CA5E04"/>
    <w:rsid w:val="00CA6054"/>
    <w:rsid w:val="00CA63CB"/>
    <w:rsid w:val="00CA648A"/>
    <w:rsid w:val="00CA64E8"/>
    <w:rsid w:val="00CA64ED"/>
    <w:rsid w:val="00CA66DD"/>
    <w:rsid w:val="00CA680A"/>
    <w:rsid w:val="00CA69AC"/>
    <w:rsid w:val="00CA69D8"/>
    <w:rsid w:val="00CA6A44"/>
    <w:rsid w:val="00CA6AAB"/>
    <w:rsid w:val="00CA6BAE"/>
    <w:rsid w:val="00CA6E94"/>
    <w:rsid w:val="00CA6F83"/>
    <w:rsid w:val="00CA7070"/>
    <w:rsid w:val="00CA71C6"/>
    <w:rsid w:val="00CA71D2"/>
    <w:rsid w:val="00CA71EC"/>
    <w:rsid w:val="00CA72EB"/>
    <w:rsid w:val="00CA7418"/>
    <w:rsid w:val="00CA750D"/>
    <w:rsid w:val="00CA75A0"/>
    <w:rsid w:val="00CA75B3"/>
    <w:rsid w:val="00CA787D"/>
    <w:rsid w:val="00CA7884"/>
    <w:rsid w:val="00CA789D"/>
    <w:rsid w:val="00CA78A4"/>
    <w:rsid w:val="00CA7BF9"/>
    <w:rsid w:val="00CA7D4A"/>
    <w:rsid w:val="00CA7FDA"/>
    <w:rsid w:val="00CB0137"/>
    <w:rsid w:val="00CB01D6"/>
    <w:rsid w:val="00CB0343"/>
    <w:rsid w:val="00CB07A8"/>
    <w:rsid w:val="00CB08FC"/>
    <w:rsid w:val="00CB0977"/>
    <w:rsid w:val="00CB0EFC"/>
    <w:rsid w:val="00CB1291"/>
    <w:rsid w:val="00CB13E9"/>
    <w:rsid w:val="00CB1816"/>
    <w:rsid w:val="00CB18C9"/>
    <w:rsid w:val="00CB1925"/>
    <w:rsid w:val="00CB1A26"/>
    <w:rsid w:val="00CB1BAF"/>
    <w:rsid w:val="00CB202B"/>
    <w:rsid w:val="00CB2072"/>
    <w:rsid w:val="00CB25F2"/>
    <w:rsid w:val="00CB2821"/>
    <w:rsid w:val="00CB2908"/>
    <w:rsid w:val="00CB2AC3"/>
    <w:rsid w:val="00CB2C26"/>
    <w:rsid w:val="00CB2C77"/>
    <w:rsid w:val="00CB2E5A"/>
    <w:rsid w:val="00CB35FA"/>
    <w:rsid w:val="00CB3601"/>
    <w:rsid w:val="00CB375B"/>
    <w:rsid w:val="00CB375D"/>
    <w:rsid w:val="00CB37B9"/>
    <w:rsid w:val="00CB38A2"/>
    <w:rsid w:val="00CB398A"/>
    <w:rsid w:val="00CB3BD1"/>
    <w:rsid w:val="00CB3C96"/>
    <w:rsid w:val="00CB3D42"/>
    <w:rsid w:val="00CB4334"/>
    <w:rsid w:val="00CB467D"/>
    <w:rsid w:val="00CB485A"/>
    <w:rsid w:val="00CB4865"/>
    <w:rsid w:val="00CB4941"/>
    <w:rsid w:val="00CB4EB5"/>
    <w:rsid w:val="00CB4F8C"/>
    <w:rsid w:val="00CB508B"/>
    <w:rsid w:val="00CB529D"/>
    <w:rsid w:val="00CB5389"/>
    <w:rsid w:val="00CB53B6"/>
    <w:rsid w:val="00CB549E"/>
    <w:rsid w:val="00CB54A8"/>
    <w:rsid w:val="00CB556B"/>
    <w:rsid w:val="00CB57E5"/>
    <w:rsid w:val="00CB5849"/>
    <w:rsid w:val="00CB620B"/>
    <w:rsid w:val="00CB6583"/>
    <w:rsid w:val="00CB66C9"/>
    <w:rsid w:val="00CB6728"/>
    <w:rsid w:val="00CB6E24"/>
    <w:rsid w:val="00CB6F3A"/>
    <w:rsid w:val="00CB73AA"/>
    <w:rsid w:val="00CB77B3"/>
    <w:rsid w:val="00CB7944"/>
    <w:rsid w:val="00CB7E4D"/>
    <w:rsid w:val="00CB7EA4"/>
    <w:rsid w:val="00CB7F8C"/>
    <w:rsid w:val="00CB7FC1"/>
    <w:rsid w:val="00CB8079"/>
    <w:rsid w:val="00CC036D"/>
    <w:rsid w:val="00CC05D6"/>
    <w:rsid w:val="00CC06A7"/>
    <w:rsid w:val="00CC07B1"/>
    <w:rsid w:val="00CC0A50"/>
    <w:rsid w:val="00CC0ACE"/>
    <w:rsid w:val="00CC0B3B"/>
    <w:rsid w:val="00CC0E11"/>
    <w:rsid w:val="00CC10E1"/>
    <w:rsid w:val="00CC1272"/>
    <w:rsid w:val="00CC13FD"/>
    <w:rsid w:val="00CC14F2"/>
    <w:rsid w:val="00CC1548"/>
    <w:rsid w:val="00CC16CB"/>
    <w:rsid w:val="00CC1926"/>
    <w:rsid w:val="00CC1A0A"/>
    <w:rsid w:val="00CC1A64"/>
    <w:rsid w:val="00CC2114"/>
    <w:rsid w:val="00CC2236"/>
    <w:rsid w:val="00CC2439"/>
    <w:rsid w:val="00CC267D"/>
    <w:rsid w:val="00CC267F"/>
    <w:rsid w:val="00CC272D"/>
    <w:rsid w:val="00CC2CCB"/>
    <w:rsid w:val="00CC2E83"/>
    <w:rsid w:val="00CC2F66"/>
    <w:rsid w:val="00CC3174"/>
    <w:rsid w:val="00CC317A"/>
    <w:rsid w:val="00CC31BE"/>
    <w:rsid w:val="00CC31DC"/>
    <w:rsid w:val="00CC342C"/>
    <w:rsid w:val="00CC3541"/>
    <w:rsid w:val="00CC3543"/>
    <w:rsid w:val="00CC35DB"/>
    <w:rsid w:val="00CC3684"/>
    <w:rsid w:val="00CC39DB"/>
    <w:rsid w:val="00CC3BE5"/>
    <w:rsid w:val="00CC4201"/>
    <w:rsid w:val="00CC43AE"/>
    <w:rsid w:val="00CC4788"/>
    <w:rsid w:val="00CC47B2"/>
    <w:rsid w:val="00CC4815"/>
    <w:rsid w:val="00CC4F51"/>
    <w:rsid w:val="00CC4F73"/>
    <w:rsid w:val="00CC4FED"/>
    <w:rsid w:val="00CC547E"/>
    <w:rsid w:val="00CC5617"/>
    <w:rsid w:val="00CC59F5"/>
    <w:rsid w:val="00CC5A17"/>
    <w:rsid w:val="00CC5B52"/>
    <w:rsid w:val="00CC5C40"/>
    <w:rsid w:val="00CC62FD"/>
    <w:rsid w:val="00CC6829"/>
    <w:rsid w:val="00CC6849"/>
    <w:rsid w:val="00CC684A"/>
    <w:rsid w:val="00CC69A6"/>
    <w:rsid w:val="00CC6AF8"/>
    <w:rsid w:val="00CC71D3"/>
    <w:rsid w:val="00CC7278"/>
    <w:rsid w:val="00CC72A2"/>
    <w:rsid w:val="00CC72B8"/>
    <w:rsid w:val="00CC72DD"/>
    <w:rsid w:val="00CC756D"/>
    <w:rsid w:val="00CC756F"/>
    <w:rsid w:val="00CC7715"/>
    <w:rsid w:val="00CC77E4"/>
    <w:rsid w:val="00CC79A7"/>
    <w:rsid w:val="00CC7A52"/>
    <w:rsid w:val="00CC7C08"/>
    <w:rsid w:val="00CC7F5F"/>
    <w:rsid w:val="00CC7F9E"/>
    <w:rsid w:val="00CD000F"/>
    <w:rsid w:val="00CD03E6"/>
    <w:rsid w:val="00CD061F"/>
    <w:rsid w:val="00CD0693"/>
    <w:rsid w:val="00CD06EC"/>
    <w:rsid w:val="00CD07D3"/>
    <w:rsid w:val="00CD11F8"/>
    <w:rsid w:val="00CD12E3"/>
    <w:rsid w:val="00CD13B0"/>
    <w:rsid w:val="00CD13BD"/>
    <w:rsid w:val="00CD1474"/>
    <w:rsid w:val="00CD1621"/>
    <w:rsid w:val="00CD17B9"/>
    <w:rsid w:val="00CD18B6"/>
    <w:rsid w:val="00CD18C0"/>
    <w:rsid w:val="00CD196D"/>
    <w:rsid w:val="00CD1AE0"/>
    <w:rsid w:val="00CD1D1A"/>
    <w:rsid w:val="00CD1DA0"/>
    <w:rsid w:val="00CD1F68"/>
    <w:rsid w:val="00CD2076"/>
    <w:rsid w:val="00CD2135"/>
    <w:rsid w:val="00CD269C"/>
    <w:rsid w:val="00CD274A"/>
    <w:rsid w:val="00CD2902"/>
    <w:rsid w:val="00CD2F62"/>
    <w:rsid w:val="00CD2F87"/>
    <w:rsid w:val="00CD3019"/>
    <w:rsid w:val="00CD30E6"/>
    <w:rsid w:val="00CD3112"/>
    <w:rsid w:val="00CD31B5"/>
    <w:rsid w:val="00CD3215"/>
    <w:rsid w:val="00CD3239"/>
    <w:rsid w:val="00CD324B"/>
    <w:rsid w:val="00CD32A2"/>
    <w:rsid w:val="00CD33DB"/>
    <w:rsid w:val="00CD3472"/>
    <w:rsid w:val="00CD3934"/>
    <w:rsid w:val="00CD3A76"/>
    <w:rsid w:val="00CD3AD0"/>
    <w:rsid w:val="00CD3C44"/>
    <w:rsid w:val="00CD405E"/>
    <w:rsid w:val="00CD4143"/>
    <w:rsid w:val="00CD4A56"/>
    <w:rsid w:val="00CD4A6C"/>
    <w:rsid w:val="00CD5072"/>
    <w:rsid w:val="00CD52F2"/>
    <w:rsid w:val="00CD570B"/>
    <w:rsid w:val="00CD5793"/>
    <w:rsid w:val="00CD5BEE"/>
    <w:rsid w:val="00CD5E0E"/>
    <w:rsid w:val="00CD5E1C"/>
    <w:rsid w:val="00CD5EB3"/>
    <w:rsid w:val="00CD5FD1"/>
    <w:rsid w:val="00CD5FE2"/>
    <w:rsid w:val="00CD5FF9"/>
    <w:rsid w:val="00CD601C"/>
    <w:rsid w:val="00CD6055"/>
    <w:rsid w:val="00CD60D5"/>
    <w:rsid w:val="00CD62D3"/>
    <w:rsid w:val="00CD62ED"/>
    <w:rsid w:val="00CD6327"/>
    <w:rsid w:val="00CD6FF0"/>
    <w:rsid w:val="00CD7445"/>
    <w:rsid w:val="00CD78AC"/>
    <w:rsid w:val="00CD78EA"/>
    <w:rsid w:val="00CD7A48"/>
    <w:rsid w:val="00CD7C95"/>
    <w:rsid w:val="00CE03B7"/>
    <w:rsid w:val="00CE0470"/>
    <w:rsid w:val="00CE0694"/>
    <w:rsid w:val="00CE07B4"/>
    <w:rsid w:val="00CE0F6C"/>
    <w:rsid w:val="00CE1155"/>
    <w:rsid w:val="00CE119E"/>
    <w:rsid w:val="00CE1277"/>
    <w:rsid w:val="00CE13F9"/>
    <w:rsid w:val="00CE1600"/>
    <w:rsid w:val="00CE181B"/>
    <w:rsid w:val="00CE198C"/>
    <w:rsid w:val="00CE1B30"/>
    <w:rsid w:val="00CE1BE6"/>
    <w:rsid w:val="00CE1F96"/>
    <w:rsid w:val="00CE209B"/>
    <w:rsid w:val="00CE2549"/>
    <w:rsid w:val="00CE27C1"/>
    <w:rsid w:val="00CE290F"/>
    <w:rsid w:val="00CE2A73"/>
    <w:rsid w:val="00CE2B16"/>
    <w:rsid w:val="00CE2B73"/>
    <w:rsid w:val="00CE2B78"/>
    <w:rsid w:val="00CE2CC5"/>
    <w:rsid w:val="00CE2DBA"/>
    <w:rsid w:val="00CE353B"/>
    <w:rsid w:val="00CE3614"/>
    <w:rsid w:val="00CE3B08"/>
    <w:rsid w:val="00CE3DDC"/>
    <w:rsid w:val="00CE40F8"/>
    <w:rsid w:val="00CE436D"/>
    <w:rsid w:val="00CE43A9"/>
    <w:rsid w:val="00CE4405"/>
    <w:rsid w:val="00CE4503"/>
    <w:rsid w:val="00CE463B"/>
    <w:rsid w:val="00CE47A9"/>
    <w:rsid w:val="00CE47CD"/>
    <w:rsid w:val="00CE4842"/>
    <w:rsid w:val="00CE4885"/>
    <w:rsid w:val="00CE4992"/>
    <w:rsid w:val="00CE4A93"/>
    <w:rsid w:val="00CE4C64"/>
    <w:rsid w:val="00CE4D5A"/>
    <w:rsid w:val="00CE4E2F"/>
    <w:rsid w:val="00CE5054"/>
    <w:rsid w:val="00CE5202"/>
    <w:rsid w:val="00CE546F"/>
    <w:rsid w:val="00CE55F4"/>
    <w:rsid w:val="00CE5642"/>
    <w:rsid w:val="00CE577C"/>
    <w:rsid w:val="00CE57E9"/>
    <w:rsid w:val="00CE5848"/>
    <w:rsid w:val="00CE5BAA"/>
    <w:rsid w:val="00CE5E7B"/>
    <w:rsid w:val="00CE6014"/>
    <w:rsid w:val="00CE601C"/>
    <w:rsid w:val="00CE6236"/>
    <w:rsid w:val="00CE62C2"/>
    <w:rsid w:val="00CE6526"/>
    <w:rsid w:val="00CE6C09"/>
    <w:rsid w:val="00CE6C1F"/>
    <w:rsid w:val="00CE702F"/>
    <w:rsid w:val="00CE7062"/>
    <w:rsid w:val="00CE7278"/>
    <w:rsid w:val="00CE732D"/>
    <w:rsid w:val="00CE73D4"/>
    <w:rsid w:val="00CE74A3"/>
    <w:rsid w:val="00CE7A3F"/>
    <w:rsid w:val="00CE7E46"/>
    <w:rsid w:val="00CE7F92"/>
    <w:rsid w:val="00CF03D7"/>
    <w:rsid w:val="00CF0583"/>
    <w:rsid w:val="00CF06C0"/>
    <w:rsid w:val="00CF0D1A"/>
    <w:rsid w:val="00CF0D3D"/>
    <w:rsid w:val="00CF0E38"/>
    <w:rsid w:val="00CF0F42"/>
    <w:rsid w:val="00CF1176"/>
    <w:rsid w:val="00CF1405"/>
    <w:rsid w:val="00CF14BD"/>
    <w:rsid w:val="00CF1670"/>
    <w:rsid w:val="00CF1729"/>
    <w:rsid w:val="00CF17A6"/>
    <w:rsid w:val="00CF1836"/>
    <w:rsid w:val="00CF1AA8"/>
    <w:rsid w:val="00CF1CB4"/>
    <w:rsid w:val="00CF1E60"/>
    <w:rsid w:val="00CF1E93"/>
    <w:rsid w:val="00CF224F"/>
    <w:rsid w:val="00CF23FF"/>
    <w:rsid w:val="00CF28DC"/>
    <w:rsid w:val="00CF2981"/>
    <w:rsid w:val="00CF2B76"/>
    <w:rsid w:val="00CF2BB1"/>
    <w:rsid w:val="00CF2C91"/>
    <w:rsid w:val="00CF2E55"/>
    <w:rsid w:val="00CF2F45"/>
    <w:rsid w:val="00CF31AD"/>
    <w:rsid w:val="00CF3401"/>
    <w:rsid w:val="00CF34B9"/>
    <w:rsid w:val="00CF3654"/>
    <w:rsid w:val="00CF39A3"/>
    <w:rsid w:val="00CF3EF8"/>
    <w:rsid w:val="00CF3FB1"/>
    <w:rsid w:val="00CF40C2"/>
    <w:rsid w:val="00CF420F"/>
    <w:rsid w:val="00CF4240"/>
    <w:rsid w:val="00CF437B"/>
    <w:rsid w:val="00CF43F9"/>
    <w:rsid w:val="00CF44A0"/>
    <w:rsid w:val="00CF499C"/>
    <w:rsid w:val="00CF4A47"/>
    <w:rsid w:val="00CF4AEE"/>
    <w:rsid w:val="00CF4DD0"/>
    <w:rsid w:val="00CF4E7D"/>
    <w:rsid w:val="00CF5678"/>
    <w:rsid w:val="00CF56DC"/>
    <w:rsid w:val="00CF5ADC"/>
    <w:rsid w:val="00CF5C2B"/>
    <w:rsid w:val="00CF5C40"/>
    <w:rsid w:val="00CF5EAD"/>
    <w:rsid w:val="00CF5FC7"/>
    <w:rsid w:val="00CF62CC"/>
    <w:rsid w:val="00CF6485"/>
    <w:rsid w:val="00CF6545"/>
    <w:rsid w:val="00CF671E"/>
    <w:rsid w:val="00CF6884"/>
    <w:rsid w:val="00CF6BB6"/>
    <w:rsid w:val="00CF6D89"/>
    <w:rsid w:val="00CF6EDD"/>
    <w:rsid w:val="00CF6F5E"/>
    <w:rsid w:val="00CF7301"/>
    <w:rsid w:val="00CF7ACD"/>
    <w:rsid w:val="00CF7BAC"/>
    <w:rsid w:val="00CF7F97"/>
    <w:rsid w:val="00CF7FA2"/>
    <w:rsid w:val="00CFF3FD"/>
    <w:rsid w:val="00D0015D"/>
    <w:rsid w:val="00D001D2"/>
    <w:rsid w:val="00D0031D"/>
    <w:rsid w:val="00D00359"/>
    <w:rsid w:val="00D0047E"/>
    <w:rsid w:val="00D00613"/>
    <w:rsid w:val="00D00C66"/>
    <w:rsid w:val="00D00E50"/>
    <w:rsid w:val="00D0112F"/>
    <w:rsid w:val="00D017DB"/>
    <w:rsid w:val="00D019E1"/>
    <w:rsid w:val="00D01C86"/>
    <w:rsid w:val="00D01D00"/>
    <w:rsid w:val="00D01D6E"/>
    <w:rsid w:val="00D01F2C"/>
    <w:rsid w:val="00D01F9F"/>
    <w:rsid w:val="00D021F9"/>
    <w:rsid w:val="00D0226A"/>
    <w:rsid w:val="00D026CF"/>
    <w:rsid w:val="00D026F7"/>
    <w:rsid w:val="00D02886"/>
    <w:rsid w:val="00D029FD"/>
    <w:rsid w:val="00D02A42"/>
    <w:rsid w:val="00D02AFD"/>
    <w:rsid w:val="00D02E89"/>
    <w:rsid w:val="00D02F9E"/>
    <w:rsid w:val="00D034DD"/>
    <w:rsid w:val="00D0381B"/>
    <w:rsid w:val="00D039A0"/>
    <w:rsid w:val="00D03B21"/>
    <w:rsid w:val="00D03C71"/>
    <w:rsid w:val="00D03D75"/>
    <w:rsid w:val="00D04147"/>
    <w:rsid w:val="00D042D2"/>
    <w:rsid w:val="00D045E8"/>
    <w:rsid w:val="00D047B7"/>
    <w:rsid w:val="00D04952"/>
    <w:rsid w:val="00D04971"/>
    <w:rsid w:val="00D04A5F"/>
    <w:rsid w:val="00D04BF5"/>
    <w:rsid w:val="00D04D18"/>
    <w:rsid w:val="00D04DD4"/>
    <w:rsid w:val="00D04FE7"/>
    <w:rsid w:val="00D0570C"/>
    <w:rsid w:val="00D05769"/>
    <w:rsid w:val="00D05AC1"/>
    <w:rsid w:val="00D05BB9"/>
    <w:rsid w:val="00D05DCF"/>
    <w:rsid w:val="00D062AD"/>
    <w:rsid w:val="00D06351"/>
    <w:rsid w:val="00D063BF"/>
    <w:rsid w:val="00D06447"/>
    <w:rsid w:val="00D0651B"/>
    <w:rsid w:val="00D065BC"/>
    <w:rsid w:val="00D065FF"/>
    <w:rsid w:val="00D06A16"/>
    <w:rsid w:val="00D06EAF"/>
    <w:rsid w:val="00D0711F"/>
    <w:rsid w:val="00D0723C"/>
    <w:rsid w:val="00D073D9"/>
    <w:rsid w:val="00D0750B"/>
    <w:rsid w:val="00D07706"/>
    <w:rsid w:val="00D10167"/>
    <w:rsid w:val="00D1046D"/>
    <w:rsid w:val="00D105CB"/>
    <w:rsid w:val="00D1060F"/>
    <w:rsid w:val="00D10770"/>
    <w:rsid w:val="00D1078F"/>
    <w:rsid w:val="00D107DA"/>
    <w:rsid w:val="00D1085F"/>
    <w:rsid w:val="00D1092D"/>
    <w:rsid w:val="00D10B33"/>
    <w:rsid w:val="00D10B4F"/>
    <w:rsid w:val="00D10E22"/>
    <w:rsid w:val="00D10E60"/>
    <w:rsid w:val="00D10FE4"/>
    <w:rsid w:val="00D11242"/>
    <w:rsid w:val="00D112DC"/>
    <w:rsid w:val="00D1165E"/>
    <w:rsid w:val="00D11A24"/>
    <w:rsid w:val="00D11AFE"/>
    <w:rsid w:val="00D11CF7"/>
    <w:rsid w:val="00D11D32"/>
    <w:rsid w:val="00D11F11"/>
    <w:rsid w:val="00D12083"/>
    <w:rsid w:val="00D12263"/>
    <w:rsid w:val="00D12374"/>
    <w:rsid w:val="00D12550"/>
    <w:rsid w:val="00D12721"/>
    <w:rsid w:val="00D127BB"/>
    <w:rsid w:val="00D1299B"/>
    <w:rsid w:val="00D12B04"/>
    <w:rsid w:val="00D12B7B"/>
    <w:rsid w:val="00D12B7E"/>
    <w:rsid w:val="00D12CAF"/>
    <w:rsid w:val="00D12CD2"/>
    <w:rsid w:val="00D12CDF"/>
    <w:rsid w:val="00D12D39"/>
    <w:rsid w:val="00D12E51"/>
    <w:rsid w:val="00D1300D"/>
    <w:rsid w:val="00D1342A"/>
    <w:rsid w:val="00D13650"/>
    <w:rsid w:val="00D136A4"/>
    <w:rsid w:val="00D13966"/>
    <w:rsid w:val="00D13983"/>
    <w:rsid w:val="00D13BCD"/>
    <w:rsid w:val="00D13D0D"/>
    <w:rsid w:val="00D13D21"/>
    <w:rsid w:val="00D1410E"/>
    <w:rsid w:val="00D1441E"/>
    <w:rsid w:val="00D14577"/>
    <w:rsid w:val="00D145DC"/>
    <w:rsid w:val="00D14888"/>
    <w:rsid w:val="00D148E5"/>
    <w:rsid w:val="00D14B1A"/>
    <w:rsid w:val="00D14C5B"/>
    <w:rsid w:val="00D14CAB"/>
    <w:rsid w:val="00D14D23"/>
    <w:rsid w:val="00D1502B"/>
    <w:rsid w:val="00D1506C"/>
    <w:rsid w:val="00D150A7"/>
    <w:rsid w:val="00D1543E"/>
    <w:rsid w:val="00D154ED"/>
    <w:rsid w:val="00D15645"/>
    <w:rsid w:val="00D15755"/>
    <w:rsid w:val="00D158BD"/>
    <w:rsid w:val="00D15975"/>
    <w:rsid w:val="00D1599C"/>
    <w:rsid w:val="00D15D8B"/>
    <w:rsid w:val="00D15D98"/>
    <w:rsid w:val="00D162C4"/>
    <w:rsid w:val="00D165B9"/>
    <w:rsid w:val="00D166F1"/>
    <w:rsid w:val="00D16BD7"/>
    <w:rsid w:val="00D16C56"/>
    <w:rsid w:val="00D16D6D"/>
    <w:rsid w:val="00D16FD7"/>
    <w:rsid w:val="00D17033"/>
    <w:rsid w:val="00D174CC"/>
    <w:rsid w:val="00D1752C"/>
    <w:rsid w:val="00D17633"/>
    <w:rsid w:val="00D177BD"/>
    <w:rsid w:val="00D17815"/>
    <w:rsid w:val="00D178C7"/>
    <w:rsid w:val="00D17984"/>
    <w:rsid w:val="00D17B25"/>
    <w:rsid w:val="00D17B2E"/>
    <w:rsid w:val="00D17C84"/>
    <w:rsid w:val="00D17E17"/>
    <w:rsid w:val="00D17F8E"/>
    <w:rsid w:val="00D2002B"/>
    <w:rsid w:val="00D200BE"/>
    <w:rsid w:val="00D20576"/>
    <w:rsid w:val="00D206A4"/>
    <w:rsid w:val="00D20720"/>
    <w:rsid w:val="00D208EA"/>
    <w:rsid w:val="00D20AD6"/>
    <w:rsid w:val="00D20B05"/>
    <w:rsid w:val="00D20B87"/>
    <w:rsid w:val="00D20E3A"/>
    <w:rsid w:val="00D210C4"/>
    <w:rsid w:val="00D210E3"/>
    <w:rsid w:val="00D213A8"/>
    <w:rsid w:val="00D214DA"/>
    <w:rsid w:val="00D21655"/>
    <w:rsid w:val="00D217F4"/>
    <w:rsid w:val="00D219FD"/>
    <w:rsid w:val="00D21B8E"/>
    <w:rsid w:val="00D21D1E"/>
    <w:rsid w:val="00D21DA7"/>
    <w:rsid w:val="00D21EDB"/>
    <w:rsid w:val="00D21F39"/>
    <w:rsid w:val="00D221E4"/>
    <w:rsid w:val="00D22260"/>
    <w:rsid w:val="00D22457"/>
    <w:rsid w:val="00D226D9"/>
    <w:rsid w:val="00D2272E"/>
    <w:rsid w:val="00D228EC"/>
    <w:rsid w:val="00D22A18"/>
    <w:rsid w:val="00D22A6D"/>
    <w:rsid w:val="00D22F94"/>
    <w:rsid w:val="00D23047"/>
    <w:rsid w:val="00D23207"/>
    <w:rsid w:val="00D232E8"/>
    <w:rsid w:val="00D234E9"/>
    <w:rsid w:val="00D236C1"/>
    <w:rsid w:val="00D23751"/>
    <w:rsid w:val="00D23757"/>
    <w:rsid w:val="00D2389B"/>
    <w:rsid w:val="00D23ADA"/>
    <w:rsid w:val="00D23B78"/>
    <w:rsid w:val="00D23C08"/>
    <w:rsid w:val="00D23E9A"/>
    <w:rsid w:val="00D23FEB"/>
    <w:rsid w:val="00D23FF5"/>
    <w:rsid w:val="00D240FB"/>
    <w:rsid w:val="00D242F1"/>
    <w:rsid w:val="00D2436A"/>
    <w:rsid w:val="00D24441"/>
    <w:rsid w:val="00D244C2"/>
    <w:rsid w:val="00D24672"/>
    <w:rsid w:val="00D24988"/>
    <w:rsid w:val="00D24D4B"/>
    <w:rsid w:val="00D24DAD"/>
    <w:rsid w:val="00D255D3"/>
    <w:rsid w:val="00D257F8"/>
    <w:rsid w:val="00D2581E"/>
    <w:rsid w:val="00D25916"/>
    <w:rsid w:val="00D25E97"/>
    <w:rsid w:val="00D25EA8"/>
    <w:rsid w:val="00D25F71"/>
    <w:rsid w:val="00D26021"/>
    <w:rsid w:val="00D261FC"/>
    <w:rsid w:val="00D263E9"/>
    <w:rsid w:val="00D26522"/>
    <w:rsid w:val="00D26721"/>
    <w:rsid w:val="00D2699A"/>
    <w:rsid w:val="00D26D69"/>
    <w:rsid w:val="00D26D97"/>
    <w:rsid w:val="00D26E28"/>
    <w:rsid w:val="00D26F36"/>
    <w:rsid w:val="00D27034"/>
    <w:rsid w:val="00D27078"/>
    <w:rsid w:val="00D270B6"/>
    <w:rsid w:val="00D2718E"/>
    <w:rsid w:val="00D27248"/>
    <w:rsid w:val="00D2759E"/>
    <w:rsid w:val="00D275A6"/>
    <w:rsid w:val="00D27710"/>
    <w:rsid w:val="00D27887"/>
    <w:rsid w:val="00D278B6"/>
    <w:rsid w:val="00D278BA"/>
    <w:rsid w:val="00D27A08"/>
    <w:rsid w:val="00D27E27"/>
    <w:rsid w:val="00D3008E"/>
    <w:rsid w:val="00D300BD"/>
    <w:rsid w:val="00D3012B"/>
    <w:rsid w:val="00D301EE"/>
    <w:rsid w:val="00D301F1"/>
    <w:rsid w:val="00D30203"/>
    <w:rsid w:val="00D306CD"/>
    <w:rsid w:val="00D30844"/>
    <w:rsid w:val="00D30A41"/>
    <w:rsid w:val="00D30AA5"/>
    <w:rsid w:val="00D30CC3"/>
    <w:rsid w:val="00D30FFC"/>
    <w:rsid w:val="00D3167B"/>
    <w:rsid w:val="00D317C2"/>
    <w:rsid w:val="00D31A9A"/>
    <w:rsid w:val="00D31B53"/>
    <w:rsid w:val="00D31E62"/>
    <w:rsid w:val="00D31F07"/>
    <w:rsid w:val="00D326BB"/>
    <w:rsid w:val="00D32960"/>
    <w:rsid w:val="00D329E6"/>
    <w:rsid w:val="00D32A37"/>
    <w:rsid w:val="00D32A8B"/>
    <w:rsid w:val="00D32BDC"/>
    <w:rsid w:val="00D32EC3"/>
    <w:rsid w:val="00D32F1C"/>
    <w:rsid w:val="00D331CD"/>
    <w:rsid w:val="00D331D1"/>
    <w:rsid w:val="00D33502"/>
    <w:rsid w:val="00D3367D"/>
    <w:rsid w:val="00D33734"/>
    <w:rsid w:val="00D3389C"/>
    <w:rsid w:val="00D33AA2"/>
    <w:rsid w:val="00D33B26"/>
    <w:rsid w:val="00D33B93"/>
    <w:rsid w:val="00D33E46"/>
    <w:rsid w:val="00D33F82"/>
    <w:rsid w:val="00D340C0"/>
    <w:rsid w:val="00D341A3"/>
    <w:rsid w:val="00D34264"/>
    <w:rsid w:val="00D34350"/>
    <w:rsid w:val="00D343C0"/>
    <w:rsid w:val="00D34743"/>
    <w:rsid w:val="00D349C3"/>
    <w:rsid w:val="00D34A90"/>
    <w:rsid w:val="00D34BEA"/>
    <w:rsid w:val="00D34C10"/>
    <w:rsid w:val="00D35061"/>
    <w:rsid w:val="00D3514B"/>
    <w:rsid w:val="00D35552"/>
    <w:rsid w:val="00D35A66"/>
    <w:rsid w:val="00D35AF5"/>
    <w:rsid w:val="00D35B6A"/>
    <w:rsid w:val="00D35C4F"/>
    <w:rsid w:val="00D35EC8"/>
    <w:rsid w:val="00D35F10"/>
    <w:rsid w:val="00D35FE5"/>
    <w:rsid w:val="00D362A3"/>
    <w:rsid w:val="00D365A6"/>
    <w:rsid w:val="00D36883"/>
    <w:rsid w:val="00D36927"/>
    <w:rsid w:val="00D3696A"/>
    <w:rsid w:val="00D36EE6"/>
    <w:rsid w:val="00D37127"/>
    <w:rsid w:val="00D37153"/>
    <w:rsid w:val="00D371A7"/>
    <w:rsid w:val="00D3729A"/>
    <w:rsid w:val="00D37415"/>
    <w:rsid w:val="00D37489"/>
    <w:rsid w:val="00D374F9"/>
    <w:rsid w:val="00D3757B"/>
    <w:rsid w:val="00D375A2"/>
    <w:rsid w:val="00D37710"/>
    <w:rsid w:val="00D377AD"/>
    <w:rsid w:val="00D37972"/>
    <w:rsid w:val="00D37A78"/>
    <w:rsid w:val="00D37F62"/>
    <w:rsid w:val="00D3A8DA"/>
    <w:rsid w:val="00D40097"/>
    <w:rsid w:val="00D4020F"/>
    <w:rsid w:val="00D4038D"/>
    <w:rsid w:val="00D403CC"/>
    <w:rsid w:val="00D40896"/>
    <w:rsid w:val="00D4089B"/>
    <w:rsid w:val="00D40CBC"/>
    <w:rsid w:val="00D40D64"/>
    <w:rsid w:val="00D40DBC"/>
    <w:rsid w:val="00D40ED7"/>
    <w:rsid w:val="00D4142E"/>
    <w:rsid w:val="00D41534"/>
    <w:rsid w:val="00D4155F"/>
    <w:rsid w:val="00D415CD"/>
    <w:rsid w:val="00D415D6"/>
    <w:rsid w:val="00D4177A"/>
    <w:rsid w:val="00D417AB"/>
    <w:rsid w:val="00D418C8"/>
    <w:rsid w:val="00D41A5B"/>
    <w:rsid w:val="00D41B0D"/>
    <w:rsid w:val="00D41B83"/>
    <w:rsid w:val="00D41BAA"/>
    <w:rsid w:val="00D41C53"/>
    <w:rsid w:val="00D41E88"/>
    <w:rsid w:val="00D42305"/>
    <w:rsid w:val="00D42502"/>
    <w:rsid w:val="00D426CB"/>
    <w:rsid w:val="00D4271E"/>
    <w:rsid w:val="00D4272E"/>
    <w:rsid w:val="00D42750"/>
    <w:rsid w:val="00D429B2"/>
    <w:rsid w:val="00D42B22"/>
    <w:rsid w:val="00D42B3E"/>
    <w:rsid w:val="00D42CE3"/>
    <w:rsid w:val="00D42CE7"/>
    <w:rsid w:val="00D43121"/>
    <w:rsid w:val="00D4320F"/>
    <w:rsid w:val="00D43437"/>
    <w:rsid w:val="00D43548"/>
    <w:rsid w:val="00D43634"/>
    <w:rsid w:val="00D437A1"/>
    <w:rsid w:val="00D43B81"/>
    <w:rsid w:val="00D43C22"/>
    <w:rsid w:val="00D43C2D"/>
    <w:rsid w:val="00D43DE7"/>
    <w:rsid w:val="00D43E7C"/>
    <w:rsid w:val="00D43F2E"/>
    <w:rsid w:val="00D43F73"/>
    <w:rsid w:val="00D4404A"/>
    <w:rsid w:val="00D44283"/>
    <w:rsid w:val="00D44356"/>
    <w:rsid w:val="00D4436D"/>
    <w:rsid w:val="00D445AE"/>
    <w:rsid w:val="00D44B59"/>
    <w:rsid w:val="00D44F2C"/>
    <w:rsid w:val="00D44F9B"/>
    <w:rsid w:val="00D44F9D"/>
    <w:rsid w:val="00D44FCF"/>
    <w:rsid w:val="00D45007"/>
    <w:rsid w:val="00D451FC"/>
    <w:rsid w:val="00D453D6"/>
    <w:rsid w:val="00D453E9"/>
    <w:rsid w:val="00D45404"/>
    <w:rsid w:val="00D4567B"/>
    <w:rsid w:val="00D457C3"/>
    <w:rsid w:val="00D458B2"/>
    <w:rsid w:val="00D458B5"/>
    <w:rsid w:val="00D45C0B"/>
    <w:rsid w:val="00D45DFF"/>
    <w:rsid w:val="00D45EAC"/>
    <w:rsid w:val="00D45ECA"/>
    <w:rsid w:val="00D46263"/>
    <w:rsid w:val="00D46325"/>
    <w:rsid w:val="00D465E4"/>
    <w:rsid w:val="00D46951"/>
    <w:rsid w:val="00D46975"/>
    <w:rsid w:val="00D46A3B"/>
    <w:rsid w:val="00D46AF8"/>
    <w:rsid w:val="00D46B35"/>
    <w:rsid w:val="00D46D1D"/>
    <w:rsid w:val="00D46D71"/>
    <w:rsid w:val="00D46DD7"/>
    <w:rsid w:val="00D46E2A"/>
    <w:rsid w:val="00D46EE4"/>
    <w:rsid w:val="00D46F30"/>
    <w:rsid w:val="00D471C3"/>
    <w:rsid w:val="00D4732D"/>
    <w:rsid w:val="00D4734F"/>
    <w:rsid w:val="00D47615"/>
    <w:rsid w:val="00D47742"/>
    <w:rsid w:val="00D47973"/>
    <w:rsid w:val="00D47B3A"/>
    <w:rsid w:val="00D47CA5"/>
    <w:rsid w:val="00D47DA8"/>
    <w:rsid w:val="00D47FB6"/>
    <w:rsid w:val="00D47FF6"/>
    <w:rsid w:val="00D48803"/>
    <w:rsid w:val="00D5005A"/>
    <w:rsid w:val="00D50122"/>
    <w:rsid w:val="00D501A2"/>
    <w:rsid w:val="00D501FA"/>
    <w:rsid w:val="00D5051E"/>
    <w:rsid w:val="00D50803"/>
    <w:rsid w:val="00D5099B"/>
    <w:rsid w:val="00D50A90"/>
    <w:rsid w:val="00D50C3A"/>
    <w:rsid w:val="00D50CFA"/>
    <w:rsid w:val="00D50D30"/>
    <w:rsid w:val="00D50EAB"/>
    <w:rsid w:val="00D50F47"/>
    <w:rsid w:val="00D50F4B"/>
    <w:rsid w:val="00D51175"/>
    <w:rsid w:val="00D51418"/>
    <w:rsid w:val="00D51470"/>
    <w:rsid w:val="00D5161D"/>
    <w:rsid w:val="00D51837"/>
    <w:rsid w:val="00D51A84"/>
    <w:rsid w:val="00D51BCF"/>
    <w:rsid w:val="00D51E40"/>
    <w:rsid w:val="00D51E6D"/>
    <w:rsid w:val="00D5238F"/>
    <w:rsid w:val="00D52566"/>
    <w:rsid w:val="00D52712"/>
    <w:rsid w:val="00D5291F"/>
    <w:rsid w:val="00D52BDF"/>
    <w:rsid w:val="00D52D86"/>
    <w:rsid w:val="00D5327B"/>
    <w:rsid w:val="00D532AA"/>
    <w:rsid w:val="00D53A56"/>
    <w:rsid w:val="00D53F67"/>
    <w:rsid w:val="00D53F99"/>
    <w:rsid w:val="00D544BD"/>
    <w:rsid w:val="00D545F5"/>
    <w:rsid w:val="00D549E0"/>
    <w:rsid w:val="00D54F6B"/>
    <w:rsid w:val="00D552D7"/>
    <w:rsid w:val="00D55C62"/>
    <w:rsid w:val="00D55E0F"/>
    <w:rsid w:val="00D55E66"/>
    <w:rsid w:val="00D55EDD"/>
    <w:rsid w:val="00D56027"/>
    <w:rsid w:val="00D5614F"/>
    <w:rsid w:val="00D561C2"/>
    <w:rsid w:val="00D56403"/>
    <w:rsid w:val="00D564A2"/>
    <w:rsid w:val="00D56633"/>
    <w:rsid w:val="00D56646"/>
    <w:rsid w:val="00D5682F"/>
    <w:rsid w:val="00D56856"/>
    <w:rsid w:val="00D56AB0"/>
    <w:rsid w:val="00D56B63"/>
    <w:rsid w:val="00D56C0E"/>
    <w:rsid w:val="00D56DC7"/>
    <w:rsid w:val="00D56EC9"/>
    <w:rsid w:val="00D57815"/>
    <w:rsid w:val="00D579FE"/>
    <w:rsid w:val="00D57D92"/>
    <w:rsid w:val="00D57D9F"/>
    <w:rsid w:val="00D6010A"/>
    <w:rsid w:val="00D6016B"/>
    <w:rsid w:val="00D6060D"/>
    <w:rsid w:val="00D60A0A"/>
    <w:rsid w:val="00D60AF5"/>
    <w:rsid w:val="00D60E6F"/>
    <w:rsid w:val="00D6138D"/>
    <w:rsid w:val="00D619A9"/>
    <w:rsid w:val="00D61AC0"/>
    <w:rsid w:val="00D61B82"/>
    <w:rsid w:val="00D61CD5"/>
    <w:rsid w:val="00D61F15"/>
    <w:rsid w:val="00D6213F"/>
    <w:rsid w:val="00D622D4"/>
    <w:rsid w:val="00D6248C"/>
    <w:rsid w:val="00D62576"/>
    <w:rsid w:val="00D62661"/>
    <w:rsid w:val="00D6269C"/>
    <w:rsid w:val="00D6273F"/>
    <w:rsid w:val="00D62AA2"/>
    <w:rsid w:val="00D62ECB"/>
    <w:rsid w:val="00D62F7B"/>
    <w:rsid w:val="00D630A2"/>
    <w:rsid w:val="00D63159"/>
    <w:rsid w:val="00D63359"/>
    <w:rsid w:val="00D6355E"/>
    <w:rsid w:val="00D6367B"/>
    <w:rsid w:val="00D63992"/>
    <w:rsid w:val="00D639B7"/>
    <w:rsid w:val="00D63BF2"/>
    <w:rsid w:val="00D63C48"/>
    <w:rsid w:val="00D63C78"/>
    <w:rsid w:val="00D63CA5"/>
    <w:rsid w:val="00D63ED8"/>
    <w:rsid w:val="00D64175"/>
    <w:rsid w:val="00D64289"/>
    <w:rsid w:val="00D644AB"/>
    <w:rsid w:val="00D646A1"/>
    <w:rsid w:val="00D64974"/>
    <w:rsid w:val="00D649BB"/>
    <w:rsid w:val="00D64A0B"/>
    <w:rsid w:val="00D64A1F"/>
    <w:rsid w:val="00D64B0A"/>
    <w:rsid w:val="00D64B41"/>
    <w:rsid w:val="00D64E31"/>
    <w:rsid w:val="00D65178"/>
    <w:rsid w:val="00D655E9"/>
    <w:rsid w:val="00D65E60"/>
    <w:rsid w:val="00D6604A"/>
    <w:rsid w:val="00D662B1"/>
    <w:rsid w:val="00D6667B"/>
    <w:rsid w:val="00D666DF"/>
    <w:rsid w:val="00D66736"/>
    <w:rsid w:val="00D66801"/>
    <w:rsid w:val="00D66A9C"/>
    <w:rsid w:val="00D66B07"/>
    <w:rsid w:val="00D66B08"/>
    <w:rsid w:val="00D66B3A"/>
    <w:rsid w:val="00D67336"/>
    <w:rsid w:val="00D673C3"/>
    <w:rsid w:val="00D67451"/>
    <w:rsid w:val="00D6748C"/>
    <w:rsid w:val="00D674D2"/>
    <w:rsid w:val="00D6770C"/>
    <w:rsid w:val="00D677A2"/>
    <w:rsid w:val="00D677A8"/>
    <w:rsid w:val="00D6787A"/>
    <w:rsid w:val="00D67979"/>
    <w:rsid w:val="00D679F9"/>
    <w:rsid w:val="00D67A69"/>
    <w:rsid w:val="00D67AC1"/>
    <w:rsid w:val="00D67C5F"/>
    <w:rsid w:val="00D67CEB"/>
    <w:rsid w:val="00D67E8E"/>
    <w:rsid w:val="00D67EEF"/>
    <w:rsid w:val="00D67FFE"/>
    <w:rsid w:val="00D7022B"/>
    <w:rsid w:val="00D70497"/>
    <w:rsid w:val="00D70507"/>
    <w:rsid w:val="00D7058E"/>
    <w:rsid w:val="00D7067C"/>
    <w:rsid w:val="00D706A2"/>
    <w:rsid w:val="00D7084B"/>
    <w:rsid w:val="00D70C17"/>
    <w:rsid w:val="00D70DD2"/>
    <w:rsid w:val="00D71194"/>
    <w:rsid w:val="00D711E3"/>
    <w:rsid w:val="00D7129F"/>
    <w:rsid w:val="00D712DB"/>
    <w:rsid w:val="00D71400"/>
    <w:rsid w:val="00D71548"/>
    <w:rsid w:val="00D71630"/>
    <w:rsid w:val="00D7174E"/>
    <w:rsid w:val="00D717C3"/>
    <w:rsid w:val="00D7192F"/>
    <w:rsid w:val="00D7199E"/>
    <w:rsid w:val="00D72086"/>
    <w:rsid w:val="00D720EF"/>
    <w:rsid w:val="00D722A3"/>
    <w:rsid w:val="00D723C2"/>
    <w:rsid w:val="00D723C6"/>
    <w:rsid w:val="00D72432"/>
    <w:rsid w:val="00D7280D"/>
    <w:rsid w:val="00D7296B"/>
    <w:rsid w:val="00D72D10"/>
    <w:rsid w:val="00D72F22"/>
    <w:rsid w:val="00D72F29"/>
    <w:rsid w:val="00D72F96"/>
    <w:rsid w:val="00D73A13"/>
    <w:rsid w:val="00D73A57"/>
    <w:rsid w:val="00D73B04"/>
    <w:rsid w:val="00D73B63"/>
    <w:rsid w:val="00D73E42"/>
    <w:rsid w:val="00D7421E"/>
    <w:rsid w:val="00D7458F"/>
    <w:rsid w:val="00D7471B"/>
    <w:rsid w:val="00D74A47"/>
    <w:rsid w:val="00D74A49"/>
    <w:rsid w:val="00D74C0D"/>
    <w:rsid w:val="00D74F43"/>
    <w:rsid w:val="00D750F7"/>
    <w:rsid w:val="00D754FB"/>
    <w:rsid w:val="00D75761"/>
    <w:rsid w:val="00D75772"/>
    <w:rsid w:val="00D75C0A"/>
    <w:rsid w:val="00D75D30"/>
    <w:rsid w:val="00D75FB5"/>
    <w:rsid w:val="00D75FEC"/>
    <w:rsid w:val="00D76138"/>
    <w:rsid w:val="00D762C0"/>
    <w:rsid w:val="00D763BE"/>
    <w:rsid w:val="00D76698"/>
    <w:rsid w:val="00D766C1"/>
    <w:rsid w:val="00D7679A"/>
    <w:rsid w:val="00D76936"/>
    <w:rsid w:val="00D76DBE"/>
    <w:rsid w:val="00D77006"/>
    <w:rsid w:val="00D77B52"/>
    <w:rsid w:val="00D77EC4"/>
    <w:rsid w:val="00D8003C"/>
    <w:rsid w:val="00D803A2"/>
    <w:rsid w:val="00D80934"/>
    <w:rsid w:val="00D809B2"/>
    <w:rsid w:val="00D80B3B"/>
    <w:rsid w:val="00D80E02"/>
    <w:rsid w:val="00D81172"/>
    <w:rsid w:val="00D818F3"/>
    <w:rsid w:val="00D81DB7"/>
    <w:rsid w:val="00D81E98"/>
    <w:rsid w:val="00D82083"/>
    <w:rsid w:val="00D822A6"/>
    <w:rsid w:val="00D824D7"/>
    <w:rsid w:val="00D826C2"/>
    <w:rsid w:val="00D82768"/>
    <w:rsid w:val="00D82C5D"/>
    <w:rsid w:val="00D82D12"/>
    <w:rsid w:val="00D830AD"/>
    <w:rsid w:val="00D830EF"/>
    <w:rsid w:val="00D83229"/>
    <w:rsid w:val="00D8351D"/>
    <w:rsid w:val="00D83633"/>
    <w:rsid w:val="00D8366C"/>
    <w:rsid w:val="00D8381F"/>
    <w:rsid w:val="00D83A0A"/>
    <w:rsid w:val="00D83AFA"/>
    <w:rsid w:val="00D83C26"/>
    <w:rsid w:val="00D83CE3"/>
    <w:rsid w:val="00D83E3F"/>
    <w:rsid w:val="00D8441F"/>
    <w:rsid w:val="00D844C8"/>
    <w:rsid w:val="00D847A1"/>
    <w:rsid w:val="00D84988"/>
    <w:rsid w:val="00D849FE"/>
    <w:rsid w:val="00D84A0B"/>
    <w:rsid w:val="00D84A5E"/>
    <w:rsid w:val="00D84B3D"/>
    <w:rsid w:val="00D84B6C"/>
    <w:rsid w:val="00D84D58"/>
    <w:rsid w:val="00D84E54"/>
    <w:rsid w:val="00D84FA9"/>
    <w:rsid w:val="00D850DD"/>
    <w:rsid w:val="00D85173"/>
    <w:rsid w:val="00D8518F"/>
    <w:rsid w:val="00D856EC"/>
    <w:rsid w:val="00D856FD"/>
    <w:rsid w:val="00D85B3F"/>
    <w:rsid w:val="00D85B4B"/>
    <w:rsid w:val="00D85E45"/>
    <w:rsid w:val="00D85F7A"/>
    <w:rsid w:val="00D86044"/>
    <w:rsid w:val="00D86088"/>
    <w:rsid w:val="00D861BE"/>
    <w:rsid w:val="00D864AA"/>
    <w:rsid w:val="00D866E6"/>
    <w:rsid w:val="00D86811"/>
    <w:rsid w:val="00D86BEE"/>
    <w:rsid w:val="00D86C31"/>
    <w:rsid w:val="00D86C5E"/>
    <w:rsid w:val="00D86CBA"/>
    <w:rsid w:val="00D87010"/>
    <w:rsid w:val="00D870A0"/>
    <w:rsid w:val="00D870F2"/>
    <w:rsid w:val="00D87305"/>
    <w:rsid w:val="00D8742D"/>
    <w:rsid w:val="00D87CE4"/>
    <w:rsid w:val="00D87E03"/>
    <w:rsid w:val="00D87E65"/>
    <w:rsid w:val="00D87ED9"/>
    <w:rsid w:val="00D90128"/>
    <w:rsid w:val="00D902F5"/>
    <w:rsid w:val="00D905EE"/>
    <w:rsid w:val="00D90610"/>
    <w:rsid w:val="00D90865"/>
    <w:rsid w:val="00D909F6"/>
    <w:rsid w:val="00D90D1F"/>
    <w:rsid w:val="00D90D8F"/>
    <w:rsid w:val="00D91069"/>
    <w:rsid w:val="00D911A6"/>
    <w:rsid w:val="00D912B3"/>
    <w:rsid w:val="00D91464"/>
    <w:rsid w:val="00D915AD"/>
    <w:rsid w:val="00D915F1"/>
    <w:rsid w:val="00D91606"/>
    <w:rsid w:val="00D91662"/>
    <w:rsid w:val="00D91716"/>
    <w:rsid w:val="00D91848"/>
    <w:rsid w:val="00D919F9"/>
    <w:rsid w:val="00D91C77"/>
    <w:rsid w:val="00D91CDF"/>
    <w:rsid w:val="00D91D0D"/>
    <w:rsid w:val="00D92445"/>
    <w:rsid w:val="00D92463"/>
    <w:rsid w:val="00D92563"/>
    <w:rsid w:val="00D92AD2"/>
    <w:rsid w:val="00D92B94"/>
    <w:rsid w:val="00D930B9"/>
    <w:rsid w:val="00D930E8"/>
    <w:rsid w:val="00D932DF"/>
    <w:rsid w:val="00D9339B"/>
    <w:rsid w:val="00D93461"/>
    <w:rsid w:val="00D935B4"/>
    <w:rsid w:val="00D93616"/>
    <w:rsid w:val="00D93937"/>
    <w:rsid w:val="00D93BF0"/>
    <w:rsid w:val="00D93D26"/>
    <w:rsid w:val="00D93D75"/>
    <w:rsid w:val="00D93DD1"/>
    <w:rsid w:val="00D93E53"/>
    <w:rsid w:val="00D943B2"/>
    <w:rsid w:val="00D9440A"/>
    <w:rsid w:val="00D94B05"/>
    <w:rsid w:val="00D94BC8"/>
    <w:rsid w:val="00D94FD6"/>
    <w:rsid w:val="00D94FF8"/>
    <w:rsid w:val="00D952EB"/>
    <w:rsid w:val="00D95361"/>
    <w:rsid w:val="00D95394"/>
    <w:rsid w:val="00D954C1"/>
    <w:rsid w:val="00D95995"/>
    <w:rsid w:val="00D95F26"/>
    <w:rsid w:val="00D964A3"/>
    <w:rsid w:val="00D967E9"/>
    <w:rsid w:val="00D96855"/>
    <w:rsid w:val="00D96AD7"/>
    <w:rsid w:val="00D96D5B"/>
    <w:rsid w:val="00D96F26"/>
    <w:rsid w:val="00D96FB3"/>
    <w:rsid w:val="00D96FE7"/>
    <w:rsid w:val="00D9703A"/>
    <w:rsid w:val="00D970E7"/>
    <w:rsid w:val="00D970E8"/>
    <w:rsid w:val="00D97194"/>
    <w:rsid w:val="00D973E2"/>
    <w:rsid w:val="00D973F5"/>
    <w:rsid w:val="00D97519"/>
    <w:rsid w:val="00D9759E"/>
    <w:rsid w:val="00D975DA"/>
    <w:rsid w:val="00D9762B"/>
    <w:rsid w:val="00D979CB"/>
    <w:rsid w:val="00D97BEC"/>
    <w:rsid w:val="00D97E15"/>
    <w:rsid w:val="00D97FF3"/>
    <w:rsid w:val="00DA002B"/>
    <w:rsid w:val="00DA016C"/>
    <w:rsid w:val="00DA01E5"/>
    <w:rsid w:val="00DA0295"/>
    <w:rsid w:val="00DA02A3"/>
    <w:rsid w:val="00DA032B"/>
    <w:rsid w:val="00DA0456"/>
    <w:rsid w:val="00DA055E"/>
    <w:rsid w:val="00DA05A4"/>
    <w:rsid w:val="00DA0A03"/>
    <w:rsid w:val="00DA0CE6"/>
    <w:rsid w:val="00DA0CF5"/>
    <w:rsid w:val="00DA0D86"/>
    <w:rsid w:val="00DA0EF1"/>
    <w:rsid w:val="00DA0FE0"/>
    <w:rsid w:val="00DA0FEF"/>
    <w:rsid w:val="00DA10BF"/>
    <w:rsid w:val="00DA15BF"/>
    <w:rsid w:val="00DA1A1E"/>
    <w:rsid w:val="00DA1DE8"/>
    <w:rsid w:val="00DA1F5C"/>
    <w:rsid w:val="00DA2143"/>
    <w:rsid w:val="00DA2201"/>
    <w:rsid w:val="00DA24B9"/>
    <w:rsid w:val="00DA259A"/>
    <w:rsid w:val="00DA271F"/>
    <w:rsid w:val="00DA2780"/>
    <w:rsid w:val="00DA27FF"/>
    <w:rsid w:val="00DA29AE"/>
    <w:rsid w:val="00DA2A4C"/>
    <w:rsid w:val="00DA2D30"/>
    <w:rsid w:val="00DA2D5E"/>
    <w:rsid w:val="00DA30AB"/>
    <w:rsid w:val="00DA340B"/>
    <w:rsid w:val="00DA35F3"/>
    <w:rsid w:val="00DA36C5"/>
    <w:rsid w:val="00DA36FD"/>
    <w:rsid w:val="00DA3728"/>
    <w:rsid w:val="00DA39AA"/>
    <w:rsid w:val="00DA3A4E"/>
    <w:rsid w:val="00DA4512"/>
    <w:rsid w:val="00DA485C"/>
    <w:rsid w:val="00DA4884"/>
    <w:rsid w:val="00DA48C6"/>
    <w:rsid w:val="00DA49C5"/>
    <w:rsid w:val="00DA4A2D"/>
    <w:rsid w:val="00DA4C8C"/>
    <w:rsid w:val="00DA4F39"/>
    <w:rsid w:val="00DA5206"/>
    <w:rsid w:val="00DA5380"/>
    <w:rsid w:val="00DA5595"/>
    <w:rsid w:val="00DA55BB"/>
    <w:rsid w:val="00DA561B"/>
    <w:rsid w:val="00DA5629"/>
    <w:rsid w:val="00DA57D2"/>
    <w:rsid w:val="00DA5931"/>
    <w:rsid w:val="00DA59E8"/>
    <w:rsid w:val="00DA5DB3"/>
    <w:rsid w:val="00DA5EAF"/>
    <w:rsid w:val="00DA5EF8"/>
    <w:rsid w:val="00DA5F2C"/>
    <w:rsid w:val="00DA5FB5"/>
    <w:rsid w:val="00DA617C"/>
    <w:rsid w:val="00DA626A"/>
    <w:rsid w:val="00DA62D6"/>
    <w:rsid w:val="00DA62F3"/>
    <w:rsid w:val="00DA64C0"/>
    <w:rsid w:val="00DA661B"/>
    <w:rsid w:val="00DA6639"/>
    <w:rsid w:val="00DA6C32"/>
    <w:rsid w:val="00DA7068"/>
    <w:rsid w:val="00DA71E0"/>
    <w:rsid w:val="00DA72BD"/>
    <w:rsid w:val="00DA73EE"/>
    <w:rsid w:val="00DA74EA"/>
    <w:rsid w:val="00DA7561"/>
    <w:rsid w:val="00DA77B0"/>
    <w:rsid w:val="00DA7B70"/>
    <w:rsid w:val="00DB046A"/>
    <w:rsid w:val="00DB0791"/>
    <w:rsid w:val="00DB09FA"/>
    <w:rsid w:val="00DB0B17"/>
    <w:rsid w:val="00DB0B8A"/>
    <w:rsid w:val="00DB1189"/>
    <w:rsid w:val="00DB18EA"/>
    <w:rsid w:val="00DB1965"/>
    <w:rsid w:val="00DB1C7B"/>
    <w:rsid w:val="00DB1D85"/>
    <w:rsid w:val="00DB1D9F"/>
    <w:rsid w:val="00DB1FBC"/>
    <w:rsid w:val="00DB2501"/>
    <w:rsid w:val="00DB2957"/>
    <w:rsid w:val="00DB2CE4"/>
    <w:rsid w:val="00DB2D04"/>
    <w:rsid w:val="00DB2D7A"/>
    <w:rsid w:val="00DB2DDD"/>
    <w:rsid w:val="00DB2F74"/>
    <w:rsid w:val="00DB3249"/>
    <w:rsid w:val="00DB33F9"/>
    <w:rsid w:val="00DB390D"/>
    <w:rsid w:val="00DB3ADF"/>
    <w:rsid w:val="00DB3AF2"/>
    <w:rsid w:val="00DB3C60"/>
    <w:rsid w:val="00DB3F0B"/>
    <w:rsid w:val="00DB4473"/>
    <w:rsid w:val="00DB45EC"/>
    <w:rsid w:val="00DB4632"/>
    <w:rsid w:val="00DB4866"/>
    <w:rsid w:val="00DB48DC"/>
    <w:rsid w:val="00DB4B57"/>
    <w:rsid w:val="00DB4BF4"/>
    <w:rsid w:val="00DB4E77"/>
    <w:rsid w:val="00DB4ED5"/>
    <w:rsid w:val="00DB529C"/>
    <w:rsid w:val="00DB540A"/>
    <w:rsid w:val="00DB593D"/>
    <w:rsid w:val="00DB5C59"/>
    <w:rsid w:val="00DB5CF1"/>
    <w:rsid w:val="00DB5E0E"/>
    <w:rsid w:val="00DB5E7D"/>
    <w:rsid w:val="00DB5F9A"/>
    <w:rsid w:val="00DB636A"/>
    <w:rsid w:val="00DB6426"/>
    <w:rsid w:val="00DB6432"/>
    <w:rsid w:val="00DB64BA"/>
    <w:rsid w:val="00DB6557"/>
    <w:rsid w:val="00DB65C8"/>
    <w:rsid w:val="00DB6844"/>
    <w:rsid w:val="00DB68A2"/>
    <w:rsid w:val="00DB68CA"/>
    <w:rsid w:val="00DB690B"/>
    <w:rsid w:val="00DB6985"/>
    <w:rsid w:val="00DB6AAB"/>
    <w:rsid w:val="00DB6EE6"/>
    <w:rsid w:val="00DB6FEE"/>
    <w:rsid w:val="00DB71C0"/>
    <w:rsid w:val="00DB72C6"/>
    <w:rsid w:val="00DB73EC"/>
    <w:rsid w:val="00DB74E2"/>
    <w:rsid w:val="00DB75E7"/>
    <w:rsid w:val="00DB7661"/>
    <w:rsid w:val="00DB766C"/>
    <w:rsid w:val="00DB77D7"/>
    <w:rsid w:val="00DB792A"/>
    <w:rsid w:val="00DB7A54"/>
    <w:rsid w:val="00DB7A6B"/>
    <w:rsid w:val="00DB7C75"/>
    <w:rsid w:val="00DB7CFD"/>
    <w:rsid w:val="00DB7E66"/>
    <w:rsid w:val="00DB7E82"/>
    <w:rsid w:val="00DB7F14"/>
    <w:rsid w:val="00DB7F27"/>
    <w:rsid w:val="00DB7F65"/>
    <w:rsid w:val="00DB7FB4"/>
    <w:rsid w:val="00DC004A"/>
    <w:rsid w:val="00DC03F2"/>
    <w:rsid w:val="00DC0430"/>
    <w:rsid w:val="00DC056B"/>
    <w:rsid w:val="00DC084D"/>
    <w:rsid w:val="00DC088B"/>
    <w:rsid w:val="00DC0972"/>
    <w:rsid w:val="00DC09BB"/>
    <w:rsid w:val="00DC0A2E"/>
    <w:rsid w:val="00DC0BDE"/>
    <w:rsid w:val="00DC0D95"/>
    <w:rsid w:val="00DC0DF1"/>
    <w:rsid w:val="00DC134B"/>
    <w:rsid w:val="00DC1649"/>
    <w:rsid w:val="00DC1743"/>
    <w:rsid w:val="00DC1746"/>
    <w:rsid w:val="00DC1815"/>
    <w:rsid w:val="00DC188E"/>
    <w:rsid w:val="00DC1929"/>
    <w:rsid w:val="00DC194A"/>
    <w:rsid w:val="00DC1A9F"/>
    <w:rsid w:val="00DC1E28"/>
    <w:rsid w:val="00DC2532"/>
    <w:rsid w:val="00DC26C9"/>
    <w:rsid w:val="00DC273B"/>
    <w:rsid w:val="00DC2740"/>
    <w:rsid w:val="00DC2900"/>
    <w:rsid w:val="00DC2912"/>
    <w:rsid w:val="00DC2921"/>
    <w:rsid w:val="00DC2E30"/>
    <w:rsid w:val="00DC2E62"/>
    <w:rsid w:val="00DC2FC9"/>
    <w:rsid w:val="00DC3030"/>
    <w:rsid w:val="00DC30A7"/>
    <w:rsid w:val="00DC330E"/>
    <w:rsid w:val="00DC3405"/>
    <w:rsid w:val="00DC35E7"/>
    <w:rsid w:val="00DC3839"/>
    <w:rsid w:val="00DC3A33"/>
    <w:rsid w:val="00DC3C53"/>
    <w:rsid w:val="00DC3EB6"/>
    <w:rsid w:val="00DC3EFA"/>
    <w:rsid w:val="00DC4008"/>
    <w:rsid w:val="00DC4493"/>
    <w:rsid w:val="00DC45BC"/>
    <w:rsid w:val="00DC4781"/>
    <w:rsid w:val="00DC4881"/>
    <w:rsid w:val="00DC490D"/>
    <w:rsid w:val="00DC4CC9"/>
    <w:rsid w:val="00DC4D8E"/>
    <w:rsid w:val="00DC4DBF"/>
    <w:rsid w:val="00DC4F4B"/>
    <w:rsid w:val="00DC537C"/>
    <w:rsid w:val="00DC53F1"/>
    <w:rsid w:val="00DC551D"/>
    <w:rsid w:val="00DC55FC"/>
    <w:rsid w:val="00DC5652"/>
    <w:rsid w:val="00DC567C"/>
    <w:rsid w:val="00DC572D"/>
    <w:rsid w:val="00DC5872"/>
    <w:rsid w:val="00DC5AC1"/>
    <w:rsid w:val="00DC5DF2"/>
    <w:rsid w:val="00DC5E17"/>
    <w:rsid w:val="00DC5F55"/>
    <w:rsid w:val="00DC60F8"/>
    <w:rsid w:val="00DC6248"/>
    <w:rsid w:val="00DC65CF"/>
    <w:rsid w:val="00DC6651"/>
    <w:rsid w:val="00DC67FC"/>
    <w:rsid w:val="00DC6822"/>
    <w:rsid w:val="00DC6F32"/>
    <w:rsid w:val="00DC7104"/>
    <w:rsid w:val="00DC71D0"/>
    <w:rsid w:val="00DC7218"/>
    <w:rsid w:val="00DC7309"/>
    <w:rsid w:val="00DC73F9"/>
    <w:rsid w:val="00DC7746"/>
    <w:rsid w:val="00DC78B2"/>
    <w:rsid w:val="00DC7999"/>
    <w:rsid w:val="00DC7A30"/>
    <w:rsid w:val="00DC7AA5"/>
    <w:rsid w:val="00DC7C8C"/>
    <w:rsid w:val="00DC7F7A"/>
    <w:rsid w:val="00DC7F80"/>
    <w:rsid w:val="00DD03C0"/>
    <w:rsid w:val="00DD0427"/>
    <w:rsid w:val="00DD04B2"/>
    <w:rsid w:val="00DD060D"/>
    <w:rsid w:val="00DD0726"/>
    <w:rsid w:val="00DD077F"/>
    <w:rsid w:val="00DD090F"/>
    <w:rsid w:val="00DD092B"/>
    <w:rsid w:val="00DD09CA"/>
    <w:rsid w:val="00DD0A03"/>
    <w:rsid w:val="00DD0F28"/>
    <w:rsid w:val="00DD1129"/>
    <w:rsid w:val="00DD1315"/>
    <w:rsid w:val="00DD1335"/>
    <w:rsid w:val="00DD13F4"/>
    <w:rsid w:val="00DD1728"/>
    <w:rsid w:val="00DD1791"/>
    <w:rsid w:val="00DD1BBF"/>
    <w:rsid w:val="00DD1CAC"/>
    <w:rsid w:val="00DD1E40"/>
    <w:rsid w:val="00DD1F7D"/>
    <w:rsid w:val="00DD2055"/>
    <w:rsid w:val="00DD22FD"/>
    <w:rsid w:val="00DD2365"/>
    <w:rsid w:val="00DD2409"/>
    <w:rsid w:val="00DD2432"/>
    <w:rsid w:val="00DD2445"/>
    <w:rsid w:val="00DD26F5"/>
    <w:rsid w:val="00DD299C"/>
    <w:rsid w:val="00DD2B5D"/>
    <w:rsid w:val="00DD2DC1"/>
    <w:rsid w:val="00DD2DEA"/>
    <w:rsid w:val="00DD3049"/>
    <w:rsid w:val="00DD30CC"/>
    <w:rsid w:val="00DD314E"/>
    <w:rsid w:val="00DD3322"/>
    <w:rsid w:val="00DD34D9"/>
    <w:rsid w:val="00DD356E"/>
    <w:rsid w:val="00DD373C"/>
    <w:rsid w:val="00DD375C"/>
    <w:rsid w:val="00DD3DB9"/>
    <w:rsid w:val="00DD424E"/>
    <w:rsid w:val="00DD44B5"/>
    <w:rsid w:val="00DD48FB"/>
    <w:rsid w:val="00DD4AB8"/>
    <w:rsid w:val="00DD4F88"/>
    <w:rsid w:val="00DD537B"/>
    <w:rsid w:val="00DD562C"/>
    <w:rsid w:val="00DD570C"/>
    <w:rsid w:val="00DD5714"/>
    <w:rsid w:val="00DD5750"/>
    <w:rsid w:val="00DD57DE"/>
    <w:rsid w:val="00DD5817"/>
    <w:rsid w:val="00DD5956"/>
    <w:rsid w:val="00DD59F0"/>
    <w:rsid w:val="00DD5EFD"/>
    <w:rsid w:val="00DD6024"/>
    <w:rsid w:val="00DD624A"/>
    <w:rsid w:val="00DD6457"/>
    <w:rsid w:val="00DD6CAF"/>
    <w:rsid w:val="00DD6D1D"/>
    <w:rsid w:val="00DD6F4C"/>
    <w:rsid w:val="00DD7172"/>
    <w:rsid w:val="00DD740F"/>
    <w:rsid w:val="00DD74A8"/>
    <w:rsid w:val="00DD7640"/>
    <w:rsid w:val="00DD7812"/>
    <w:rsid w:val="00DD7B54"/>
    <w:rsid w:val="00DD7B80"/>
    <w:rsid w:val="00DD7D18"/>
    <w:rsid w:val="00DD7D29"/>
    <w:rsid w:val="00DD7E5A"/>
    <w:rsid w:val="00DD7EA6"/>
    <w:rsid w:val="00DD7EC9"/>
    <w:rsid w:val="00DE03D9"/>
    <w:rsid w:val="00DE040B"/>
    <w:rsid w:val="00DE06F6"/>
    <w:rsid w:val="00DE074E"/>
    <w:rsid w:val="00DE0750"/>
    <w:rsid w:val="00DE07C0"/>
    <w:rsid w:val="00DE0852"/>
    <w:rsid w:val="00DE0DB8"/>
    <w:rsid w:val="00DE1432"/>
    <w:rsid w:val="00DE1557"/>
    <w:rsid w:val="00DE186B"/>
    <w:rsid w:val="00DE1BDE"/>
    <w:rsid w:val="00DE1C11"/>
    <w:rsid w:val="00DE1E50"/>
    <w:rsid w:val="00DE1F52"/>
    <w:rsid w:val="00DE1FD1"/>
    <w:rsid w:val="00DE20CB"/>
    <w:rsid w:val="00DE2643"/>
    <w:rsid w:val="00DE26B7"/>
    <w:rsid w:val="00DE26C7"/>
    <w:rsid w:val="00DE27E6"/>
    <w:rsid w:val="00DE2BB4"/>
    <w:rsid w:val="00DE2CF4"/>
    <w:rsid w:val="00DE2E20"/>
    <w:rsid w:val="00DE30E2"/>
    <w:rsid w:val="00DE3158"/>
    <w:rsid w:val="00DE323F"/>
    <w:rsid w:val="00DE32F0"/>
    <w:rsid w:val="00DE340D"/>
    <w:rsid w:val="00DE393A"/>
    <w:rsid w:val="00DE3A9A"/>
    <w:rsid w:val="00DE3BE2"/>
    <w:rsid w:val="00DE3E65"/>
    <w:rsid w:val="00DE41C5"/>
    <w:rsid w:val="00DE4387"/>
    <w:rsid w:val="00DE442C"/>
    <w:rsid w:val="00DE44B4"/>
    <w:rsid w:val="00DE48C8"/>
    <w:rsid w:val="00DE492A"/>
    <w:rsid w:val="00DE4ABE"/>
    <w:rsid w:val="00DE4E33"/>
    <w:rsid w:val="00DE4E7A"/>
    <w:rsid w:val="00DE513B"/>
    <w:rsid w:val="00DE55D4"/>
    <w:rsid w:val="00DE588D"/>
    <w:rsid w:val="00DE59C9"/>
    <w:rsid w:val="00DE5AA1"/>
    <w:rsid w:val="00DE5D02"/>
    <w:rsid w:val="00DE5FC3"/>
    <w:rsid w:val="00DE615C"/>
    <w:rsid w:val="00DE6421"/>
    <w:rsid w:val="00DE69A1"/>
    <w:rsid w:val="00DE6B77"/>
    <w:rsid w:val="00DE6EA4"/>
    <w:rsid w:val="00DE7063"/>
    <w:rsid w:val="00DE706B"/>
    <w:rsid w:val="00DE742C"/>
    <w:rsid w:val="00DE74A7"/>
    <w:rsid w:val="00DE7857"/>
    <w:rsid w:val="00DE7B9A"/>
    <w:rsid w:val="00DE7EAA"/>
    <w:rsid w:val="00DF0382"/>
    <w:rsid w:val="00DF05DC"/>
    <w:rsid w:val="00DF0679"/>
    <w:rsid w:val="00DF0689"/>
    <w:rsid w:val="00DF081A"/>
    <w:rsid w:val="00DF0930"/>
    <w:rsid w:val="00DF0AAA"/>
    <w:rsid w:val="00DF0C94"/>
    <w:rsid w:val="00DF0E98"/>
    <w:rsid w:val="00DF0F10"/>
    <w:rsid w:val="00DF0F96"/>
    <w:rsid w:val="00DF1079"/>
    <w:rsid w:val="00DF10EF"/>
    <w:rsid w:val="00DF1480"/>
    <w:rsid w:val="00DF1647"/>
    <w:rsid w:val="00DF16C0"/>
    <w:rsid w:val="00DF1A90"/>
    <w:rsid w:val="00DF1CAF"/>
    <w:rsid w:val="00DF1D92"/>
    <w:rsid w:val="00DF21F9"/>
    <w:rsid w:val="00DF25E9"/>
    <w:rsid w:val="00DF28BD"/>
    <w:rsid w:val="00DF28C2"/>
    <w:rsid w:val="00DF2AF8"/>
    <w:rsid w:val="00DF2B73"/>
    <w:rsid w:val="00DF2D1A"/>
    <w:rsid w:val="00DF2D46"/>
    <w:rsid w:val="00DF3016"/>
    <w:rsid w:val="00DF31FF"/>
    <w:rsid w:val="00DF3282"/>
    <w:rsid w:val="00DF33C8"/>
    <w:rsid w:val="00DF34A4"/>
    <w:rsid w:val="00DF37DC"/>
    <w:rsid w:val="00DF38D6"/>
    <w:rsid w:val="00DF391F"/>
    <w:rsid w:val="00DF3A42"/>
    <w:rsid w:val="00DF3A6A"/>
    <w:rsid w:val="00DF3A7B"/>
    <w:rsid w:val="00DF3B71"/>
    <w:rsid w:val="00DF3E7B"/>
    <w:rsid w:val="00DF41D0"/>
    <w:rsid w:val="00DF48EB"/>
    <w:rsid w:val="00DF4D2C"/>
    <w:rsid w:val="00DF4F10"/>
    <w:rsid w:val="00DF4F58"/>
    <w:rsid w:val="00DF548B"/>
    <w:rsid w:val="00DF5836"/>
    <w:rsid w:val="00DF584A"/>
    <w:rsid w:val="00DF5C66"/>
    <w:rsid w:val="00DF615C"/>
    <w:rsid w:val="00DF6197"/>
    <w:rsid w:val="00DF62DB"/>
    <w:rsid w:val="00DF6570"/>
    <w:rsid w:val="00DF65EB"/>
    <w:rsid w:val="00DF66E2"/>
    <w:rsid w:val="00DF6923"/>
    <w:rsid w:val="00DF6B69"/>
    <w:rsid w:val="00DF6DAB"/>
    <w:rsid w:val="00DF70CC"/>
    <w:rsid w:val="00DF7663"/>
    <w:rsid w:val="00DF7681"/>
    <w:rsid w:val="00DF76D6"/>
    <w:rsid w:val="00DF77B9"/>
    <w:rsid w:val="00DF7895"/>
    <w:rsid w:val="00DF78B1"/>
    <w:rsid w:val="00DF7A83"/>
    <w:rsid w:val="00E00435"/>
    <w:rsid w:val="00E00569"/>
    <w:rsid w:val="00E00883"/>
    <w:rsid w:val="00E009A6"/>
    <w:rsid w:val="00E00A99"/>
    <w:rsid w:val="00E00B42"/>
    <w:rsid w:val="00E00B65"/>
    <w:rsid w:val="00E00B87"/>
    <w:rsid w:val="00E00C25"/>
    <w:rsid w:val="00E00D29"/>
    <w:rsid w:val="00E00DFD"/>
    <w:rsid w:val="00E00F3B"/>
    <w:rsid w:val="00E0117C"/>
    <w:rsid w:val="00E01465"/>
    <w:rsid w:val="00E01702"/>
    <w:rsid w:val="00E01907"/>
    <w:rsid w:val="00E01A5D"/>
    <w:rsid w:val="00E01B4F"/>
    <w:rsid w:val="00E01C5E"/>
    <w:rsid w:val="00E01D22"/>
    <w:rsid w:val="00E0207C"/>
    <w:rsid w:val="00E025E2"/>
    <w:rsid w:val="00E02DD2"/>
    <w:rsid w:val="00E02ED9"/>
    <w:rsid w:val="00E0337D"/>
    <w:rsid w:val="00E03711"/>
    <w:rsid w:val="00E03A75"/>
    <w:rsid w:val="00E03F86"/>
    <w:rsid w:val="00E040CC"/>
    <w:rsid w:val="00E041D8"/>
    <w:rsid w:val="00E041E4"/>
    <w:rsid w:val="00E04411"/>
    <w:rsid w:val="00E047A4"/>
    <w:rsid w:val="00E04A65"/>
    <w:rsid w:val="00E04B6E"/>
    <w:rsid w:val="00E04C08"/>
    <w:rsid w:val="00E04D8C"/>
    <w:rsid w:val="00E04E80"/>
    <w:rsid w:val="00E0510F"/>
    <w:rsid w:val="00E05753"/>
    <w:rsid w:val="00E05878"/>
    <w:rsid w:val="00E0598C"/>
    <w:rsid w:val="00E05FBC"/>
    <w:rsid w:val="00E06382"/>
    <w:rsid w:val="00E063C2"/>
    <w:rsid w:val="00E06632"/>
    <w:rsid w:val="00E067D0"/>
    <w:rsid w:val="00E06841"/>
    <w:rsid w:val="00E0687F"/>
    <w:rsid w:val="00E06ABB"/>
    <w:rsid w:val="00E06BBF"/>
    <w:rsid w:val="00E06C83"/>
    <w:rsid w:val="00E06E26"/>
    <w:rsid w:val="00E07232"/>
    <w:rsid w:val="00E072D4"/>
    <w:rsid w:val="00E073DE"/>
    <w:rsid w:val="00E07A87"/>
    <w:rsid w:val="00E103E9"/>
    <w:rsid w:val="00E1057B"/>
    <w:rsid w:val="00E1061F"/>
    <w:rsid w:val="00E10695"/>
    <w:rsid w:val="00E10942"/>
    <w:rsid w:val="00E10B7D"/>
    <w:rsid w:val="00E10C9C"/>
    <w:rsid w:val="00E10ED7"/>
    <w:rsid w:val="00E110E4"/>
    <w:rsid w:val="00E11156"/>
    <w:rsid w:val="00E11404"/>
    <w:rsid w:val="00E11769"/>
    <w:rsid w:val="00E11B2C"/>
    <w:rsid w:val="00E11F9B"/>
    <w:rsid w:val="00E12325"/>
    <w:rsid w:val="00E1235A"/>
    <w:rsid w:val="00E123DD"/>
    <w:rsid w:val="00E12593"/>
    <w:rsid w:val="00E1263B"/>
    <w:rsid w:val="00E126B4"/>
    <w:rsid w:val="00E12CD8"/>
    <w:rsid w:val="00E12D25"/>
    <w:rsid w:val="00E1305B"/>
    <w:rsid w:val="00E130FB"/>
    <w:rsid w:val="00E13113"/>
    <w:rsid w:val="00E1321E"/>
    <w:rsid w:val="00E1352E"/>
    <w:rsid w:val="00E13AB0"/>
    <w:rsid w:val="00E13D31"/>
    <w:rsid w:val="00E13EA5"/>
    <w:rsid w:val="00E13FD1"/>
    <w:rsid w:val="00E144D2"/>
    <w:rsid w:val="00E144D3"/>
    <w:rsid w:val="00E145CB"/>
    <w:rsid w:val="00E147EC"/>
    <w:rsid w:val="00E14970"/>
    <w:rsid w:val="00E14AB6"/>
    <w:rsid w:val="00E14FD9"/>
    <w:rsid w:val="00E150F3"/>
    <w:rsid w:val="00E1510C"/>
    <w:rsid w:val="00E151DE"/>
    <w:rsid w:val="00E153D8"/>
    <w:rsid w:val="00E154BD"/>
    <w:rsid w:val="00E154EC"/>
    <w:rsid w:val="00E15742"/>
    <w:rsid w:val="00E15A1A"/>
    <w:rsid w:val="00E15D90"/>
    <w:rsid w:val="00E16118"/>
    <w:rsid w:val="00E16207"/>
    <w:rsid w:val="00E164EC"/>
    <w:rsid w:val="00E165E5"/>
    <w:rsid w:val="00E166D2"/>
    <w:rsid w:val="00E16805"/>
    <w:rsid w:val="00E16849"/>
    <w:rsid w:val="00E168AD"/>
    <w:rsid w:val="00E16DC6"/>
    <w:rsid w:val="00E172A5"/>
    <w:rsid w:val="00E1746D"/>
    <w:rsid w:val="00E17709"/>
    <w:rsid w:val="00E17750"/>
    <w:rsid w:val="00E1776D"/>
    <w:rsid w:val="00E17882"/>
    <w:rsid w:val="00E17CE7"/>
    <w:rsid w:val="00E2018C"/>
    <w:rsid w:val="00E2035B"/>
    <w:rsid w:val="00E20551"/>
    <w:rsid w:val="00E20705"/>
    <w:rsid w:val="00E20921"/>
    <w:rsid w:val="00E20ADD"/>
    <w:rsid w:val="00E20BA7"/>
    <w:rsid w:val="00E20C4C"/>
    <w:rsid w:val="00E20DAC"/>
    <w:rsid w:val="00E20DDD"/>
    <w:rsid w:val="00E20FFA"/>
    <w:rsid w:val="00E21373"/>
    <w:rsid w:val="00E2145E"/>
    <w:rsid w:val="00E21628"/>
    <w:rsid w:val="00E21745"/>
    <w:rsid w:val="00E21847"/>
    <w:rsid w:val="00E21B33"/>
    <w:rsid w:val="00E21B7D"/>
    <w:rsid w:val="00E21C66"/>
    <w:rsid w:val="00E21CA3"/>
    <w:rsid w:val="00E21CDB"/>
    <w:rsid w:val="00E21CF2"/>
    <w:rsid w:val="00E21E15"/>
    <w:rsid w:val="00E2267B"/>
    <w:rsid w:val="00E227EA"/>
    <w:rsid w:val="00E22D41"/>
    <w:rsid w:val="00E2301B"/>
    <w:rsid w:val="00E23239"/>
    <w:rsid w:val="00E23426"/>
    <w:rsid w:val="00E234BD"/>
    <w:rsid w:val="00E23528"/>
    <w:rsid w:val="00E23574"/>
    <w:rsid w:val="00E235DC"/>
    <w:rsid w:val="00E23660"/>
    <w:rsid w:val="00E236E3"/>
    <w:rsid w:val="00E23708"/>
    <w:rsid w:val="00E239DA"/>
    <w:rsid w:val="00E23BE0"/>
    <w:rsid w:val="00E23C83"/>
    <w:rsid w:val="00E23EB8"/>
    <w:rsid w:val="00E244BC"/>
    <w:rsid w:val="00E244F6"/>
    <w:rsid w:val="00E245BB"/>
    <w:rsid w:val="00E24667"/>
    <w:rsid w:val="00E2494B"/>
    <w:rsid w:val="00E24A4D"/>
    <w:rsid w:val="00E24AEF"/>
    <w:rsid w:val="00E24FF2"/>
    <w:rsid w:val="00E2505A"/>
    <w:rsid w:val="00E25096"/>
    <w:rsid w:val="00E25257"/>
    <w:rsid w:val="00E2541D"/>
    <w:rsid w:val="00E25485"/>
    <w:rsid w:val="00E255AD"/>
    <w:rsid w:val="00E255E1"/>
    <w:rsid w:val="00E256BE"/>
    <w:rsid w:val="00E25D77"/>
    <w:rsid w:val="00E25FEE"/>
    <w:rsid w:val="00E26058"/>
    <w:rsid w:val="00E2617B"/>
    <w:rsid w:val="00E26256"/>
    <w:rsid w:val="00E26267"/>
    <w:rsid w:val="00E26275"/>
    <w:rsid w:val="00E26310"/>
    <w:rsid w:val="00E2633B"/>
    <w:rsid w:val="00E2635A"/>
    <w:rsid w:val="00E264A6"/>
    <w:rsid w:val="00E2670E"/>
    <w:rsid w:val="00E2676C"/>
    <w:rsid w:val="00E267B6"/>
    <w:rsid w:val="00E26A99"/>
    <w:rsid w:val="00E26AF1"/>
    <w:rsid w:val="00E26E29"/>
    <w:rsid w:val="00E26ED2"/>
    <w:rsid w:val="00E26F2A"/>
    <w:rsid w:val="00E271FB"/>
    <w:rsid w:val="00E273BB"/>
    <w:rsid w:val="00E27410"/>
    <w:rsid w:val="00E2761D"/>
    <w:rsid w:val="00E2767E"/>
    <w:rsid w:val="00E27B14"/>
    <w:rsid w:val="00E27C0E"/>
    <w:rsid w:val="00E27E43"/>
    <w:rsid w:val="00E301F3"/>
    <w:rsid w:val="00E3033F"/>
    <w:rsid w:val="00E3037F"/>
    <w:rsid w:val="00E30469"/>
    <w:rsid w:val="00E3065C"/>
    <w:rsid w:val="00E307CF"/>
    <w:rsid w:val="00E30F40"/>
    <w:rsid w:val="00E31152"/>
    <w:rsid w:val="00E31249"/>
    <w:rsid w:val="00E31326"/>
    <w:rsid w:val="00E313BE"/>
    <w:rsid w:val="00E31476"/>
    <w:rsid w:val="00E318C2"/>
    <w:rsid w:val="00E3196B"/>
    <w:rsid w:val="00E31A1E"/>
    <w:rsid w:val="00E31B9C"/>
    <w:rsid w:val="00E31BCB"/>
    <w:rsid w:val="00E31C85"/>
    <w:rsid w:val="00E31CA1"/>
    <w:rsid w:val="00E31D48"/>
    <w:rsid w:val="00E31E55"/>
    <w:rsid w:val="00E31F11"/>
    <w:rsid w:val="00E3214B"/>
    <w:rsid w:val="00E32302"/>
    <w:rsid w:val="00E32406"/>
    <w:rsid w:val="00E32584"/>
    <w:rsid w:val="00E329BB"/>
    <w:rsid w:val="00E329D5"/>
    <w:rsid w:val="00E32BC4"/>
    <w:rsid w:val="00E32BE9"/>
    <w:rsid w:val="00E32C18"/>
    <w:rsid w:val="00E32C8F"/>
    <w:rsid w:val="00E32DEA"/>
    <w:rsid w:val="00E33523"/>
    <w:rsid w:val="00E33E18"/>
    <w:rsid w:val="00E340B5"/>
    <w:rsid w:val="00E3410B"/>
    <w:rsid w:val="00E342E5"/>
    <w:rsid w:val="00E34484"/>
    <w:rsid w:val="00E345F3"/>
    <w:rsid w:val="00E349B6"/>
    <w:rsid w:val="00E34C55"/>
    <w:rsid w:val="00E34CE7"/>
    <w:rsid w:val="00E35277"/>
    <w:rsid w:val="00E35288"/>
    <w:rsid w:val="00E354DA"/>
    <w:rsid w:val="00E356EF"/>
    <w:rsid w:val="00E35795"/>
    <w:rsid w:val="00E35C27"/>
    <w:rsid w:val="00E35EEC"/>
    <w:rsid w:val="00E35FF2"/>
    <w:rsid w:val="00E36329"/>
    <w:rsid w:val="00E36373"/>
    <w:rsid w:val="00E365E7"/>
    <w:rsid w:val="00E3660D"/>
    <w:rsid w:val="00E36888"/>
    <w:rsid w:val="00E36989"/>
    <w:rsid w:val="00E36D8B"/>
    <w:rsid w:val="00E36DDD"/>
    <w:rsid w:val="00E37424"/>
    <w:rsid w:val="00E375B1"/>
    <w:rsid w:val="00E379F1"/>
    <w:rsid w:val="00E37A43"/>
    <w:rsid w:val="00E37A85"/>
    <w:rsid w:val="00E37C7C"/>
    <w:rsid w:val="00E40212"/>
    <w:rsid w:val="00E402C6"/>
    <w:rsid w:val="00E40529"/>
    <w:rsid w:val="00E40541"/>
    <w:rsid w:val="00E406F1"/>
    <w:rsid w:val="00E407D4"/>
    <w:rsid w:val="00E40806"/>
    <w:rsid w:val="00E40971"/>
    <w:rsid w:val="00E40B3A"/>
    <w:rsid w:val="00E40BD0"/>
    <w:rsid w:val="00E40D27"/>
    <w:rsid w:val="00E40D4C"/>
    <w:rsid w:val="00E40DE1"/>
    <w:rsid w:val="00E40E6E"/>
    <w:rsid w:val="00E4102D"/>
    <w:rsid w:val="00E41197"/>
    <w:rsid w:val="00E411AC"/>
    <w:rsid w:val="00E41328"/>
    <w:rsid w:val="00E413B6"/>
    <w:rsid w:val="00E41597"/>
    <w:rsid w:val="00E4168F"/>
    <w:rsid w:val="00E41849"/>
    <w:rsid w:val="00E41A7A"/>
    <w:rsid w:val="00E41B04"/>
    <w:rsid w:val="00E41E4C"/>
    <w:rsid w:val="00E41E9A"/>
    <w:rsid w:val="00E4231B"/>
    <w:rsid w:val="00E425A5"/>
    <w:rsid w:val="00E426CE"/>
    <w:rsid w:val="00E42876"/>
    <w:rsid w:val="00E428D9"/>
    <w:rsid w:val="00E429DC"/>
    <w:rsid w:val="00E429E3"/>
    <w:rsid w:val="00E42BE4"/>
    <w:rsid w:val="00E42D18"/>
    <w:rsid w:val="00E42F2C"/>
    <w:rsid w:val="00E431A3"/>
    <w:rsid w:val="00E431B8"/>
    <w:rsid w:val="00E43223"/>
    <w:rsid w:val="00E432F9"/>
    <w:rsid w:val="00E4330E"/>
    <w:rsid w:val="00E43524"/>
    <w:rsid w:val="00E43531"/>
    <w:rsid w:val="00E435DA"/>
    <w:rsid w:val="00E43B4F"/>
    <w:rsid w:val="00E43C4C"/>
    <w:rsid w:val="00E43E77"/>
    <w:rsid w:val="00E4472D"/>
    <w:rsid w:val="00E44C0B"/>
    <w:rsid w:val="00E44C4F"/>
    <w:rsid w:val="00E44D40"/>
    <w:rsid w:val="00E44D68"/>
    <w:rsid w:val="00E44E90"/>
    <w:rsid w:val="00E45180"/>
    <w:rsid w:val="00E45297"/>
    <w:rsid w:val="00E452AD"/>
    <w:rsid w:val="00E45305"/>
    <w:rsid w:val="00E45366"/>
    <w:rsid w:val="00E456F5"/>
    <w:rsid w:val="00E45AC9"/>
    <w:rsid w:val="00E45B95"/>
    <w:rsid w:val="00E45BE7"/>
    <w:rsid w:val="00E45C0C"/>
    <w:rsid w:val="00E45C31"/>
    <w:rsid w:val="00E45E7E"/>
    <w:rsid w:val="00E46073"/>
    <w:rsid w:val="00E461B1"/>
    <w:rsid w:val="00E461D2"/>
    <w:rsid w:val="00E46622"/>
    <w:rsid w:val="00E466E9"/>
    <w:rsid w:val="00E46878"/>
    <w:rsid w:val="00E469B4"/>
    <w:rsid w:val="00E46AC9"/>
    <w:rsid w:val="00E46B2E"/>
    <w:rsid w:val="00E46D69"/>
    <w:rsid w:val="00E4704A"/>
    <w:rsid w:val="00E473A8"/>
    <w:rsid w:val="00E478AC"/>
    <w:rsid w:val="00E479AC"/>
    <w:rsid w:val="00E47BBE"/>
    <w:rsid w:val="00E47D1A"/>
    <w:rsid w:val="00E4F796"/>
    <w:rsid w:val="00E502EB"/>
    <w:rsid w:val="00E5068E"/>
    <w:rsid w:val="00E50769"/>
    <w:rsid w:val="00E50A20"/>
    <w:rsid w:val="00E50AD7"/>
    <w:rsid w:val="00E510B9"/>
    <w:rsid w:val="00E5114B"/>
    <w:rsid w:val="00E51186"/>
    <w:rsid w:val="00E51474"/>
    <w:rsid w:val="00E5163F"/>
    <w:rsid w:val="00E518B1"/>
    <w:rsid w:val="00E519FD"/>
    <w:rsid w:val="00E51BFF"/>
    <w:rsid w:val="00E51D79"/>
    <w:rsid w:val="00E52026"/>
    <w:rsid w:val="00E520FE"/>
    <w:rsid w:val="00E524D5"/>
    <w:rsid w:val="00E526C2"/>
    <w:rsid w:val="00E527A1"/>
    <w:rsid w:val="00E52851"/>
    <w:rsid w:val="00E52C39"/>
    <w:rsid w:val="00E52C9F"/>
    <w:rsid w:val="00E52F8A"/>
    <w:rsid w:val="00E52FC3"/>
    <w:rsid w:val="00E5302E"/>
    <w:rsid w:val="00E53407"/>
    <w:rsid w:val="00E534CE"/>
    <w:rsid w:val="00E5354F"/>
    <w:rsid w:val="00E53DB6"/>
    <w:rsid w:val="00E53DCF"/>
    <w:rsid w:val="00E53E47"/>
    <w:rsid w:val="00E54151"/>
    <w:rsid w:val="00E5429A"/>
    <w:rsid w:val="00E543B3"/>
    <w:rsid w:val="00E5449B"/>
    <w:rsid w:val="00E54777"/>
    <w:rsid w:val="00E549A1"/>
    <w:rsid w:val="00E54A35"/>
    <w:rsid w:val="00E54ACA"/>
    <w:rsid w:val="00E54BFA"/>
    <w:rsid w:val="00E54C56"/>
    <w:rsid w:val="00E54C7B"/>
    <w:rsid w:val="00E54EDA"/>
    <w:rsid w:val="00E54FB3"/>
    <w:rsid w:val="00E54FF4"/>
    <w:rsid w:val="00E5508E"/>
    <w:rsid w:val="00E55242"/>
    <w:rsid w:val="00E5529D"/>
    <w:rsid w:val="00E553F4"/>
    <w:rsid w:val="00E553F8"/>
    <w:rsid w:val="00E554F0"/>
    <w:rsid w:val="00E558E1"/>
    <w:rsid w:val="00E55904"/>
    <w:rsid w:val="00E55E72"/>
    <w:rsid w:val="00E56029"/>
    <w:rsid w:val="00E5663B"/>
    <w:rsid w:val="00E566EE"/>
    <w:rsid w:val="00E567D3"/>
    <w:rsid w:val="00E569BD"/>
    <w:rsid w:val="00E56B92"/>
    <w:rsid w:val="00E56C59"/>
    <w:rsid w:val="00E56EAF"/>
    <w:rsid w:val="00E56FB5"/>
    <w:rsid w:val="00E570D8"/>
    <w:rsid w:val="00E57134"/>
    <w:rsid w:val="00E574FC"/>
    <w:rsid w:val="00E57521"/>
    <w:rsid w:val="00E57810"/>
    <w:rsid w:val="00E57878"/>
    <w:rsid w:val="00E57AE7"/>
    <w:rsid w:val="00E57C4A"/>
    <w:rsid w:val="00E57F01"/>
    <w:rsid w:val="00E57FB2"/>
    <w:rsid w:val="00E5F373"/>
    <w:rsid w:val="00E60005"/>
    <w:rsid w:val="00E60061"/>
    <w:rsid w:val="00E60068"/>
    <w:rsid w:val="00E60188"/>
    <w:rsid w:val="00E6034E"/>
    <w:rsid w:val="00E603D0"/>
    <w:rsid w:val="00E60616"/>
    <w:rsid w:val="00E6063B"/>
    <w:rsid w:val="00E6083B"/>
    <w:rsid w:val="00E60A1F"/>
    <w:rsid w:val="00E610E7"/>
    <w:rsid w:val="00E612BF"/>
    <w:rsid w:val="00E61304"/>
    <w:rsid w:val="00E613EF"/>
    <w:rsid w:val="00E6157A"/>
    <w:rsid w:val="00E61606"/>
    <w:rsid w:val="00E61611"/>
    <w:rsid w:val="00E616B9"/>
    <w:rsid w:val="00E61742"/>
    <w:rsid w:val="00E617EA"/>
    <w:rsid w:val="00E6190D"/>
    <w:rsid w:val="00E61C70"/>
    <w:rsid w:val="00E61CBB"/>
    <w:rsid w:val="00E61DFE"/>
    <w:rsid w:val="00E62192"/>
    <w:rsid w:val="00E6258B"/>
    <w:rsid w:val="00E6275D"/>
    <w:rsid w:val="00E628DC"/>
    <w:rsid w:val="00E62933"/>
    <w:rsid w:val="00E629F4"/>
    <w:rsid w:val="00E62E72"/>
    <w:rsid w:val="00E6311C"/>
    <w:rsid w:val="00E6346D"/>
    <w:rsid w:val="00E634FF"/>
    <w:rsid w:val="00E635F2"/>
    <w:rsid w:val="00E63F0B"/>
    <w:rsid w:val="00E64002"/>
    <w:rsid w:val="00E640D3"/>
    <w:rsid w:val="00E64D14"/>
    <w:rsid w:val="00E65024"/>
    <w:rsid w:val="00E65085"/>
    <w:rsid w:val="00E6528B"/>
    <w:rsid w:val="00E6556D"/>
    <w:rsid w:val="00E65775"/>
    <w:rsid w:val="00E657AF"/>
    <w:rsid w:val="00E65A7E"/>
    <w:rsid w:val="00E65AA5"/>
    <w:rsid w:val="00E65B3A"/>
    <w:rsid w:val="00E65DC1"/>
    <w:rsid w:val="00E663CA"/>
    <w:rsid w:val="00E66412"/>
    <w:rsid w:val="00E664FA"/>
    <w:rsid w:val="00E665D0"/>
    <w:rsid w:val="00E66614"/>
    <w:rsid w:val="00E66924"/>
    <w:rsid w:val="00E66B63"/>
    <w:rsid w:val="00E66D75"/>
    <w:rsid w:val="00E66EFF"/>
    <w:rsid w:val="00E6703C"/>
    <w:rsid w:val="00E67120"/>
    <w:rsid w:val="00E67234"/>
    <w:rsid w:val="00E6724C"/>
    <w:rsid w:val="00E6733F"/>
    <w:rsid w:val="00E67361"/>
    <w:rsid w:val="00E676D5"/>
    <w:rsid w:val="00E67788"/>
    <w:rsid w:val="00E678E7"/>
    <w:rsid w:val="00E67CED"/>
    <w:rsid w:val="00E67D09"/>
    <w:rsid w:val="00E7019D"/>
    <w:rsid w:val="00E703EF"/>
    <w:rsid w:val="00E70531"/>
    <w:rsid w:val="00E70AC8"/>
    <w:rsid w:val="00E70D14"/>
    <w:rsid w:val="00E70DAB"/>
    <w:rsid w:val="00E70DBE"/>
    <w:rsid w:val="00E70E0A"/>
    <w:rsid w:val="00E7150A"/>
    <w:rsid w:val="00E71520"/>
    <w:rsid w:val="00E71606"/>
    <w:rsid w:val="00E716D3"/>
    <w:rsid w:val="00E716ED"/>
    <w:rsid w:val="00E7176C"/>
    <w:rsid w:val="00E717E6"/>
    <w:rsid w:val="00E71A01"/>
    <w:rsid w:val="00E71CEB"/>
    <w:rsid w:val="00E71E03"/>
    <w:rsid w:val="00E71E44"/>
    <w:rsid w:val="00E71E45"/>
    <w:rsid w:val="00E71F1E"/>
    <w:rsid w:val="00E71F34"/>
    <w:rsid w:val="00E72111"/>
    <w:rsid w:val="00E72642"/>
    <w:rsid w:val="00E72A10"/>
    <w:rsid w:val="00E72C37"/>
    <w:rsid w:val="00E7318F"/>
    <w:rsid w:val="00E73448"/>
    <w:rsid w:val="00E7398B"/>
    <w:rsid w:val="00E73CED"/>
    <w:rsid w:val="00E73D60"/>
    <w:rsid w:val="00E74154"/>
    <w:rsid w:val="00E7425F"/>
    <w:rsid w:val="00E744E6"/>
    <w:rsid w:val="00E74789"/>
    <w:rsid w:val="00E749B9"/>
    <w:rsid w:val="00E74FB7"/>
    <w:rsid w:val="00E750C0"/>
    <w:rsid w:val="00E75102"/>
    <w:rsid w:val="00E753C1"/>
    <w:rsid w:val="00E754F5"/>
    <w:rsid w:val="00E755FF"/>
    <w:rsid w:val="00E75830"/>
    <w:rsid w:val="00E75867"/>
    <w:rsid w:val="00E758D4"/>
    <w:rsid w:val="00E75FFE"/>
    <w:rsid w:val="00E76000"/>
    <w:rsid w:val="00E76558"/>
    <w:rsid w:val="00E76740"/>
    <w:rsid w:val="00E76A74"/>
    <w:rsid w:val="00E76B77"/>
    <w:rsid w:val="00E76E11"/>
    <w:rsid w:val="00E76FA6"/>
    <w:rsid w:val="00E77015"/>
    <w:rsid w:val="00E770D4"/>
    <w:rsid w:val="00E772A3"/>
    <w:rsid w:val="00E77533"/>
    <w:rsid w:val="00E77534"/>
    <w:rsid w:val="00E77866"/>
    <w:rsid w:val="00E77DA2"/>
    <w:rsid w:val="00E77DC8"/>
    <w:rsid w:val="00E77F83"/>
    <w:rsid w:val="00E80035"/>
    <w:rsid w:val="00E8006A"/>
    <w:rsid w:val="00E8010D"/>
    <w:rsid w:val="00E8041B"/>
    <w:rsid w:val="00E8049C"/>
    <w:rsid w:val="00E80619"/>
    <w:rsid w:val="00E80E3F"/>
    <w:rsid w:val="00E80EE7"/>
    <w:rsid w:val="00E80FBD"/>
    <w:rsid w:val="00E81218"/>
    <w:rsid w:val="00E812DD"/>
    <w:rsid w:val="00E816C2"/>
    <w:rsid w:val="00E81AAA"/>
    <w:rsid w:val="00E81B49"/>
    <w:rsid w:val="00E81C3C"/>
    <w:rsid w:val="00E81C6F"/>
    <w:rsid w:val="00E82329"/>
    <w:rsid w:val="00E823A0"/>
    <w:rsid w:val="00E8264E"/>
    <w:rsid w:val="00E8269B"/>
    <w:rsid w:val="00E829B7"/>
    <w:rsid w:val="00E8304C"/>
    <w:rsid w:val="00E832BA"/>
    <w:rsid w:val="00E83333"/>
    <w:rsid w:val="00E8372A"/>
    <w:rsid w:val="00E83859"/>
    <w:rsid w:val="00E83E1B"/>
    <w:rsid w:val="00E83F33"/>
    <w:rsid w:val="00E83FC4"/>
    <w:rsid w:val="00E84000"/>
    <w:rsid w:val="00E84115"/>
    <w:rsid w:val="00E842C5"/>
    <w:rsid w:val="00E84374"/>
    <w:rsid w:val="00E84556"/>
    <w:rsid w:val="00E845B3"/>
    <w:rsid w:val="00E84857"/>
    <w:rsid w:val="00E849A5"/>
    <w:rsid w:val="00E84ACF"/>
    <w:rsid w:val="00E84B23"/>
    <w:rsid w:val="00E84C99"/>
    <w:rsid w:val="00E84E00"/>
    <w:rsid w:val="00E8515B"/>
    <w:rsid w:val="00E85171"/>
    <w:rsid w:val="00E85566"/>
    <w:rsid w:val="00E856A7"/>
    <w:rsid w:val="00E857EA"/>
    <w:rsid w:val="00E85860"/>
    <w:rsid w:val="00E85DC0"/>
    <w:rsid w:val="00E862BA"/>
    <w:rsid w:val="00E864EB"/>
    <w:rsid w:val="00E8684A"/>
    <w:rsid w:val="00E868AB"/>
    <w:rsid w:val="00E86BAD"/>
    <w:rsid w:val="00E86C13"/>
    <w:rsid w:val="00E86EF9"/>
    <w:rsid w:val="00E87068"/>
    <w:rsid w:val="00E87086"/>
    <w:rsid w:val="00E872DB"/>
    <w:rsid w:val="00E875BD"/>
    <w:rsid w:val="00E8774F"/>
    <w:rsid w:val="00E87894"/>
    <w:rsid w:val="00E8794B"/>
    <w:rsid w:val="00E879FB"/>
    <w:rsid w:val="00E87B8B"/>
    <w:rsid w:val="00E87C5B"/>
    <w:rsid w:val="00E87CE8"/>
    <w:rsid w:val="00E87E58"/>
    <w:rsid w:val="00E8F027"/>
    <w:rsid w:val="00E901AB"/>
    <w:rsid w:val="00E9049D"/>
    <w:rsid w:val="00E904BD"/>
    <w:rsid w:val="00E907FC"/>
    <w:rsid w:val="00E90873"/>
    <w:rsid w:val="00E90949"/>
    <w:rsid w:val="00E90959"/>
    <w:rsid w:val="00E90A15"/>
    <w:rsid w:val="00E90A85"/>
    <w:rsid w:val="00E90C1C"/>
    <w:rsid w:val="00E90D1E"/>
    <w:rsid w:val="00E912B0"/>
    <w:rsid w:val="00E912D4"/>
    <w:rsid w:val="00E9135B"/>
    <w:rsid w:val="00E913AE"/>
    <w:rsid w:val="00E915FC"/>
    <w:rsid w:val="00E9173B"/>
    <w:rsid w:val="00E91A4E"/>
    <w:rsid w:val="00E91D2D"/>
    <w:rsid w:val="00E91FF3"/>
    <w:rsid w:val="00E92171"/>
    <w:rsid w:val="00E922E7"/>
    <w:rsid w:val="00E92A83"/>
    <w:rsid w:val="00E92B30"/>
    <w:rsid w:val="00E92CBE"/>
    <w:rsid w:val="00E92E2A"/>
    <w:rsid w:val="00E9309C"/>
    <w:rsid w:val="00E930FA"/>
    <w:rsid w:val="00E93187"/>
    <w:rsid w:val="00E93202"/>
    <w:rsid w:val="00E9336B"/>
    <w:rsid w:val="00E93373"/>
    <w:rsid w:val="00E93733"/>
    <w:rsid w:val="00E93A39"/>
    <w:rsid w:val="00E93B16"/>
    <w:rsid w:val="00E93B1D"/>
    <w:rsid w:val="00E93DD3"/>
    <w:rsid w:val="00E943D4"/>
    <w:rsid w:val="00E94509"/>
    <w:rsid w:val="00E94591"/>
    <w:rsid w:val="00E94CB3"/>
    <w:rsid w:val="00E94F2C"/>
    <w:rsid w:val="00E94F92"/>
    <w:rsid w:val="00E94FEB"/>
    <w:rsid w:val="00E9500B"/>
    <w:rsid w:val="00E95320"/>
    <w:rsid w:val="00E95376"/>
    <w:rsid w:val="00E95759"/>
    <w:rsid w:val="00E959AE"/>
    <w:rsid w:val="00E95D69"/>
    <w:rsid w:val="00E960F9"/>
    <w:rsid w:val="00E961A1"/>
    <w:rsid w:val="00E961A8"/>
    <w:rsid w:val="00E967F7"/>
    <w:rsid w:val="00E969E7"/>
    <w:rsid w:val="00E96AE1"/>
    <w:rsid w:val="00E96CFC"/>
    <w:rsid w:val="00E96DC7"/>
    <w:rsid w:val="00E96F38"/>
    <w:rsid w:val="00E971AA"/>
    <w:rsid w:val="00E971BF"/>
    <w:rsid w:val="00E973E0"/>
    <w:rsid w:val="00E9742D"/>
    <w:rsid w:val="00E97431"/>
    <w:rsid w:val="00E97532"/>
    <w:rsid w:val="00E975DE"/>
    <w:rsid w:val="00E975F2"/>
    <w:rsid w:val="00E976DF"/>
    <w:rsid w:val="00E97C3B"/>
    <w:rsid w:val="00E97E48"/>
    <w:rsid w:val="00E97F22"/>
    <w:rsid w:val="00EA0039"/>
    <w:rsid w:val="00EA0048"/>
    <w:rsid w:val="00EA019F"/>
    <w:rsid w:val="00EA0347"/>
    <w:rsid w:val="00EA0624"/>
    <w:rsid w:val="00EA0734"/>
    <w:rsid w:val="00EA0A5C"/>
    <w:rsid w:val="00EA0A66"/>
    <w:rsid w:val="00EA0AAE"/>
    <w:rsid w:val="00EA0B00"/>
    <w:rsid w:val="00EA0B5C"/>
    <w:rsid w:val="00EA0D37"/>
    <w:rsid w:val="00EA0D87"/>
    <w:rsid w:val="00EA0D94"/>
    <w:rsid w:val="00EA0F50"/>
    <w:rsid w:val="00EA1291"/>
    <w:rsid w:val="00EA1417"/>
    <w:rsid w:val="00EA1953"/>
    <w:rsid w:val="00EA1B10"/>
    <w:rsid w:val="00EA1B29"/>
    <w:rsid w:val="00EA1B44"/>
    <w:rsid w:val="00EA1BB2"/>
    <w:rsid w:val="00EA2004"/>
    <w:rsid w:val="00EA210D"/>
    <w:rsid w:val="00EA24CE"/>
    <w:rsid w:val="00EA250C"/>
    <w:rsid w:val="00EA26C9"/>
    <w:rsid w:val="00EA27B9"/>
    <w:rsid w:val="00EA27EF"/>
    <w:rsid w:val="00EA28F0"/>
    <w:rsid w:val="00EA290E"/>
    <w:rsid w:val="00EA2B07"/>
    <w:rsid w:val="00EA2DAA"/>
    <w:rsid w:val="00EA2E40"/>
    <w:rsid w:val="00EA2FCC"/>
    <w:rsid w:val="00EA2FEF"/>
    <w:rsid w:val="00EA3280"/>
    <w:rsid w:val="00EA344A"/>
    <w:rsid w:val="00EA34D1"/>
    <w:rsid w:val="00EA392B"/>
    <w:rsid w:val="00EA3BDB"/>
    <w:rsid w:val="00EA3D20"/>
    <w:rsid w:val="00EA3E8C"/>
    <w:rsid w:val="00EA3F74"/>
    <w:rsid w:val="00EA4144"/>
    <w:rsid w:val="00EA421F"/>
    <w:rsid w:val="00EA44CC"/>
    <w:rsid w:val="00EA4550"/>
    <w:rsid w:val="00EA4570"/>
    <w:rsid w:val="00EA4630"/>
    <w:rsid w:val="00EA4875"/>
    <w:rsid w:val="00EA4BCB"/>
    <w:rsid w:val="00EA4C06"/>
    <w:rsid w:val="00EA4CAB"/>
    <w:rsid w:val="00EA4D52"/>
    <w:rsid w:val="00EA5552"/>
    <w:rsid w:val="00EA55A1"/>
    <w:rsid w:val="00EA5685"/>
    <w:rsid w:val="00EA57F8"/>
    <w:rsid w:val="00EA5926"/>
    <w:rsid w:val="00EA5B17"/>
    <w:rsid w:val="00EA5B6A"/>
    <w:rsid w:val="00EA5ECC"/>
    <w:rsid w:val="00EA61B8"/>
    <w:rsid w:val="00EA6219"/>
    <w:rsid w:val="00EA63E0"/>
    <w:rsid w:val="00EA655D"/>
    <w:rsid w:val="00EA66C4"/>
    <w:rsid w:val="00EA66E6"/>
    <w:rsid w:val="00EA6876"/>
    <w:rsid w:val="00EA6B14"/>
    <w:rsid w:val="00EA6D76"/>
    <w:rsid w:val="00EA6DBA"/>
    <w:rsid w:val="00EA701D"/>
    <w:rsid w:val="00EA70D8"/>
    <w:rsid w:val="00EA72C3"/>
    <w:rsid w:val="00EA7566"/>
    <w:rsid w:val="00EA75AD"/>
    <w:rsid w:val="00EA763D"/>
    <w:rsid w:val="00EA78AD"/>
    <w:rsid w:val="00EA7AE8"/>
    <w:rsid w:val="00EA7C34"/>
    <w:rsid w:val="00EA7F43"/>
    <w:rsid w:val="00EB02B7"/>
    <w:rsid w:val="00EB034E"/>
    <w:rsid w:val="00EB047E"/>
    <w:rsid w:val="00EB07E2"/>
    <w:rsid w:val="00EB0D05"/>
    <w:rsid w:val="00EB0E9F"/>
    <w:rsid w:val="00EB111E"/>
    <w:rsid w:val="00EB14E8"/>
    <w:rsid w:val="00EB15F2"/>
    <w:rsid w:val="00EB175E"/>
    <w:rsid w:val="00EB189A"/>
    <w:rsid w:val="00EB1929"/>
    <w:rsid w:val="00EB1977"/>
    <w:rsid w:val="00EB1C58"/>
    <w:rsid w:val="00EB1DAD"/>
    <w:rsid w:val="00EB215E"/>
    <w:rsid w:val="00EB21E4"/>
    <w:rsid w:val="00EB221D"/>
    <w:rsid w:val="00EB22A4"/>
    <w:rsid w:val="00EB22DA"/>
    <w:rsid w:val="00EB23BF"/>
    <w:rsid w:val="00EB24E2"/>
    <w:rsid w:val="00EB2790"/>
    <w:rsid w:val="00EB295A"/>
    <w:rsid w:val="00EB2A99"/>
    <w:rsid w:val="00EB3156"/>
    <w:rsid w:val="00EB31B3"/>
    <w:rsid w:val="00EB3253"/>
    <w:rsid w:val="00EB33B3"/>
    <w:rsid w:val="00EB360C"/>
    <w:rsid w:val="00EB3884"/>
    <w:rsid w:val="00EB3A13"/>
    <w:rsid w:val="00EB3EA2"/>
    <w:rsid w:val="00EB4015"/>
    <w:rsid w:val="00EB426B"/>
    <w:rsid w:val="00EB47B0"/>
    <w:rsid w:val="00EB49EA"/>
    <w:rsid w:val="00EB4A39"/>
    <w:rsid w:val="00EB4B58"/>
    <w:rsid w:val="00EB4CF0"/>
    <w:rsid w:val="00EB4D69"/>
    <w:rsid w:val="00EB4E02"/>
    <w:rsid w:val="00EB4F9F"/>
    <w:rsid w:val="00EB5217"/>
    <w:rsid w:val="00EB5242"/>
    <w:rsid w:val="00EB545F"/>
    <w:rsid w:val="00EB552D"/>
    <w:rsid w:val="00EB5B4D"/>
    <w:rsid w:val="00EB5E33"/>
    <w:rsid w:val="00EB5E48"/>
    <w:rsid w:val="00EB5E6D"/>
    <w:rsid w:val="00EB5EDC"/>
    <w:rsid w:val="00EB60E7"/>
    <w:rsid w:val="00EB61F2"/>
    <w:rsid w:val="00EB628B"/>
    <w:rsid w:val="00EB66B9"/>
    <w:rsid w:val="00EB66CC"/>
    <w:rsid w:val="00EB67C0"/>
    <w:rsid w:val="00EB6855"/>
    <w:rsid w:val="00EB6C1D"/>
    <w:rsid w:val="00EB6D37"/>
    <w:rsid w:val="00EB711B"/>
    <w:rsid w:val="00EB71C2"/>
    <w:rsid w:val="00EB7581"/>
    <w:rsid w:val="00EB76F7"/>
    <w:rsid w:val="00EB7A10"/>
    <w:rsid w:val="00EB7C4B"/>
    <w:rsid w:val="00EB7CE2"/>
    <w:rsid w:val="00EB7D05"/>
    <w:rsid w:val="00EB7D36"/>
    <w:rsid w:val="00EB7E00"/>
    <w:rsid w:val="00EC02DF"/>
    <w:rsid w:val="00EC0401"/>
    <w:rsid w:val="00EC087A"/>
    <w:rsid w:val="00EC0B1A"/>
    <w:rsid w:val="00EC0D63"/>
    <w:rsid w:val="00EC0E2A"/>
    <w:rsid w:val="00EC1004"/>
    <w:rsid w:val="00EC1052"/>
    <w:rsid w:val="00EC1952"/>
    <w:rsid w:val="00EC19B9"/>
    <w:rsid w:val="00EC1C24"/>
    <w:rsid w:val="00EC1C4C"/>
    <w:rsid w:val="00EC1C53"/>
    <w:rsid w:val="00EC1EC4"/>
    <w:rsid w:val="00EC1F3B"/>
    <w:rsid w:val="00EC27C1"/>
    <w:rsid w:val="00EC2993"/>
    <w:rsid w:val="00EC300D"/>
    <w:rsid w:val="00EC3102"/>
    <w:rsid w:val="00EC3168"/>
    <w:rsid w:val="00EC32A5"/>
    <w:rsid w:val="00EC32E0"/>
    <w:rsid w:val="00EC34D1"/>
    <w:rsid w:val="00EC34FD"/>
    <w:rsid w:val="00EC398D"/>
    <w:rsid w:val="00EC3A1B"/>
    <w:rsid w:val="00EC3D45"/>
    <w:rsid w:val="00EC4024"/>
    <w:rsid w:val="00EC42E0"/>
    <w:rsid w:val="00EC4529"/>
    <w:rsid w:val="00EC45E9"/>
    <w:rsid w:val="00EC4758"/>
    <w:rsid w:val="00EC4A06"/>
    <w:rsid w:val="00EC4C63"/>
    <w:rsid w:val="00EC4CAF"/>
    <w:rsid w:val="00EC4D44"/>
    <w:rsid w:val="00EC4FE7"/>
    <w:rsid w:val="00EC51FB"/>
    <w:rsid w:val="00EC54C7"/>
    <w:rsid w:val="00EC562D"/>
    <w:rsid w:val="00EC57D3"/>
    <w:rsid w:val="00EC5ACB"/>
    <w:rsid w:val="00EC5BB6"/>
    <w:rsid w:val="00EC5CF0"/>
    <w:rsid w:val="00EC5D6B"/>
    <w:rsid w:val="00EC5EB6"/>
    <w:rsid w:val="00EC62CE"/>
    <w:rsid w:val="00EC6714"/>
    <w:rsid w:val="00EC6741"/>
    <w:rsid w:val="00EC6844"/>
    <w:rsid w:val="00EC6A1C"/>
    <w:rsid w:val="00EC6AA5"/>
    <w:rsid w:val="00EC6AC3"/>
    <w:rsid w:val="00EC6B6A"/>
    <w:rsid w:val="00EC6DCD"/>
    <w:rsid w:val="00EC6E4A"/>
    <w:rsid w:val="00EC6EDC"/>
    <w:rsid w:val="00EC6EE0"/>
    <w:rsid w:val="00EC710F"/>
    <w:rsid w:val="00EC71D4"/>
    <w:rsid w:val="00EC71E6"/>
    <w:rsid w:val="00EC723D"/>
    <w:rsid w:val="00EC730B"/>
    <w:rsid w:val="00EC757D"/>
    <w:rsid w:val="00EC7581"/>
    <w:rsid w:val="00EC759A"/>
    <w:rsid w:val="00EC763E"/>
    <w:rsid w:val="00EC76DB"/>
    <w:rsid w:val="00EC7926"/>
    <w:rsid w:val="00EC79E8"/>
    <w:rsid w:val="00EC7A15"/>
    <w:rsid w:val="00EC7ACC"/>
    <w:rsid w:val="00EC7B03"/>
    <w:rsid w:val="00EC7B6E"/>
    <w:rsid w:val="00EC7CC1"/>
    <w:rsid w:val="00EC7CF2"/>
    <w:rsid w:val="00EC7E51"/>
    <w:rsid w:val="00EC7E7E"/>
    <w:rsid w:val="00ED0128"/>
    <w:rsid w:val="00ED05EB"/>
    <w:rsid w:val="00ED0C86"/>
    <w:rsid w:val="00ED0EF9"/>
    <w:rsid w:val="00ED0F0F"/>
    <w:rsid w:val="00ED0F99"/>
    <w:rsid w:val="00ED10F7"/>
    <w:rsid w:val="00ED11FB"/>
    <w:rsid w:val="00ED123C"/>
    <w:rsid w:val="00ED132E"/>
    <w:rsid w:val="00ED13D8"/>
    <w:rsid w:val="00ED13F4"/>
    <w:rsid w:val="00ED1658"/>
    <w:rsid w:val="00ED181C"/>
    <w:rsid w:val="00ED18BA"/>
    <w:rsid w:val="00ED1AB6"/>
    <w:rsid w:val="00ED1B21"/>
    <w:rsid w:val="00ED1B88"/>
    <w:rsid w:val="00ED1C3E"/>
    <w:rsid w:val="00ED1E54"/>
    <w:rsid w:val="00ED1E7F"/>
    <w:rsid w:val="00ED2127"/>
    <w:rsid w:val="00ED213D"/>
    <w:rsid w:val="00ED214E"/>
    <w:rsid w:val="00ED23A7"/>
    <w:rsid w:val="00ED250D"/>
    <w:rsid w:val="00ED29A2"/>
    <w:rsid w:val="00ED2F8E"/>
    <w:rsid w:val="00ED2F9E"/>
    <w:rsid w:val="00ED3055"/>
    <w:rsid w:val="00ED3086"/>
    <w:rsid w:val="00ED30A1"/>
    <w:rsid w:val="00ED34FC"/>
    <w:rsid w:val="00ED3558"/>
    <w:rsid w:val="00ED3688"/>
    <w:rsid w:val="00ED3CE7"/>
    <w:rsid w:val="00ED3FBF"/>
    <w:rsid w:val="00ED419F"/>
    <w:rsid w:val="00ED43B1"/>
    <w:rsid w:val="00ED47E7"/>
    <w:rsid w:val="00ED487A"/>
    <w:rsid w:val="00ED4A5C"/>
    <w:rsid w:val="00ED4B95"/>
    <w:rsid w:val="00ED4D64"/>
    <w:rsid w:val="00ED4DE2"/>
    <w:rsid w:val="00ED5042"/>
    <w:rsid w:val="00ED50F3"/>
    <w:rsid w:val="00ED523C"/>
    <w:rsid w:val="00ED5334"/>
    <w:rsid w:val="00ED53B4"/>
    <w:rsid w:val="00ED556F"/>
    <w:rsid w:val="00ED56F9"/>
    <w:rsid w:val="00ED5734"/>
    <w:rsid w:val="00ED57CF"/>
    <w:rsid w:val="00ED5957"/>
    <w:rsid w:val="00ED5958"/>
    <w:rsid w:val="00ED5B6B"/>
    <w:rsid w:val="00ED5BB3"/>
    <w:rsid w:val="00ED5DC5"/>
    <w:rsid w:val="00ED5F80"/>
    <w:rsid w:val="00ED630B"/>
    <w:rsid w:val="00ED6338"/>
    <w:rsid w:val="00ED6B06"/>
    <w:rsid w:val="00ED6D62"/>
    <w:rsid w:val="00ED702A"/>
    <w:rsid w:val="00ED7247"/>
    <w:rsid w:val="00ED72E0"/>
    <w:rsid w:val="00ED7340"/>
    <w:rsid w:val="00ED7346"/>
    <w:rsid w:val="00ED7509"/>
    <w:rsid w:val="00ED76F7"/>
    <w:rsid w:val="00ED7869"/>
    <w:rsid w:val="00ED7986"/>
    <w:rsid w:val="00ED7997"/>
    <w:rsid w:val="00ED7F58"/>
    <w:rsid w:val="00ED7F97"/>
    <w:rsid w:val="00EDCE73"/>
    <w:rsid w:val="00EE0000"/>
    <w:rsid w:val="00EE0145"/>
    <w:rsid w:val="00EE01BA"/>
    <w:rsid w:val="00EE027A"/>
    <w:rsid w:val="00EE03C0"/>
    <w:rsid w:val="00EE07BF"/>
    <w:rsid w:val="00EE0848"/>
    <w:rsid w:val="00EE0977"/>
    <w:rsid w:val="00EE0D59"/>
    <w:rsid w:val="00EE0DAC"/>
    <w:rsid w:val="00EE10F8"/>
    <w:rsid w:val="00EE1146"/>
    <w:rsid w:val="00EE159D"/>
    <w:rsid w:val="00EE162D"/>
    <w:rsid w:val="00EE1A0E"/>
    <w:rsid w:val="00EE1BEE"/>
    <w:rsid w:val="00EE1D86"/>
    <w:rsid w:val="00EE1F5E"/>
    <w:rsid w:val="00EE1F6A"/>
    <w:rsid w:val="00EE206D"/>
    <w:rsid w:val="00EE2094"/>
    <w:rsid w:val="00EE2260"/>
    <w:rsid w:val="00EE233A"/>
    <w:rsid w:val="00EE242D"/>
    <w:rsid w:val="00EE24F7"/>
    <w:rsid w:val="00EE26CF"/>
    <w:rsid w:val="00EE2852"/>
    <w:rsid w:val="00EE28CF"/>
    <w:rsid w:val="00EE2991"/>
    <w:rsid w:val="00EE29B5"/>
    <w:rsid w:val="00EE2CED"/>
    <w:rsid w:val="00EE2DCB"/>
    <w:rsid w:val="00EE2DEF"/>
    <w:rsid w:val="00EE2F07"/>
    <w:rsid w:val="00EE35C4"/>
    <w:rsid w:val="00EE3767"/>
    <w:rsid w:val="00EE38AC"/>
    <w:rsid w:val="00EE38D9"/>
    <w:rsid w:val="00EE39F5"/>
    <w:rsid w:val="00EE3AB0"/>
    <w:rsid w:val="00EE3B09"/>
    <w:rsid w:val="00EE3B3C"/>
    <w:rsid w:val="00EE3F2E"/>
    <w:rsid w:val="00EE4230"/>
    <w:rsid w:val="00EE44FF"/>
    <w:rsid w:val="00EE451C"/>
    <w:rsid w:val="00EE471B"/>
    <w:rsid w:val="00EE491B"/>
    <w:rsid w:val="00EE4A5E"/>
    <w:rsid w:val="00EE4AFE"/>
    <w:rsid w:val="00EE4AFF"/>
    <w:rsid w:val="00EE4E85"/>
    <w:rsid w:val="00EE4FEE"/>
    <w:rsid w:val="00EE5014"/>
    <w:rsid w:val="00EE5060"/>
    <w:rsid w:val="00EE52A9"/>
    <w:rsid w:val="00EE54D1"/>
    <w:rsid w:val="00EE562F"/>
    <w:rsid w:val="00EE5632"/>
    <w:rsid w:val="00EE585C"/>
    <w:rsid w:val="00EE5A1A"/>
    <w:rsid w:val="00EE5C7A"/>
    <w:rsid w:val="00EE6066"/>
    <w:rsid w:val="00EE617C"/>
    <w:rsid w:val="00EE647F"/>
    <w:rsid w:val="00EE65F2"/>
    <w:rsid w:val="00EE686A"/>
    <w:rsid w:val="00EE6B03"/>
    <w:rsid w:val="00EE6FA6"/>
    <w:rsid w:val="00EE718E"/>
    <w:rsid w:val="00EE71E9"/>
    <w:rsid w:val="00EE7208"/>
    <w:rsid w:val="00EE786E"/>
    <w:rsid w:val="00EE79BD"/>
    <w:rsid w:val="00EE7DB2"/>
    <w:rsid w:val="00EE7EE1"/>
    <w:rsid w:val="00EF0344"/>
    <w:rsid w:val="00EF050A"/>
    <w:rsid w:val="00EF087C"/>
    <w:rsid w:val="00EF08C1"/>
    <w:rsid w:val="00EF0BD8"/>
    <w:rsid w:val="00EF0C12"/>
    <w:rsid w:val="00EF16F7"/>
    <w:rsid w:val="00EF1960"/>
    <w:rsid w:val="00EF1AC6"/>
    <w:rsid w:val="00EF1CA8"/>
    <w:rsid w:val="00EF1D4E"/>
    <w:rsid w:val="00EF2095"/>
    <w:rsid w:val="00EF22A8"/>
    <w:rsid w:val="00EF237D"/>
    <w:rsid w:val="00EF23DD"/>
    <w:rsid w:val="00EF25A4"/>
    <w:rsid w:val="00EF25D0"/>
    <w:rsid w:val="00EF26B4"/>
    <w:rsid w:val="00EF26FC"/>
    <w:rsid w:val="00EF27AA"/>
    <w:rsid w:val="00EF2A6C"/>
    <w:rsid w:val="00EF2BA9"/>
    <w:rsid w:val="00EF2CFF"/>
    <w:rsid w:val="00EF2D12"/>
    <w:rsid w:val="00EF2E47"/>
    <w:rsid w:val="00EF325E"/>
    <w:rsid w:val="00EF3278"/>
    <w:rsid w:val="00EF3536"/>
    <w:rsid w:val="00EF36A2"/>
    <w:rsid w:val="00EF374A"/>
    <w:rsid w:val="00EF375B"/>
    <w:rsid w:val="00EF3794"/>
    <w:rsid w:val="00EF3874"/>
    <w:rsid w:val="00EF3C10"/>
    <w:rsid w:val="00EF3E24"/>
    <w:rsid w:val="00EF3E8B"/>
    <w:rsid w:val="00EF4178"/>
    <w:rsid w:val="00EF42D4"/>
    <w:rsid w:val="00EF46A6"/>
    <w:rsid w:val="00EF46E3"/>
    <w:rsid w:val="00EF470A"/>
    <w:rsid w:val="00EF4AA6"/>
    <w:rsid w:val="00EF4AD2"/>
    <w:rsid w:val="00EF4CAF"/>
    <w:rsid w:val="00EF4DB2"/>
    <w:rsid w:val="00EF5089"/>
    <w:rsid w:val="00EF5208"/>
    <w:rsid w:val="00EF526C"/>
    <w:rsid w:val="00EF53AA"/>
    <w:rsid w:val="00EF53BD"/>
    <w:rsid w:val="00EF55CE"/>
    <w:rsid w:val="00EF5630"/>
    <w:rsid w:val="00EF5884"/>
    <w:rsid w:val="00EF5B33"/>
    <w:rsid w:val="00EF5FFD"/>
    <w:rsid w:val="00EF617D"/>
    <w:rsid w:val="00EF67A7"/>
    <w:rsid w:val="00EF68A2"/>
    <w:rsid w:val="00EF6D62"/>
    <w:rsid w:val="00EF727C"/>
    <w:rsid w:val="00EF729D"/>
    <w:rsid w:val="00EF72DF"/>
    <w:rsid w:val="00EF732C"/>
    <w:rsid w:val="00EF73DD"/>
    <w:rsid w:val="00EF749A"/>
    <w:rsid w:val="00EF76B9"/>
    <w:rsid w:val="00EF7B4A"/>
    <w:rsid w:val="00EF7BB3"/>
    <w:rsid w:val="00EF7C46"/>
    <w:rsid w:val="00F00105"/>
    <w:rsid w:val="00F00438"/>
    <w:rsid w:val="00F005B0"/>
    <w:rsid w:val="00F005EE"/>
    <w:rsid w:val="00F00678"/>
    <w:rsid w:val="00F00DB9"/>
    <w:rsid w:val="00F00DC8"/>
    <w:rsid w:val="00F01199"/>
    <w:rsid w:val="00F012B6"/>
    <w:rsid w:val="00F01514"/>
    <w:rsid w:val="00F0152D"/>
    <w:rsid w:val="00F01588"/>
    <w:rsid w:val="00F01670"/>
    <w:rsid w:val="00F01723"/>
    <w:rsid w:val="00F018CD"/>
    <w:rsid w:val="00F019AB"/>
    <w:rsid w:val="00F019B5"/>
    <w:rsid w:val="00F01A3C"/>
    <w:rsid w:val="00F01BFD"/>
    <w:rsid w:val="00F01CCF"/>
    <w:rsid w:val="00F020CB"/>
    <w:rsid w:val="00F0211F"/>
    <w:rsid w:val="00F021BC"/>
    <w:rsid w:val="00F026C4"/>
    <w:rsid w:val="00F02862"/>
    <w:rsid w:val="00F028A2"/>
    <w:rsid w:val="00F02CAD"/>
    <w:rsid w:val="00F02D14"/>
    <w:rsid w:val="00F02DA5"/>
    <w:rsid w:val="00F030E1"/>
    <w:rsid w:val="00F03178"/>
    <w:rsid w:val="00F03180"/>
    <w:rsid w:val="00F0373C"/>
    <w:rsid w:val="00F03943"/>
    <w:rsid w:val="00F03D67"/>
    <w:rsid w:val="00F03FBA"/>
    <w:rsid w:val="00F04032"/>
    <w:rsid w:val="00F040FF"/>
    <w:rsid w:val="00F043D1"/>
    <w:rsid w:val="00F044DD"/>
    <w:rsid w:val="00F04972"/>
    <w:rsid w:val="00F049EC"/>
    <w:rsid w:val="00F04A18"/>
    <w:rsid w:val="00F04B1B"/>
    <w:rsid w:val="00F04D92"/>
    <w:rsid w:val="00F04F1F"/>
    <w:rsid w:val="00F05060"/>
    <w:rsid w:val="00F052CE"/>
    <w:rsid w:val="00F052DF"/>
    <w:rsid w:val="00F053D6"/>
    <w:rsid w:val="00F0542E"/>
    <w:rsid w:val="00F05926"/>
    <w:rsid w:val="00F05A13"/>
    <w:rsid w:val="00F05A20"/>
    <w:rsid w:val="00F05A6B"/>
    <w:rsid w:val="00F0614B"/>
    <w:rsid w:val="00F0619F"/>
    <w:rsid w:val="00F06225"/>
    <w:rsid w:val="00F0645B"/>
    <w:rsid w:val="00F069F7"/>
    <w:rsid w:val="00F06B41"/>
    <w:rsid w:val="00F06BCB"/>
    <w:rsid w:val="00F06D3E"/>
    <w:rsid w:val="00F06FAF"/>
    <w:rsid w:val="00F06FD9"/>
    <w:rsid w:val="00F07459"/>
    <w:rsid w:val="00F077AC"/>
    <w:rsid w:val="00F0790F"/>
    <w:rsid w:val="00F079AE"/>
    <w:rsid w:val="00F07A38"/>
    <w:rsid w:val="00F07A79"/>
    <w:rsid w:val="00F07B07"/>
    <w:rsid w:val="00F07C5D"/>
    <w:rsid w:val="00F07F98"/>
    <w:rsid w:val="00F100F7"/>
    <w:rsid w:val="00F10202"/>
    <w:rsid w:val="00F102E5"/>
    <w:rsid w:val="00F10371"/>
    <w:rsid w:val="00F1043F"/>
    <w:rsid w:val="00F1079E"/>
    <w:rsid w:val="00F108E5"/>
    <w:rsid w:val="00F10A0A"/>
    <w:rsid w:val="00F10AA3"/>
    <w:rsid w:val="00F10E8C"/>
    <w:rsid w:val="00F10EAA"/>
    <w:rsid w:val="00F1116E"/>
    <w:rsid w:val="00F111CF"/>
    <w:rsid w:val="00F1131A"/>
    <w:rsid w:val="00F1157B"/>
    <w:rsid w:val="00F116D5"/>
    <w:rsid w:val="00F1173B"/>
    <w:rsid w:val="00F11AED"/>
    <w:rsid w:val="00F11CC0"/>
    <w:rsid w:val="00F11DCA"/>
    <w:rsid w:val="00F11EBF"/>
    <w:rsid w:val="00F12477"/>
    <w:rsid w:val="00F1275C"/>
    <w:rsid w:val="00F1288F"/>
    <w:rsid w:val="00F12C22"/>
    <w:rsid w:val="00F12CBC"/>
    <w:rsid w:val="00F12CE7"/>
    <w:rsid w:val="00F12ED0"/>
    <w:rsid w:val="00F13141"/>
    <w:rsid w:val="00F13549"/>
    <w:rsid w:val="00F135FF"/>
    <w:rsid w:val="00F1374C"/>
    <w:rsid w:val="00F137D6"/>
    <w:rsid w:val="00F1384A"/>
    <w:rsid w:val="00F13AB7"/>
    <w:rsid w:val="00F13BAA"/>
    <w:rsid w:val="00F13BB3"/>
    <w:rsid w:val="00F13CFE"/>
    <w:rsid w:val="00F13D52"/>
    <w:rsid w:val="00F13E02"/>
    <w:rsid w:val="00F13F43"/>
    <w:rsid w:val="00F142A4"/>
    <w:rsid w:val="00F145A6"/>
    <w:rsid w:val="00F145AA"/>
    <w:rsid w:val="00F145DB"/>
    <w:rsid w:val="00F1490D"/>
    <w:rsid w:val="00F14ED6"/>
    <w:rsid w:val="00F15022"/>
    <w:rsid w:val="00F151B8"/>
    <w:rsid w:val="00F15218"/>
    <w:rsid w:val="00F1525C"/>
    <w:rsid w:val="00F153BC"/>
    <w:rsid w:val="00F1546C"/>
    <w:rsid w:val="00F1564C"/>
    <w:rsid w:val="00F15758"/>
    <w:rsid w:val="00F15A89"/>
    <w:rsid w:val="00F15C41"/>
    <w:rsid w:val="00F1612C"/>
    <w:rsid w:val="00F1639D"/>
    <w:rsid w:val="00F1641D"/>
    <w:rsid w:val="00F16677"/>
    <w:rsid w:val="00F16853"/>
    <w:rsid w:val="00F168B7"/>
    <w:rsid w:val="00F16A8C"/>
    <w:rsid w:val="00F16A8D"/>
    <w:rsid w:val="00F16AF9"/>
    <w:rsid w:val="00F17000"/>
    <w:rsid w:val="00F170E6"/>
    <w:rsid w:val="00F173C7"/>
    <w:rsid w:val="00F173E2"/>
    <w:rsid w:val="00F17500"/>
    <w:rsid w:val="00F17547"/>
    <w:rsid w:val="00F1759B"/>
    <w:rsid w:val="00F175B4"/>
    <w:rsid w:val="00F17A3F"/>
    <w:rsid w:val="00F17AE6"/>
    <w:rsid w:val="00F17B96"/>
    <w:rsid w:val="00F17FFE"/>
    <w:rsid w:val="00F20080"/>
    <w:rsid w:val="00F2087D"/>
    <w:rsid w:val="00F20E08"/>
    <w:rsid w:val="00F21112"/>
    <w:rsid w:val="00F21125"/>
    <w:rsid w:val="00F211CF"/>
    <w:rsid w:val="00F2130A"/>
    <w:rsid w:val="00F2139C"/>
    <w:rsid w:val="00F2146D"/>
    <w:rsid w:val="00F2154A"/>
    <w:rsid w:val="00F21569"/>
    <w:rsid w:val="00F21863"/>
    <w:rsid w:val="00F22079"/>
    <w:rsid w:val="00F22216"/>
    <w:rsid w:val="00F22263"/>
    <w:rsid w:val="00F225F0"/>
    <w:rsid w:val="00F226A1"/>
    <w:rsid w:val="00F229E9"/>
    <w:rsid w:val="00F22B1C"/>
    <w:rsid w:val="00F22C87"/>
    <w:rsid w:val="00F2301C"/>
    <w:rsid w:val="00F2321D"/>
    <w:rsid w:val="00F23267"/>
    <w:rsid w:val="00F238C3"/>
    <w:rsid w:val="00F23E40"/>
    <w:rsid w:val="00F242EE"/>
    <w:rsid w:val="00F2430F"/>
    <w:rsid w:val="00F24765"/>
    <w:rsid w:val="00F24A47"/>
    <w:rsid w:val="00F25110"/>
    <w:rsid w:val="00F25374"/>
    <w:rsid w:val="00F2549C"/>
    <w:rsid w:val="00F254E1"/>
    <w:rsid w:val="00F255A1"/>
    <w:rsid w:val="00F2568D"/>
    <w:rsid w:val="00F2573E"/>
    <w:rsid w:val="00F257CA"/>
    <w:rsid w:val="00F25CAC"/>
    <w:rsid w:val="00F25D22"/>
    <w:rsid w:val="00F25F6F"/>
    <w:rsid w:val="00F26024"/>
    <w:rsid w:val="00F2602B"/>
    <w:rsid w:val="00F26444"/>
    <w:rsid w:val="00F2667B"/>
    <w:rsid w:val="00F266F3"/>
    <w:rsid w:val="00F269C3"/>
    <w:rsid w:val="00F269CC"/>
    <w:rsid w:val="00F26B4B"/>
    <w:rsid w:val="00F26DFE"/>
    <w:rsid w:val="00F26FFE"/>
    <w:rsid w:val="00F2706C"/>
    <w:rsid w:val="00F271F7"/>
    <w:rsid w:val="00F27390"/>
    <w:rsid w:val="00F274F0"/>
    <w:rsid w:val="00F27644"/>
    <w:rsid w:val="00F27826"/>
    <w:rsid w:val="00F27B9A"/>
    <w:rsid w:val="00F27BF7"/>
    <w:rsid w:val="00F27C16"/>
    <w:rsid w:val="00F27C21"/>
    <w:rsid w:val="00F27C60"/>
    <w:rsid w:val="00F27D44"/>
    <w:rsid w:val="00F27DC1"/>
    <w:rsid w:val="00F27F4B"/>
    <w:rsid w:val="00F27FE1"/>
    <w:rsid w:val="00F27FEB"/>
    <w:rsid w:val="00F30020"/>
    <w:rsid w:val="00F30126"/>
    <w:rsid w:val="00F30328"/>
    <w:rsid w:val="00F30372"/>
    <w:rsid w:val="00F3094A"/>
    <w:rsid w:val="00F30A68"/>
    <w:rsid w:val="00F30B60"/>
    <w:rsid w:val="00F30CA5"/>
    <w:rsid w:val="00F31200"/>
    <w:rsid w:val="00F31697"/>
    <w:rsid w:val="00F31A0F"/>
    <w:rsid w:val="00F31B58"/>
    <w:rsid w:val="00F31F4E"/>
    <w:rsid w:val="00F31F70"/>
    <w:rsid w:val="00F31FEB"/>
    <w:rsid w:val="00F32104"/>
    <w:rsid w:val="00F3241D"/>
    <w:rsid w:val="00F324CB"/>
    <w:rsid w:val="00F32721"/>
    <w:rsid w:val="00F32764"/>
    <w:rsid w:val="00F32B17"/>
    <w:rsid w:val="00F32DD4"/>
    <w:rsid w:val="00F32F9F"/>
    <w:rsid w:val="00F33058"/>
    <w:rsid w:val="00F33390"/>
    <w:rsid w:val="00F33430"/>
    <w:rsid w:val="00F3356A"/>
    <w:rsid w:val="00F337FF"/>
    <w:rsid w:val="00F339E3"/>
    <w:rsid w:val="00F33B35"/>
    <w:rsid w:val="00F33B92"/>
    <w:rsid w:val="00F33C50"/>
    <w:rsid w:val="00F33CBD"/>
    <w:rsid w:val="00F33CDE"/>
    <w:rsid w:val="00F34107"/>
    <w:rsid w:val="00F3414B"/>
    <w:rsid w:val="00F34180"/>
    <w:rsid w:val="00F34380"/>
    <w:rsid w:val="00F34400"/>
    <w:rsid w:val="00F3444A"/>
    <w:rsid w:val="00F34BDF"/>
    <w:rsid w:val="00F34C1C"/>
    <w:rsid w:val="00F34DF3"/>
    <w:rsid w:val="00F34E30"/>
    <w:rsid w:val="00F34F12"/>
    <w:rsid w:val="00F35095"/>
    <w:rsid w:val="00F3518F"/>
    <w:rsid w:val="00F35311"/>
    <w:rsid w:val="00F35346"/>
    <w:rsid w:val="00F359DC"/>
    <w:rsid w:val="00F35A61"/>
    <w:rsid w:val="00F35A88"/>
    <w:rsid w:val="00F35E95"/>
    <w:rsid w:val="00F36329"/>
    <w:rsid w:val="00F36331"/>
    <w:rsid w:val="00F3646A"/>
    <w:rsid w:val="00F364C6"/>
    <w:rsid w:val="00F36856"/>
    <w:rsid w:val="00F36897"/>
    <w:rsid w:val="00F36E8D"/>
    <w:rsid w:val="00F36F0C"/>
    <w:rsid w:val="00F37351"/>
    <w:rsid w:val="00F37648"/>
    <w:rsid w:val="00F37864"/>
    <w:rsid w:val="00F37935"/>
    <w:rsid w:val="00F37967"/>
    <w:rsid w:val="00F3799C"/>
    <w:rsid w:val="00F37A01"/>
    <w:rsid w:val="00F37B53"/>
    <w:rsid w:val="00F37CBF"/>
    <w:rsid w:val="00F37D98"/>
    <w:rsid w:val="00F37DB6"/>
    <w:rsid w:val="00F4012C"/>
    <w:rsid w:val="00F40151"/>
    <w:rsid w:val="00F4026B"/>
    <w:rsid w:val="00F40399"/>
    <w:rsid w:val="00F403F0"/>
    <w:rsid w:val="00F40552"/>
    <w:rsid w:val="00F406AC"/>
    <w:rsid w:val="00F40813"/>
    <w:rsid w:val="00F40905"/>
    <w:rsid w:val="00F40BB9"/>
    <w:rsid w:val="00F40BDD"/>
    <w:rsid w:val="00F40D24"/>
    <w:rsid w:val="00F40D42"/>
    <w:rsid w:val="00F40FFE"/>
    <w:rsid w:val="00F411A8"/>
    <w:rsid w:val="00F411E7"/>
    <w:rsid w:val="00F41643"/>
    <w:rsid w:val="00F41754"/>
    <w:rsid w:val="00F41909"/>
    <w:rsid w:val="00F41AAC"/>
    <w:rsid w:val="00F41EF2"/>
    <w:rsid w:val="00F41FD8"/>
    <w:rsid w:val="00F42095"/>
    <w:rsid w:val="00F421EC"/>
    <w:rsid w:val="00F42237"/>
    <w:rsid w:val="00F42305"/>
    <w:rsid w:val="00F42364"/>
    <w:rsid w:val="00F4299F"/>
    <w:rsid w:val="00F42A82"/>
    <w:rsid w:val="00F4320E"/>
    <w:rsid w:val="00F432FC"/>
    <w:rsid w:val="00F43349"/>
    <w:rsid w:val="00F436D7"/>
    <w:rsid w:val="00F43831"/>
    <w:rsid w:val="00F43A02"/>
    <w:rsid w:val="00F43A69"/>
    <w:rsid w:val="00F43AC2"/>
    <w:rsid w:val="00F43AFA"/>
    <w:rsid w:val="00F43C0E"/>
    <w:rsid w:val="00F43EBB"/>
    <w:rsid w:val="00F43FAF"/>
    <w:rsid w:val="00F440B6"/>
    <w:rsid w:val="00F44350"/>
    <w:rsid w:val="00F4445A"/>
    <w:rsid w:val="00F4446B"/>
    <w:rsid w:val="00F446C1"/>
    <w:rsid w:val="00F4472E"/>
    <w:rsid w:val="00F44805"/>
    <w:rsid w:val="00F449FB"/>
    <w:rsid w:val="00F44B9C"/>
    <w:rsid w:val="00F44D6E"/>
    <w:rsid w:val="00F44D8B"/>
    <w:rsid w:val="00F44DA3"/>
    <w:rsid w:val="00F44FF1"/>
    <w:rsid w:val="00F45306"/>
    <w:rsid w:val="00F454EC"/>
    <w:rsid w:val="00F454F7"/>
    <w:rsid w:val="00F45633"/>
    <w:rsid w:val="00F45651"/>
    <w:rsid w:val="00F4579C"/>
    <w:rsid w:val="00F45D3A"/>
    <w:rsid w:val="00F45DDC"/>
    <w:rsid w:val="00F45EF7"/>
    <w:rsid w:val="00F45F19"/>
    <w:rsid w:val="00F46127"/>
    <w:rsid w:val="00F466CA"/>
    <w:rsid w:val="00F46825"/>
    <w:rsid w:val="00F4691D"/>
    <w:rsid w:val="00F4699F"/>
    <w:rsid w:val="00F469B1"/>
    <w:rsid w:val="00F469FD"/>
    <w:rsid w:val="00F46D53"/>
    <w:rsid w:val="00F46FB5"/>
    <w:rsid w:val="00F46FCD"/>
    <w:rsid w:val="00F472E1"/>
    <w:rsid w:val="00F47329"/>
    <w:rsid w:val="00F47340"/>
    <w:rsid w:val="00F47391"/>
    <w:rsid w:val="00F47447"/>
    <w:rsid w:val="00F47475"/>
    <w:rsid w:val="00F475BC"/>
    <w:rsid w:val="00F4781D"/>
    <w:rsid w:val="00F47B81"/>
    <w:rsid w:val="00F500FB"/>
    <w:rsid w:val="00F5016B"/>
    <w:rsid w:val="00F50962"/>
    <w:rsid w:val="00F50BCA"/>
    <w:rsid w:val="00F50F93"/>
    <w:rsid w:val="00F50FF6"/>
    <w:rsid w:val="00F51109"/>
    <w:rsid w:val="00F512F7"/>
    <w:rsid w:val="00F51432"/>
    <w:rsid w:val="00F51484"/>
    <w:rsid w:val="00F5152C"/>
    <w:rsid w:val="00F51993"/>
    <w:rsid w:val="00F51DBB"/>
    <w:rsid w:val="00F51F9C"/>
    <w:rsid w:val="00F522B6"/>
    <w:rsid w:val="00F522C9"/>
    <w:rsid w:val="00F525E3"/>
    <w:rsid w:val="00F52B22"/>
    <w:rsid w:val="00F52D1E"/>
    <w:rsid w:val="00F52DAF"/>
    <w:rsid w:val="00F52FAD"/>
    <w:rsid w:val="00F52FB5"/>
    <w:rsid w:val="00F53036"/>
    <w:rsid w:val="00F53741"/>
    <w:rsid w:val="00F53844"/>
    <w:rsid w:val="00F539E6"/>
    <w:rsid w:val="00F53ED6"/>
    <w:rsid w:val="00F53F1A"/>
    <w:rsid w:val="00F53F1C"/>
    <w:rsid w:val="00F54248"/>
    <w:rsid w:val="00F542A3"/>
    <w:rsid w:val="00F543CD"/>
    <w:rsid w:val="00F544DA"/>
    <w:rsid w:val="00F54547"/>
    <w:rsid w:val="00F5472A"/>
    <w:rsid w:val="00F54844"/>
    <w:rsid w:val="00F54AB6"/>
    <w:rsid w:val="00F551D6"/>
    <w:rsid w:val="00F55680"/>
    <w:rsid w:val="00F5576D"/>
    <w:rsid w:val="00F55CA9"/>
    <w:rsid w:val="00F56244"/>
    <w:rsid w:val="00F56289"/>
    <w:rsid w:val="00F56314"/>
    <w:rsid w:val="00F564B7"/>
    <w:rsid w:val="00F566CB"/>
    <w:rsid w:val="00F5679D"/>
    <w:rsid w:val="00F56AA6"/>
    <w:rsid w:val="00F56DFF"/>
    <w:rsid w:val="00F56E9A"/>
    <w:rsid w:val="00F56EE0"/>
    <w:rsid w:val="00F56FA7"/>
    <w:rsid w:val="00F57117"/>
    <w:rsid w:val="00F573E3"/>
    <w:rsid w:val="00F57476"/>
    <w:rsid w:val="00F574EA"/>
    <w:rsid w:val="00F5762E"/>
    <w:rsid w:val="00F5766B"/>
    <w:rsid w:val="00F57683"/>
    <w:rsid w:val="00F57837"/>
    <w:rsid w:val="00F57B35"/>
    <w:rsid w:val="00F57B84"/>
    <w:rsid w:val="00F57C93"/>
    <w:rsid w:val="00F57CB3"/>
    <w:rsid w:val="00F57EF8"/>
    <w:rsid w:val="00F600AB"/>
    <w:rsid w:val="00F604ED"/>
    <w:rsid w:val="00F6072F"/>
    <w:rsid w:val="00F608DA"/>
    <w:rsid w:val="00F60A82"/>
    <w:rsid w:val="00F60C7B"/>
    <w:rsid w:val="00F60E4F"/>
    <w:rsid w:val="00F60E97"/>
    <w:rsid w:val="00F60F0C"/>
    <w:rsid w:val="00F6148C"/>
    <w:rsid w:val="00F614A0"/>
    <w:rsid w:val="00F614A7"/>
    <w:rsid w:val="00F61504"/>
    <w:rsid w:val="00F6165C"/>
    <w:rsid w:val="00F6173B"/>
    <w:rsid w:val="00F6177B"/>
    <w:rsid w:val="00F61868"/>
    <w:rsid w:val="00F61A0A"/>
    <w:rsid w:val="00F61AF6"/>
    <w:rsid w:val="00F61B02"/>
    <w:rsid w:val="00F61BD5"/>
    <w:rsid w:val="00F61BF9"/>
    <w:rsid w:val="00F61CED"/>
    <w:rsid w:val="00F61E03"/>
    <w:rsid w:val="00F61E38"/>
    <w:rsid w:val="00F6231B"/>
    <w:rsid w:val="00F623A6"/>
    <w:rsid w:val="00F62414"/>
    <w:rsid w:val="00F624CB"/>
    <w:rsid w:val="00F624D1"/>
    <w:rsid w:val="00F625F2"/>
    <w:rsid w:val="00F62736"/>
    <w:rsid w:val="00F62C2C"/>
    <w:rsid w:val="00F62C37"/>
    <w:rsid w:val="00F62DBD"/>
    <w:rsid w:val="00F62F04"/>
    <w:rsid w:val="00F63098"/>
    <w:rsid w:val="00F630C9"/>
    <w:rsid w:val="00F635CC"/>
    <w:rsid w:val="00F637EF"/>
    <w:rsid w:val="00F6392C"/>
    <w:rsid w:val="00F63D7D"/>
    <w:rsid w:val="00F63E16"/>
    <w:rsid w:val="00F63FBE"/>
    <w:rsid w:val="00F6417E"/>
    <w:rsid w:val="00F6430E"/>
    <w:rsid w:val="00F644F3"/>
    <w:rsid w:val="00F64539"/>
    <w:rsid w:val="00F647CC"/>
    <w:rsid w:val="00F64861"/>
    <w:rsid w:val="00F64B05"/>
    <w:rsid w:val="00F64E5B"/>
    <w:rsid w:val="00F64FE9"/>
    <w:rsid w:val="00F6500D"/>
    <w:rsid w:val="00F6545E"/>
    <w:rsid w:val="00F6549E"/>
    <w:rsid w:val="00F65521"/>
    <w:rsid w:val="00F65818"/>
    <w:rsid w:val="00F65974"/>
    <w:rsid w:val="00F65A76"/>
    <w:rsid w:val="00F65A79"/>
    <w:rsid w:val="00F65C30"/>
    <w:rsid w:val="00F65E0C"/>
    <w:rsid w:val="00F65F46"/>
    <w:rsid w:val="00F660C7"/>
    <w:rsid w:val="00F66310"/>
    <w:rsid w:val="00F663F9"/>
    <w:rsid w:val="00F6689A"/>
    <w:rsid w:val="00F66933"/>
    <w:rsid w:val="00F66B4F"/>
    <w:rsid w:val="00F66CE4"/>
    <w:rsid w:val="00F670FA"/>
    <w:rsid w:val="00F6714F"/>
    <w:rsid w:val="00F67614"/>
    <w:rsid w:val="00F6784F"/>
    <w:rsid w:val="00F678FB"/>
    <w:rsid w:val="00F6797F"/>
    <w:rsid w:val="00F67C44"/>
    <w:rsid w:val="00F67CFE"/>
    <w:rsid w:val="00F67D0C"/>
    <w:rsid w:val="00F67D3E"/>
    <w:rsid w:val="00F70114"/>
    <w:rsid w:val="00F70172"/>
    <w:rsid w:val="00F7034B"/>
    <w:rsid w:val="00F70400"/>
    <w:rsid w:val="00F7048F"/>
    <w:rsid w:val="00F704BF"/>
    <w:rsid w:val="00F70636"/>
    <w:rsid w:val="00F707D6"/>
    <w:rsid w:val="00F70916"/>
    <w:rsid w:val="00F70AB3"/>
    <w:rsid w:val="00F70E0D"/>
    <w:rsid w:val="00F70EF3"/>
    <w:rsid w:val="00F7141E"/>
    <w:rsid w:val="00F715DE"/>
    <w:rsid w:val="00F71686"/>
    <w:rsid w:val="00F71B10"/>
    <w:rsid w:val="00F71BFC"/>
    <w:rsid w:val="00F71F96"/>
    <w:rsid w:val="00F72715"/>
    <w:rsid w:val="00F72808"/>
    <w:rsid w:val="00F72B42"/>
    <w:rsid w:val="00F72B90"/>
    <w:rsid w:val="00F72BB2"/>
    <w:rsid w:val="00F72BF2"/>
    <w:rsid w:val="00F72BF3"/>
    <w:rsid w:val="00F72C5E"/>
    <w:rsid w:val="00F72CC5"/>
    <w:rsid w:val="00F73007"/>
    <w:rsid w:val="00F730C9"/>
    <w:rsid w:val="00F731E1"/>
    <w:rsid w:val="00F733F3"/>
    <w:rsid w:val="00F73636"/>
    <w:rsid w:val="00F73934"/>
    <w:rsid w:val="00F73A39"/>
    <w:rsid w:val="00F73B83"/>
    <w:rsid w:val="00F73DAA"/>
    <w:rsid w:val="00F73E47"/>
    <w:rsid w:val="00F73F47"/>
    <w:rsid w:val="00F7415D"/>
    <w:rsid w:val="00F741AD"/>
    <w:rsid w:val="00F744DE"/>
    <w:rsid w:val="00F74581"/>
    <w:rsid w:val="00F74ED5"/>
    <w:rsid w:val="00F75030"/>
    <w:rsid w:val="00F75146"/>
    <w:rsid w:val="00F755C4"/>
    <w:rsid w:val="00F75679"/>
    <w:rsid w:val="00F758FF"/>
    <w:rsid w:val="00F759E2"/>
    <w:rsid w:val="00F75D3A"/>
    <w:rsid w:val="00F75DE8"/>
    <w:rsid w:val="00F75ECA"/>
    <w:rsid w:val="00F7606E"/>
    <w:rsid w:val="00F7636F"/>
    <w:rsid w:val="00F76434"/>
    <w:rsid w:val="00F7652B"/>
    <w:rsid w:val="00F76871"/>
    <w:rsid w:val="00F768EB"/>
    <w:rsid w:val="00F76A01"/>
    <w:rsid w:val="00F76A0F"/>
    <w:rsid w:val="00F76AC7"/>
    <w:rsid w:val="00F76C1A"/>
    <w:rsid w:val="00F76CF9"/>
    <w:rsid w:val="00F76E34"/>
    <w:rsid w:val="00F76EB6"/>
    <w:rsid w:val="00F76EFE"/>
    <w:rsid w:val="00F76FFB"/>
    <w:rsid w:val="00F771CC"/>
    <w:rsid w:val="00F776BC"/>
    <w:rsid w:val="00F77B78"/>
    <w:rsid w:val="00F77F85"/>
    <w:rsid w:val="00F80139"/>
    <w:rsid w:val="00F8016A"/>
    <w:rsid w:val="00F8022A"/>
    <w:rsid w:val="00F8025E"/>
    <w:rsid w:val="00F802EA"/>
    <w:rsid w:val="00F80378"/>
    <w:rsid w:val="00F80405"/>
    <w:rsid w:val="00F80568"/>
    <w:rsid w:val="00F806AC"/>
    <w:rsid w:val="00F80944"/>
    <w:rsid w:val="00F80B09"/>
    <w:rsid w:val="00F80F21"/>
    <w:rsid w:val="00F80F50"/>
    <w:rsid w:val="00F80F5A"/>
    <w:rsid w:val="00F81168"/>
    <w:rsid w:val="00F81282"/>
    <w:rsid w:val="00F819F7"/>
    <w:rsid w:val="00F81A9A"/>
    <w:rsid w:val="00F81C07"/>
    <w:rsid w:val="00F81C61"/>
    <w:rsid w:val="00F820B1"/>
    <w:rsid w:val="00F8226D"/>
    <w:rsid w:val="00F823AC"/>
    <w:rsid w:val="00F823AF"/>
    <w:rsid w:val="00F82459"/>
    <w:rsid w:val="00F824AB"/>
    <w:rsid w:val="00F8253F"/>
    <w:rsid w:val="00F825B5"/>
    <w:rsid w:val="00F825DC"/>
    <w:rsid w:val="00F82C23"/>
    <w:rsid w:val="00F82CD6"/>
    <w:rsid w:val="00F82EA5"/>
    <w:rsid w:val="00F83247"/>
    <w:rsid w:val="00F832CA"/>
    <w:rsid w:val="00F834B7"/>
    <w:rsid w:val="00F83513"/>
    <w:rsid w:val="00F83603"/>
    <w:rsid w:val="00F83753"/>
    <w:rsid w:val="00F837CC"/>
    <w:rsid w:val="00F83A4B"/>
    <w:rsid w:val="00F83D1A"/>
    <w:rsid w:val="00F83DCE"/>
    <w:rsid w:val="00F841CA"/>
    <w:rsid w:val="00F844F3"/>
    <w:rsid w:val="00F84699"/>
    <w:rsid w:val="00F8471A"/>
    <w:rsid w:val="00F84798"/>
    <w:rsid w:val="00F84F01"/>
    <w:rsid w:val="00F84F93"/>
    <w:rsid w:val="00F85003"/>
    <w:rsid w:val="00F85013"/>
    <w:rsid w:val="00F850B0"/>
    <w:rsid w:val="00F8528E"/>
    <w:rsid w:val="00F85446"/>
    <w:rsid w:val="00F8551D"/>
    <w:rsid w:val="00F85573"/>
    <w:rsid w:val="00F859AF"/>
    <w:rsid w:val="00F85A62"/>
    <w:rsid w:val="00F85AB7"/>
    <w:rsid w:val="00F864CD"/>
    <w:rsid w:val="00F8673A"/>
    <w:rsid w:val="00F86827"/>
    <w:rsid w:val="00F86DCF"/>
    <w:rsid w:val="00F86F6C"/>
    <w:rsid w:val="00F86FB7"/>
    <w:rsid w:val="00F8767D"/>
    <w:rsid w:val="00F8770C"/>
    <w:rsid w:val="00F8774E"/>
    <w:rsid w:val="00F8787C"/>
    <w:rsid w:val="00F87929"/>
    <w:rsid w:val="00F879BE"/>
    <w:rsid w:val="00F87AAF"/>
    <w:rsid w:val="00F87B47"/>
    <w:rsid w:val="00F87C31"/>
    <w:rsid w:val="00F87D1A"/>
    <w:rsid w:val="00F87F19"/>
    <w:rsid w:val="00F87F33"/>
    <w:rsid w:val="00F90114"/>
    <w:rsid w:val="00F901B5"/>
    <w:rsid w:val="00F902B7"/>
    <w:rsid w:val="00F903F8"/>
    <w:rsid w:val="00F9050A"/>
    <w:rsid w:val="00F90927"/>
    <w:rsid w:val="00F90E03"/>
    <w:rsid w:val="00F90E48"/>
    <w:rsid w:val="00F91096"/>
    <w:rsid w:val="00F9111B"/>
    <w:rsid w:val="00F9135C"/>
    <w:rsid w:val="00F915F7"/>
    <w:rsid w:val="00F916E5"/>
    <w:rsid w:val="00F91AC7"/>
    <w:rsid w:val="00F91B4C"/>
    <w:rsid w:val="00F91BE2"/>
    <w:rsid w:val="00F91BFE"/>
    <w:rsid w:val="00F91C12"/>
    <w:rsid w:val="00F91D6D"/>
    <w:rsid w:val="00F91E7D"/>
    <w:rsid w:val="00F9212E"/>
    <w:rsid w:val="00F9213D"/>
    <w:rsid w:val="00F925DC"/>
    <w:rsid w:val="00F9272D"/>
    <w:rsid w:val="00F92732"/>
    <w:rsid w:val="00F927A0"/>
    <w:rsid w:val="00F927FB"/>
    <w:rsid w:val="00F92960"/>
    <w:rsid w:val="00F92AD1"/>
    <w:rsid w:val="00F92E86"/>
    <w:rsid w:val="00F93045"/>
    <w:rsid w:val="00F93352"/>
    <w:rsid w:val="00F934F3"/>
    <w:rsid w:val="00F93502"/>
    <w:rsid w:val="00F935BB"/>
    <w:rsid w:val="00F93B2E"/>
    <w:rsid w:val="00F93B60"/>
    <w:rsid w:val="00F942B2"/>
    <w:rsid w:val="00F942D1"/>
    <w:rsid w:val="00F9445F"/>
    <w:rsid w:val="00F948E6"/>
    <w:rsid w:val="00F949CA"/>
    <w:rsid w:val="00F94C03"/>
    <w:rsid w:val="00F94D2C"/>
    <w:rsid w:val="00F94DD8"/>
    <w:rsid w:val="00F9538E"/>
    <w:rsid w:val="00F95A0C"/>
    <w:rsid w:val="00F95C70"/>
    <w:rsid w:val="00F95DA5"/>
    <w:rsid w:val="00F95F0A"/>
    <w:rsid w:val="00F96375"/>
    <w:rsid w:val="00F96407"/>
    <w:rsid w:val="00F9654A"/>
    <w:rsid w:val="00F965A8"/>
    <w:rsid w:val="00F968EA"/>
    <w:rsid w:val="00F96BBD"/>
    <w:rsid w:val="00F96C2F"/>
    <w:rsid w:val="00F96E21"/>
    <w:rsid w:val="00F96F12"/>
    <w:rsid w:val="00F9703B"/>
    <w:rsid w:val="00F971C2"/>
    <w:rsid w:val="00F9730C"/>
    <w:rsid w:val="00F97536"/>
    <w:rsid w:val="00F975EC"/>
    <w:rsid w:val="00F9786F"/>
    <w:rsid w:val="00F97895"/>
    <w:rsid w:val="00F978D4"/>
    <w:rsid w:val="00F979EB"/>
    <w:rsid w:val="00F97A8E"/>
    <w:rsid w:val="00F97DF8"/>
    <w:rsid w:val="00F97E21"/>
    <w:rsid w:val="00F97EFC"/>
    <w:rsid w:val="00F97F83"/>
    <w:rsid w:val="00F97FB4"/>
    <w:rsid w:val="00FA0329"/>
    <w:rsid w:val="00FA045C"/>
    <w:rsid w:val="00FA0901"/>
    <w:rsid w:val="00FA0D38"/>
    <w:rsid w:val="00FA0F43"/>
    <w:rsid w:val="00FA0FAB"/>
    <w:rsid w:val="00FA14BA"/>
    <w:rsid w:val="00FA1A77"/>
    <w:rsid w:val="00FA1E80"/>
    <w:rsid w:val="00FA207A"/>
    <w:rsid w:val="00FA2526"/>
    <w:rsid w:val="00FA2A02"/>
    <w:rsid w:val="00FA2BA1"/>
    <w:rsid w:val="00FA2C9F"/>
    <w:rsid w:val="00FA2D0E"/>
    <w:rsid w:val="00FA2D26"/>
    <w:rsid w:val="00FA2D30"/>
    <w:rsid w:val="00FA2F7E"/>
    <w:rsid w:val="00FA3064"/>
    <w:rsid w:val="00FA30B3"/>
    <w:rsid w:val="00FA3697"/>
    <w:rsid w:val="00FA3738"/>
    <w:rsid w:val="00FA3805"/>
    <w:rsid w:val="00FA39F2"/>
    <w:rsid w:val="00FA3B57"/>
    <w:rsid w:val="00FA42AE"/>
    <w:rsid w:val="00FA431B"/>
    <w:rsid w:val="00FA43C3"/>
    <w:rsid w:val="00FA4576"/>
    <w:rsid w:val="00FA47E8"/>
    <w:rsid w:val="00FA4A30"/>
    <w:rsid w:val="00FA4A7F"/>
    <w:rsid w:val="00FA4C84"/>
    <w:rsid w:val="00FA4D4B"/>
    <w:rsid w:val="00FA4E5E"/>
    <w:rsid w:val="00FA54AD"/>
    <w:rsid w:val="00FA5504"/>
    <w:rsid w:val="00FA5540"/>
    <w:rsid w:val="00FA5648"/>
    <w:rsid w:val="00FA575E"/>
    <w:rsid w:val="00FA5A37"/>
    <w:rsid w:val="00FA5AAD"/>
    <w:rsid w:val="00FA5B8F"/>
    <w:rsid w:val="00FA5B9E"/>
    <w:rsid w:val="00FA5BCE"/>
    <w:rsid w:val="00FA5C08"/>
    <w:rsid w:val="00FA5C64"/>
    <w:rsid w:val="00FA5CD5"/>
    <w:rsid w:val="00FA5DBE"/>
    <w:rsid w:val="00FA5DDE"/>
    <w:rsid w:val="00FA5EBC"/>
    <w:rsid w:val="00FA6421"/>
    <w:rsid w:val="00FA6953"/>
    <w:rsid w:val="00FA6955"/>
    <w:rsid w:val="00FA6979"/>
    <w:rsid w:val="00FA6A64"/>
    <w:rsid w:val="00FA6B7E"/>
    <w:rsid w:val="00FA6C58"/>
    <w:rsid w:val="00FA6FCE"/>
    <w:rsid w:val="00FA6FD7"/>
    <w:rsid w:val="00FA6FF5"/>
    <w:rsid w:val="00FA740A"/>
    <w:rsid w:val="00FA7560"/>
    <w:rsid w:val="00FA7607"/>
    <w:rsid w:val="00FA78FD"/>
    <w:rsid w:val="00FA7A1C"/>
    <w:rsid w:val="00FA7D6F"/>
    <w:rsid w:val="00FA7E82"/>
    <w:rsid w:val="00FA7FCA"/>
    <w:rsid w:val="00FB00D4"/>
    <w:rsid w:val="00FB0252"/>
    <w:rsid w:val="00FB039C"/>
    <w:rsid w:val="00FB0417"/>
    <w:rsid w:val="00FB04DA"/>
    <w:rsid w:val="00FB08E9"/>
    <w:rsid w:val="00FB0918"/>
    <w:rsid w:val="00FB0F60"/>
    <w:rsid w:val="00FB114A"/>
    <w:rsid w:val="00FB1401"/>
    <w:rsid w:val="00FB14DE"/>
    <w:rsid w:val="00FB15E8"/>
    <w:rsid w:val="00FB1BB6"/>
    <w:rsid w:val="00FB1E95"/>
    <w:rsid w:val="00FB205F"/>
    <w:rsid w:val="00FB2256"/>
    <w:rsid w:val="00FB22F3"/>
    <w:rsid w:val="00FB2417"/>
    <w:rsid w:val="00FB2507"/>
    <w:rsid w:val="00FB2867"/>
    <w:rsid w:val="00FB28B6"/>
    <w:rsid w:val="00FB2CD9"/>
    <w:rsid w:val="00FB2CF7"/>
    <w:rsid w:val="00FB2F4B"/>
    <w:rsid w:val="00FB2F6F"/>
    <w:rsid w:val="00FB3080"/>
    <w:rsid w:val="00FB3415"/>
    <w:rsid w:val="00FB396A"/>
    <w:rsid w:val="00FB3C0B"/>
    <w:rsid w:val="00FB3C42"/>
    <w:rsid w:val="00FB3DE0"/>
    <w:rsid w:val="00FB3F3B"/>
    <w:rsid w:val="00FB3F54"/>
    <w:rsid w:val="00FB3FED"/>
    <w:rsid w:val="00FB40CB"/>
    <w:rsid w:val="00FB426D"/>
    <w:rsid w:val="00FB4368"/>
    <w:rsid w:val="00FB495B"/>
    <w:rsid w:val="00FB4A72"/>
    <w:rsid w:val="00FB4A85"/>
    <w:rsid w:val="00FB4ADB"/>
    <w:rsid w:val="00FB4CB0"/>
    <w:rsid w:val="00FB4D0D"/>
    <w:rsid w:val="00FB4D56"/>
    <w:rsid w:val="00FB4F92"/>
    <w:rsid w:val="00FB53D2"/>
    <w:rsid w:val="00FB55A5"/>
    <w:rsid w:val="00FB56AF"/>
    <w:rsid w:val="00FB57DB"/>
    <w:rsid w:val="00FB5890"/>
    <w:rsid w:val="00FB5F01"/>
    <w:rsid w:val="00FB6012"/>
    <w:rsid w:val="00FB6079"/>
    <w:rsid w:val="00FB60DB"/>
    <w:rsid w:val="00FB61F2"/>
    <w:rsid w:val="00FB6329"/>
    <w:rsid w:val="00FB6481"/>
    <w:rsid w:val="00FB65AF"/>
    <w:rsid w:val="00FB6669"/>
    <w:rsid w:val="00FB66C8"/>
    <w:rsid w:val="00FB6895"/>
    <w:rsid w:val="00FB6988"/>
    <w:rsid w:val="00FB6C5E"/>
    <w:rsid w:val="00FB6CCA"/>
    <w:rsid w:val="00FB6D56"/>
    <w:rsid w:val="00FB6EA8"/>
    <w:rsid w:val="00FB6ED6"/>
    <w:rsid w:val="00FB7491"/>
    <w:rsid w:val="00FB75CC"/>
    <w:rsid w:val="00FB7864"/>
    <w:rsid w:val="00FB7A6B"/>
    <w:rsid w:val="00FB7B3E"/>
    <w:rsid w:val="00FB7B85"/>
    <w:rsid w:val="00FB7D56"/>
    <w:rsid w:val="00FB7E1E"/>
    <w:rsid w:val="00FC0066"/>
    <w:rsid w:val="00FC0477"/>
    <w:rsid w:val="00FC06B8"/>
    <w:rsid w:val="00FC06E3"/>
    <w:rsid w:val="00FC0A62"/>
    <w:rsid w:val="00FC0AF8"/>
    <w:rsid w:val="00FC0CD6"/>
    <w:rsid w:val="00FC0FE0"/>
    <w:rsid w:val="00FC100E"/>
    <w:rsid w:val="00FC10E1"/>
    <w:rsid w:val="00FC13F9"/>
    <w:rsid w:val="00FC1C23"/>
    <w:rsid w:val="00FC1F1F"/>
    <w:rsid w:val="00FC2212"/>
    <w:rsid w:val="00FC228D"/>
    <w:rsid w:val="00FC22AB"/>
    <w:rsid w:val="00FC2383"/>
    <w:rsid w:val="00FC24FE"/>
    <w:rsid w:val="00FC272E"/>
    <w:rsid w:val="00FC27BB"/>
    <w:rsid w:val="00FC28B7"/>
    <w:rsid w:val="00FC294A"/>
    <w:rsid w:val="00FC2BBB"/>
    <w:rsid w:val="00FC2D06"/>
    <w:rsid w:val="00FC2F37"/>
    <w:rsid w:val="00FC30F3"/>
    <w:rsid w:val="00FC329C"/>
    <w:rsid w:val="00FC347F"/>
    <w:rsid w:val="00FC36D5"/>
    <w:rsid w:val="00FC3879"/>
    <w:rsid w:val="00FC3C19"/>
    <w:rsid w:val="00FC3DA3"/>
    <w:rsid w:val="00FC3F4B"/>
    <w:rsid w:val="00FC4180"/>
    <w:rsid w:val="00FC4295"/>
    <w:rsid w:val="00FC43BA"/>
    <w:rsid w:val="00FC4452"/>
    <w:rsid w:val="00FC4475"/>
    <w:rsid w:val="00FC4D4D"/>
    <w:rsid w:val="00FC4DBD"/>
    <w:rsid w:val="00FC5194"/>
    <w:rsid w:val="00FC52AD"/>
    <w:rsid w:val="00FC555F"/>
    <w:rsid w:val="00FC56D6"/>
    <w:rsid w:val="00FC5743"/>
    <w:rsid w:val="00FC594B"/>
    <w:rsid w:val="00FC5ADD"/>
    <w:rsid w:val="00FC5D77"/>
    <w:rsid w:val="00FC5EA5"/>
    <w:rsid w:val="00FC6039"/>
    <w:rsid w:val="00FC6178"/>
    <w:rsid w:val="00FC61CA"/>
    <w:rsid w:val="00FC6267"/>
    <w:rsid w:val="00FC63AE"/>
    <w:rsid w:val="00FC6752"/>
    <w:rsid w:val="00FC6AED"/>
    <w:rsid w:val="00FC6D1E"/>
    <w:rsid w:val="00FC703E"/>
    <w:rsid w:val="00FC738B"/>
    <w:rsid w:val="00FC75F8"/>
    <w:rsid w:val="00FC76CA"/>
    <w:rsid w:val="00FC77D8"/>
    <w:rsid w:val="00FC7923"/>
    <w:rsid w:val="00FC7B05"/>
    <w:rsid w:val="00FC7DDB"/>
    <w:rsid w:val="00FC7EF4"/>
    <w:rsid w:val="00FC7FE0"/>
    <w:rsid w:val="00FD03BB"/>
    <w:rsid w:val="00FD04FE"/>
    <w:rsid w:val="00FD0655"/>
    <w:rsid w:val="00FD06CE"/>
    <w:rsid w:val="00FD074F"/>
    <w:rsid w:val="00FD07C6"/>
    <w:rsid w:val="00FD0801"/>
    <w:rsid w:val="00FD0960"/>
    <w:rsid w:val="00FD0A0F"/>
    <w:rsid w:val="00FD0CA4"/>
    <w:rsid w:val="00FD0DA5"/>
    <w:rsid w:val="00FD0E46"/>
    <w:rsid w:val="00FD1088"/>
    <w:rsid w:val="00FD1186"/>
    <w:rsid w:val="00FD17EA"/>
    <w:rsid w:val="00FD19A4"/>
    <w:rsid w:val="00FD1AF8"/>
    <w:rsid w:val="00FD1B51"/>
    <w:rsid w:val="00FD1CE2"/>
    <w:rsid w:val="00FD1EA5"/>
    <w:rsid w:val="00FD208A"/>
    <w:rsid w:val="00FD20B6"/>
    <w:rsid w:val="00FD226A"/>
    <w:rsid w:val="00FD2394"/>
    <w:rsid w:val="00FD2435"/>
    <w:rsid w:val="00FD25B0"/>
    <w:rsid w:val="00FD2A13"/>
    <w:rsid w:val="00FD2B33"/>
    <w:rsid w:val="00FD2E62"/>
    <w:rsid w:val="00FD346F"/>
    <w:rsid w:val="00FD385F"/>
    <w:rsid w:val="00FD397F"/>
    <w:rsid w:val="00FD39C6"/>
    <w:rsid w:val="00FD3C15"/>
    <w:rsid w:val="00FD4015"/>
    <w:rsid w:val="00FD4211"/>
    <w:rsid w:val="00FD43A0"/>
    <w:rsid w:val="00FD44F9"/>
    <w:rsid w:val="00FD4654"/>
    <w:rsid w:val="00FD4729"/>
    <w:rsid w:val="00FD48BC"/>
    <w:rsid w:val="00FD48C3"/>
    <w:rsid w:val="00FD49CA"/>
    <w:rsid w:val="00FD4CBC"/>
    <w:rsid w:val="00FD4D27"/>
    <w:rsid w:val="00FD5171"/>
    <w:rsid w:val="00FD51A9"/>
    <w:rsid w:val="00FD5319"/>
    <w:rsid w:val="00FD5726"/>
    <w:rsid w:val="00FD592D"/>
    <w:rsid w:val="00FD5986"/>
    <w:rsid w:val="00FD5B20"/>
    <w:rsid w:val="00FD5EBB"/>
    <w:rsid w:val="00FD5EC4"/>
    <w:rsid w:val="00FD5F47"/>
    <w:rsid w:val="00FD5FAA"/>
    <w:rsid w:val="00FD6170"/>
    <w:rsid w:val="00FD6453"/>
    <w:rsid w:val="00FD6593"/>
    <w:rsid w:val="00FD65BD"/>
    <w:rsid w:val="00FD65DE"/>
    <w:rsid w:val="00FD6A59"/>
    <w:rsid w:val="00FD6AB6"/>
    <w:rsid w:val="00FD6B5C"/>
    <w:rsid w:val="00FD6ECA"/>
    <w:rsid w:val="00FD7251"/>
    <w:rsid w:val="00FD7304"/>
    <w:rsid w:val="00FD730B"/>
    <w:rsid w:val="00FD7841"/>
    <w:rsid w:val="00FD7850"/>
    <w:rsid w:val="00FD7859"/>
    <w:rsid w:val="00FD785C"/>
    <w:rsid w:val="00FD7D56"/>
    <w:rsid w:val="00FD7E1B"/>
    <w:rsid w:val="00FE041C"/>
    <w:rsid w:val="00FE092E"/>
    <w:rsid w:val="00FE0A50"/>
    <w:rsid w:val="00FE0C68"/>
    <w:rsid w:val="00FE1041"/>
    <w:rsid w:val="00FE104B"/>
    <w:rsid w:val="00FE1085"/>
    <w:rsid w:val="00FE1359"/>
    <w:rsid w:val="00FE1471"/>
    <w:rsid w:val="00FE1679"/>
    <w:rsid w:val="00FE1B08"/>
    <w:rsid w:val="00FE1C68"/>
    <w:rsid w:val="00FE1DBF"/>
    <w:rsid w:val="00FE2153"/>
    <w:rsid w:val="00FE23F1"/>
    <w:rsid w:val="00FE2431"/>
    <w:rsid w:val="00FE2444"/>
    <w:rsid w:val="00FE244E"/>
    <w:rsid w:val="00FE2474"/>
    <w:rsid w:val="00FE2A0F"/>
    <w:rsid w:val="00FE2B0D"/>
    <w:rsid w:val="00FE2FFF"/>
    <w:rsid w:val="00FE3020"/>
    <w:rsid w:val="00FE35F5"/>
    <w:rsid w:val="00FE36B6"/>
    <w:rsid w:val="00FE37C4"/>
    <w:rsid w:val="00FE3F56"/>
    <w:rsid w:val="00FE40C5"/>
    <w:rsid w:val="00FE4296"/>
    <w:rsid w:val="00FE4497"/>
    <w:rsid w:val="00FE46DB"/>
    <w:rsid w:val="00FE472F"/>
    <w:rsid w:val="00FE47AC"/>
    <w:rsid w:val="00FE47C0"/>
    <w:rsid w:val="00FE48EA"/>
    <w:rsid w:val="00FE4C58"/>
    <w:rsid w:val="00FE4E11"/>
    <w:rsid w:val="00FE4FBD"/>
    <w:rsid w:val="00FE5086"/>
    <w:rsid w:val="00FE5261"/>
    <w:rsid w:val="00FE5481"/>
    <w:rsid w:val="00FE548E"/>
    <w:rsid w:val="00FE5559"/>
    <w:rsid w:val="00FE59A2"/>
    <w:rsid w:val="00FE59DA"/>
    <w:rsid w:val="00FE5A68"/>
    <w:rsid w:val="00FE5B3A"/>
    <w:rsid w:val="00FE5B6C"/>
    <w:rsid w:val="00FE6190"/>
    <w:rsid w:val="00FE63E6"/>
    <w:rsid w:val="00FE650E"/>
    <w:rsid w:val="00FE6678"/>
    <w:rsid w:val="00FE6746"/>
    <w:rsid w:val="00FE687A"/>
    <w:rsid w:val="00FE6B2B"/>
    <w:rsid w:val="00FE6B65"/>
    <w:rsid w:val="00FE6B98"/>
    <w:rsid w:val="00FE7815"/>
    <w:rsid w:val="00FE7EE9"/>
    <w:rsid w:val="00FE7F05"/>
    <w:rsid w:val="00FF00A6"/>
    <w:rsid w:val="00FF018B"/>
    <w:rsid w:val="00FF044C"/>
    <w:rsid w:val="00FF0807"/>
    <w:rsid w:val="00FF0854"/>
    <w:rsid w:val="00FF0A13"/>
    <w:rsid w:val="00FF0B20"/>
    <w:rsid w:val="00FF0B31"/>
    <w:rsid w:val="00FF0BA5"/>
    <w:rsid w:val="00FF0C83"/>
    <w:rsid w:val="00FF0CF3"/>
    <w:rsid w:val="00FF0F1A"/>
    <w:rsid w:val="00FF0F1B"/>
    <w:rsid w:val="00FF1806"/>
    <w:rsid w:val="00FF19E8"/>
    <w:rsid w:val="00FF2293"/>
    <w:rsid w:val="00FF2550"/>
    <w:rsid w:val="00FF27A8"/>
    <w:rsid w:val="00FF2CBE"/>
    <w:rsid w:val="00FF2D71"/>
    <w:rsid w:val="00FF2F94"/>
    <w:rsid w:val="00FF2FAF"/>
    <w:rsid w:val="00FF2FEF"/>
    <w:rsid w:val="00FF30F2"/>
    <w:rsid w:val="00FF314A"/>
    <w:rsid w:val="00FF321A"/>
    <w:rsid w:val="00FF321F"/>
    <w:rsid w:val="00FF32D7"/>
    <w:rsid w:val="00FF3571"/>
    <w:rsid w:val="00FF3592"/>
    <w:rsid w:val="00FF3812"/>
    <w:rsid w:val="00FF397D"/>
    <w:rsid w:val="00FF3A26"/>
    <w:rsid w:val="00FF3C8B"/>
    <w:rsid w:val="00FF3C9C"/>
    <w:rsid w:val="00FF3D72"/>
    <w:rsid w:val="00FF3E24"/>
    <w:rsid w:val="00FF404F"/>
    <w:rsid w:val="00FF4157"/>
    <w:rsid w:val="00FF437A"/>
    <w:rsid w:val="00FF4469"/>
    <w:rsid w:val="00FF49DF"/>
    <w:rsid w:val="00FF4BAB"/>
    <w:rsid w:val="00FF4E4D"/>
    <w:rsid w:val="00FF4F71"/>
    <w:rsid w:val="00FF4F82"/>
    <w:rsid w:val="00FF5299"/>
    <w:rsid w:val="00FF543E"/>
    <w:rsid w:val="00FF5911"/>
    <w:rsid w:val="00FF5ADA"/>
    <w:rsid w:val="00FF5C77"/>
    <w:rsid w:val="00FF5EB5"/>
    <w:rsid w:val="00FF610D"/>
    <w:rsid w:val="00FF632F"/>
    <w:rsid w:val="00FF669B"/>
    <w:rsid w:val="00FF66A2"/>
    <w:rsid w:val="00FF67AC"/>
    <w:rsid w:val="00FF6A6C"/>
    <w:rsid w:val="00FF6B58"/>
    <w:rsid w:val="00FF6E5B"/>
    <w:rsid w:val="00FF6F8B"/>
    <w:rsid w:val="00FF7008"/>
    <w:rsid w:val="00FF74EE"/>
    <w:rsid w:val="00FF7B17"/>
    <w:rsid w:val="00FF7B48"/>
    <w:rsid w:val="01033577"/>
    <w:rsid w:val="0104F921"/>
    <w:rsid w:val="010688DD"/>
    <w:rsid w:val="01098E18"/>
    <w:rsid w:val="010D1A4C"/>
    <w:rsid w:val="01104B9F"/>
    <w:rsid w:val="01108D6F"/>
    <w:rsid w:val="01111E56"/>
    <w:rsid w:val="0111DFBF"/>
    <w:rsid w:val="0112C777"/>
    <w:rsid w:val="011582AE"/>
    <w:rsid w:val="0119C2EE"/>
    <w:rsid w:val="011BCA16"/>
    <w:rsid w:val="011D20E9"/>
    <w:rsid w:val="011F1A03"/>
    <w:rsid w:val="01204A41"/>
    <w:rsid w:val="01205396"/>
    <w:rsid w:val="0123D2BA"/>
    <w:rsid w:val="0136B347"/>
    <w:rsid w:val="0138A855"/>
    <w:rsid w:val="013B80B4"/>
    <w:rsid w:val="013C6858"/>
    <w:rsid w:val="013CA772"/>
    <w:rsid w:val="013D6839"/>
    <w:rsid w:val="013E4EBD"/>
    <w:rsid w:val="013F2724"/>
    <w:rsid w:val="01499406"/>
    <w:rsid w:val="014B492B"/>
    <w:rsid w:val="014F7203"/>
    <w:rsid w:val="014FF1E6"/>
    <w:rsid w:val="015207D8"/>
    <w:rsid w:val="0159D335"/>
    <w:rsid w:val="015A2194"/>
    <w:rsid w:val="0165D79F"/>
    <w:rsid w:val="016AFA60"/>
    <w:rsid w:val="016CEF1C"/>
    <w:rsid w:val="016DEB79"/>
    <w:rsid w:val="016E3DC8"/>
    <w:rsid w:val="016E6810"/>
    <w:rsid w:val="0178EF48"/>
    <w:rsid w:val="017E6D13"/>
    <w:rsid w:val="0180FFB3"/>
    <w:rsid w:val="0181425D"/>
    <w:rsid w:val="0188FF67"/>
    <w:rsid w:val="018DA3AD"/>
    <w:rsid w:val="01935DC2"/>
    <w:rsid w:val="0199F262"/>
    <w:rsid w:val="019C4195"/>
    <w:rsid w:val="01A100C4"/>
    <w:rsid w:val="01A89EAE"/>
    <w:rsid w:val="01B67E8F"/>
    <w:rsid w:val="01B75A66"/>
    <w:rsid w:val="01B8361F"/>
    <w:rsid w:val="01BBA66C"/>
    <w:rsid w:val="01BCC4AB"/>
    <w:rsid w:val="01C13375"/>
    <w:rsid w:val="01C13E12"/>
    <w:rsid w:val="01C43558"/>
    <w:rsid w:val="01CD7C71"/>
    <w:rsid w:val="01D181E0"/>
    <w:rsid w:val="01D197A8"/>
    <w:rsid w:val="01D4DFAF"/>
    <w:rsid w:val="01D64E18"/>
    <w:rsid w:val="01D96BC1"/>
    <w:rsid w:val="01DE8CB7"/>
    <w:rsid w:val="01DF654D"/>
    <w:rsid w:val="01E132FF"/>
    <w:rsid w:val="01E44D69"/>
    <w:rsid w:val="01E4520A"/>
    <w:rsid w:val="01E7C3F4"/>
    <w:rsid w:val="01E928C9"/>
    <w:rsid w:val="01EA639E"/>
    <w:rsid w:val="01F1F112"/>
    <w:rsid w:val="01F541DC"/>
    <w:rsid w:val="01F5F00B"/>
    <w:rsid w:val="01F6FC98"/>
    <w:rsid w:val="01FB2431"/>
    <w:rsid w:val="01FCE1FC"/>
    <w:rsid w:val="01FE4BA6"/>
    <w:rsid w:val="02015F69"/>
    <w:rsid w:val="0207B290"/>
    <w:rsid w:val="0207BC53"/>
    <w:rsid w:val="0207D487"/>
    <w:rsid w:val="020932F8"/>
    <w:rsid w:val="0209539D"/>
    <w:rsid w:val="0209A49B"/>
    <w:rsid w:val="020C94C3"/>
    <w:rsid w:val="020D6998"/>
    <w:rsid w:val="02185025"/>
    <w:rsid w:val="021CADB2"/>
    <w:rsid w:val="021CC9DD"/>
    <w:rsid w:val="021DA9A4"/>
    <w:rsid w:val="021EC8EB"/>
    <w:rsid w:val="0220D340"/>
    <w:rsid w:val="0224AF28"/>
    <w:rsid w:val="02259B54"/>
    <w:rsid w:val="0226BAC4"/>
    <w:rsid w:val="022F4225"/>
    <w:rsid w:val="0236FEE9"/>
    <w:rsid w:val="023997F7"/>
    <w:rsid w:val="023A8977"/>
    <w:rsid w:val="023C2F2A"/>
    <w:rsid w:val="023D7D14"/>
    <w:rsid w:val="02409529"/>
    <w:rsid w:val="024147FD"/>
    <w:rsid w:val="024FEF5E"/>
    <w:rsid w:val="0252FA62"/>
    <w:rsid w:val="02566E4B"/>
    <w:rsid w:val="025F6D68"/>
    <w:rsid w:val="025F7FED"/>
    <w:rsid w:val="02628502"/>
    <w:rsid w:val="02639D41"/>
    <w:rsid w:val="02643AB7"/>
    <w:rsid w:val="02663506"/>
    <w:rsid w:val="026903CA"/>
    <w:rsid w:val="026A5D6D"/>
    <w:rsid w:val="026DE652"/>
    <w:rsid w:val="026F5F50"/>
    <w:rsid w:val="0272BA66"/>
    <w:rsid w:val="02754DE6"/>
    <w:rsid w:val="02776899"/>
    <w:rsid w:val="02778E59"/>
    <w:rsid w:val="028622E2"/>
    <w:rsid w:val="0287572C"/>
    <w:rsid w:val="0288C6E5"/>
    <w:rsid w:val="028C0E53"/>
    <w:rsid w:val="028D5DAD"/>
    <w:rsid w:val="028D773A"/>
    <w:rsid w:val="028F0EB9"/>
    <w:rsid w:val="02949454"/>
    <w:rsid w:val="0295DF2D"/>
    <w:rsid w:val="0296C3E5"/>
    <w:rsid w:val="02984471"/>
    <w:rsid w:val="02A25425"/>
    <w:rsid w:val="02ACA112"/>
    <w:rsid w:val="02B30845"/>
    <w:rsid w:val="02B50EEC"/>
    <w:rsid w:val="02B943F9"/>
    <w:rsid w:val="02BA71C5"/>
    <w:rsid w:val="02C206D0"/>
    <w:rsid w:val="02CB5278"/>
    <w:rsid w:val="02CDAA97"/>
    <w:rsid w:val="02D49207"/>
    <w:rsid w:val="02D8093D"/>
    <w:rsid w:val="02D86D68"/>
    <w:rsid w:val="02D8D8AC"/>
    <w:rsid w:val="02D95017"/>
    <w:rsid w:val="02E8F85C"/>
    <w:rsid w:val="02EBEED6"/>
    <w:rsid w:val="02F23110"/>
    <w:rsid w:val="02F792E7"/>
    <w:rsid w:val="0302CFD1"/>
    <w:rsid w:val="030528CA"/>
    <w:rsid w:val="030583CE"/>
    <w:rsid w:val="0305998D"/>
    <w:rsid w:val="03096B50"/>
    <w:rsid w:val="0309CFC8"/>
    <w:rsid w:val="030C98AF"/>
    <w:rsid w:val="0314C280"/>
    <w:rsid w:val="031B5EA3"/>
    <w:rsid w:val="031C1446"/>
    <w:rsid w:val="031DD70C"/>
    <w:rsid w:val="031E667C"/>
    <w:rsid w:val="031F13D1"/>
    <w:rsid w:val="0320E047"/>
    <w:rsid w:val="032705E6"/>
    <w:rsid w:val="0334136E"/>
    <w:rsid w:val="033A148C"/>
    <w:rsid w:val="033A9B6B"/>
    <w:rsid w:val="033BF6A8"/>
    <w:rsid w:val="033ED363"/>
    <w:rsid w:val="034104A2"/>
    <w:rsid w:val="0346AA51"/>
    <w:rsid w:val="0348EEAF"/>
    <w:rsid w:val="034A8BE1"/>
    <w:rsid w:val="034FAE17"/>
    <w:rsid w:val="0358BC53"/>
    <w:rsid w:val="0358D8F5"/>
    <w:rsid w:val="035A254C"/>
    <w:rsid w:val="035CA09A"/>
    <w:rsid w:val="0361E288"/>
    <w:rsid w:val="0367AE92"/>
    <w:rsid w:val="036800A5"/>
    <w:rsid w:val="036906B9"/>
    <w:rsid w:val="036B77AB"/>
    <w:rsid w:val="03726C03"/>
    <w:rsid w:val="0373BB76"/>
    <w:rsid w:val="0373D427"/>
    <w:rsid w:val="037544C6"/>
    <w:rsid w:val="037667A9"/>
    <w:rsid w:val="0378FFBD"/>
    <w:rsid w:val="0379C746"/>
    <w:rsid w:val="0381F485"/>
    <w:rsid w:val="0382A92A"/>
    <w:rsid w:val="03873F68"/>
    <w:rsid w:val="038B0D3A"/>
    <w:rsid w:val="038F5110"/>
    <w:rsid w:val="0391351C"/>
    <w:rsid w:val="03960749"/>
    <w:rsid w:val="0398A5F9"/>
    <w:rsid w:val="039BCC47"/>
    <w:rsid w:val="039E30F1"/>
    <w:rsid w:val="03A1FDBC"/>
    <w:rsid w:val="03A5455C"/>
    <w:rsid w:val="03A67BCE"/>
    <w:rsid w:val="03A77FB7"/>
    <w:rsid w:val="03AA082B"/>
    <w:rsid w:val="03AEFC9E"/>
    <w:rsid w:val="03B05037"/>
    <w:rsid w:val="03B70874"/>
    <w:rsid w:val="03BC073D"/>
    <w:rsid w:val="03C01899"/>
    <w:rsid w:val="03C506EF"/>
    <w:rsid w:val="03CC05B3"/>
    <w:rsid w:val="03D01FDE"/>
    <w:rsid w:val="03D0FFEB"/>
    <w:rsid w:val="03D30795"/>
    <w:rsid w:val="03E28536"/>
    <w:rsid w:val="03E6043E"/>
    <w:rsid w:val="03E66A49"/>
    <w:rsid w:val="03ECE7DB"/>
    <w:rsid w:val="03ED235A"/>
    <w:rsid w:val="03F2D457"/>
    <w:rsid w:val="03F89896"/>
    <w:rsid w:val="03FD4014"/>
    <w:rsid w:val="03FFB289"/>
    <w:rsid w:val="040462DB"/>
    <w:rsid w:val="0410BBA0"/>
    <w:rsid w:val="041D2493"/>
    <w:rsid w:val="0426AD0B"/>
    <w:rsid w:val="042881CA"/>
    <w:rsid w:val="042D25C8"/>
    <w:rsid w:val="042D8D94"/>
    <w:rsid w:val="043A7683"/>
    <w:rsid w:val="043DFAEB"/>
    <w:rsid w:val="04401FCA"/>
    <w:rsid w:val="044A0A59"/>
    <w:rsid w:val="044CDCA4"/>
    <w:rsid w:val="044D543E"/>
    <w:rsid w:val="04531EE3"/>
    <w:rsid w:val="0453CC50"/>
    <w:rsid w:val="04567C8F"/>
    <w:rsid w:val="04575F4F"/>
    <w:rsid w:val="045C388F"/>
    <w:rsid w:val="045F0686"/>
    <w:rsid w:val="046126E4"/>
    <w:rsid w:val="04634B87"/>
    <w:rsid w:val="04642574"/>
    <w:rsid w:val="0468D680"/>
    <w:rsid w:val="046F4174"/>
    <w:rsid w:val="047EFDF8"/>
    <w:rsid w:val="047F8532"/>
    <w:rsid w:val="047FE67F"/>
    <w:rsid w:val="04805D22"/>
    <w:rsid w:val="04887BC8"/>
    <w:rsid w:val="048B72FB"/>
    <w:rsid w:val="0491F45D"/>
    <w:rsid w:val="049A5BB7"/>
    <w:rsid w:val="04A28EC9"/>
    <w:rsid w:val="04A2CA77"/>
    <w:rsid w:val="04A990FB"/>
    <w:rsid w:val="04AC8E28"/>
    <w:rsid w:val="04AED923"/>
    <w:rsid w:val="04AFE95F"/>
    <w:rsid w:val="04B494F8"/>
    <w:rsid w:val="04B7AC4F"/>
    <w:rsid w:val="04BD2720"/>
    <w:rsid w:val="04BEFD48"/>
    <w:rsid w:val="04BFD37F"/>
    <w:rsid w:val="04C08A57"/>
    <w:rsid w:val="04C2BC6E"/>
    <w:rsid w:val="04C4DC9F"/>
    <w:rsid w:val="04C579AA"/>
    <w:rsid w:val="04C67DDD"/>
    <w:rsid w:val="04C98CF4"/>
    <w:rsid w:val="04CA3ACE"/>
    <w:rsid w:val="04CDD896"/>
    <w:rsid w:val="04CF5F96"/>
    <w:rsid w:val="04D369CD"/>
    <w:rsid w:val="04DC7911"/>
    <w:rsid w:val="04DF6845"/>
    <w:rsid w:val="04E28F57"/>
    <w:rsid w:val="04EAA5A8"/>
    <w:rsid w:val="04EB8B89"/>
    <w:rsid w:val="04EC4C63"/>
    <w:rsid w:val="04EE7B3E"/>
    <w:rsid w:val="04F1927F"/>
    <w:rsid w:val="04F4D985"/>
    <w:rsid w:val="04FD4D33"/>
    <w:rsid w:val="04FD86F0"/>
    <w:rsid w:val="04FFA6CD"/>
    <w:rsid w:val="0500D1DE"/>
    <w:rsid w:val="0504362E"/>
    <w:rsid w:val="050886B2"/>
    <w:rsid w:val="0508C15E"/>
    <w:rsid w:val="050D23D5"/>
    <w:rsid w:val="051134C5"/>
    <w:rsid w:val="051866A8"/>
    <w:rsid w:val="051C104B"/>
    <w:rsid w:val="0525C077"/>
    <w:rsid w:val="0527EC24"/>
    <w:rsid w:val="052B1C65"/>
    <w:rsid w:val="05342E23"/>
    <w:rsid w:val="0535E35D"/>
    <w:rsid w:val="0539A362"/>
    <w:rsid w:val="053B15FD"/>
    <w:rsid w:val="053C1028"/>
    <w:rsid w:val="053F8CD0"/>
    <w:rsid w:val="05407714"/>
    <w:rsid w:val="054522A5"/>
    <w:rsid w:val="0546615E"/>
    <w:rsid w:val="0546CB33"/>
    <w:rsid w:val="05477D09"/>
    <w:rsid w:val="054B78D2"/>
    <w:rsid w:val="0552D20C"/>
    <w:rsid w:val="0553ECBD"/>
    <w:rsid w:val="05551ECF"/>
    <w:rsid w:val="05553060"/>
    <w:rsid w:val="0556562A"/>
    <w:rsid w:val="055B5A52"/>
    <w:rsid w:val="055C59E9"/>
    <w:rsid w:val="055D91B7"/>
    <w:rsid w:val="056742F3"/>
    <w:rsid w:val="056D05A6"/>
    <w:rsid w:val="056E254B"/>
    <w:rsid w:val="0570F60A"/>
    <w:rsid w:val="0572AA52"/>
    <w:rsid w:val="0579F2C1"/>
    <w:rsid w:val="05822458"/>
    <w:rsid w:val="0582BEBE"/>
    <w:rsid w:val="058ED409"/>
    <w:rsid w:val="05923CE3"/>
    <w:rsid w:val="059632E8"/>
    <w:rsid w:val="05976EBE"/>
    <w:rsid w:val="05984868"/>
    <w:rsid w:val="059A2306"/>
    <w:rsid w:val="059A9B46"/>
    <w:rsid w:val="059B9DC2"/>
    <w:rsid w:val="059F3DF0"/>
    <w:rsid w:val="05A0EF20"/>
    <w:rsid w:val="05A35555"/>
    <w:rsid w:val="05A9C067"/>
    <w:rsid w:val="05AE0B01"/>
    <w:rsid w:val="05B594EB"/>
    <w:rsid w:val="05B64A9B"/>
    <w:rsid w:val="05B6D7A7"/>
    <w:rsid w:val="05B9755F"/>
    <w:rsid w:val="05BDFDBF"/>
    <w:rsid w:val="05BE5989"/>
    <w:rsid w:val="05C2889F"/>
    <w:rsid w:val="05C69599"/>
    <w:rsid w:val="05C82D10"/>
    <w:rsid w:val="05CE67DB"/>
    <w:rsid w:val="05D41C7F"/>
    <w:rsid w:val="05D52E1B"/>
    <w:rsid w:val="05D6D1C9"/>
    <w:rsid w:val="05DA4BEE"/>
    <w:rsid w:val="05DABC48"/>
    <w:rsid w:val="05DCBB6F"/>
    <w:rsid w:val="05E10D9A"/>
    <w:rsid w:val="05E3988A"/>
    <w:rsid w:val="05E4BCF9"/>
    <w:rsid w:val="05E82F36"/>
    <w:rsid w:val="05EBF12C"/>
    <w:rsid w:val="05EE8629"/>
    <w:rsid w:val="05F078A4"/>
    <w:rsid w:val="05F0F70D"/>
    <w:rsid w:val="05F7A645"/>
    <w:rsid w:val="05FD6CC0"/>
    <w:rsid w:val="05FFC599"/>
    <w:rsid w:val="060306EA"/>
    <w:rsid w:val="06089869"/>
    <w:rsid w:val="0608CE53"/>
    <w:rsid w:val="060BD0EB"/>
    <w:rsid w:val="061040B6"/>
    <w:rsid w:val="06186418"/>
    <w:rsid w:val="061FE641"/>
    <w:rsid w:val="06230A07"/>
    <w:rsid w:val="0625D61E"/>
    <w:rsid w:val="062BC286"/>
    <w:rsid w:val="062D7009"/>
    <w:rsid w:val="062FA36A"/>
    <w:rsid w:val="06331580"/>
    <w:rsid w:val="063C33F6"/>
    <w:rsid w:val="063C4C3D"/>
    <w:rsid w:val="0640A19B"/>
    <w:rsid w:val="0642A371"/>
    <w:rsid w:val="064DD81B"/>
    <w:rsid w:val="064FA6D6"/>
    <w:rsid w:val="065570FC"/>
    <w:rsid w:val="06559E73"/>
    <w:rsid w:val="0657A07E"/>
    <w:rsid w:val="06596A57"/>
    <w:rsid w:val="065CF286"/>
    <w:rsid w:val="065F0D96"/>
    <w:rsid w:val="0661AD08"/>
    <w:rsid w:val="066D35BA"/>
    <w:rsid w:val="066F7F09"/>
    <w:rsid w:val="066FCD78"/>
    <w:rsid w:val="0670FAC6"/>
    <w:rsid w:val="06804E20"/>
    <w:rsid w:val="06865576"/>
    <w:rsid w:val="068696FF"/>
    <w:rsid w:val="068B74BE"/>
    <w:rsid w:val="068D352A"/>
    <w:rsid w:val="068F4F69"/>
    <w:rsid w:val="068FEA96"/>
    <w:rsid w:val="06914E04"/>
    <w:rsid w:val="06962613"/>
    <w:rsid w:val="069AD18D"/>
    <w:rsid w:val="069B4CB8"/>
    <w:rsid w:val="069B635D"/>
    <w:rsid w:val="06AF1785"/>
    <w:rsid w:val="06B123DA"/>
    <w:rsid w:val="06B23765"/>
    <w:rsid w:val="06B3293D"/>
    <w:rsid w:val="06BAA9C8"/>
    <w:rsid w:val="06C542C9"/>
    <w:rsid w:val="06C648B5"/>
    <w:rsid w:val="06C736A1"/>
    <w:rsid w:val="06C8A4BF"/>
    <w:rsid w:val="06CA363B"/>
    <w:rsid w:val="06CFBD6E"/>
    <w:rsid w:val="06D037A1"/>
    <w:rsid w:val="06D79E33"/>
    <w:rsid w:val="06DBA524"/>
    <w:rsid w:val="06E210BD"/>
    <w:rsid w:val="06ECEE87"/>
    <w:rsid w:val="06EF8739"/>
    <w:rsid w:val="06F02499"/>
    <w:rsid w:val="06F1F277"/>
    <w:rsid w:val="06F3BB19"/>
    <w:rsid w:val="06F4681F"/>
    <w:rsid w:val="06F7B2E8"/>
    <w:rsid w:val="06FC34C4"/>
    <w:rsid w:val="06FE5F7E"/>
    <w:rsid w:val="06FFE73B"/>
    <w:rsid w:val="07016942"/>
    <w:rsid w:val="0701E131"/>
    <w:rsid w:val="07027C6F"/>
    <w:rsid w:val="07058092"/>
    <w:rsid w:val="0707161D"/>
    <w:rsid w:val="070823E8"/>
    <w:rsid w:val="070E422C"/>
    <w:rsid w:val="070F3FF9"/>
    <w:rsid w:val="0713715B"/>
    <w:rsid w:val="07194B98"/>
    <w:rsid w:val="071E696C"/>
    <w:rsid w:val="071EB7A5"/>
    <w:rsid w:val="07224632"/>
    <w:rsid w:val="0723D816"/>
    <w:rsid w:val="0726F426"/>
    <w:rsid w:val="072A5C77"/>
    <w:rsid w:val="072D0B13"/>
    <w:rsid w:val="073A9D1D"/>
    <w:rsid w:val="07421168"/>
    <w:rsid w:val="07494E23"/>
    <w:rsid w:val="074A3595"/>
    <w:rsid w:val="074D802E"/>
    <w:rsid w:val="074E4CFC"/>
    <w:rsid w:val="074F24F8"/>
    <w:rsid w:val="07533D8D"/>
    <w:rsid w:val="0755776C"/>
    <w:rsid w:val="075C55E0"/>
    <w:rsid w:val="075EC35C"/>
    <w:rsid w:val="07601666"/>
    <w:rsid w:val="07677244"/>
    <w:rsid w:val="07690EAE"/>
    <w:rsid w:val="07773AE1"/>
    <w:rsid w:val="077D327D"/>
    <w:rsid w:val="0781AB5A"/>
    <w:rsid w:val="07884B99"/>
    <w:rsid w:val="0789543E"/>
    <w:rsid w:val="078B0A02"/>
    <w:rsid w:val="078CF341"/>
    <w:rsid w:val="078D1208"/>
    <w:rsid w:val="07959367"/>
    <w:rsid w:val="079678F4"/>
    <w:rsid w:val="079F9AA7"/>
    <w:rsid w:val="07A0CDA0"/>
    <w:rsid w:val="07A0DD14"/>
    <w:rsid w:val="07A3CF81"/>
    <w:rsid w:val="07A7F5B3"/>
    <w:rsid w:val="07A9EB1E"/>
    <w:rsid w:val="07AA5E3E"/>
    <w:rsid w:val="07ACF532"/>
    <w:rsid w:val="07AFF1A4"/>
    <w:rsid w:val="07B4DC0C"/>
    <w:rsid w:val="07B50B00"/>
    <w:rsid w:val="07BBAF8E"/>
    <w:rsid w:val="07BD38A0"/>
    <w:rsid w:val="07C3539F"/>
    <w:rsid w:val="07CB2DDE"/>
    <w:rsid w:val="07CB8A2C"/>
    <w:rsid w:val="07CBA2C0"/>
    <w:rsid w:val="07CD8618"/>
    <w:rsid w:val="07CDA019"/>
    <w:rsid w:val="07D60A1D"/>
    <w:rsid w:val="07D82E65"/>
    <w:rsid w:val="07DCA2D4"/>
    <w:rsid w:val="07E0F7AF"/>
    <w:rsid w:val="07E1189F"/>
    <w:rsid w:val="07E374F7"/>
    <w:rsid w:val="07E4D718"/>
    <w:rsid w:val="07EA3A1E"/>
    <w:rsid w:val="07F07E8C"/>
    <w:rsid w:val="07F24024"/>
    <w:rsid w:val="07F7E80B"/>
    <w:rsid w:val="07F97F49"/>
    <w:rsid w:val="07FAD9D6"/>
    <w:rsid w:val="07FBA427"/>
    <w:rsid w:val="0800E679"/>
    <w:rsid w:val="0806DC84"/>
    <w:rsid w:val="0808DEC3"/>
    <w:rsid w:val="080A87A4"/>
    <w:rsid w:val="08119746"/>
    <w:rsid w:val="081A0414"/>
    <w:rsid w:val="081C7498"/>
    <w:rsid w:val="081C8131"/>
    <w:rsid w:val="081FAA66"/>
    <w:rsid w:val="0821616E"/>
    <w:rsid w:val="08227CC7"/>
    <w:rsid w:val="0822BF65"/>
    <w:rsid w:val="082DA2A0"/>
    <w:rsid w:val="082DB457"/>
    <w:rsid w:val="0833D30A"/>
    <w:rsid w:val="083438A5"/>
    <w:rsid w:val="083663F2"/>
    <w:rsid w:val="083C459C"/>
    <w:rsid w:val="08422320"/>
    <w:rsid w:val="08463FE3"/>
    <w:rsid w:val="08494A3E"/>
    <w:rsid w:val="084956C8"/>
    <w:rsid w:val="08502E7A"/>
    <w:rsid w:val="0852BBC6"/>
    <w:rsid w:val="0857D578"/>
    <w:rsid w:val="085D8E8E"/>
    <w:rsid w:val="086100A7"/>
    <w:rsid w:val="08610412"/>
    <w:rsid w:val="086EC793"/>
    <w:rsid w:val="08724E3E"/>
    <w:rsid w:val="08734DBA"/>
    <w:rsid w:val="08742359"/>
    <w:rsid w:val="08794A8B"/>
    <w:rsid w:val="087C42DC"/>
    <w:rsid w:val="0882B0E7"/>
    <w:rsid w:val="088346E7"/>
    <w:rsid w:val="088A6F15"/>
    <w:rsid w:val="08966FD2"/>
    <w:rsid w:val="08981A6C"/>
    <w:rsid w:val="08986083"/>
    <w:rsid w:val="089F52EC"/>
    <w:rsid w:val="08A23D93"/>
    <w:rsid w:val="08A8BFC6"/>
    <w:rsid w:val="08AC02CE"/>
    <w:rsid w:val="08AC8004"/>
    <w:rsid w:val="08ACFC87"/>
    <w:rsid w:val="08ADD193"/>
    <w:rsid w:val="08AFB66C"/>
    <w:rsid w:val="08B07078"/>
    <w:rsid w:val="08B63277"/>
    <w:rsid w:val="08BD3906"/>
    <w:rsid w:val="08BEDD0D"/>
    <w:rsid w:val="08C46A84"/>
    <w:rsid w:val="08C77374"/>
    <w:rsid w:val="08C79780"/>
    <w:rsid w:val="08C81F50"/>
    <w:rsid w:val="08C8E88B"/>
    <w:rsid w:val="08CDFD26"/>
    <w:rsid w:val="08D10947"/>
    <w:rsid w:val="08D11F98"/>
    <w:rsid w:val="08D4B382"/>
    <w:rsid w:val="08D6230A"/>
    <w:rsid w:val="08D62597"/>
    <w:rsid w:val="08D65D24"/>
    <w:rsid w:val="08D86B04"/>
    <w:rsid w:val="08D90588"/>
    <w:rsid w:val="08DE762B"/>
    <w:rsid w:val="08E1C565"/>
    <w:rsid w:val="08E898D7"/>
    <w:rsid w:val="08E8B71B"/>
    <w:rsid w:val="08E95E91"/>
    <w:rsid w:val="08E9B5E2"/>
    <w:rsid w:val="08EC8239"/>
    <w:rsid w:val="08F1310C"/>
    <w:rsid w:val="08F1BEF6"/>
    <w:rsid w:val="08F3DDBE"/>
    <w:rsid w:val="08F3FD21"/>
    <w:rsid w:val="08F55B50"/>
    <w:rsid w:val="09035E51"/>
    <w:rsid w:val="0905A36F"/>
    <w:rsid w:val="09060C32"/>
    <w:rsid w:val="09087717"/>
    <w:rsid w:val="0908E25D"/>
    <w:rsid w:val="090D9EA0"/>
    <w:rsid w:val="090F1479"/>
    <w:rsid w:val="0910C5C2"/>
    <w:rsid w:val="091453C4"/>
    <w:rsid w:val="0914D109"/>
    <w:rsid w:val="09197A97"/>
    <w:rsid w:val="091AB81E"/>
    <w:rsid w:val="091BCEAE"/>
    <w:rsid w:val="092686B8"/>
    <w:rsid w:val="09297907"/>
    <w:rsid w:val="092B90DA"/>
    <w:rsid w:val="092E71CC"/>
    <w:rsid w:val="0930E11F"/>
    <w:rsid w:val="09369EFD"/>
    <w:rsid w:val="0936BDC0"/>
    <w:rsid w:val="093C8989"/>
    <w:rsid w:val="09437559"/>
    <w:rsid w:val="09465EF6"/>
    <w:rsid w:val="0946787D"/>
    <w:rsid w:val="0948351B"/>
    <w:rsid w:val="0949C580"/>
    <w:rsid w:val="094A518F"/>
    <w:rsid w:val="094A8C18"/>
    <w:rsid w:val="095839B8"/>
    <w:rsid w:val="09585F66"/>
    <w:rsid w:val="095FF914"/>
    <w:rsid w:val="09612BDB"/>
    <w:rsid w:val="0969D789"/>
    <w:rsid w:val="096C6432"/>
    <w:rsid w:val="096D9933"/>
    <w:rsid w:val="09750A1B"/>
    <w:rsid w:val="0975CE40"/>
    <w:rsid w:val="0977FC2C"/>
    <w:rsid w:val="097E23D9"/>
    <w:rsid w:val="097F5AAA"/>
    <w:rsid w:val="0995131B"/>
    <w:rsid w:val="0999C71F"/>
    <w:rsid w:val="099FBD25"/>
    <w:rsid w:val="09A27876"/>
    <w:rsid w:val="09A4AF2A"/>
    <w:rsid w:val="09A6E110"/>
    <w:rsid w:val="09A7711F"/>
    <w:rsid w:val="09A8843E"/>
    <w:rsid w:val="09AB104C"/>
    <w:rsid w:val="09AB3726"/>
    <w:rsid w:val="09AB5E71"/>
    <w:rsid w:val="09B46875"/>
    <w:rsid w:val="09B592EA"/>
    <w:rsid w:val="09BD3193"/>
    <w:rsid w:val="09BE5AD3"/>
    <w:rsid w:val="09C038A4"/>
    <w:rsid w:val="09C089FD"/>
    <w:rsid w:val="09C1C3FC"/>
    <w:rsid w:val="09C32DB4"/>
    <w:rsid w:val="09C74B96"/>
    <w:rsid w:val="09C7F9B0"/>
    <w:rsid w:val="09CDD60F"/>
    <w:rsid w:val="09CFB3DC"/>
    <w:rsid w:val="09D00ADC"/>
    <w:rsid w:val="09D2BE07"/>
    <w:rsid w:val="09D31AA3"/>
    <w:rsid w:val="09D48714"/>
    <w:rsid w:val="09D69526"/>
    <w:rsid w:val="09E47B30"/>
    <w:rsid w:val="09E65550"/>
    <w:rsid w:val="09E92074"/>
    <w:rsid w:val="09E938BC"/>
    <w:rsid w:val="09EB77F4"/>
    <w:rsid w:val="09F79775"/>
    <w:rsid w:val="09FA6205"/>
    <w:rsid w:val="09FB2DAF"/>
    <w:rsid w:val="09FD77D0"/>
    <w:rsid w:val="0A014696"/>
    <w:rsid w:val="0A01D185"/>
    <w:rsid w:val="0A04B955"/>
    <w:rsid w:val="0A05CE3F"/>
    <w:rsid w:val="0A07BDAD"/>
    <w:rsid w:val="0A08AFB9"/>
    <w:rsid w:val="0A0A390F"/>
    <w:rsid w:val="0A0EA03B"/>
    <w:rsid w:val="0A0F7774"/>
    <w:rsid w:val="0A16E67D"/>
    <w:rsid w:val="0A1B00FD"/>
    <w:rsid w:val="0A21D5DA"/>
    <w:rsid w:val="0A22797E"/>
    <w:rsid w:val="0A23CAA2"/>
    <w:rsid w:val="0A24F937"/>
    <w:rsid w:val="0A284CF7"/>
    <w:rsid w:val="0A29FC19"/>
    <w:rsid w:val="0A2A4C0E"/>
    <w:rsid w:val="0A2B73E4"/>
    <w:rsid w:val="0A2EFB19"/>
    <w:rsid w:val="0A3054E0"/>
    <w:rsid w:val="0A315108"/>
    <w:rsid w:val="0A36EE1E"/>
    <w:rsid w:val="0A39131F"/>
    <w:rsid w:val="0A3F731A"/>
    <w:rsid w:val="0A43A6E3"/>
    <w:rsid w:val="0A468273"/>
    <w:rsid w:val="0A47E47A"/>
    <w:rsid w:val="0A492428"/>
    <w:rsid w:val="0A552FDC"/>
    <w:rsid w:val="0A563337"/>
    <w:rsid w:val="0A596256"/>
    <w:rsid w:val="0A5CCF2D"/>
    <w:rsid w:val="0A5E3AA4"/>
    <w:rsid w:val="0A5EA8CD"/>
    <w:rsid w:val="0A600B10"/>
    <w:rsid w:val="0A63AC16"/>
    <w:rsid w:val="0A643F74"/>
    <w:rsid w:val="0A683A01"/>
    <w:rsid w:val="0A69295F"/>
    <w:rsid w:val="0A6E1473"/>
    <w:rsid w:val="0A737FED"/>
    <w:rsid w:val="0A770C81"/>
    <w:rsid w:val="0A780B69"/>
    <w:rsid w:val="0A7B4334"/>
    <w:rsid w:val="0A846F60"/>
    <w:rsid w:val="0A854364"/>
    <w:rsid w:val="0A8F25A5"/>
    <w:rsid w:val="0A90717A"/>
    <w:rsid w:val="0A94BECA"/>
    <w:rsid w:val="0A9537F2"/>
    <w:rsid w:val="0A965AF8"/>
    <w:rsid w:val="0A9DBC11"/>
    <w:rsid w:val="0AA55D0F"/>
    <w:rsid w:val="0AA92A26"/>
    <w:rsid w:val="0AA9A31F"/>
    <w:rsid w:val="0AAE739E"/>
    <w:rsid w:val="0AB0C43C"/>
    <w:rsid w:val="0AB35C6F"/>
    <w:rsid w:val="0AB97FAF"/>
    <w:rsid w:val="0ABA6174"/>
    <w:rsid w:val="0AC288C2"/>
    <w:rsid w:val="0AC6447F"/>
    <w:rsid w:val="0AC8C2CF"/>
    <w:rsid w:val="0ACB5C2E"/>
    <w:rsid w:val="0ACF3113"/>
    <w:rsid w:val="0AD0D228"/>
    <w:rsid w:val="0AD249A4"/>
    <w:rsid w:val="0AD53072"/>
    <w:rsid w:val="0AD8CBD2"/>
    <w:rsid w:val="0AE4C0BF"/>
    <w:rsid w:val="0AE53463"/>
    <w:rsid w:val="0AE596A6"/>
    <w:rsid w:val="0AEDCFB1"/>
    <w:rsid w:val="0AEE5A6E"/>
    <w:rsid w:val="0AF4094B"/>
    <w:rsid w:val="0AF4CBF7"/>
    <w:rsid w:val="0AF5592D"/>
    <w:rsid w:val="0AFE8CEB"/>
    <w:rsid w:val="0AFEE84D"/>
    <w:rsid w:val="0AFF3284"/>
    <w:rsid w:val="0B01CA2D"/>
    <w:rsid w:val="0B043FF0"/>
    <w:rsid w:val="0B087DA4"/>
    <w:rsid w:val="0B0A4E0A"/>
    <w:rsid w:val="0B0B5ECD"/>
    <w:rsid w:val="0B0BFA3A"/>
    <w:rsid w:val="0B0E8073"/>
    <w:rsid w:val="0B12CDF5"/>
    <w:rsid w:val="0B167467"/>
    <w:rsid w:val="0B16BE76"/>
    <w:rsid w:val="0B1CE9EB"/>
    <w:rsid w:val="0B2266D9"/>
    <w:rsid w:val="0B26DA76"/>
    <w:rsid w:val="0B296C79"/>
    <w:rsid w:val="0B2AC092"/>
    <w:rsid w:val="0B32D703"/>
    <w:rsid w:val="0B33EE2F"/>
    <w:rsid w:val="0B34F428"/>
    <w:rsid w:val="0B354E2D"/>
    <w:rsid w:val="0B3643CD"/>
    <w:rsid w:val="0B392B13"/>
    <w:rsid w:val="0B3BBB57"/>
    <w:rsid w:val="0B43F816"/>
    <w:rsid w:val="0B45D55D"/>
    <w:rsid w:val="0B48020B"/>
    <w:rsid w:val="0B4A398E"/>
    <w:rsid w:val="0B4DAC47"/>
    <w:rsid w:val="0B57DA70"/>
    <w:rsid w:val="0B5821D3"/>
    <w:rsid w:val="0B5A51CC"/>
    <w:rsid w:val="0B5B992C"/>
    <w:rsid w:val="0B5D3E53"/>
    <w:rsid w:val="0B5DB13D"/>
    <w:rsid w:val="0B608121"/>
    <w:rsid w:val="0B60A110"/>
    <w:rsid w:val="0B63C6F8"/>
    <w:rsid w:val="0B65BAD2"/>
    <w:rsid w:val="0B684078"/>
    <w:rsid w:val="0B6A70D9"/>
    <w:rsid w:val="0B746150"/>
    <w:rsid w:val="0B7B99C3"/>
    <w:rsid w:val="0B83D774"/>
    <w:rsid w:val="0B847038"/>
    <w:rsid w:val="0B8535D2"/>
    <w:rsid w:val="0B87C574"/>
    <w:rsid w:val="0B8B2A97"/>
    <w:rsid w:val="0B9079F0"/>
    <w:rsid w:val="0B96606F"/>
    <w:rsid w:val="0B967814"/>
    <w:rsid w:val="0B983F6A"/>
    <w:rsid w:val="0B98939B"/>
    <w:rsid w:val="0BA8FBBD"/>
    <w:rsid w:val="0BACDBAF"/>
    <w:rsid w:val="0BADF7E2"/>
    <w:rsid w:val="0BAF6273"/>
    <w:rsid w:val="0BBA28C0"/>
    <w:rsid w:val="0BC4D898"/>
    <w:rsid w:val="0BC4F02A"/>
    <w:rsid w:val="0BC61649"/>
    <w:rsid w:val="0BC7BCCD"/>
    <w:rsid w:val="0BD54BDC"/>
    <w:rsid w:val="0BD9031E"/>
    <w:rsid w:val="0BE81BC8"/>
    <w:rsid w:val="0BED79F8"/>
    <w:rsid w:val="0BF1093A"/>
    <w:rsid w:val="0BF1243B"/>
    <w:rsid w:val="0BF2404D"/>
    <w:rsid w:val="0BF59D94"/>
    <w:rsid w:val="0BFBC7B4"/>
    <w:rsid w:val="0BFD4CD0"/>
    <w:rsid w:val="0C00C4FF"/>
    <w:rsid w:val="0C0B5DCF"/>
    <w:rsid w:val="0C0E78C1"/>
    <w:rsid w:val="0C12ECAE"/>
    <w:rsid w:val="0C138E95"/>
    <w:rsid w:val="0C14A79D"/>
    <w:rsid w:val="0C15E5C1"/>
    <w:rsid w:val="0C16CCD6"/>
    <w:rsid w:val="0C1F4920"/>
    <w:rsid w:val="0C1F7AB2"/>
    <w:rsid w:val="0C20995C"/>
    <w:rsid w:val="0C20DD48"/>
    <w:rsid w:val="0C31A4C2"/>
    <w:rsid w:val="0C31D35F"/>
    <w:rsid w:val="0C32E9A9"/>
    <w:rsid w:val="0C38102A"/>
    <w:rsid w:val="0C38D707"/>
    <w:rsid w:val="0C3DD776"/>
    <w:rsid w:val="0C3FFA3D"/>
    <w:rsid w:val="0C415FC4"/>
    <w:rsid w:val="0C54EDF6"/>
    <w:rsid w:val="0C566232"/>
    <w:rsid w:val="0C5CA068"/>
    <w:rsid w:val="0C5D75E9"/>
    <w:rsid w:val="0C5FFD84"/>
    <w:rsid w:val="0C6C07E4"/>
    <w:rsid w:val="0C6DC73E"/>
    <w:rsid w:val="0C6DEC3B"/>
    <w:rsid w:val="0C6F1B09"/>
    <w:rsid w:val="0C7702EB"/>
    <w:rsid w:val="0C7D1C1F"/>
    <w:rsid w:val="0C7D759C"/>
    <w:rsid w:val="0C831E26"/>
    <w:rsid w:val="0C873454"/>
    <w:rsid w:val="0C8AB393"/>
    <w:rsid w:val="0C8D8972"/>
    <w:rsid w:val="0C8E4AF5"/>
    <w:rsid w:val="0C9304C3"/>
    <w:rsid w:val="0C9BF905"/>
    <w:rsid w:val="0CA0AA8C"/>
    <w:rsid w:val="0CA11C1C"/>
    <w:rsid w:val="0CA6FA0E"/>
    <w:rsid w:val="0CAC400C"/>
    <w:rsid w:val="0CAC818C"/>
    <w:rsid w:val="0CB91CED"/>
    <w:rsid w:val="0CBC7485"/>
    <w:rsid w:val="0CC3F754"/>
    <w:rsid w:val="0CC7BCD3"/>
    <w:rsid w:val="0CCB2F10"/>
    <w:rsid w:val="0CCBC8BE"/>
    <w:rsid w:val="0CCFCD5A"/>
    <w:rsid w:val="0CD1E9F8"/>
    <w:rsid w:val="0CD357BF"/>
    <w:rsid w:val="0CD3A5CE"/>
    <w:rsid w:val="0CDE9988"/>
    <w:rsid w:val="0CE3670D"/>
    <w:rsid w:val="0CE68E4F"/>
    <w:rsid w:val="0CE73A37"/>
    <w:rsid w:val="0CECD127"/>
    <w:rsid w:val="0CF7D781"/>
    <w:rsid w:val="0CF8125F"/>
    <w:rsid w:val="0CFB7BDE"/>
    <w:rsid w:val="0CFC09E5"/>
    <w:rsid w:val="0CFC0DF0"/>
    <w:rsid w:val="0CFF0E11"/>
    <w:rsid w:val="0CFFC424"/>
    <w:rsid w:val="0D05652C"/>
    <w:rsid w:val="0D081327"/>
    <w:rsid w:val="0D099B9D"/>
    <w:rsid w:val="0D09E4F2"/>
    <w:rsid w:val="0D0C240E"/>
    <w:rsid w:val="0D0CBAD5"/>
    <w:rsid w:val="0D150385"/>
    <w:rsid w:val="0D153C92"/>
    <w:rsid w:val="0D201305"/>
    <w:rsid w:val="0D292B87"/>
    <w:rsid w:val="0D2D614A"/>
    <w:rsid w:val="0D2F9B66"/>
    <w:rsid w:val="0D35983E"/>
    <w:rsid w:val="0D3D7DA2"/>
    <w:rsid w:val="0D4B06FE"/>
    <w:rsid w:val="0D4D5B3E"/>
    <w:rsid w:val="0D50FC65"/>
    <w:rsid w:val="0D5474E8"/>
    <w:rsid w:val="0D549808"/>
    <w:rsid w:val="0D549BB0"/>
    <w:rsid w:val="0D581C13"/>
    <w:rsid w:val="0D5A1CAD"/>
    <w:rsid w:val="0D5D22CC"/>
    <w:rsid w:val="0D60205E"/>
    <w:rsid w:val="0D649320"/>
    <w:rsid w:val="0D698601"/>
    <w:rsid w:val="0D69AEE1"/>
    <w:rsid w:val="0D69BF62"/>
    <w:rsid w:val="0D6A351D"/>
    <w:rsid w:val="0D6E8F7C"/>
    <w:rsid w:val="0D6EAAEF"/>
    <w:rsid w:val="0D72D8F6"/>
    <w:rsid w:val="0D72EC69"/>
    <w:rsid w:val="0D770E2B"/>
    <w:rsid w:val="0D7BB7C1"/>
    <w:rsid w:val="0D7C18C5"/>
    <w:rsid w:val="0D802922"/>
    <w:rsid w:val="0D81D020"/>
    <w:rsid w:val="0D88633F"/>
    <w:rsid w:val="0D8B7D63"/>
    <w:rsid w:val="0D8C0398"/>
    <w:rsid w:val="0D8F1FA5"/>
    <w:rsid w:val="0D960663"/>
    <w:rsid w:val="0D999BFB"/>
    <w:rsid w:val="0D9A5629"/>
    <w:rsid w:val="0D9ABF50"/>
    <w:rsid w:val="0D9BC2A4"/>
    <w:rsid w:val="0D9EB0E4"/>
    <w:rsid w:val="0D9EBC1B"/>
    <w:rsid w:val="0DA8F8E3"/>
    <w:rsid w:val="0DB82B1E"/>
    <w:rsid w:val="0DBAB0B1"/>
    <w:rsid w:val="0DBE5316"/>
    <w:rsid w:val="0DBF9A4F"/>
    <w:rsid w:val="0DC311B5"/>
    <w:rsid w:val="0DC3B503"/>
    <w:rsid w:val="0DC7BE23"/>
    <w:rsid w:val="0DCB1F70"/>
    <w:rsid w:val="0DD324A0"/>
    <w:rsid w:val="0DDB3CE0"/>
    <w:rsid w:val="0DDB61DF"/>
    <w:rsid w:val="0DDB8C82"/>
    <w:rsid w:val="0DE16660"/>
    <w:rsid w:val="0DE34C4E"/>
    <w:rsid w:val="0DEC60F5"/>
    <w:rsid w:val="0DF217E8"/>
    <w:rsid w:val="0DF62DA7"/>
    <w:rsid w:val="0DFEE83B"/>
    <w:rsid w:val="0DFF277F"/>
    <w:rsid w:val="0E004DF0"/>
    <w:rsid w:val="0E01DB0F"/>
    <w:rsid w:val="0E0598DB"/>
    <w:rsid w:val="0E06EF4F"/>
    <w:rsid w:val="0E075FF0"/>
    <w:rsid w:val="0E0C14ED"/>
    <w:rsid w:val="0E0C8A6A"/>
    <w:rsid w:val="0E0E594A"/>
    <w:rsid w:val="0E105CD4"/>
    <w:rsid w:val="0E147831"/>
    <w:rsid w:val="0E1817F0"/>
    <w:rsid w:val="0E18AC0D"/>
    <w:rsid w:val="0E1BB156"/>
    <w:rsid w:val="0E1FC082"/>
    <w:rsid w:val="0E22B5CC"/>
    <w:rsid w:val="0E22E8AB"/>
    <w:rsid w:val="0E2F654F"/>
    <w:rsid w:val="0E30BF0E"/>
    <w:rsid w:val="0E31FBC8"/>
    <w:rsid w:val="0E367308"/>
    <w:rsid w:val="0E3AA71A"/>
    <w:rsid w:val="0E3EEB07"/>
    <w:rsid w:val="0E413FF6"/>
    <w:rsid w:val="0E442F7F"/>
    <w:rsid w:val="0E4AAD76"/>
    <w:rsid w:val="0E4B7F11"/>
    <w:rsid w:val="0E4D1A59"/>
    <w:rsid w:val="0E4D6A5C"/>
    <w:rsid w:val="0E527CBB"/>
    <w:rsid w:val="0E573A40"/>
    <w:rsid w:val="0E5AE68B"/>
    <w:rsid w:val="0E5D730E"/>
    <w:rsid w:val="0E67A732"/>
    <w:rsid w:val="0E684DCE"/>
    <w:rsid w:val="0E6999D6"/>
    <w:rsid w:val="0E6BFC61"/>
    <w:rsid w:val="0E6D0BB3"/>
    <w:rsid w:val="0E6F98D9"/>
    <w:rsid w:val="0E73FB69"/>
    <w:rsid w:val="0E79B6E2"/>
    <w:rsid w:val="0E7BFAD4"/>
    <w:rsid w:val="0E7C4139"/>
    <w:rsid w:val="0E807838"/>
    <w:rsid w:val="0E8491FB"/>
    <w:rsid w:val="0E866232"/>
    <w:rsid w:val="0E88170B"/>
    <w:rsid w:val="0E89D5BF"/>
    <w:rsid w:val="0E8CBB4C"/>
    <w:rsid w:val="0E8E326C"/>
    <w:rsid w:val="0E926D9B"/>
    <w:rsid w:val="0E949907"/>
    <w:rsid w:val="0E96A356"/>
    <w:rsid w:val="0EA3D0E0"/>
    <w:rsid w:val="0EA7EEA6"/>
    <w:rsid w:val="0EAB73C6"/>
    <w:rsid w:val="0EAB7CD9"/>
    <w:rsid w:val="0EAC04D7"/>
    <w:rsid w:val="0EB67966"/>
    <w:rsid w:val="0EB8CF12"/>
    <w:rsid w:val="0EBCFC9C"/>
    <w:rsid w:val="0EBED2FF"/>
    <w:rsid w:val="0EC45F7D"/>
    <w:rsid w:val="0ECAC60C"/>
    <w:rsid w:val="0ED145A8"/>
    <w:rsid w:val="0ED1ECE2"/>
    <w:rsid w:val="0ED93303"/>
    <w:rsid w:val="0EDB5E73"/>
    <w:rsid w:val="0EDE2235"/>
    <w:rsid w:val="0EE6F34C"/>
    <w:rsid w:val="0EE950F6"/>
    <w:rsid w:val="0EEA0A3D"/>
    <w:rsid w:val="0EF5539E"/>
    <w:rsid w:val="0EF857F6"/>
    <w:rsid w:val="0EFEF1CA"/>
    <w:rsid w:val="0F05A465"/>
    <w:rsid w:val="0F06F4B2"/>
    <w:rsid w:val="0F0E434C"/>
    <w:rsid w:val="0F16CEE9"/>
    <w:rsid w:val="0F181314"/>
    <w:rsid w:val="0F1960AC"/>
    <w:rsid w:val="0F1D27AE"/>
    <w:rsid w:val="0F1DD532"/>
    <w:rsid w:val="0F1EE965"/>
    <w:rsid w:val="0F250F20"/>
    <w:rsid w:val="0F25103C"/>
    <w:rsid w:val="0F270191"/>
    <w:rsid w:val="0F2DC379"/>
    <w:rsid w:val="0F322884"/>
    <w:rsid w:val="0F323EB2"/>
    <w:rsid w:val="0F356F2E"/>
    <w:rsid w:val="0F3A1CAD"/>
    <w:rsid w:val="0F3EE8C7"/>
    <w:rsid w:val="0F405882"/>
    <w:rsid w:val="0F410099"/>
    <w:rsid w:val="0F450439"/>
    <w:rsid w:val="0F4634BF"/>
    <w:rsid w:val="0F469E2A"/>
    <w:rsid w:val="0F470A4E"/>
    <w:rsid w:val="0F472FC7"/>
    <w:rsid w:val="0F4AE645"/>
    <w:rsid w:val="0F4DAB8E"/>
    <w:rsid w:val="0F51540A"/>
    <w:rsid w:val="0F53E230"/>
    <w:rsid w:val="0F5EC6C1"/>
    <w:rsid w:val="0F621BF6"/>
    <w:rsid w:val="0F64ED4F"/>
    <w:rsid w:val="0F65501D"/>
    <w:rsid w:val="0F6C867F"/>
    <w:rsid w:val="0F6EFF38"/>
    <w:rsid w:val="0F7050CC"/>
    <w:rsid w:val="0F73FA9B"/>
    <w:rsid w:val="0F751847"/>
    <w:rsid w:val="0F76F7BD"/>
    <w:rsid w:val="0F777836"/>
    <w:rsid w:val="0F77ED5C"/>
    <w:rsid w:val="0F7C1DF4"/>
    <w:rsid w:val="0F7F4979"/>
    <w:rsid w:val="0F7FF7F3"/>
    <w:rsid w:val="0F800094"/>
    <w:rsid w:val="0F829ABA"/>
    <w:rsid w:val="0F84DB4F"/>
    <w:rsid w:val="0F8901CE"/>
    <w:rsid w:val="0F92C118"/>
    <w:rsid w:val="0F940102"/>
    <w:rsid w:val="0F986673"/>
    <w:rsid w:val="0F9A5DB1"/>
    <w:rsid w:val="0F9CA87E"/>
    <w:rsid w:val="0FA157C3"/>
    <w:rsid w:val="0FAF57D9"/>
    <w:rsid w:val="0FB3ECD6"/>
    <w:rsid w:val="0FB68D77"/>
    <w:rsid w:val="0FB6CA35"/>
    <w:rsid w:val="0FBE8AC9"/>
    <w:rsid w:val="0FC7041C"/>
    <w:rsid w:val="0FC82A94"/>
    <w:rsid w:val="0FD7687A"/>
    <w:rsid w:val="0FD952F7"/>
    <w:rsid w:val="0FE09F3A"/>
    <w:rsid w:val="0FE47B89"/>
    <w:rsid w:val="0FE4AD9C"/>
    <w:rsid w:val="0FE8BBD7"/>
    <w:rsid w:val="0FE8DCD1"/>
    <w:rsid w:val="0FE900D9"/>
    <w:rsid w:val="0FEB8546"/>
    <w:rsid w:val="0FEF016E"/>
    <w:rsid w:val="0FF14E39"/>
    <w:rsid w:val="0FF43286"/>
    <w:rsid w:val="0FFED2B0"/>
    <w:rsid w:val="1007C189"/>
    <w:rsid w:val="100CFADB"/>
    <w:rsid w:val="100D4CA1"/>
    <w:rsid w:val="100E9200"/>
    <w:rsid w:val="10129ECE"/>
    <w:rsid w:val="101324AA"/>
    <w:rsid w:val="101DA8DD"/>
    <w:rsid w:val="10217CCB"/>
    <w:rsid w:val="1022A55D"/>
    <w:rsid w:val="10265D85"/>
    <w:rsid w:val="1026B4AE"/>
    <w:rsid w:val="1028AFBA"/>
    <w:rsid w:val="1029D015"/>
    <w:rsid w:val="102A037D"/>
    <w:rsid w:val="102E24B9"/>
    <w:rsid w:val="103077A5"/>
    <w:rsid w:val="10417427"/>
    <w:rsid w:val="1046D2E7"/>
    <w:rsid w:val="104AF2B8"/>
    <w:rsid w:val="104D17D9"/>
    <w:rsid w:val="1050D262"/>
    <w:rsid w:val="105523F6"/>
    <w:rsid w:val="1057A59C"/>
    <w:rsid w:val="10586E7A"/>
    <w:rsid w:val="105B54B9"/>
    <w:rsid w:val="105DCCE4"/>
    <w:rsid w:val="105ED76E"/>
    <w:rsid w:val="105F925D"/>
    <w:rsid w:val="106C78FE"/>
    <w:rsid w:val="106C9320"/>
    <w:rsid w:val="106D9F93"/>
    <w:rsid w:val="10723B94"/>
    <w:rsid w:val="1076A9AA"/>
    <w:rsid w:val="1077E89B"/>
    <w:rsid w:val="107D9D01"/>
    <w:rsid w:val="107DD704"/>
    <w:rsid w:val="10826C38"/>
    <w:rsid w:val="1084B788"/>
    <w:rsid w:val="10884885"/>
    <w:rsid w:val="10906D31"/>
    <w:rsid w:val="10922997"/>
    <w:rsid w:val="10922A25"/>
    <w:rsid w:val="1093F35D"/>
    <w:rsid w:val="1096417B"/>
    <w:rsid w:val="109B66BE"/>
    <w:rsid w:val="10A53F2A"/>
    <w:rsid w:val="10A5FEFF"/>
    <w:rsid w:val="10A722C0"/>
    <w:rsid w:val="10A75F6D"/>
    <w:rsid w:val="10AC5408"/>
    <w:rsid w:val="10AD1A93"/>
    <w:rsid w:val="10AD3BBD"/>
    <w:rsid w:val="10B1AD6C"/>
    <w:rsid w:val="10B71896"/>
    <w:rsid w:val="10BAF0AB"/>
    <w:rsid w:val="10BB30F1"/>
    <w:rsid w:val="10BC82D7"/>
    <w:rsid w:val="10BD8FB7"/>
    <w:rsid w:val="10BE5544"/>
    <w:rsid w:val="10BEFC7A"/>
    <w:rsid w:val="10C3B322"/>
    <w:rsid w:val="10C49988"/>
    <w:rsid w:val="10C63A15"/>
    <w:rsid w:val="10CB45E3"/>
    <w:rsid w:val="10D49624"/>
    <w:rsid w:val="10D63B69"/>
    <w:rsid w:val="10DB7AF1"/>
    <w:rsid w:val="10E34BC4"/>
    <w:rsid w:val="10E6D6A9"/>
    <w:rsid w:val="10EA4658"/>
    <w:rsid w:val="10F13C38"/>
    <w:rsid w:val="10F18216"/>
    <w:rsid w:val="10F42B3C"/>
    <w:rsid w:val="10FAEACC"/>
    <w:rsid w:val="10FB53AC"/>
    <w:rsid w:val="10FEBC1E"/>
    <w:rsid w:val="11070CDB"/>
    <w:rsid w:val="1107E252"/>
    <w:rsid w:val="110C2B0F"/>
    <w:rsid w:val="1116EB44"/>
    <w:rsid w:val="11181D0A"/>
    <w:rsid w:val="1120F659"/>
    <w:rsid w:val="1126C25B"/>
    <w:rsid w:val="112A0763"/>
    <w:rsid w:val="112BAC39"/>
    <w:rsid w:val="1132D558"/>
    <w:rsid w:val="1133905F"/>
    <w:rsid w:val="1141C754"/>
    <w:rsid w:val="1142BCB3"/>
    <w:rsid w:val="1143502C"/>
    <w:rsid w:val="1145EEE9"/>
    <w:rsid w:val="114C3592"/>
    <w:rsid w:val="114D1AD1"/>
    <w:rsid w:val="11511506"/>
    <w:rsid w:val="11523354"/>
    <w:rsid w:val="1156EA81"/>
    <w:rsid w:val="11578F2D"/>
    <w:rsid w:val="115AD19A"/>
    <w:rsid w:val="115E87D1"/>
    <w:rsid w:val="11632C38"/>
    <w:rsid w:val="1164E449"/>
    <w:rsid w:val="1166D56F"/>
    <w:rsid w:val="11681FAF"/>
    <w:rsid w:val="1169911B"/>
    <w:rsid w:val="116BCADE"/>
    <w:rsid w:val="1171697B"/>
    <w:rsid w:val="117295E3"/>
    <w:rsid w:val="117EE57B"/>
    <w:rsid w:val="1183FFBC"/>
    <w:rsid w:val="1185DA67"/>
    <w:rsid w:val="1186C9EF"/>
    <w:rsid w:val="11888ECC"/>
    <w:rsid w:val="118AE5B1"/>
    <w:rsid w:val="118AF8EC"/>
    <w:rsid w:val="11958D42"/>
    <w:rsid w:val="11989CFE"/>
    <w:rsid w:val="1198D82D"/>
    <w:rsid w:val="11991AD7"/>
    <w:rsid w:val="11A71038"/>
    <w:rsid w:val="11A74434"/>
    <w:rsid w:val="11A8F04A"/>
    <w:rsid w:val="11A92B5F"/>
    <w:rsid w:val="11AD2DF9"/>
    <w:rsid w:val="11AD6EB8"/>
    <w:rsid w:val="11ADA72B"/>
    <w:rsid w:val="11AF00E0"/>
    <w:rsid w:val="11AF1B22"/>
    <w:rsid w:val="11B5DE9D"/>
    <w:rsid w:val="11B881A5"/>
    <w:rsid w:val="11BAF52A"/>
    <w:rsid w:val="11BBA348"/>
    <w:rsid w:val="11C3689A"/>
    <w:rsid w:val="11C56FB2"/>
    <w:rsid w:val="11C93B51"/>
    <w:rsid w:val="11CB02DA"/>
    <w:rsid w:val="11CC37CF"/>
    <w:rsid w:val="11D2CB0E"/>
    <w:rsid w:val="11D36711"/>
    <w:rsid w:val="11D6C580"/>
    <w:rsid w:val="11D9E74C"/>
    <w:rsid w:val="11DA0C6E"/>
    <w:rsid w:val="11DA4135"/>
    <w:rsid w:val="11DB7466"/>
    <w:rsid w:val="11DF0599"/>
    <w:rsid w:val="11E1FCC2"/>
    <w:rsid w:val="11E3BFC8"/>
    <w:rsid w:val="11E4A675"/>
    <w:rsid w:val="11E7EE1B"/>
    <w:rsid w:val="11EAACC2"/>
    <w:rsid w:val="11EB9A42"/>
    <w:rsid w:val="11EE858D"/>
    <w:rsid w:val="11F0B643"/>
    <w:rsid w:val="11F0CFC0"/>
    <w:rsid w:val="11F47F8B"/>
    <w:rsid w:val="11F70E9E"/>
    <w:rsid w:val="11F9F256"/>
    <w:rsid w:val="11FD04A2"/>
    <w:rsid w:val="11FD920B"/>
    <w:rsid w:val="11FF35AB"/>
    <w:rsid w:val="12029105"/>
    <w:rsid w:val="120B1304"/>
    <w:rsid w:val="120C82F1"/>
    <w:rsid w:val="1211FB4E"/>
    <w:rsid w:val="12135D1A"/>
    <w:rsid w:val="1217B952"/>
    <w:rsid w:val="12197097"/>
    <w:rsid w:val="121F9DA5"/>
    <w:rsid w:val="12212AFF"/>
    <w:rsid w:val="12251242"/>
    <w:rsid w:val="122598AB"/>
    <w:rsid w:val="122647CF"/>
    <w:rsid w:val="122E4875"/>
    <w:rsid w:val="12331328"/>
    <w:rsid w:val="12365285"/>
    <w:rsid w:val="123A5614"/>
    <w:rsid w:val="123B2407"/>
    <w:rsid w:val="123B3D5A"/>
    <w:rsid w:val="1240B568"/>
    <w:rsid w:val="12444580"/>
    <w:rsid w:val="124E9074"/>
    <w:rsid w:val="124EB542"/>
    <w:rsid w:val="1250E3F5"/>
    <w:rsid w:val="12535390"/>
    <w:rsid w:val="1255CDF2"/>
    <w:rsid w:val="125CC6BB"/>
    <w:rsid w:val="12626D10"/>
    <w:rsid w:val="1262A799"/>
    <w:rsid w:val="1263E1AF"/>
    <w:rsid w:val="126AAE6A"/>
    <w:rsid w:val="126FDF5C"/>
    <w:rsid w:val="12728324"/>
    <w:rsid w:val="127362F4"/>
    <w:rsid w:val="12764F01"/>
    <w:rsid w:val="127B9CE3"/>
    <w:rsid w:val="1286DE99"/>
    <w:rsid w:val="12879717"/>
    <w:rsid w:val="1288D210"/>
    <w:rsid w:val="128E01C7"/>
    <w:rsid w:val="128FECE6"/>
    <w:rsid w:val="1290361A"/>
    <w:rsid w:val="12913429"/>
    <w:rsid w:val="12913CFE"/>
    <w:rsid w:val="1297A534"/>
    <w:rsid w:val="129A7DAE"/>
    <w:rsid w:val="129AA183"/>
    <w:rsid w:val="129AA188"/>
    <w:rsid w:val="129AE598"/>
    <w:rsid w:val="129E76F4"/>
    <w:rsid w:val="12AB5378"/>
    <w:rsid w:val="12AD694F"/>
    <w:rsid w:val="12AD6BA2"/>
    <w:rsid w:val="12ADD0F8"/>
    <w:rsid w:val="12AE0C39"/>
    <w:rsid w:val="12AEAD74"/>
    <w:rsid w:val="12B6C3B9"/>
    <w:rsid w:val="12B7AB19"/>
    <w:rsid w:val="12BAE855"/>
    <w:rsid w:val="12BE99C8"/>
    <w:rsid w:val="12C0BCF1"/>
    <w:rsid w:val="12C290A2"/>
    <w:rsid w:val="12C63C83"/>
    <w:rsid w:val="12C9F659"/>
    <w:rsid w:val="12CA6494"/>
    <w:rsid w:val="12CC95C5"/>
    <w:rsid w:val="12CDBF62"/>
    <w:rsid w:val="12CF50F4"/>
    <w:rsid w:val="12D1A275"/>
    <w:rsid w:val="12D2BBB2"/>
    <w:rsid w:val="12D35461"/>
    <w:rsid w:val="12D78B42"/>
    <w:rsid w:val="12DADB79"/>
    <w:rsid w:val="12E42494"/>
    <w:rsid w:val="12E53DB0"/>
    <w:rsid w:val="12EF894D"/>
    <w:rsid w:val="12EFF015"/>
    <w:rsid w:val="12F5A3DF"/>
    <w:rsid w:val="12F6DD9B"/>
    <w:rsid w:val="12F7EE96"/>
    <w:rsid w:val="12F8A562"/>
    <w:rsid w:val="12FAA7DE"/>
    <w:rsid w:val="12FB2A08"/>
    <w:rsid w:val="12FC55C7"/>
    <w:rsid w:val="12FD9E4D"/>
    <w:rsid w:val="13054468"/>
    <w:rsid w:val="130AFBC0"/>
    <w:rsid w:val="130CD65D"/>
    <w:rsid w:val="130DAABC"/>
    <w:rsid w:val="13122A4F"/>
    <w:rsid w:val="131F1A08"/>
    <w:rsid w:val="13206D09"/>
    <w:rsid w:val="13212A60"/>
    <w:rsid w:val="1322E713"/>
    <w:rsid w:val="13252CE6"/>
    <w:rsid w:val="132716A8"/>
    <w:rsid w:val="13290421"/>
    <w:rsid w:val="132B91F9"/>
    <w:rsid w:val="132F7402"/>
    <w:rsid w:val="1332CDE2"/>
    <w:rsid w:val="13353E36"/>
    <w:rsid w:val="133A1FE5"/>
    <w:rsid w:val="133C2CE0"/>
    <w:rsid w:val="133DF0AB"/>
    <w:rsid w:val="1344E1E0"/>
    <w:rsid w:val="13482328"/>
    <w:rsid w:val="13484333"/>
    <w:rsid w:val="13489BC7"/>
    <w:rsid w:val="134B8E16"/>
    <w:rsid w:val="134CE007"/>
    <w:rsid w:val="134DB917"/>
    <w:rsid w:val="13533D65"/>
    <w:rsid w:val="135413B9"/>
    <w:rsid w:val="13558B0A"/>
    <w:rsid w:val="1357AA3A"/>
    <w:rsid w:val="1357FA66"/>
    <w:rsid w:val="1359DCF3"/>
    <w:rsid w:val="1359EB04"/>
    <w:rsid w:val="135B9E59"/>
    <w:rsid w:val="1365DB85"/>
    <w:rsid w:val="1368C470"/>
    <w:rsid w:val="136D71A7"/>
    <w:rsid w:val="136D8CAA"/>
    <w:rsid w:val="13726B1E"/>
    <w:rsid w:val="13731116"/>
    <w:rsid w:val="137877C7"/>
    <w:rsid w:val="13796650"/>
    <w:rsid w:val="137B468C"/>
    <w:rsid w:val="137BC87C"/>
    <w:rsid w:val="137D9D8D"/>
    <w:rsid w:val="1383BF1B"/>
    <w:rsid w:val="13872351"/>
    <w:rsid w:val="1389ECA9"/>
    <w:rsid w:val="138AEE57"/>
    <w:rsid w:val="138C1FD9"/>
    <w:rsid w:val="13908A44"/>
    <w:rsid w:val="139111B7"/>
    <w:rsid w:val="139BB339"/>
    <w:rsid w:val="139F9381"/>
    <w:rsid w:val="139FE43C"/>
    <w:rsid w:val="13A439DF"/>
    <w:rsid w:val="13AAE0A7"/>
    <w:rsid w:val="13AD6483"/>
    <w:rsid w:val="13AEDA84"/>
    <w:rsid w:val="13B5F60A"/>
    <w:rsid w:val="13B65626"/>
    <w:rsid w:val="13B70598"/>
    <w:rsid w:val="13C00330"/>
    <w:rsid w:val="13C44A48"/>
    <w:rsid w:val="13C5C39C"/>
    <w:rsid w:val="13C5FA18"/>
    <w:rsid w:val="13C6A80E"/>
    <w:rsid w:val="13C89A3B"/>
    <w:rsid w:val="13D8DB77"/>
    <w:rsid w:val="13E5E34B"/>
    <w:rsid w:val="13EA3A22"/>
    <w:rsid w:val="13F08B89"/>
    <w:rsid w:val="13F7B010"/>
    <w:rsid w:val="14083E44"/>
    <w:rsid w:val="14092E90"/>
    <w:rsid w:val="140A4632"/>
    <w:rsid w:val="140FADB0"/>
    <w:rsid w:val="14115EB4"/>
    <w:rsid w:val="14134F84"/>
    <w:rsid w:val="14148683"/>
    <w:rsid w:val="141814A9"/>
    <w:rsid w:val="141A65E7"/>
    <w:rsid w:val="1428A2C6"/>
    <w:rsid w:val="142C4B5F"/>
    <w:rsid w:val="142FAB05"/>
    <w:rsid w:val="14308B04"/>
    <w:rsid w:val="143466C9"/>
    <w:rsid w:val="1436273A"/>
    <w:rsid w:val="1439273D"/>
    <w:rsid w:val="143A2C38"/>
    <w:rsid w:val="143CBA50"/>
    <w:rsid w:val="1445FE2D"/>
    <w:rsid w:val="14476C40"/>
    <w:rsid w:val="144CB170"/>
    <w:rsid w:val="1450E414"/>
    <w:rsid w:val="1451CFB6"/>
    <w:rsid w:val="1451D314"/>
    <w:rsid w:val="1457CF83"/>
    <w:rsid w:val="14580397"/>
    <w:rsid w:val="145D0462"/>
    <w:rsid w:val="145FD055"/>
    <w:rsid w:val="1464D261"/>
    <w:rsid w:val="1465296A"/>
    <w:rsid w:val="14668103"/>
    <w:rsid w:val="146738FE"/>
    <w:rsid w:val="146D9A43"/>
    <w:rsid w:val="14777135"/>
    <w:rsid w:val="147823F1"/>
    <w:rsid w:val="147DF9C7"/>
    <w:rsid w:val="147F469B"/>
    <w:rsid w:val="1489CED8"/>
    <w:rsid w:val="148F5B6D"/>
    <w:rsid w:val="1490883B"/>
    <w:rsid w:val="14928017"/>
    <w:rsid w:val="1494C427"/>
    <w:rsid w:val="1496A998"/>
    <w:rsid w:val="149B769C"/>
    <w:rsid w:val="149DCDC7"/>
    <w:rsid w:val="149E1431"/>
    <w:rsid w:val="14A12138"/>
    <w:rsid w:val="14A3E2D7"/>
    <w:rsid w:val="14A739A5"/>
    <w:rsid w:val="14AA4274"/>
    <w:rsid w:val="14AC6566"/>
    <w:rsid w:val="14ACF6C9"/>
    <w:rsid w:val="14AEF6ED"/>
    <w:rsid w:val="14AF8ACE"/>
    <w:rsid w:val="14B0DA5A"/>
    <w:rsid w:val="14B664F1"/>
    <w:rsid w:val="14BB5AFE"/>
    <w:rsid w:val="14C0F39B"/>
    <w:rsid w:val="14C5042B"/>
    <w:rsid w:val="14C80DEF"/>
    <w:rsid w:val="14CA4EE0"/>
    <w:rsid w:val="14CDAC42"/>
    <w:rsid w:val="14D5D3F2"/>
    <w:rsid w:val="14D6D395"/>
    <w:rsid w:val="14DD47BB"/>
    <w:rsid w:val="14DED189"/>
    <w:rsid w:val="14E12FC7"/>
    <w:rsid w:val="14E24EB5"/>
    <w:rsid w:val="14E5F634"/>
    <w:rsid w:val="14E924B8"/>
    <w:rsid w:val="14E99153"/>
    <w:rsid w:val="14F80990"/>
    <w:rsid w:val="14FC5A64"/>
    <w:rsid w:val="14FE64BD"/>
    <w:rsid w:val="15017E87"/>
    <w:rsid w:val="150753F0"/>
    <w:rsid w:val="1508A62E"/>
    <w:rsid w:val="150A6B4E"/>
    <w:rsid w:val="150EF8B2"/>
    <w:rsid w:val="1511D9EE"/>
    <w:rsid w:val="1512DF22"/>
    <w:rsid w:val="15136E85"/>
    <w:rsid w:val="15138933"/>
    <w:rsid w:val="151D6715"/>
    <w:rsid w:val="151E2A5F"/>
    <w:rsid w:val="1520D2F9"/>
    <w:rsid w:val="1523D2D2"/>
    <w:rsid w:val="15282BFF"/>
    <w:rsid w:val="152921BA"/>
    <w:rsid w:val="152B9C23"/>
    <w:rsid w:val="152C59FB"/>
    <w:rsid w:val="152D4941"/>
    <w:rsid w:val="152EDA0A"/>
    <w:rsid w:val="1536C45E"/>
    <w:rsid w:val="1537D12C"/>
    <w:rsid w:val="153811D7"/>
    <w:rsid w:val="153C5F08"/>
    <w:rsid w:val="153D42B8"/>
    <w:rsid w:val="1541E3FD"/>
    <w:rsid w:val="15433CEB"/>
    <w:rsid w:val="1543A44C"/>
    <w:rsid w:val="155370EB"/>
    <w:rsid w:val="15543126"/>
    <w:rsid w:val="155A2EEF"/>
    <w:rsid w:val="155EDC05"/>
    <w:rsid w:val="15697564"/>
    <w:rsid w:val="1569B686"/>
    <w:rsid w:val="156D76AF"/>
    <w:rsid w:val="156E26D1"/>
    <w:rsid w:val="1572BC33"/>
    <w:rsid w:val="157A6102"/>
    <w:rsid w:val="157C7119"/>
    <w:rsid w:val="157D13B7"/>
    <w:rsid w:val="15854D56"/>
    <w:rsid w:val="158B8A3D"/>
    <w:rsid w:val="158D9F63"/>
    <w:rsid w:val="158E5FE4"/>
    <w:rsid w:val="15971807"/>
    <w:rsid w:val="1598A361"/>
    <w:rsid w:val="1598BE32"/>
    <w:rsid w:val="15A24F39"/>
    <w:rsid w:val="15A54B50"/>
    <w:rsid w:val="15A95DA7"/>
    <w:rsid w:val="15A9BF42"/>
    <w:rsid w:val="15AB49E7"/>
    <w:rsid w:val="15B18E36"/>
    <w:rsid w:val="15BAA4A4"/>
    <w:rsid w:val="15BD8A5C"/>
    <w:rsid w:val="15BDEF08"/>
    <w:rsid w:val="15C07F6F"/>
    <w:rsid w:val="15C3BC55"/>
    <w:rsid w:val="15C3EC89"/>
    <w:rsid w:val="15C42D20"/>
    <w:rsid w:val="15C74EC5"/>
    <w:rsid w:val="15D786BC"/>
    <w:rsid w:val="15D7E552"/>
    <w:rsid w:val="15E024B7"/>
    <w:rsid w:val="15E1C867"/>
    <w:rsid w:val="15E316F3"/>
    <w:rsid w:val="15E9D4BC"/>
    <w:rsid w:val="15EC10A5"/>
    <w:rsid w:val="15EC2415"/>
    <w:rsid w:val="15FB852C"/>
    <w:rsid w:val="15FBB5BB"/>
    <w:rsid w:val="1600AE68"/>
    <w:rsid w:val="1610613F"/>
    <w:rsid w:val="1612D891"/>
    <w:rsid w:val="1616BBB1"/>
    <w:rsid w:val="161C86F3"/>
    <w:rsid w:val="16215B6F"/>
    <w:rsid w:val="16215F0A"/>
    <w:rsid w:val="1623E41A"/>
    <w:rsid w:val="162CCFAD"/>
    <w:rsid w:val="162EF6DE"/>
    <w:rsid w:val="1632019D"/>
    <w:rsid w:val="16332198"/>
    <w:rsid w:val="163471FC"/>
    <w:rsid w:val="1644CACE"/>
    <w:rsid w:val="1644EBDC"/>
    <w:rsid w:val="164945E4"/>
    <w:rsid w:val="164A39CC"/>
    <w:rsid w:val="164B83E2"/>
    <w:rsid w:val="1654BAAC"/>
    <w:rsid w:val="165B2F68"/>
    <w:rsid w:val="165C2346"/>
    <w:rsid w:val="165D5162"/>
    <w:rsid w:val="165DCCDD"/>
    <w:rsid w:val="1660C1D3"/>
    <w:rsid w:val="166679E4"/>
    <w:rsid w:val="166B9E1D"/>
    <w:rsid w:val="166FD280"/>
    <w:rsid w:val="1676C4B8"/>
    <w:rsid w:val="1679E714"/>
    <w:rsid w:val="167C7E4A"/>
    <w:rsid w:val="167E71F6"/>
    <w:rsid w:val="16850CD5"/>
    <w:rsid w:val="1687D242"/>
    <w:rsid w:val="1688C41A"/>
    <w:rsid w:val="168AD110"/>
    <w:rsid w:val="168E3CDE"/>
    <w:rsid w:val="16900954"/>
    <w:rsid w:val="1690A803"/>
    <w:rsid w:val="1695A376"/>
    <w:rsid w:val="16964622"/>
    <w:rsid w:val="1696B109"/>
    <w:rsid w:val="169C9085"/>
    <w:rsid w:val="169DC890"/>
    <w:rsid w:val="169F7A01"/>
    <w:rsid w:val="16A0CBB7"/>
    <w:rsid w:val="16A1906D"/>
    <w:rsid w:val="16A2FCF2"/>
    <w:rsid w:val="16A4C8C0"/>
    <w:rsid w:val="16ABE426"/>
    <w:rsid w:val="16AC0D7E"/>
    <w:rsid w:val="16B09FEE"/>
    <w:rsid w:val="16B1E0E7"/>
    <w:rsid w:val="16B80929"/>
    <w:rsid w:val="16BBFD91"/>
    <w:rsid w:val="16C03FF7"/>
    <w:rsid w:val="16C10DDE"/>
    <w:rsid w:val="16C262A8"/>
    <w:rsid w:val="16C82650"/>
    <w:rsid w:val="16C96D9B"/>
    <w:rsid w:val="16CAFB3B"/>
    <w:rsid w:val="16CB4211"/>
    <w:rsid w:val="16CD7976"/>
    <w:rsid w:val="16D0BA88"/>
    <w:rsid w:val="16DABA10"/>
    <w:rsid w:val="16E08811"/>
    <w:rsid w:val="16E0DC32"/>
    <w:rsid w:val="16E1C454"/>
    <w:rsid w:val="16E76886"/>
    <w:rsid w:val="16E88802"/>
    <w:rsid w:val="16E8B598"/>
    <w:rsid w:val="16E9DA76"/>
    <w:rsid w:val="16EC0946"/>
    <w:rsid w:val="16EF4B44"/>
    <w:rsid w:val="16EF84D8"/>
    <w:rsid w:val="16F02FF2"/>
    <w:rsid w:val="17059854"/>
    <w:rsid w:val="170625F0"/>
    <w:rsid w:val="17078276"/>
    <w:rsid w:val="1713595F"/>
    <w:rsid w:val="1716C3D1"/>
    <w:rsid w:val="1717D018"/>
    <w:rsid w:val="1719C25A"/>
    <w:rsid w:val="171A5451"/>
    <w:rsid w:val="171B1890"/>
    <w:rsid w:val="171D14F8"/>
    <w:rsid w:val="17210F11"/>
    <w:rsid w:val="172461CC"/>
    <w:rsid w:val="1726CD08"/>
    <w:rsid w:val="172B7303"/>
    <w:rsid w:val="172D454A"/>
    <w:rsid w:val="172D6A0B"/>
    <w:rsid w:val="172EB5E6"/>
    <w:rsid w:val="172FE96E"/>
    <w:rsid w:val="17318F30"/>
    <w:rsid w:val="17342DE7"/>
    <w:rsid w:val="17344D33"/>
    <w:rsid w:val="17346CB0"/>
    <w:rsid w:val="17379FA6"/>
    <w:rsid w:val="173996AA"/>
    <w:rsid w:val="173A0D7A"/>
    <w:rsid w:val="173A55EC"/>
    <w:rsid w:val="173C2385"/>
    <w:rsid w:val="173E8BEF"/>
    <w:rsid w:val="173F74E5"/>
    <w:rsid w:val="17469857"/>
    <w:rsid w:val="174B5BB8"/>
    <w:rsid w:val="174E3439"/>
    <w:rsid w:val="175011C7"/>
    <w:rsid w:val="1754CED7"/>
    <w:rsid w:val="175BE28C"/>
    <w:rsid w:val="175DAD24"/>
    <w:rsid w:val="175E5782"/>
    <w:rsid w:val="17609385"/>
    <w:rsid w:val="17629FD8"/>
    <w:rsid w:val="17650336"/>
    <w:rsid w:val="176A06A4"/>
    <w:rsid w:val="1770C9A0"/>
    <w:rsid w:val="1774A280"/>
    <w:rsid w:val="1782975A"/>
    <w:rsid w:val="17878DAC"/>
    <w:rsid w:val="178893BC"/>
    <w:rsid w:val="1788B033"/>
    <w:rsid w:val="1788D5EF"/>
    <w:rsid w:val="17896829"/>
    <w:rsid w:val="178C10D1"/>
    <w:rsid w:val="178D7173"/>
    <w:rsid w:val="178DE194"/>
    <w:rsid w:val="17928038"/>
    <w:rsid w:val="1793954E"/>
    <w:rsid w:val="179808B9"/>
    <w:rsid w:val="17995ABA"/>
    <w:rsid w:val="179C4567"/>
    <w:rsid w:val="179E2501"/>
    <w:rsid w:val="17A1F3CC"/>
    <w:rsid w:val="17A951B5"/>
    <w:rsid w:val="17AECE57"/>
    <w:rsid w:val="17B1162D"/>
    <w:rsid w:val="17B15EE8"/>
    <w:rsid w:val="17B24088"/>
    <w:rsid w:val="17B2E676"/>
    <w:rsid w:val="17BAFF4A"/>
    <w:rsid w:val="17BC2066"/>
    <w:rsid w:val="17BD415B"/>
    <w:rsid w:val="17BE6B63"/>
    <w:rsid w:val="17C1D9DA"/>
    <w:rsid w:val="17CA14A8"/>
    <w:rsid w:val="17D2E3C8"/>
    <w:rsid w:val="17DD1630"/>
    <w:rsid w:val="17E22774"/>
    <w:rsid w:val="17E27C46"/>
    <w:rsid w:val="17E84953"/>
    <w:rsid w:val="17EA1798"/>
    <w:rsid w:val="17EAFCDE"/>
    <w:rsid w:val="17EC9026"/>
    <w:rsid w:val="17ECFC88"/>
    <w:rsid w:val="17EE1193"/>
    <w:rsid w:val="17F0A7D1"/>
    <w:rsid w:val="17FBAFC0"/>
    <w:rsid w:val="17FCD961"/>
    <w:rsid w:val="17FD7FDD"/>
    <w:rsid w:val="18043148"/>
    <w:rsid w:val="1804F239"/>
    <w:rsid w:val="1809D1E5"/>
    <w:rsid w:val="180A4A3D"/>
    <w:rsid w:val="180E21E6"/>
    <w:rsid w:val="180F3B36"/>
    <w:rsid w:val="180FDCB9"/>
    <w:rsid w:val="18116936"/>
    <w:rsid w:val="18119AE8"/>
    <w:rsid w:val="181C25F6"/>
    <w:rsid w:val="181CC8F3"/>
    <w:rsid w:val="181E570A"/>
    <w:rsid w:val="18205322"/>
    <w:rsid w:val="1821379F"/>
    <w:rsid w:val="1822ACA1"/>
    <w:rsid w:val="182596F5"/>
    <w:rsid w:val="18266BC0"/>
    <w:rsid w:val="1826E3DE"/>
    <w:rsid w:val="182B7042"/>
    <w:rsid w:val="182D2900"/>
    <w:rsid w:val="182DFB87"/>
    <w:rsid w:val="18334E4F"/>
    <w:rsid w:val="183451C4"/>
    <w:rsid w:val="18360F17"/>
    <w:rsid w:val="18390974"/>
    <w:rsid w:val="183D8627"/>
    <w:rsid w:val="183DB9C0"/>
    <w:rsid w:val="184C1E7E"/>
    <w:rsid w:val="184E800A"/>
    <w:rsid w:val="184EA657"/>
    <w:rsid w:val="184EBE45"/>
    <w:rsid w:val="18504678"/>
    <w:rsid w:val="185A6BFE"/>
    <w:rsid w:val="18611473"/>
    <w:rsid w:val="18625A83"/>
    <w:rsid w:val="186845A5"/>
    <w:rsid w:val="186C4D71"/>
    <w:rsid w:val="187085ED"/>
    <w:rsid w:val="187759AD"/>
    <w:rsid w:val="1877EF52"/>
    <w:rsid w:val="187886EF"/>
    <w:rsid w:val="187D3B11"/>
    <w:rsid w:val="187F2C0A"/>
    <w:rsid w:val="1880F4CA"/>
    <w:rsid w:val="188321DC"/>
    <w:rsid w:val="1887089F"/>
    <w:rsid w:val="188D5157"/>
    <w:rsid w:val="188F4D16"/>
    <w:rsid w:val="18957A0E"/>
    <w:rsid w:val="18978452"/>
    <w:rsid w:val="189C4CF7"/>
    <w:rsid w:val="18A07FB3"/>
    <w:rsid w:val="18A233EC"/>
    <w:rsid w:val="18A577D7"/>
    <w:rsid w:val="18A8F7E8"/>
    <w:rsid w:val="18A963D0"/>
    <w:rsid w:val="18A9CBAD"/>
    <w:rsid w:val="18AC4B64"/>
    <w:rsid w:val="18BFF5AF"/>
    <w:rsid w:val="18C36D8F"/>
    <w:rsid w:val="18C5CE42"/>
    <w:rsid w:val="18C68878"/>
    <w:rsid w:val="18CD3D7D"/>
    <w:rsid w:val="18CEBFED"/>
    <w:rsid w:val="18D07FF9"/>
    <w:rsid w:val="18D38658"/>
    <w:rsid w:val="18D52CEC"/>
    <w:rsid w:val="18D74E83"/>
    <w:rsid w:val="18DD22A0"/>
    <w:rsid w:val="18DDD7CE"/>
    <w:rsid w:val="18E04762"/>
    <w:rsid w:val="18E127DB"/>
    <w:rsid w:val="18E778D1"/>
    <w:rsid w:val="18E86641"/>
    <w:rsid w:val="18ED7993"/>
    <w:rsid w:val="18F2BE1C"/>
    <w:rsid w:val="18F30309"/>
    <w:rsid w:val="18F43726"/>
    <w:rsid w:val="18F92CED"/>
    <w:rsid w:val="18FD38BF"/>
    <w:rsid w:val="18FD5C9A"/>
    <w:rsid w:val="1900BAB3"/>
    <w:rsid w:val="1903AFD3"/>
    <w:rsid w:val="1903FAA7"/>
    <w:rsid w:val="19052BF5"/>
    <w:rsid w:val="19063321"/>
    <w:rsid w:val="1909501B"/>
    <w:rsid w:val="190F94FD"/>
    <w:rsid w:val="19176229"/>
    <w:rsid w:val="191C3B51"/>
    <w:rsid w:val="191DA886"/>
    <w:rsid w:val="191F37FC"/>
    <w:rsid w:val="1920B658"/>
    <w:rsid w:val="1920D9DC"/>
    <w:rsid w:val="19242649"/>
    <w:rsid w:val="192AEEEA"/>
    <w:rsid w:val="192B0279"/>
    <w:rsid w:val="192CFA1D"/>
    <w:rsid w:val="192D570E"/>
    <w:rsid w:val="192FAF18"/>
    <w:rsid w:val="1935DDB7"/>
    <w:rsid w:val="19364D36"/>
    <w:rsid w:val="1936D562"/>
    <w:rsid w:val="1937A0AC"/>
    <w:rsid w:val="193DD665"/>
    <w:rsid w:val="193E1DB3"/>
    <w:rsid w:val="193EE21B"/>
    <w:rsid w:val="194058D8"/>
    <w:rsid w:val="1942DF6F"/>
    <w:rsid w:val="194AF8F7"/>
    <w:rsid w:val="195221B8"/>
    <w:rsid w:val="1955CA7F"/>
    <w:rsid w:val="1959FB7F"/>
    <w:rsid w:val="1963D983"/>
    <w:rsid w:val="1966F8AE"/>
    <w:rsid w:val="19673A8F"/>
    <w:rsid w:val="19686B85"/>
    <w:rsid w:val="1968C0E2"/>
    <w:rsid w:val="196EBE43"/>
    <w:rsid w:val="196FDE0E"/>
    <w:rsid w:val="197519F4"/>
    <w:rsid w:val="1979A727"/>
    <w:rsid w:val="197A3E78"/>
    <w:rsid w:val="197A6176"/>
    <w:rsid w:val="197BEF42"/>
    <w:rsid w:val="197CAC15"/>
    <w:rsid w:val="197EE60E"/>
    <w:rsid w:val="1981463D"/>
    <w:rsid w:val="198355B7"/>
    <w:rsid w:val="1984721C"/>
    <w:rsid w:val="1989C5AE"/>
    <w:rsid w:val="1989D4F1"/>
    <w:rsid w:val="1989E2F9"/>
    <w:rsid w:val="198E04F5"/>
    <w:rsid w:val="19915A0A"/>
    <w:rsid w:val="19925568"/>
    <w:rsid w:val="1993CEAB"/>
    <w:rsid w:val="19949E8C"/>
    <w:rsid w:val="1994E694"/>
    <w:rsid w:val="1999140F"/>
    <w:rsid w:val="199A4B72"/>
    <w:rsid w:val="199C2CCE"/>
    <w:rsid w:val="19A09B52"/>
    <w:rsid w:val="19AAE30D"/>
    <w:rsid w:val="19B01789"/>
    <w:rsid w:val="19B21960"/>
    <w:rsid w:val="19B58E64"/>
    <w:rsid w:val="19B5BA64"/>
    <w:rsid w:val="19B81141"/>
    <w:rsid w:val="19BB6596"/>
    <w:rsid w:val="19BD5383"/>
    <w:rsid w:val="19C0A46C"/>
    <w:rsid w:val="19C46F0C"/>
    <w:rsid w:val="19C7AB92"/>
    <w:rsid w:val="19D1B69A"/>
    <w:rsid w:val="19D35A7B"/>
    <w:rsid w:val="19D56CCA"/>
    <w:rsid w:val="19D99EE2"/>
    <w:rsid w:val="19DB98CB"/>
    <w:rsid w:val="19DC7115"/>
    <w:rsid w:val="19E0740D"/>
    <w:rsid w:val="19E2BAA3"/>
    <w:rsid w:val="19E55310"/>
    <w:rsid w:val="19E605D6"/>
    <w:rsid w:val="19E649D1"/>
    <w:rsid w:val="19E86F9B"/>
    <w:rsid w:val="19E8A5B2"/>
    <w:rsid w:val="19E95D22"/>
    <w:rsid w:val="19ED00B3"/>
    <w:rsid w:val="19EE6970"/>
    <w:rsid w:val="19F11853"/>
    <w:rsid w:val="19FA0F57"/>
    <w:rsid w:val="19FA8556"/>
    <w:rsid w:val="19FD264C"/>
    <w:rsid w:val="1A01B469"/>
    <w:rsid w:val="1A037258"/>
    <w:rsid w:val="1A04AEB2"/>
    <w:rsid w:val="1A0D9BD1"/>
    <w:rsid w:val="1A151290"/>
    <w:rsid w:val="1A15D620"/>
    <w:rsid w:val="1A182B27"/>
    <w:rsid w:val="1A1AF099"/>
    <w:rsid w:val="1A1C684E"/>
    <w:rsid w:val="1A1CAC68"/>
    <w:rsid w:val="1A205582"/>
    <w:rsid w:val="1A22BA88"/>
    <w:rsid w:val="1A24A9EA"/>
    <w:rsid w:val="1A25CF6D"/>
    <w:rsid w:val="1A264C27"/>
    <w:rsid w:val="1A38CFC6"/>
    <w:rsid w:val="1A3EC38D"/>
    <w:rsid w:val="1A3F8EEE"/>
    <w:rsid w:val="1A4214BB"/>
    <w:rsid w:val="1A45E96E"/>
    <w:rsid w:val="1A496570"/>
    <w:rsid w:val="1A49FFBA"/>
    <w:rsid w:val="1A4E5698"/>
    <w:rsid w:val="1A53CBD6"/>
    <w:rsid w:val="1A567CAA"/>
    <w:rsid w:val="1A57D71E"/>
    <w:rsid w:val="1A5C7940"/>
    <w:rsid w:val="1A5EB44A"/>
    <w:rsid w:val="1A5F0337"/>
    <w:rsid w:val="1A63697C"/>
    <w:rsid w:val="1A67EF46"/>
    <w:rsid w:val="1A6817B1"/>
    <w:rsid w:val="1A6CFF0B"/>
    <w:rsid w:val="1A6E27B4"/>
    <w:rsid w:val="1A7348D6"/>
    <w:rsid w:val="1A7466D4"/>
    <w:rsid w:val="1A75CD2F"/>
    <w:rsid w:val="1A7903E5"/>
    <w:rsid w:val="1A791763"/>
    <w:rsid w:val="1A7B61EB"/>
    <w:rsid w:val="1A7F5B07"/>
    <w:rsid w:val="1A7F715F"/>
    <w:rsid w:val="1A84238C"/>
    <w:rsid w:val="1A8BD140"/>
    <w:rsid w:val="1A8D51C2"/>
    <w:rsid w:val="1A8D6431"/>
    <w:rsid w:val="1A9493E7"/>
    <w:rsid w:val="1A98638F"/>
    <w:rsid w:val="1A9ABE15"/>
    <w:rsid w:val="1A9B0F2B"/>
    <w:rsid w:val="1A9F2476"/>
    <w:rsid w:val="1AA6C7B4"/>
    <w:rsid w:val="1AB596E7"/>
    <w:rsid w:val="1AB7A093"/>
    <w:rsid w:val="1AB8C0F0"/>
    <w:rsid w:val="1AB92B88"/>
    <w:rsid w:val="1AB99891"/>
    <w:rsid w:val="1AC3050B"/>
    <w:rsid w:val="1AC32CD5"/>
    <w:rsid w:val="1ACC4014"/>
    <w:rsid w:val="1AD0C31A"/>
    <w:rsid w:val="1AD12CB2"/>
    <w:rsid w:val="1AD330B1"/>
    <w:rsid w:val="1AD511D2"/>
    <w:rsid w:val="1AD9ED04"/>
    <w:rsid w:val="1ADC122F"/>
    <w:rsid w:val="1ADD0897"/>
    <w:rsid w:val="1ADE24BD"/>
    <w:rsid w:val="1AE1BBBF"/>
    <w:rsid w:val="1AE51AA2"/>
    <w:rsid w:val="1AE959E9"/>
    <w:rsid w:val="1AEAB67A"/>
    <w:rsid w:val="1AF0D913"/>
    <w:rsid w:val="1AF5731E"/>
    <w:rsid w:val="1AF68369"/>
    <w:rsid w:val="1AF9F252"/>
    <w:rsid w:val="1B024712"/>
    <w:rsid w:val="1B058CB9"/>
    <w:rsid w:val="1B0B0F5E"/>
    <w:rsid w:val="1B0EFEBD"/>
    <w:rsid w:val="1B1536D6"/>
    <w:rsid w:val="1B18B02E"/>
    <w:rsid w:val="1B1A5886"/>
    <w:rsid w:val="1B246D9C"/>
    <w:rsid w:val="1B27D8A7"/>
    <w:rsid w:val="1B287718"/>
    <w:rsid w:val="1B303A36"/>
    <w:rsid w:val="1B33DE7A"/>
    <w:rsid w:val="1B3A6320"/>
    <w:rsid w:val="1B3A7D1C"/>
    <w:rsid w:val="1B402ACF"/>
    <w:rsid w:val="1B4087F2"/>
    <w:rsid w:val="1B40C6F9"/>
    <w:rsid w:val="1B42CC12"/>
    <w:rsid w:val="1B489B40"/>
    <w:rsid w:val="1B48F315"/>
    <w:rsid w:val="1B4E7435"/>
    <w:rsid w:val="1B521788"/>
    <w:rsid w:val="1B52374D"/>
    <w:rsid w:val="1B53411E"/>
    <w:rsid w:val="1B540D19"/>
    <w:rsid w:val="1B549433"/>
    <w:rsid w:val="1B55D9A7"/>
    <w:rsid w:val="1B58DA09"/>
    <w:rsid w:val="1B596798"/>
    <w:rsid w:val="1B5A0039"/>
    <w:rsid w:val="1B5A7296"/>
    <w:rsid w:val="1B5C8AA2"/>
    <w:rsid w:val="1B605370"/>
    <w:rsid w:val="1B62C50D"/>
    <w:rsid w:val="1B66E0F2"/>
    <w:rsid w:val="1B6A3C04"/>
    <w:rsid w:val="1B6AD0A0"/>
    <w:rsid w:val="1B6B2BED"/>
    <w:rsid w:val="1B6D2F3F"/>
    <w:rsid w:val="1B737CE8"/>
    <w:rsid w:val="1B73CA13"/>
    <w:rsid w:val="1B7643B2"/>
    <w:rsid w:val="1B77FA5B"/>
    <w:rsid w:val="1B7A7A09"/>
    <w:rsid w:val="1B7BA86F"/>
    <w:rsid w:val="1B7FCE89"/>
    <w:rsid w:val="1B83444D"/>
    <w:rsid w:val="1B843576"/>
    <w:rsid w:val="1B86CA8C"/>
    <w:rsid w:val="1B876C23"/>
    <w:rsid w:val="1B8AB1C5"/>
    <w:rsid w:val="1B8B72E0"/>
    <w:rsid w:val="1B90976A"/>
    <w:rsid w:val="1B93462F"/>
    <w:rsid w:val="1B942BF4"/>
    <w:rsid w:val="1B9C59DE"/>
    <w:rsid w:val="1B9C6749"/>
    <w:rsid w:val="1BAFF4F3"/>
    <w:rsid w:val="1BB19B67"/>
    <w:rsid w:val="1BB29D82"/>
    <w:rsid w:val="1BB68E79"/>
    <w:rsid w:val="1BB7F78C"/>
    <w:rsid w:val="1BB831CA"/>
    <w:rsid w:val="1BBDCC6F"/>
    <w:rsid w:val="1BBED165"/>
    <w:rsid w:val="1BBF1A28"/>
    <w:rsid w:val="1BC028B3"/>
    <w:rsid w:val="1BC1D6FD"/>
    <w:rsid w:val="1BC41B81"/>
    <w:rsid w:val="1BC7399B"/>
    <w:rsid w:val="1BC8A8A8"/>
    <w:rsid w:val="1BCD8609"/>
    <w:rsid w:val="1BCDFA5B"/>
    <w:rsid w:val="1BD025D0"/>
    <w:rsid w:val="1BD03D7A"/>
    <w:rsid w:val="1BD46D01"/>
    <w:rsid w:val="1BD5B7FA"/>
    <w:rsid w:val="1BD88684"/>
    <w:rsid w:val="1BDAEC25"/>
    <w:rsid w:val="1BE3853A"/>
    <w:rsid w:val="1BE50F8B"/>
    <w:rsid w:val="1BEF8F82"/>
    <w:rsid w:val="1BF04993"/>
    <w:rsid w:val="1BF3D99E"/>
    <w:rsid w:val="1BF40CF8"/>
    <w:rsid w:val="1BF526E8"/>
    <w:rsid w:val="1BF93C13"/>
    <w:rsid w:val="1BFD1D7B"/>
    <w:rsid w:val="1BFE4026"/>
    <w:rsid w:val="1BFED6DF"/>
    <w:rsid w:val="1C0147B6"/>
    <w:rsid w:val="1C0228B8"/>
    <w:rsid w:val="1C07C54E"/>
    <w:rsid w:val="1C0854E6"/>
    <w:rsid w:val="1C0BC90D"/>
    <w:rsid w:val="1C0CB53C"/>
    <w:rsid w:val="1C0F3149"/>
    <w:rsid w:val="1C119DDB"/>
    <w:rsid w:val="1C1486B5"/>
    <w:rsid w:val="1C1509F3"/>
    <w:rsid w:val="1C18CAED"/>
    <w:rsid w:val="1C1CDCD2"/>
    <w:rsid w:val="1C1D98AC"/>
    <w:rsid w:val="1C1FAA5E"/>
    <w:rsid w:val="1C224F1D"/>
    <w:rsid w:val="1C2440B5"/>
    <w:rsid w:val="1C24F37E"/>
    <w:rsid w:val="1C284660"/>
    <w:rsid w:val="1C29558B"/>
    <w:rsid w:val="1C2D2C7F"/>
    <w:rsid w:val="1C30CEEE"/>
    <w:rsid w:val="1C322DE9"/>
    <w:rsid w:val="1C37DBFF"/>
    <w:rsid w:val="1C39FEBC"/>
    <w:rsid w:val="1C3A11C0"/>
    <w:rsid w:val="1C3AE814"/>
    <w:rsid w:val="1C3F83E5"/>
    <w:rsid w:val="1C420AA2"/>
    <w:rsid w:val="1C436A57"/>
    <w:rsid w:val="1C4386CC"/>
    <w:rsid w:val="1C457ACE"/>
    <w:rsid w:val="1C46C6B4"/>
    <w:rsid w:val="1C477A89"/>
    <w:rsid w:val="1C482C85"/>
    <w:rsid w:val="1C487C85"/>
    <w:rsid w:val="1C4F498F"/>
    <w:rsid w:val="1C4F8570"/>
    <w:rsid w:val="1C519A37"/>
    <w:rsid w:val="1C525CC7"/>
    <w:rsid w:val="1C548667"/>
    <w:rsid w:val="1C565508"/>
    <w:rsid w:val="1C5AD872"/>
    <w:rsid w:val="1C644F47"/>
    <w:rsid w:val="1C661A78"/>
    <w:rsid w:val="1C671B7D"/>
    <w:rsid w:val="1C67430E"/>
    <w:rsid w:val="1C67E010"/>
    <w:rsid w:val="1C6A4681"/>
    <w:rsid w:val="1C6ED043"/>
    <w:rsid w:val="1C721426"/>
    <w:rsid w:val="1C780A8A"/>
    <w:rsid w:val="1C79149D"/>
    <w:rsid w:val="1C7E44B9"/>
    <w:rsid w:val="1C81392E"/>
    <w:rsid w:val="1C84F893"/>
    <w:rsid w:val="1C88E48C"/>
    <w:rsid w:val="1C8AE8F4"/>
    <w:rsid w:val="1C8C0C6A"/>
    <w:rsid w:val="1C8C905E"/>
    <w:rsid w:val="1C8D54DF"/>
    <w:rsid w:val="1C8DEFEC"/>
    <w:rsid w:val="1C8F3822"/>
    <w:rsid w:val="1C996F21"/>
    <w:rsid w:val="1C9A1E08"/>
    <w:rsid w:val="1C9FB4E6"/>
    <w:rsid w:val="1CA39B18"/>
    <w:rsid w:val="1CA50FAA"/>
    <w:rsid w:val="1CA74F65"/>
    <w:rsid w:val="1CB0E0E1"/>
    <w:rsid w:val="1CB5829F"/>
    <w:rsid w:val="1CBDDE23"/>
    <w:rsid w:val="1CC90FEE"/>
    <w:rsid w:val="1CCA507F"/>
    <w:rsid w:val="1CD3599F"/>
    <w:rsid w:val="1CD4DB7E"/>
    <w:rsid w:val="1CD619C6"/>
    <w:rsid w:val="1CDBF079"/>
    <w:rsid w:val="1CDF4FC0"/>
    <w:rsid w:val="1CE68294"/>
    <w:rsid w:val="1CE6F405"/>
    <w:rsid w:val="1CE71A83"/>
    <w:rsid w:val="1CEDFB6A"/>
    <w:rsid w:val="1CEF95C0"/>
    <w:rsid w:val="1CF2E39C"/>
    <w:rsid w:val="1CF5D517"/>
    <w:rsid w:val="1CF82143"/>
    <w:rsid w:val="1CFE5021"/>
    <w:rsid w:val="1D0EADF6"/>
    <w:rsid w:val="1D159857"/>
    <w:rsid w:val="1D170376"/>
    <w:rsid w:val="1D1959C6"/>
    <w:rsid w:val="1D19B27E"/>
    <w:rsid w:val="1D1A6F0F"/>
    <w:rsid w:val="1D1CF12D"/>
    <w:rsid w:val="1D1D1729"/>
    <w:rsid w:val="1D288C4A"/>
    <w:rsid w:val="1D28D415"/>
    <w:rsid w:val="1D29E949"/>
    <w:rsid w:val="1D32770B"/>
    <w:rsid w:val="1D411C55"/>
    <w:rsid w:val="1D41B078"/>
    <w:rsid w:val="1D42965E"/>
    <w:rsid w:val="1D46C2DB"/>
    <w:rsid w:val="1D4B7885"/>
    <w:rsid w:val="1D4EBA1C"/>
    <w:rsid w:val="1D54EDE6"/>
    <w:rsid w:val="1D5911D4"/>
    <w:rsid w:val="1D67C2EE"/>
    <w:rsid w:val="1D6FF977"/>
    <w:rsid w:val="1D702B4E"/>
    <w:rsid w:val="1D70819D"/>
    <w:rsid w:val="1D72E9FE"/>
    <w:rsid w:val="1D7435A5"/>
    <w:rsid w:val="1D75B89E"/>
    <w:rsid w:val="1D779682"/>
    <w:rsid w:val="1D7D3BBA"/>
    <w:rsid w:val="1D7FE57C"/>
    <w:rsid w:val="1D83A2BB"/>
    <w:rsid w:val="1D88648B"/>
    <w:rsid w:val="1D8CACE4"/>
    <w:rsid w:val="1D956ACF"/>
    <w:rsid w:val="1D96DA09"/>
    <w:rsid w:val="1D9D109D"/>
    <w:rsid w:val="1D9F5960"/>
    <w:rsid w:val="1D9FB984"/>
    <w:rsid w:val="1DA0DD51"/>
    <w:rsid w:val="1DA31629"/>
    <w:rsid w:val="1DA3585A"/>
    <w:rsid w:val="1DA4210C"/>
    <w:rsid w:val="1DA4C171"/>
    <w:rsid w:val="1DA51291"/>
    <w:rsid w:val="1DB31E0E"/>
    <w:rsid w:val="1DB3E035"/>
    <w:rsid w:val="1DB691CD"/>
    <w:rsid w:val="1DBA4D77"/>
    <w:rsid w:val="1DBA55CC"/>
    <w:rsid w:val="1DBB1DC4"/>
    <w:rsid w:val="1DC15597"/>
    <w:rsid w:val="1DC5288E"/>
    <w:rsid w:val="1DC6D299"/>
    <w:rsid w:val="1DC82241"/>
    <w:rsid w:val="1DD7FC5C"/>
    <w:rsid w:val="1DD80142"/>
    <w:rsid w:val="1DD8C97B"/>
    <w:rsid w:val="1DDB249D"/>
    <w:rsid w:val="1DDB4D3E"/>
    <w:rsid w:val="1DDCE828"/>
    <w:rsid w:val="1DE181AB"/>
    <w:rsid w:val="1DE1B3F0"/>
    <w:rsid w:val="1DE38D7D"/>
    <w:rsid w:val="1DEA249C"/>
    <w:rsid w:val="1DECFC8A"/>
    <w:rsid w:val="1DEF37FD"/>
    <w:rsid w:val="1DEF8EDC"/>
    <w:rsid w:val="1DF00D48"/>
    <w:rsid w:val="1DF025DC"/>
    <w:rsid w:val="1DF0507D"/>
    <w:rsid w:val="1DF0ED31"/>
    <w:rsid w:val="1DF6B9C8"/>
    <w:rsid w:val="1DF72250"/>
    <w:rsid w:val="1DF72AE3"/>
    <w:rsid w:val="1DF9E7ED"/>
    <w:rsid w:val="1DFA75E1"/>
    <w:rsid w:val="1DFE006C"/>
    <w:rsid w:val="1DFF46B2"/>
    <w:rsid w:val="1E022237"/>
    <w:rsid w:val="1E08A231"/>
    <w:rsid w:val="1E0AB49B"/>
    <w:rsid w:val="1E0C3CDC"/>
    <w:rsid w:val="1E0D0BE6"/>
    <w:rsid w:val="1E1186C6"/>
    <w:rsid w:val="1E12DD08"/>
    <w:rsid w:val="1E170A4F"/>
    <w:rsid w:val="1E17550F"/>
    <w:rsid w:val="1E180D62"/>
    <w:rsid w:val="1E1A309C"/>
    <w:rsid w:val="1E1E2381"/>
    <w:rsid w:val="1E281211"/>
    <w:rsid w:val="1E2DCE2F"/>
    <w:rsid w:val="1E2DFE88"/>
    <w:rsid w:val="1E2E7161"/>
    <w:rsid w:val="1E30BFCF"/>
    <w:rsid w:val="1E3486DE"/>
    <w:rsid w:val="1E356006"/>
    <w:rsid w:val="1E3B2341"/>
    <w:rsid w:val="1E4129B3"/>
    <w:rsid w:val="1E432088"/>
    <w:rsid w:val="1E4F15E2"/>
    <w:rsid w:val="1E5022E7"/>
    <w:rsid w:val="1E522781"/>
    <w:rsid w:val="1E54E14E"/>
    <w:rsid w:val="1E5528D7"/>
    <w:rsid w:val="1E5C823B"/>
    <w:rsid w:val="1E61AC4C"/>
    <w:rsid w:val="1E64B76D"/>
    <w:rsid w:val="1E670F6A"/>
    <w:rsid w:val="1E6871DE"/>
    <w:rsid w:val="1E6F28EB"/>
    <w:rsid w:val="1E6F8970"/>
    <w:rsid w:val="1E72CDB0"/>
    <w:rsid w:val="1E731A01"/>
    <w:rsid w:val="1E73B57C"/>
    <w:rsid w:val="1E743138"/>
    <w:rsid w:val="1E778CB5"/>
    <w:rsid w:val="1E787817"/>
    <w:rsid w:val="1E79A01A"/>
    <w:rsid w:val="1E79E213"/>
    <w:rsid w:val="1E81A67F"/>
    <w:rsid w:val="1E836B20"/>
    <w:rsid w:val="1E88DE78"/>
    <w:rsid w:val="1E890026"/>
    <w:rsid w:val="1E896C2A"/>
    <w:rsid w:val="1E8B693A"/>
    <w:rsid w:val="1E8BEFD7"/>
    <w:rsid w:val="1E8C8C5C"/>
    <w:rsid w:val="1E907BFF"/>
    <w:rsid w:val="1E95F1BE"/>
    <w:rsid w:val="1E961C91"/>
    <w:rsid w:val="1E9705CB"/>
    <w:rsid w:val="1E98E221"/>
    <w:rsid w:val="1E9B0E0F"/>
    <w:rsid w:val="1E9C455A"/>
    <w:rsid w:val="1EA69A5E"/>
    <w:rsid w:val="1EA7ADEA"/>
    <w:rsid w:val="1EB2869F"/>
    <w:rsid w:val="1EB6838A"/>
    <w:rsid w:val="1EB889D0"/>
    <w:rsid w:val="1EBF3A2C"/>
    <w:rsid w:val="1EC16E24"/>
    <w:rsid w:val="1EC696BC"/>
    <w:rsid w:val="1EC76CE0"/>
    <w:rsid w:val="1ECC79B2"/>
    <w:rsid w:val="1ECDDB7B"/>
    <w:rsid w:val="1ED04BC5"/>
    <w:rsid w:val="1EE47778"/>
    <w:rsid w:val="1EE49F48"/>
    <w:rsid w:val="1EE7F1E1"/>
    <w:rsid w:val="1EEC5198"/>
    <w:rsid w:val="1EECAABA"/>
    <w:rsid w:val="1EEEA170"/>
    <w:rsid w:val="1EEED5C0"/>
    <w:rsid w:val="1EF00FA7"/>
    <w:rsid w:val="1EF502CE"/>
    <w:rsid w:val="1EF6638E"/>
    <w:rsid w:val="1EF7590E"/>
    <w:rsid w:val="1EFBE547"/>
    <w:rsid w:val="1EFC6A51"/>
    <w:rsid w:val="1F08A1A9"/>
    <w:rsid w:val="1F121350"/>
    <w:rsid w:val="1F129C1F"/>
    <w:rsid w:val="1F162F1D"/>
    <w:rsid w:val="1F184686"/>
    <w:rsid w:val="1F194D3F"/>
    <w:rsid w:val="1F223B14"/>
    <w:rsid w:val="1F23AB9C"/>
    <w:rsid w:val="1F278B69"/>
    <w:rsid w:val="1F27DC87"/>
    <w:rsid w:val="1F2EA3A7"/>
    <w:rsid w:val="1F2F11FC"/>
    <w:rsid w:val="1F311F6A"/>
    <w:rsid w:val="1F314BE2"/>
    <w:rsid w:val="1F34E5F8"/>
    <w:rsid w:val="1F377DF0"/>
    <w:rsid w:val="1F3B01DF"/>
    <w:rsid w:val="1F3C807A"/>
    <w:rsid w:val="1F477ED9"/>
    <w:rsid w:val="1F4D60EB"/>
    <w:rsid w:val="1F50913C"/>
    <w:rsid w:val="1F527B20"/>
    <w:rsid w:val="1F56F7B8"/>
    <w:rsid w:val="1F5843BE"/>
    <w:rsid w:val="1F657D97"/>
    <w:rsid w:val="1F66F672"/>
    <w:rsid w:val="1F6770D7"/>
    <w:rsid w:val="1F6A1113"/>
    <w:rsid w:val="1F6E2DEB"/>
    <w:rsid w:val="1F70AC40"/>
    <w:rsid w:val="1F72825C"/>
    <w:rsid w:val="1F75E382"/>
    <w:rsid w:val="1F78B1DF"/>
    <w:rsid w:val="1F7CA28A"/>
    <w:rsid w:val="1F7ED3E1"/>
    <w:rsid w:val="1F7F32C6"/>
    <w:rsid w:val="1F83BA18"/>
    <w:rsid w:val="1F89B41A"/>
    <w:rsid w:val="1F9025FA"/>
    <w:rsid w:val="1F96B774"/>
    <w:rsid w:val="1F9E0F0A"/>
    <w:rsid w:val="1F9E25C8"/>
    <w:rsid w:val="1F9ED01F"/>
    <w:rsid w:val="1FA1BEE0"/>
    <w:rsid w:val="1FA260C9"/>
    <w:rsid w:val="1FA5A8B9"/>
    <w:rsid w:val="1FA8008B"/>
    <w:rsid w:val="1FAC56FD"/>
    <w:rsid w:val="1FB3C2D9"/>
    <w:rsid w:val="1FB44201"/>
    <w:rsid w:val="1FB61E1F"/>
    <w:rsid w:val="1FB687F1"/>
    <w:rsid w:val="1FBBCC43"/>
    <w:rsid w:val="1FC8ADB8"/>
    <w:rsid w:val="1FCAEC2F"/>
    <w:rsid w:val="1FCBC055"/>
    <w:rsid w:val="1FCCCCEC"/>
    <w:rsid w:val="1FCD0906"/>
    <w:rsid w:val="1FCD162F"/>
    <w:rsid w:val="1FCEA0A8"/>
    <w:rsid w:val="1FCEB533"/>
    <w:rsid w:val="1FCF6F7E"/>
    <w:rsid w:val="1FDB67EC"/>
    <w:rsid w:val="1FDC1E6E"/>
    <w:rsid w:val="1FDC22D7"/>
    <w:rsid w:val="1FDF1F21"/>
    <w:rsid w:val="1FDF9693"/>
    <w:rsid w:val="1FE0301C"/>
    <w:rsid w:val="1FE194DC"/>
    <w:rsid w:val="1FE1E2C1"/>
    <w:rsid w:val="1FE30FB9"/>
    <w:rsid w:val="1FE3CC16"/>
    <w:rsid w:val="1FE61281"/>
    <w:rsid w:val="1FEF3AB2"/>
    <w:rsid w:val="1FF01B06"/>
    <w:rsid w:val="1FF1B46B"/>
    <w:rsid w:val="1FF28662"/>
    <w:rsid w:val="20008B18"/>
    <w:rsid w:val="2002AD3D"/>
    <w:rsid w:val="20096DCF"/>
    <w:rsid w:val="200B138E"/>
    <w:rsid w:val="200B504F"/>
    <w:rsid w:val="2012B209"/>
    <w:rsid w:val="2015B10B"/>
    <w:rsid w:val="201841F2"/>
    <w:rsid w:val="201A9E56"/>
    <w:rsid w:val="201FFCBE"/>
    <w:rsid w:val="20221790"/>
    <w:rsid w:val="202E8467"/>
    <w:rsid w:val="202E8AEF"/>
    <w:rsid w:val="203138C7"/>
    <w:rsid w:val="203B8EEA"/>
    <w:rsid w:val="203CDDF2"/>
    <w:rsid w:val="203E52F0"/>
    <w:rsid w:val="2047A2B5"/>
    <w:rsid w:val="2047FFD9"/>
    <w:rsid w:val="204EAB46"/>
    <w:rsid w:val="205C34F1"/>
    <w:rsid w:val="206070C5"/>
    <w:rsid w:val="2061B447"/>
    <w:rsid w:val="20625022"/>
    <w:rsid w:val="206C1D22"/>
    <w:rsid w:val="206CBC14"/>
    <w:rsid w:val="207852AF"/>
    <w:rsid w:val="2078DDD9"/>
    <w:rsid w:val="207C6A9F"/>
    <w:rsid w:val="207C6DA6"/>
    <w:rsid w:val="207EFF9A"/>
    <w:rsid w:val="20810483"/>
    <w:rsid w:val="20846228"/>
    <w:rsid w:val="2085E5CA"/>
    <w:rsid w:val="20871116"/>
    <w:rsid w:val="20879377"/>
    <w:rsid w:val="208A7BF8"/>
    <w:rsid w:val="208C4F5A"/>
    <w:rsid w:val="208CB26F"/>
    <w:rsid w:val="209329C4"/>
    <w:rsid w:val="20951EDD"/>
    <w:rsid w:val="209579E8"/>
    <w:rsid w:val="2098E319"/>
    <w:rsid w:val="209B6486"/>
    <w:rsid w:val="209C4FC3"/>
    <w:rsid w:val="209CDEA4"/>
    <w:rsid w:val="20A1A663"/>
    <w:rsid w:val="20A477D5"/>
    <w:rsid w:val="20A733B5"/>
    <w:rsid w:val="20AAF4A5"/>
    <w:rsid w:val="20AD8E39"/>
    <w:rsid w:val="20B6A9C2"/>
    <w:rsid w:val="20BB5B92"/>
    <w:rsid w:val="20BF2CFC"/>
    <w:rsid w:val="20C21774"/>
    <w:rsid w:val="20C3E05A"/>
    <w:rsid w:val="20D1855A"/>
    <w:rsid w:val="20D786DA"/>
    <w:rsid w:val="20D9A99A"/>
    <w:rsid w:val="20DA5C63"/>
    <w:rsid w:val="20E6B993"/>
    <w:rsid w:val="20E846F1"/>
    <w:rsid w:val="20ED4F49"/>
    <w:rsid w:val="20ED8B4B"/>
    <w:rsid w:val="20F3C3BE"/>
    <w:rsid w:val="20FCA67B"/>
    <w:rsid w:val="210E4344"/>
    <w:rsid w:val="21109415"/>
    <w:rsid w:val="2112A529"/>
    <w:rsid w:val="2113C0E4"/>
    <w:rsid w:val="211795E0"/>
    <w:rsid w:val="21188760"/>
    <w:rsid w:val="21193121"/>
    <w:rsid w:val="211A42DE"/>
    <w:rsid w:val="211B26DC"/>
    <w:rsid w:val="211DE652"/>
    <w:rsid w:val="211E127E"/>
    <w:rsid w:val="211E1AAD"/>
    <w:rsid w:val="211E30E3"/>
    <w:rsid w:val="211FA668"/>
    <w:rsid w:val="211FE7CF"/>
    <w:rsid w:val="2124CAC1"/>
    <w:rsid w:val="2129F94A"/>
    <w:rsid w:val="212A4B17"/>
    <w:rsid w:val="212A6B80"/>
    <w:rsid w:val="212E0B62"/>
    <w:rsid w:val="2131BFDD"/>
    <w:rsid w:val="21340A35"/>
    <w:rsid w:val="2138CCCE"/>
    <w:rsid w:val="213A6ABE"/>
    <w:rsid w:val="21416FD3"/>
    <w:rsid w:val="2142B30F"/>
    <w:rsid w:val="214A3C8D"/>
    <w:rsid w:val="214FB5D8"/>
    <w:rsid w:val="2151FA58"/>
    <w:rsid w:val="2152CE5A"/>
    <w:rsid w:val="21533239"/>
    <w:rsid w:val="2155FF6D"/>
    <w:rsid w:val="2159E18C"/>
    <w:rsid w:val="215FA9E9"/>
    <w:rsid w:val="21645653"/>
    <w:rsid w:val="21670704"/>
    <w:rsid w:val="21689944"/>
    <w:rsid w:val="2168DCD6"/>
    <w:rsid w:val="216B102F"/>
    <w:rsid w:val="216B2B3B"/>
    <w:rsid w:val="216E681A"/>
    <w:rsid w:val="2173F057"/>
    <w:rsid w:val="21787A4D"/>
    <w:rsid w:val="217E5385"/>
    <w:rsid w:val="217E9EF4"/>
    <w:rsid w:val="21836C71"/>
    <w:rsid w:val="218508CF"/>
    <w:rsid w:val="218929B2"/>
    <w:rsid w:val="218B57E4"/>
    <w:rsid w:val="21903084"/>
    <w:rsid w:val="2190682D"/>
    <w:rsid w:val="21996884"/>
    <w:rsid w:val="219B3D7A"/>
    <w:rsid w:val="219BAA35"/>
    <w:rsid w:val="219C9BDB"/>
    <w:rsid w:val="219D0CD6"/>
    <w:rsid w:val="21A3792A"/>
    <w:rsid w:val="21AC5C2C"/>
    <w:rsid w:val="21AC60E9"/>
    <w:rsid w:val="21B16A06"/>
    <w:rsid w:val="21B8AD2D"/>
    <w:rsid w:val="21B8CE8D"/>
    <w:rsid w:val="21BFE3CC"/>
    <w:rsid w:val="21C4918B"/>
    <w:rsid w:val="21C51785"/>
    <w:rsid w:val="21CCDFE2"/>
    <w:rsid w:val="21CE0965"/>
    <w:rsid w:val="21CFD998"/>
    <w:rsid w:val="21D057A6"/>
    <w:rsid w:val="21D0B5D2"/>
    <w:rsid w:val="21D10689"/>
    <w:rsid w:val="21D46970"/>
    <w:rsid w:val="21D4AA12"/>
    <w:rsid w:val="21D582CD"/>
    <w:rsid w:val="21D6814E"/>
    <w:rsid w:val="21D68EE3"/>
    <w:rsid w:val="21D9B31B"/>
    <w:rsid w:val="21DC2A48"/>
    <w:rsid w:val="21DE9296"/>
    <w:rsid w:val="21E81123"/>
    <w:rsid w:val="21E9A750"/>
    <w:rsid w:val="21EE213D"/>
    <w:rsid w:val="21F509A4"/>
    <w:rsid w:val="21F61B62"/>
    <w:rsid w:val="21F68087"/>
    <w:rsid w:val="21FBA35E"/>
    <w:rsid w:val="21FBB55A"/>
    <w:rsid w:val="21FC57C5"/>
    <w:rsid w:val="2202B046"/>
    <w:rsid w:val="2206C9C8"/>
    <w:rsid w:val="220708A7"/>
    <w:rsid w:val="22071E3F"/>
    <w:rsid w:val="220725D4"/>
    <w:rsid w:val="2207577C"/>
    <w:rsid w:val="220E1E1B"/>
    <w:rsid w:val="22101352"/>
    <w:rsid w:val="2213A3C4"/>
    <w:rsid w:val="221A89AE"/>
    <w:rsid w:val="221B3394"/>
    <w:rsid w:val="222266BF"/>
    <w:rsid w:val="22243A86"/>
    <w:rsid w:val="2228FC0E"/>
    <w:rsid w:val="22333092"/>
    <w:rsid w:val="2239B00C"/>
    <w:rsid w:val="223A44D7"/>
    <w:rsid w:val="223BF88B"/>
    <w:rsid w:val="223E019A"/>
    <w:rsid w:val="22401FB3"/>
    <w:rsid w:val="2243D82F"/>
    <w:rsid w:val="224BF9CD"/>
    <w:rsid w:val="224C3A7F"/>
    <w:rsid w:val="2252050C"/>
    <w:rsid w:val="22523C08"/>
    <w:rsid w:val="22613E23"/>
    <w:rsid w:val="2265DC93"/>
    <w:rsid w:val="22675D61"/>
    <w:rsid w:val="22676FE3"/>
    <w:rsid w:val="2268B0EF"/>
    <w:rsid w:val="226D7033"/>
    <w:rsid w:val="22717A53"/>
    <w:rsid w:val="22783882"/>
    <w:rsid w:val="227A3231"/>
    <w:rsid w:val="22812CA1"/>
    <w:rsid w:val="22821159"/>
    <w:rsid w:val="22873675"/>
    <w:rsid w:val="228D6217"/>
    <w:rsid w:val="228E2663"/>
    <w:rsid w:val="22918D2D"/>
    <w:rsid w:val="22965E64"/>
    <w:rsid w:val="2297849F"/>
    <w:rsid w:val="2298EAC2"/>
    <w:rsid w:val="229DDFE1"/>
    <w:rsid w:val="229DE11C"/>
    <w:rsid w:val="22A6D023"/>
    <w:rsid w:val="22ABF71A"/>
    <w:rsid w:val="22B0D6FA"/>
    <w:rsid w:val="22B2FEC9"/>
    <w:rsid w:val="22B64F23"/>
    <w:rsid w:val="22B70563"/>
    <w:rsid w:val="22B98481"/>
    <w:rsid w:val="22BA6CB7"/>
    <w:rsid w:val="22BB4C75"/>
    <w:rsid w:val="22BBAC9C"/>
    <w:rsid w:val="22BBC0FC"/>
    <w:rsid w:val="22C9FADF"/>
    <w:rsid w:val="22D30B84"/>
    <w:rsid w:val="22D5755C"/>
    <w:rsid w:val="22DAE724"/>
    <w:rsid w:val="22DE4FBE"/>
    <w:rsid w:val="22DE95B9"/>
    <w:rsid w:val="22E06562"/>
    <w:rsid w:val="22E1C1C7"/>
    <w:rsid w:val="22E4FAD2"/>
    <w:rsid w:val="22E58DCA"/>
    <w:rsid w:val="22EA2992"/>
    <w:rsid w:val="22EF77A7"/>
    <w:rsid w:val="22F1C40D"/>
    <w:rsid w:val="22F638C6"/>
    <w:rsid w:val="22FB1FAF"/>
    <w:rsid w:val="22FE7283"/>
    <w:rsid w:val="23021F8C"/>
    <w:rsid w:val="23037787"/>
    <w:rsid w:val="230451AA"/>
    <w:rsid w:val="23084FF3"/>
    <w:rsid w:val="230E1226"/>
    <w:rsid w:val="230EB403"/>
    <w:rsid w:val="2312C060"/>
    <w:rsid w:val="2313838D"/>
    <w:rsid w:val="2319B94D"/>
    <w:rsid w:val="231BCE02"/>
    <w:rsid w:val="231CB63E"/>
    <w:rsid w:val="231F1B4C"/>
    <w:rsid w:val="231F232B"/>
    <w:rsid w:val="231FB72C"/>
    <w:rsid w:val="23233FFD"/>
    <w:rsid w:val="2324D157"/>
    <w:rsid w:val="23262495"/>
    <w:rsid w:val="232638D2"/>
    <w:rsid w:val="2328FA9E"/>
    <w:rsid w:val="232A270C"/>
    <w:rsid w:val="232C286E"/>
    <w:rsid w:val="232E6E04"/>
    <w:rsid w:val="232F0463"/>
    <w:rsid w:val="232F5D5B"/>
    <w:rsid w:val="23307FF5"/>
    <w:rsid w:val="23335638"/>
    <w:rsid w:val="2333E8EA"/>
    <w:rsid w:val="2337FFC0"/>
    <w:rsid w:val="2338E73D"/>
    <w:rsid w:val="233AB778"/>
    <w:rsid w:val="23405ACE"/>
    <w:rsid w:val="23434487"/>
    <w:rsid w:val="2347408C"/>
    <w:rsid w:val="2349CA46"/>
    <w:rsid w:val="234AE561"/>
    <w:rsid w:val="234F6FF9"/>
    <w:rsid w:val="23525793"/>
    <w:rsid w:val="23531DE2"/>
    <w:rsid w:val="23594821"/>
    <w:rsid w:val="23599442"/>
    <w:rsid w:val="235D2AF9"/>
    <w:rsid w:val="235F643D"/>
    <w:rsid w:val="2361171B"/>
    <w:rsid w:val="236145AD"/>
    <w:rsid w:val="2362CC8E"/>
    <w:rsid w:val="2364E204"/>
    <w:rsid w:val="2368BAD0"/>
    <w:rsid w:val="23691D8A"/>
    <w:rsid w:val="236B93DE"/>
    <w:rsid w:val="236BEB6E"/>
    <w:rsid w:val="236CA062"/>
    <w:rsid w:val="23710E38"/>
    <w:rsid w:val="2376C0A8"/>
    <w:rsid w:val="2380BA91"/>
    <w:rsid w:val="2385D5A6"/>
    <w:rsid w:val="23861D1A"/>
    <w:rsid w:val="238B5A29"/>
    <w:rsid w:val="238B83D2"/>
    <w:rsid w:val="238B9921"/>
    <w:rsid w:val="2390B31F"/>
    <w:rsid w:val="23951038"/>
    <w:rsid w:val="23A76EF7"/>
    <w:rsid w:val="23AAD6BE"/>
    <w:rsid w:val="23AAF97D"/>
    <w:rsid w:val="23B7B93C"/>
    <w:rsid w:val="23B7FBB9"/>
    <w:rsid w:val="23B95CF7"/>
    <w:rsid w:val="23BAD2AD"/>
    <w:rsid w:val="23BECEAA"/>
    <w:rsid w:val="23C32363"/>
    <w:rsid w:val="23CAFA09"/>
    <w:rsid w:val="23CC338B"/>
    <w:rsid w:val="23D0CE00"/>
    <w:rsid w:val="23D1F0F9"/>
    <w:rsid w:val="23D33853"/>
    <w:rsid w:val="23D64C2F"/>
    <w:rsid w:val="23DF8B13"/>
    <w:rsid w:val="23E4C06D"/>
    <w:rsid w:val="23E70C3A"/>
    <w:rsid w:val="23E788C4"/>
    <w:rsid w:val="23E8ABE4"/>
    <w:rsid w:val="23EB0D38"/>
    <w:rsid w:val="23F11FF6"/>
    <w:rsid w:val="23F1A080"/>
    <w:rsid w:val="23FA7744"/>
    <w:rsid w:val="23FBD145"/>
    <w:rsid w:val="2404A6C6"/>
    <w:rsid w:val="2405999C"/>
    <w:rsid w:val="24114829"/>
    <w:rsid w:val="24131174"/>
    <w:rsid w:val="2419670E"/>
    <w:rsid w:val="241EAFD9"/>
    <w:rsid w:val="2420B374"/>
    <w:rsid w:val="2421EF2F"/>
    <w:rsid w:val="2429E903"/>
    <w:rsid w:val="242CA2A1"/>
    <w:rsid w:val="242ECCAF"/>
    <w:rsid w:val="2430E47D"/>
    <w:rsid w:val="24314133"/>
    <w:rsid w:val="24358B07"/>
    <w:rsid w:val="2436C787"/>
    <w:rsid w:val="243774C2"/>
    <w:rsid w:val="24425F63"/>
    <w:rsid w:val="24429AC3"/>
    <w:rsid w:val="2446F2B9"/>
    <w:rsid w:val="24496804"/>
    <w:rsid w:val="244EE8EB"/>
    <w:rsid w:val="244FB4EE"/>
    <w:rsid w:val="2451CF56"/>
    <w:rsid w:val="2451D2D0"/>
    <w:rsid w:val="2454FF88"/>
    <w:rsid w:val="24556079"/>
    <w:rsid w:val="2458A6BF"/>
    <w:rsid w:val="24597769"/>
    <w:rsid w:val="2465AF8B"/>
    <w:rsid w:val="246B9D20"/>
    <w:rsid w:val="2473892A"/>
    <w:rsid w:val="247B6F4F"/>
    <w:rsid w:val="247E9EB9"/>
    <w:rsid w:val="247FBA10"/>
    <w:rsid w:val="247FC48D"/>
    <w:rsid w:val="2481425F"/>
    <w:rsid w:val="2485DE2E"/>
    <w:rsid w:val="248C90B4"/>
    <w:rsid w:val="248CE82F"/>
    <w:rsid w:val="248F8497"/>
    <w:rsid w:val="24904656"/>
    <w:rsid w:val="249488BF"/>
    <w:rsid w:val="2494CE81"/>
    <w:rsid w:val="24962547"/>
    <w:rsid w:val="24A58E6F"/>
    <w:rsid w:val="24AF63E7"/>
    <w:rsid w:val="24B55AD6"/>
    <w:rsid w:val="24B625C5"/>
    <w:rsid w:val="24B9C943"/>
    <w:rsid w:val="24BD424D"/>
    <w:rsid w:val="24CBE3B6"/>
    <w:rsid w:val="24CD9AC6"/>
    <w:rsid w:val="24CE2383"/>
    <w:rsid w:val="24CF391B"/>
    <w:rsid w:val="24CFD1C9"/>
    <w:rsid w:val="24D148CC"/>
    <w:rsid w:val="24D6ADE3"/>
    <w:rsid w:val="24D6B213"/>
    <w:rsid w:val="24D73737"/>
    <w:rsid w:val="24D8B321"/>
    <w:rsid w:val="24D90DCB"/>
    <w:rsid w:val="24DA6348"/>
    <w:rsid w:val="24DAA299"/>
    <w:rsid w:val="24DC3C1F"/>
    <w:rsid w:val="24DDB67E"/>
    <w:rsid w:val="24E11262"/>
    <w:rsid w:val="24E39893"/>
    <w:rsid w:val="24E6DCE6"/>
    <w:rsid w:val="24E738A9"/>
    <w:rsid w:val="24E84E08"/>
    <w:rsid w:val="24F4523B"/>
    <w:rsid w:val="24F80BA0"/>
    <w:rsid w:val="24FA4527"/>
    <w:rsid w:val="24FA856B"/>
    <w:rsid w:val="24FF443C"/>
    <w:rsid w:val="2507016E"/>
    <w:rsid w:val="250B3541"/>
    <w:rsid w:val="2512C521"/>
    <w:rsid w:val="25134693"/>
    <w:rsid w:val="251729AF"/>
    <w:rsid w:val="251CB939"/>
    <w:rsid w:val="251DF572"/>
    <w:rsid w:val="252117AC"/>
    <w:rsid w:val="2521290C"/>
    <w:rsid w:val="25233178"/>
    <w:rsid w:val="25242A9E"/>
    <w:rsid w:val="25278E38"/>
    <w:rsid w:val="25314935"/>
    <w:rsid w:val="25321E72"/>
    <w:rsid w:val="2533E26D"/>
    <w:rsid w:val="25357AB9"/>
    <w:rsid w:val="253D3717"/>
    <w:rsid w:val="25407597"/>
    <w:rsid w:val="2540FE8C"/>
    <w:rsid w:val="2547C215"/>
    <w:rsid w:val="254851A9"/>
    <w:rsid w:val="255499E9"/>
    <w:rsid w:val="25560F1A"/>
    <w:rsid w:val="255DF5A3"/>
    <w:rsid w:val="2565B203"/>
    <w:rsid w:val="25678C4B"/>
    <w:rsid w:val="25678E71"/>
    <w:rsid w:val="2568477C"/>
    <w:rsid w:val="25691148"/>
    <w:rsid w:val="256CDF9F"/>
    <w:rsid w:val="256F5582"/>
    <w:rsid w:val="2573C308"/>
    <w:rsid w:val="25776690"/>
    <w:rsid w:val="257DCF72"/>
    <w:rsid w:val="257E7C54"/>
    <w:rsid w:val="257ED1B4"/>
    <w:rsid w:val="257F790B"/>
    <w:rsid w:val="2582D683"/>
    <w:rsid w:val="25840E5B"/>
    <w:rsid w:val="2584DDB0"/>
    <w:rsid w:val="25891D8A"/>
    <w:rsid w:val="258B88F2"/>
    <w:rsid w:val="25908B13"/>
    <w:rsid w:val="25910FE1"/>
    <w:rsid w:val="259165E9"/>
    <w:rsid w:val="2592E82D"/>
    <w:rsid w:val="25938E8E"/>
    <w:rsid w:val="2594C00D"/>
    <w:rsid w:val="259B3D56"/>
    <w:rsid w:val="259DDBB9"/>
    <w:rsid w:val="25A3378B"/>
    <w:rsid w:val="25B324E1"/>
    <w:rsid w:val="25B6ABB2"/>
    <w:rsid w:val="25C11F03"/>
    <w:rsid w:val="25C4C295"/>
    <w:rsid w:val="25C4DC3E"/>
    <w:rsid w:val="25C714A0"/>
    <w:rsid w:val="25CA2863"/>
    <w:rsid w:val="25CA46E6"/>
    <w:rsid w:val="25CA7CB1"/>
    <w:rsid w:val="25D29EBF"/>
    <w:rsid w:val="25D55BB8"/>
    <w:rsid w:val="25D84630"/>
    <w:rsid w:val="25DC3716"/>
    <w:rsid w:val="25DD3BB9"/>
    <w:rsid w:val="25E5BFC2"/>
    <w:rsid w:val="25E89EB2"/>
    <w:rsid w:val="25EFAD3E"/>
    <w:rsid w:val="25F31CF3"/>
    <w:rsid w:val="25F5CF36"/>
    <w:rsid w:val="25F88ACB"/>
    <w:rsid w:val="25FA6496"/>
    <w:rsid w:val="26056291"/>
    <w:rsid w:val="26064B55"/>
    <w:rsid w:val="260A069B"/>
    <w:rsid w:val="260B4902"/>
    <w:rsid w:val="260B8BF3"/>
    <w:rsid w:val="260D4B3D"/>
    <w:rsid w:val="26130C7B"/>
    <w:rsid w:val="261696E9"/>
    <w:rsid w:val="26190339"/>
    <w:rsid w:val="261D0F0F"/>
    <w:rsid w:val="2624FC3C"/>
    <w:rsid w:val="262533EB"/>
    <w:rsid w:val="262814EB"/>
    <w:rsid w:val="26294505"/>
    <w:rsid w:val="262A7773"/>
    <w:rsid w:val="262B227A"/>
    <w:rsid w:val="2630F022"/>
    <w:rsid w:val="2637C00B"/>
    <w:rsid w:val="263C68A8"/>
    <w:rsid w:val="26416019"/>
    <w:rsid w:val="26429693"/>
    <w:rsid w:val="2648E54B"/>
    <w:rsid w:val="264A1910"/>
    <w:rsid w:val="264AF8A0"/>
    <w:rsid w:val="264D0347"/>
    <w:rsid w:val="264F6E20"/>
    <w:rsid w:val="2656F6C7"/>
    <w:rsid w:val="265764F6"/>
    <w:rsid w:val="265B904D"/>
    <w:rsid w:val="26636398"/>
    <w:rsid w:val="266390E0"/>
    <w:rsid w:val="2663A6DB"/>
    <w:rsid w:val="26656845"/>
    <w:rsid w:val="266739B4"/>
    <w:rsid w:val="2669114B"/>
    <w:rsid w:val="26764761"/>
    <w:rsid w:val="2677FB08"/>
    <w:rsid w:val="26794BF9"/>
    <w:rsid w:val="267EFCD0"/>
    <w:rsid w:val="267FBBDB"/>
    <w:rsid w:val="2681D48A"/>
    <w:rsid w:val="2684DE1C"/>
    <w:rsid w:val="268635EB"/>
    <w:rsid w:val="268757C5"/>
    <w:rsid w:val="268923E9"/>
    <w:rsid w:val="2689B3F9"/>
    <w:rsid w:val="268F06DA"/>
    <w:rsid w:val="269314C8"/>
    <w:rsid w:val="26933BD9"/>
    <w:rsid w:val="269813DC"/>
    <w:rsid w:val="269A3693"/>
    <w:rsid w:val="269B2D7A"/>
    <w:rsid w:val="269F3BE3"/>
    <w:rsid w:val="269FD476"/>
    <w:rsid w:val="26A19D29"/>
    <w:rsid w:val="26A46825"/>
    <w:rsid w:val="26AD10B7"/>
    <w:rsid w:val="26AF7099"/>
    <w:rsid w:val="26B20CEB"/>
    <w:rsid w:val="26B3C4FA"/>
    <w:rsid w:val="26B6B085"/>
    <w:rsid w:val="26B782CD"/>
    <w:rsid w:val="26B9ADD2"/>
    <w:rsid w:val="26B9E322"/>
    <w:rsid w:val="26BB6590"/>
    <w:rsid w:val="26BD0409"/>
    <w:rsid w:val="26C09C99"/>
    <w:rsid w:val="26C2464D"/>
    <w:rsid w:val="26C58975"/>
    <w:rsid w:val="26C8BEBC"/>
    <w:rsid w:val="26C8C62D"/>
    <w:rsid w:val="26C9C99A"/>
    <w:rsid w:val="26CC4913"/>
    <w:rsid w:val="26CD2BB9"/>
    <w:rsid w:val="26CDB1A7"/>
    <w:rsid w:val="26D32B0C"/>
    <w:rsid w:val="26D41997"/>
    <w:rsid w:val="26D664C3"/>
    <w:rsid w:val="26D6BF86"/>
    <w:rsid w:val="26D77CE3"/>
    <w:rsid w:val="26DA0076"/>
    <w:rsid w:val="26DBA422"/>
    <w:rsid w:val="26DF1DB1"/>
    <w:rsid w:val="26E64541"/>
    <w:rsid w:val="26EA64E5"/>
    <w:rsid w:val="26EB6C76"/>
    <w:rsid w:val="26F5CFC3"/>
    <w:rsid w:val="26F717D5"/>
    <w:rsid w:val="26F72762"/>
    <w:rsid w:val="26FE54D7"/>
    <w:rsid w:val="27058E6B"/>
    <w:rsid w:val="270FEDE7"/>
    <w:rsid w:val="2710E7A6"/>
    <w:rsid w:val="271B3C5F"/>
    <w:rsid w:val="271FD5F9"/>
    <w:rsid w:val="27208FA0"/>
    <w:rsid w:val="27224CBB"/>
    <w:rsid w:val="27257386"/>
    <w:rsid w:val="272A58AA"/>
    <w:rsid w:val="272D0A4B"/>
    <w:rsid w:val="272D67E8"/>
    <w:rsid w:val="272DE3A2"/>
    <w:rsid w:val="272E0207"/>
    <w:rsid w:val="2730B531"/>
    <w:rsid w:val="2733518A"/>
    <w:rsid w:val="2733E2E2"/>
    <w:rsid w:val="273432DB"/>
    <w:rsid w:val="2734F2E9"/>
    <w:rsid w:val="273860A3"/>
    <w:rsid w:val="273B1E8B"/>
    <w:rsid w:val="273D0BC9"/>
    <w:rsid w:val="27402773"/>
    <w:rsid w:val="274DD101"/>
    <w:rsid w:val="27526840"/>
    <w:rsid w:val="2753CEEC"/>
    <w:rsid w:val="27591A2F"/>
    <w:rsid w:val="2759DDAB"/>
    <w:rsid w:val="276048D8"/>
    <w:rsid w:val="27614D53"/>
    <w:rsid w:val="27629E55"/>
    <w:rsid w:val="2769E86C"/>
    <w:rsid w:val="276CB1DD"/>
    <w:rsid w:val="2770C9DD"/>
    <w:rsid w:val="2777B87F"/>
    <w:rsid w:val="277F7374"/>
    <w:rsid w:val="277FEEBD"/>
    <w:rsid w:val="2780509C"/>
    <w:rsid w:val="278098F3"/>
    <w:rsid w:val="278463E6"/>
    <w:rsid w:val="278A2B00"/>
    <w:rsid w:val="278DB811"/>
    <w:rsid w:val="278E3699"/>
    <w:rsid w:val="2790B8AB"/>
    <w:rsid w:val="27939A4D"/>
    <w:rsid w:val="2796674F"/>
    <w:rsid w:val="279AA7E5"/>
    <w:rsid w:val="27A591E4"/>
    <w:rsid w:val="27A6A9D8"/>
    <w:rsid w:val="27A8C558"/>
    <w:rsid w:val="27A9426F"/>
    <w:rsid w:val="27AB22F2"/>
    <w:rsid w:val="27AD70CD"/>
    <w:rsid w:val="27B6DBC8"/>
    <w:rsid w:val="27B6FB5E"/>
    <w:rsid w:val="27C5FE28"/>
    <w:rsid w:val="27CAB927"/>
    <w:rsid w:val="27CD18CA"/>
    <w:rsid w:val="27D074EE"/>
    <w:rsid w:val="27D091E2"/>
    <w:rsid w:val="27D91BF1"/>
    <w:rsid w:val="27DBDAE4"/>
    <w:rsid w:val="27DD6F5F"/>
    <w:rsid w:val="27DE392A"/>
    <w:rsid w:val="27DFA513"/>
    <w:rsid w:val="27E12199"/>
    <w:rsid w:val="27E15066"/>
    <w:rsid w:val="27E5BF08"/>
    <w:rsid w:val="27E5E8FB"/>
    <w:rsid w:val="27E8083E"/>
    <w:rsid w:val="27E848F5"/>
    <w:rsid w:val="27E9DCC2"/>
    <w:rsid w:val="27EA53B1"/>
    <w:rsid w:val="27EEDA49"/>
    <w:rsid w:val="27F319A3"/>
    <w:rsid w:val="27F52877"/>
    <w:rsid w:val="27F5852D"/>
    <w:rsid w:val="27FB9967"/>
    <w:rsid w:val="27FC9474"/>
    <w:rsid w:val="28030ED4"/>
    <w:rsid w:val="28034DF9"/>
    <w:rsid w:val="280680B6"/>
    <w:rsid w:val="28079DC2"/>
    <w:rsid w:val="280A5AC5"/>
    <w:rsid w:val="280C960F"/>
    <w:rsid w:val="280DFA1B"/>
    <w:rsid w:val="280E3B8A"/>
    <w:rsid w:val="280EE363"/>
    <w:rsid w:val="280FA6D7"/>
    <w:rsid w:val="2813748A"/>
    <w:rsid w:val="2813A205"/>
    <w:rsid w:val="281405B8"/>
    <w:rsid w:val="2814A1CB"/>
    <w:rsid w:val="2816125A"/>
    <w:rsid w:val="28161502"/>
    <w:rsid w:val="281C4205"/>
    <w:rsid w:val="2820EA07"/>
    <w:rsid w:val="2823E2EC"/>
    <w:rsid w:val="28288AD6"/>
    <w:rsid w:val="2828B363"/>
    <w:rsid w:val="2830DFFE"/>
    <w:rsid w:val="2831DD90"/>
    <w:rsid w:val="2831E435"/>
    <w:rsid w:val="2831FED2"/>
    <w:rsid w:val="28333BA0"/>
    <w:rsid w:val="28374974"/>
    <w:rsid w:val="283BEC01"/>
    <w:rsid w:val="2840BBD7"/>
    <w:rsid w:val="2842C244"/>
    <w:rsid w:val="284A7ACC"/>
    <w:rsid w:val="285128D9"/>
    <w:rsid w:val="2852AA60"/>
    <w:rsid w:val="285B80FB"/>
    <w:rsid w:val="285C865F"/>
    <w:rsid w:val="2860F1F7"/>
    <w:rsid w:val="28692021"/>
    <w:rsid w:val="286A43CC"/>
    <w:rsid w:val="286A82A0"/>
    <w:rsid w:val="286BB260"/>
    <w:rsid w:val="286BCEC1"/>
    <w:rsid w:val="286C04F8"/>
    <w:rsid w:val="28726516"/>
    <w:rsid w:val="2878DC13"/>
    <w:rsid w:val="2878F798"/>
    <w:rsid w:val="2878F828"/>
    <w:rsid w:val="287B553B"/>
    <w:rsid w:val="287DCF6A"/>
    <w:rsid w:val="287FC273"/>
    <w:rsid w:val="288432F5"/>
    <w:rsid w:val="2885A293"/>
    <w:rsid w:val="2888F7E7"/>
    <w:rsid w:val="288C3FCB"/>
    <w:rsid w:val="288DE7D3"/>
    <w:rsid w:val="28905031"/>
    <w:rsid w:val="2893073D"/>
    <w:rsid w:val="289379AB"/>
    <w:rsid w:val="28967113"/>
    <w:rsid w:val="28A33F18"/>
    <w:rsid w:val="28ABFF44"/>
    <w:rsid w:val="28B003C2"/>
    <w:rsid w:val="28B529EF"/>
    <w:rsid w:val="28BE5586"/>
    <w:rsid w:val="28BEB179"/>
    <w:rsid w:val="28C1431F"/>
    <w:rsid w:val="28C4D0D6"/>
    <w:rsid w:val="28C5A5A8"/>
    <w:rsid w:val="28C6D4E3"/>
    <w:rsid w:val="28C78B3B"/>
    <w:rsid w:val="28CBD281"/>
    <w:rsid w:val="28CD77BC"/>
    <w:rsid w:val="28CFB337"/>
    <w:rsid w:val="28D5BC22"/>
    <w:rsid w:val="28D63DCB"/>
    <w:rsid w:val="28D826D9"/>
    <w:rsid w:val="28DBD3AA"/>
    <w:rsid w:val="28DF5165"/>
    <w:rsid w:val="28E5CD19"/>
    <w:rsid w:val="28EA1369"/>
    <w:rsid w:val="28EA50C4"/>
    <w:rsid w:val="28EB3521"/>
    <w:rsid w:val="28F4C9D9"/>
    <w:rsid w:val="28F85ADF"/>
    <w:rsid w:val="28FDEEC2"/>
    <w:rsid w:val="2901AF95"/>
    <w:rsid w:val="290BA8EA"/>
    <w:rsid w:val="290D3111"/>
    <w:rsid w:val="290DEB6C"/>
    <w:rsid w:val="290E7A78"/>
    <w:rsid w:val="2915D78B"/>
    <w:rsid w:val="291831E3"/>
    <w:rsid w:val="291831FF"/>
    <w:rsid w:val="29194585"/>
    <w:rsid w:val="291C628F"/>
    <w:rsid w:val="291DBA20"/>
    <w:rsid w:val="291E965D"/>
    <w:rsid w:val="291FD9DB"/>
    <w:rsid w:val="2920EBDE"/>
    <w:rsid w:val="292208CD"/>
    <w:rsid w:val="292C02D0"/>
    <w:rsid w:val="292E7AEF"/>
    <w:rsid w:val="2936FA0F"/>
    <w:rsid w:val="293A64A9"/>
    <w:rsid w:val="293C0716"/>
    <w:rsid w:val="293C5E5D"/>
    <w:rsid w:val="293DBC4E"/>
    <w:rsid w:val="293FCB93"/>
    <w:rsid w:val="2948CDC5"/>
    <w:rsid w:val="2948D0D8"/>
    <w:rsid w:val="294A0EB2"/>
    <w:rsid w:val="294CF845"/>
    <w:rsid w:val="2950E863"/>
    <w:rsid w:val="2952284B"/>
    <w:rsid w:val="2955BD5C"/>
    <w:rsid w:val="2956BCE0"/>
    <w:rsid w:val="2958249C"/>
    <w:rsid w:val="29588BC1"/>
    <w:rsid w:val="29588EB3"/>
    <w:rsid w:val="2962E444"/>
    <w:rsid w:val="29682A17"/>
    <w:rsid w:val="2971DBB6"/>
    <w:rsid w:val="29775F91"/>
    <w:rsid w:val="29776830"/>
    <w:rsid w:val="2977875D"/>
    <w:rsid w:val="2977954B"/>
    <w:rsid w:val="297AE2C8"/>
    <w:rsid w:val="29828C75"/>
    <w:rsid w:val="29844EEA"/>
    <w:rsid w:val="298CA1DC"/>
    <w:rsid w:val="298E2747"/>
    <w:rsid w:val="298EE6DB"/>
    <w:rsid w:val="2993E582"/>
    <w:rsid w:val="2998276D"/>
    <w:rsid w:val="299A46D7"/>
    <w:rsid w:val="29A4E466"/>
    <w:rsid w:val="29A81319"/>
    <w:rsid w:val="29A969CD"/>
    <w:rsid w:val="29ACBEFA"/>
    <w:rsid w:val="29B382AA"/>
    <w:rsid w:val="29B50B1C"/>
    <w:rsid w:val="29B6E079"/>
    <w:rsid w:val="29B7B4AE"/>
    <w:rsid w:val="29B81D7F"/>
    <w:rsid w:val="29B84805"/>
    <w:rsid w:val="29B916F4"/>
    <w:rsid w:val="29B99E5A"/>
    <w:rsid w:val="29C187CA"/>
    <w:rsid w:val="29C5D4D1"/>
    <w:rsid w:val="29C7ED51"/>
    <w:rsid w:val="29C9DA8D"/>
    <w:rsid w:val="29D99166"/>
    <w:rsid w:val="29DE8E78"/>
    <w:rsid w:val="29E3B03B"/>
    <w:rsid w:val="29ED163E"/>
    <w:rsid w:val="29EDE86F"/>
    <w:rsid w:val="29EF2A0F"/>
    <w:rsid w:val="29F56468"/>
    <w:rsid w:val="29F68BE4"/>
    <w:rsid w:val="29F6E66F"/>
    <w:rsid w:val="29F78E64"/>
    <w:rsid w:val="29FA06FC"/>
    <w:rsid w:val="29FAA703"/>
    <w:rsid w:val="2A0A40F0"/>
    <w:rsid w:val="2A0ADEE1"/>
    <w:rsid w:val="2A0AE425"/>
    <w:rsid w:val="2A0C1EFB"/>
    <w:rsid w:val="2A10A3BF"/>
    <w:rsid w:val="2A1320FD"/>
    <w:rsid w:val="2A1FFED0"/>
    <w:rsid w:val="2A2049C8"/>
    <w:rsid w:val="2A233393"/>
    <w:rsid w:val="2A233F87"/>
    <w:rsid w:val="2A24E66F"/>
    <w:rsid w:val="2A253D46"/>
    <w:rsid w:val="2A26BDE8"/>
    <w:rsid w:val="2A289E21"/>
    <w:rsid w:val="2A296353"/>
    <w:rsid w:val="2A38911D"/>
    <w:rsid w:val="2A400D5B"/>
    <w:rsid w:val="2A40EBAC"/>
    <w:rsid w:val="2A414DED"/>
    <w:rsid w:val="2A43E559"/>
    <w:rsid w:val="2A4C61F8"/>
    <w:rsid w:val="2A4CD769"/>
    <w:rsid w:val="2A4D1896"/>
    <w:rsid w:val="2A5295EB"/>
    <w:rsid w:val="2A57FD97"/>
    <w:rsid w:val="2A5F5B92"/>
    <w:rsid w:val="2A620634"/>
    <w:rsid w:val="2A696FD2"/>
    <w:rsid w:val="2A73BA0B"/>
    <w:rsid w:val="2A746361"/>
    <w:rsid w:val="2A752493"/>
    <w:rsid w:val="2A7A673F"/>
    <w:rsid w:val="2A7C1C6F"/>
    <w:rsid w:val="2A7DC182"/>
    <w:rsid w:val="2A8084BE"/>
    <w:rsid w:val="2A845F39"/>
    <w:rsid w:val="2A84ED91"/>
    <w:rsid w:val="2A852B7F"/>
    <w:rsid w:val="2A884645"/>
    <w:rsid w:val="2A885457"/>
    <w:rsid w:val="2A8A476E"/>
    <w:rsid w:val="2A98062B"/>
    <w:rsid w:val="2A98CB05"/>
    <w:rsid w:val="2A9C7CD3"/>
    <w:rsid w:val="2AA24AED"/>
    <w:rsid w:val="2AA2E0AD"/>
    <w:rsid w:val="2AAC4885"/>
    <w:rsid w:val="2AAD89E2"/>
    <w:rsid w:val="2AB34B63"/>
    <w:rsid w:val="2AB4B844"/>
    <w:rsid w:val="2ABA36D5"/>
    <w:rsid w:val="2ABB213E"/>
    <w:rsid w:val="2ABD4A15"/>
    <w:rsid w:val="2ABF7388"/>
    <w:rsid w:val="2AC08730"/>
    <w:rsid w:val="2AC0E514"/>
    <w:rsid w:val="2AC6BCD2"/>
    <w:rsid w:val="2ACA5EEA"/>
    <w:rsid w:val="2ACF71C9"/>
    <w:rsid w:val="2AD3A92C"/>
    <w:rsid w:val="2AD42C35"/>
    <w:rsid w:val="2AD736E5"/>
    <w:rsid w:val="2AD9A9E8"/>
    <w:rsid w:val="2ADA8289"/>
    <w:rsid w:val="2ADE3453"/>
    <w:rsid w:val="2AE17B66"/>
    <w:rsid w:val="2AE2E752"/>
    <w:rsid w:val="2AE3B77A"/>
    <w:rsid w:val="2AE4EAA9"/>
    <w:rsid w:val="2AE8763A"/>
    <w:rsid w:val="2AEC06C9"/>
    <w:rsid w:val="2AEC3B83"/>
    <w:rsid w:val="2AEE006A"/>
    <w:rsid w:val="2AEFA197"/>
    <w:rsid w:val="2AF14389"/>
    <w:rsid w:val="2AF3C680"/>
    <w:rsid w:val="2AF3EA13"/>
    <w:rsid w:val="2AF9B6A7"/>
    <w:rsid w:val="2AFA5F5B"/>
    <w:rsid w:val="2AFB2C88"/>
    <w:rsid w:val="2AFD7163"/>
    <w:rsid w:val="2AFFDB55"/>
    <w:rsid w:val="2B0344AC"/>
    <w:rsid w:val="2B06A0A4"/>
    <w:rsid w:val="2B0A4911"/>
    <w:rsid w:val="2B0C67B1"/>
    <w:rsid w:val="2B0E7CB1"/>
    <w:rsid w:val="2B162A3F"/>
    <w:rsid w:val="2B1A02EC"/>
    <w:rsid w:val="2B20CAFD"/>
    <w:rsid w:val="2B211C58"/>
    <w:rsid w:val="2B249053"/>
    <w:rsid w:val="2B2E78DD"/>
    <w:rsid w:val="2B357739"/>
    <w:rsid w:val="2B35A67C"/>
    <w:rsid w:val="2B38A106"/>
    <w:rsid w:val="2B3B26A0"/>
    <w:rsid w:val="2B3FEA4B"/>
    <w:rsid w:val="2B42D0B2"/>
    <w:rsid w:val="2B49748D"/>
    <w:rsid w:val="2B49E856"/>
    <w:rsid w:val="2B4B4B74"/>
    <w:rsid w:val="2B52BE71"/>
    <w:rsid w:val="2B56199B"/>
    <w:rsid w:val="2B585FC3"/>
    <w:rsid w:val="2B5A5384"/>
    <w:rsid w:val="2B5BB885"/>
    <w:rsid w:val="2B5DBAFC"/>
    <w:rsid w:val="2B5DD1BB"/>
    <w:rsid w:val="2B5DD377"/>
    <w:rsid w:val="2B5EA684"/>
    <w:rsid w:val="2B60B3AD"/>
    <w:rsid w:val="2B636B55"/>
    <w:rsid w:val="2B694E05"/>
    <w:rsid w:val="2B6A65E7"/>
    <w:rsid w:val="2B6ABA94"/>
    <w:rsid w:val="2B6F24A2"/>
    <w:rsid w:val="2B6FCB2E"/>
    <w:rsid w:val="2B7869A0"/>
    <w:rsid w:val="2B7B2646"/>
    <w:rsid w:val="2B7C49DD"/>
    <w:rsid w:val="2B7F7ED3"/>
    <w:rsid w:val="2B8013EE"/>
    <w:rsid w:val="2B853404"/>
    <w:rsid w:val="2B86A9E3"/>
    <w:rsid w:val="2B892AD4"/>
    <w:rsid w:val="2B9516F6"/>
    <w:rsid w:val="2B9A080A"/>
    <w:rsid w:val="2B9DF878"/>
    <w:rsid w:val="2BA4010D"/>
    <w:rsid w:val="2BA86F6B"/>
    <w:rsid w:val="2BA97D58"/>
    <w:rsid w:val="2BAA85A6"/>
    <w:rsid w:val="2BB34299"/>
    <w:rsid w:val="2BB5F0A5"/>
    <w:rsid w:val="2BB6D652"/>
    <w:rsid w:val="2BB9F78D"/>
    <w:rsid w:val="2BBC132D"/>
    <w:rsid w:val="2BBD0195"/>
    <w:rsid w:val="2BC09269"/>
    <w:rsid w:val="2BC12D9F"/>
    <w:rsid w:val="2BC42BDF"/>
    <w:rsid w:val="2BC5F3A8"/>
    <w:rsid w:val="2BCA8C3E"/>
    <w:rsid w:val="2BCDE05D"/>
    <w:rsid w:val="2BD02BDC"/>
    <w:rsid w:val="2BD04DCE"/>
    <w:rsid w:val="2BD6ED00"/>
    <w:rsid w:val="2BDABD4F"/>
    <w:rsid w:val="2BDC5C9F"/>
    <w:rsid w:val="2BDECCB1"/>
    <w:rsid w:val="2BE1DCDA"/>
    <w:rsid w:val="2BE32C50"/>
    <w:rsid w:val="2BE3D530"/>
    <w:rsid w:val="2BE4CFCA"/>
    <w:rsid w:val="2BEB9E0D"/>
    <w:rsid w:val="2BEBB015"/>
    <w:rsid w:val="2BEE66A1"/>
    <w:rsid w:val="2BEF9236"/>
    <w:rsid w:val="2BF1AD45"/>
    <w:rsid w:val="2BF8B2C7"/>
    <w:rsid w:val="2BFCA4FE"/>
    <w:rsid w:val="2C033089"/>
    <w:rsid w:val="2C04DD0B"/>
    <w:rsid w:val="2C055C8E"/>
    <w:rsid w:val="2C0C385F"/>
    <w:rsid w:val="2C0C9E7F"/>
    <w:rsid w:val="2C13F42F"/>
    <w:rsid w:val="2C1457DD"/>
    <w:rsid w:val="2C17B45F"/>
    <w:rsid w:val="2C1801F6"/>
    <w:rsid w:val="2C19462D"/>
    <w:rsid w:val="2C19E8C6"/>
    <w:rsid w:val="2C1A9F31"/>
    <w:rsid w:val="2C1B3C25"/>
    <w:rsid w:val="2C2B384D"/>
    <w:rsid w:val="2C2B5B02"/>
    <w:rsid w:val="2C30831C"/>
    <w:rsid w:val="2C3100C0"/>
    <w:rsid w:val="2C317DC3"/>
    <w:rsid w:val="2C3AA0FB"/>
    <w:rsid w:val="2C40FB7E"/>
    <w:rsid w:val="2C44B6F9"/>
    <w:rsid w:val="2C480AD4"/>
    <w:rsid w:val="2C48A6D9"/>
    <w:rsid w:val="2C4C7511"/>
    <w:rsid w:val="2C4FEF92"/>
    <w:rsid w:val="2C50B851"/>
    <w:rsid w:val="2C513F0A"/>
    <w:rsid w:val="2C5CE381"/>
    <w:rsid w:val="2C617252"/>
    <w:rsid w:val="2C62E354"/>
    <w:rsid w:val="2C654F33"/>
    <w:rsid w:val="2C668161"/>
    <w:rsid w:val="2C67301E"/>
    <w:rsid w:val="2C684681"/>
    <w:rsid w:val="2C7CD47F"/>
    <w:rsid w:val="2C7F2F94"/>
    <w:rsid w:val="2C8640C9"/>
    <w:rsid w:val="2C86807B"/>
    <w:rsid w:val="2C8B8821"/>
    <w:rsid w:val="2C901AD2"/>
    <w:rsid w:val="2C936934"/>
    <w:rsid w:val="2C947508"/>
    <w:rsid w:val="2C9DD7BA"/>
    <w:rsid w:val="2CA2FA95"/>
    <w:rsid w:val="2CA5DF6F"/>
    <w:rsid w:val="2CAF2A22"/>
    <w:rsid w:val="2CAFC106"/>
    <w:rsid w:val="2CB1A4A4"/>
    <w:rsid w:val="2CC0E18E"/>
    <w:rsid w:val="2CC75A5E"/>
    <w:rsid w:val="2CCA9D0C"/>
    <w:rsid w:val="2CCEF06F"/>
    <w:rsid w:val="2CCF775C"/>
    <w:rsid w:val="2CD05CDB"/>
    <w:rsid w:val="2CD71210"/>
    <w:rsid w:val="2CD823A2"/>
    <w:rsid w:val="2CDBA916"/>
    <w:rsid w:val="2CDBF4BC"/>
    <w:rsid w:val="2CE9D367"/>
    <w:rsid w:val="2CE9E262"/>
    <w:rsid w:val="2CEBE59E"/>
    <w:rsid w:val="2CEE8611"/>
    <w:rsid w:val="2CEEBF10"/>
    <w:rsid w:val="2CEEED3C"/>
    <w:rsid w:val="2CF33D67"/>
    <w:rsid w:val="2CFC3D2D"/>
    <w:rsid w:val="2CFC5D21"/>
    <w:rsid w:val="2D006900"/>
    <w:rsid w:val="2D026EDC"/>
    <w:rsid w:val="2D02CA38"/>
    <w:rsid w:val="2D0402D8"/>
    <w:rsid w:val="2D088EB2"/>
    <w:rsid w:val="2D08BFB9"/>
    <w:rsid w:val="2D0FE90B"/>
    <w:rsid w:val="2D111451"/>
    <w:rsid w:val="2D13313B"/>
    <w:rsid w:val="2D140033"/>
    <w:rsid w:val="2D189FF3"/>
    <w:rsid w:val="2D19064E"/>
    <w:rsid w:val="2D1FF83F"/>
    <w:rsid w:val="2D2185EB"/>
    <w:rsid w:val="2D294144"/>
    <w:rsid w:val="2D29E3E6"/>
    <w:rsid w:val="2D337077"/>
    <w:rsid w:val="2D370C32"/>
    <w:rsid w:val="2D3C5B11"/>
    <w:rsid w:val="2D3CB540"/>
    <w:rsid w:val="2D424BD1"/>
    <w:rsid w:val="2D4895F1"/>
    <w:rsid w:val="2D489CBE"/>
    <w:rsid w:val="2D4A2EEA"/>
    <w:rsid w:val="2D5109B7"/>
    <w:rsid w:val="2D54C986"/>
    <w:rsid w:val="2D566FF6"/>
    <w:rsid w:val="2D571CBF"/>
    <w:rsid w:val="2D572F0A"/>
    <w:rsid w:val="2D5926F2"/>
    <w:rsid w:val="2D5C4750"/>
    <w:rsid w:val="2D5E7090"/>
    <w:rsid w:val="2D5EA2D7"/>
    <w:rsid w:val="2D63C73C"/>
    <w:rsid w:val="2D67B1E8"/>
    <w:rsid w:val="2D69AFD5"/>
    <w:rsid w:val="2D6C63CD"/>
    <w:rsid w:val="2D6E362B"/>
    <w:rsid w:val="2D6E99EE"/>
    <w:rsid w:val="2D74CA68"/>
    <w:rsid w:val="2D763715"/>
    <w:rsid w:val="2D7A54D7"/>
    <w:rsid w:val="2D7AC38F"/>
    <w:rsid w:val="2D7B36A9"/>
    <w:rsid w:val="2D7BA862"/>
    <w:rsid w:val="2D7EA9CA"/>
    <w:rsid w:val="2D812017"/>
    <w:rsid w:val="2D8194F1"/>
    <w:rsid w:val="2D84027B"/>
    <w:rsid w:val="2D847641"/>
    <w:rsid w:val="2D856A12"/>
    <w:rsid w:val="2D8A50FE"/>
    <w:rsid w:val="2D94DCDA"/>
    <w:rsid w:val="2D9B004D"/>
    <w:rsid w:val="2D9B7E27"/>
    <w:rsid w:val="2D9C4D41"/>
    <w:rsid w:val="2DA16BD7"/>
    <w:rsid w:val="2DA72C9E"/>
    <w:rsid w:val="2DA76D5D"/>
    <w:rsid w:val="2DA8CD2D"/>
    <w:rsid w:val="2DB37C81"/>
    <w:rsid w:val="2DB53BCF"/>
    <w:rsid w:val="2DB5F276"/>
    <w:rsid w:val="2DB7F2F1"/>
    <w:rsid w:val="2DB91879"/>
    <w:rsid w:val="2DB96F24"/>
    <w:rsid w:val="2DBD5D96"/>
    <w:rsid w:val="2DBEB284"/>
    <w:rsid w:val="2DC61E20"/>
    <w:rsid w:val="2DCAE3A2"/>
    <w:rsid w:val="2DCD103B"/>
    <w:rsid w:val="2DCDEAE5"/>
    <w:rsid w:val="2DDC8009"/>
    <w:rsid w:val="2DE070C7"/>
    <w:rsid w:val="2DE1F115"/>
    <w:rsid w:val="2DED618B"/>
    <w:rsid w:val="2DEE0855"/>
    <w:rsid w:val="2DF10C13"/>
    <w:rsid w:val="2E03EB79"/>
    <w:rsid w:val="2E047F30"/>
    <w:rsid w:val="2E0B5E04"/>
    <w:rsid w:val="2E0B8FF6"/>
    <w:rsid w:val="2E0D1211"/>
    <w:rsid w:val="2E0D408C"/>
    <w:rsid w:val="2E0FC861"/>
    <w:rsid w:val="2E12A353"/>
    <w:rsid w:val="2E170857"/>
    <w:rsid w:val="2E18C30E"/>
    <w:rsid w:val="2E1FF9F2"/>
    <w:rsid w:val="2E1FFECF"/>
    <w:rsid w:val="2E2273BC"/>
    <w:rsid w:val="2E24275A"/>
    <w:rsid w:val="2E278610"/>
    <w:rsid w:val="2E2D13C7"/>
    <w:rsid w:val="2E308C45"/>
    <w:rsid w:val="2E30BBB3"/>
    <w:rsid w:val="2E3155AF"/>
    <w:rsid w:val="2E3C0C36"/>
    <w:rsid w:val="2E3C4792"/>
    <w:rsid w:val="2E3E8038"/>
    <w:rsid w:val="2E4B739C"/>
    <w:rsid w:val="2E4BF184"/>
    <w:rsid w:val="2E4EEA7A"/>
    <w:rsid w:val="2E52153C"/>
    <w:rsid w:val="2E576C0D"/>
    <w:rsid w:val="2E5F38A1"/>
    <w:rsid w:val="2E6367A0"/>
    <w:rsid w:val="2E64AC5A"/>
    <w:rsid w:val="2E69390D"/>
    <w:rsid w:val="2E6C2029"/>
    <w:rsid w:val="2E6ED27A"/>
    <w:rsid w:val="2E785300"/>
    <w:rsid w:val="2E7E12EE"/>
    <w:rsid w:val="2E809924"/>
    <w:rsid w:val="2E89569F"/>
    <w:rsid w:val="2E8C9C03"/>
    <w:rsid w:val="2E9068BB"/>
    <w:rsid w:val="2E94206F"/>
    <w:rsid w:val="2E943254"/>
    <w:rsid w:val="2E960BE5"/>
    <w:rsid w:val="2E98D571"/>
    <w:rsid w:val="2E993C00"/>
    <w:rsid w:val="2E9B8109"/>
    <w:rsid w:val="2E9FE2BC"/>
    <w:rsid w:val="2EA22EE9"/>
    <w:rsid w:val="2EA6C4BA"/>
    <w:rsid w:val="2EAEA5E3"/>
    <w:rsid w:val="2EAF28CA"/>
    <w:rsid w:val="2EAF5E4B"/>
    <w:rsid w:val="2EB09E4D"/>
    <w:rsid w:val="2EB3E8D8"/>
    <w:rsid w:val="2EB41D1B"/>
    <w:rsid w:val="2EBCB940"/>
    <w:rsid w:val="2EBE228F"/>
    <w:rsid w:val="2EBEAD91"/>
    <w:rsid w:val="2EBEFB62"/>
    <w:rsid w:val="2EC06554"/>
    <w:rsid w:val="2EC53076"/>
    <w:rsid w:val="2EC8D288"/>
    <w:rsid w:val="2ECC2EAE"/>
    <w:rsid w:val="2ECCC60E"/>
    <w:rsid w:val="2ECF0268"/>
    <w:rsid w:val="2ED39026"/>
    <w:rsid w:val="2ED42463"/>
    <w:rsid w:val="2ED44A8A"/>
    <w:rsid w:val="2ED860CE"/>
    <w:rsid w:val="2ED9A8E3"/>
    <w:rsid w:val="2EDCB34A"/>
    <w:rsid w:val="2EDF1192"/>
    <w:rsid w:val="2EE60288"/>
    <w:rsid w:val="2EE88154"/>
    <w:rsid w:val="2EE98C3D"/>
    <w:rsid w:val="2EF3B03A"/>
    <w:rsid w:val="2EF7B4BC"/>
    <w:rsid w:val="2EFBB2B3"/>
    <w:rsid w:val="2F0734D0"/>
    <w:rsid w:val="2F0752D8"/>
    <w:rsid w:val="2F08FD29"/>
    <w:rsid w:val="2F0A3C0D"/>
    <w:rsid w:val="2F0A5E52"/>
    <w:rsid w:val="2F0F618D"/>
    <w:rsid w:val="2F142329"/>
    <w:rsid w:val="2F15640D"/>
    <w:rsid w:val="2F15856E"/>
    <w:rsid w:val="2F196410"/>
    <w:rsid w:val="2F1A9847"/>
    <w:rsid w:val="2F1C8CAC"/>
    <w:rsid w:val="2F26DC9A"/>
    <w:rsid w:val="2F281592"/>
    <w:rsid w:val="2F297628"/>
    <w:rsid w:val="2F2AEE1E"/>
    <w:rsid w:val="2F2D7054"/>
    <w:rsid w:val="2F35D60F"/>
    <w:rsid w:val="2F3BF741"/>
    <w:rsid w:val="2F40B373"/>
    <w:rsid w:val="2F425742"/>
    <w:rsid w:val="2F44DD7A"/>
    <w:rsid w:val="2F44F426"/>
    <w:rsid w:val="2F49E3DE"/>
    <w:rsid w:val="2F4A8CE4"/>
    <w:rsid w:val="2F4B2751"/>
    <w:rsid w:val="2F50E8CA"/>
    <w:rsid w:val="2F53D1ED"/>
    <w:rsid w:val="2F599FD1"/>
    <w:rsid w:val="2F5D55BF"/>
    <w:rsid w:val="2F65271B"/>
    <w:rsid w:val="2F69B7CF"/>
    <w:rsid w:val="2F6CFEBC"/>
    <w:rsid w:val="2F6F328B"/>
    <w:rsid w:val="2F70524B"/>
    <w:rsid w:val="2F7D5DD2"/>
    <w:rsid w:val="2F7E2FFF"/>
    <w:rsid w:val="2F7EAE08"/>
    <w:rsid w:val="2F81FFBF"/>
    <w:rsid w:val="2F851EB0"/>
    <w:rsid w:val="2F862CEC"/>
    <w:rsid w:val="2F86BD68"/>
    <w:rsid w:val="2F8A0D56"/>
    <w:rsid w:val="2F8B58A3"/>
    <w:rsid w:val="2F8FBBC1"/>
    <w:rsid w:val="2F943BFF"/>
    <w:rsid w:val="2F9500E4"/>
    <w:rsid w:val="2F9732EE"/>
    <w:rsid w:val="2F9C958C"/>
    <w:rsid w:val="2F9F8DCB"/>
    <w:rsid w:val="2F9FFCC0"/>
    <w:rsid w:val="2FA13C82"/>
    <w:rsid w:val="2FA14C76"/>
    <w:rsid w:val="2FA171AF"/>
    <w:rsid w:val="2FA33D9E"/>
    <w:rsid w:val="2FA3BFC7"/>
    <w:rsid w:val="2FA78725"/>
    <w:rsid w:val="2FAA75FC"/>
    <w:rsid w:val="2FB11F13"/>
    <w:rsid w:val="2FB65981"/>
    <w:rsid w:val="2FB737D0"/>
    <w:rsid w:val="2FB78881"/>
    <w:rsid w:val="2FBDF518"/>
    <w:rsid w:val="2FC2A41F"/>
    <w:rsid w:val="2FC93386"/>
    <w:rsid w:val="2FCA398E"/>
    <w:rsid w:val="2FCDB798"/>
    <w:rsid w:val="2FD0CFF8"/>
    <w:rsid w:val="2FD73C9D"/>
    <w:rsid w:val="2FDE3505"/>
    <w:rsid w:val="2FE075D8"/>
    <w:rsid w:val="2FE117F8"/>
    <w:rsid w:val="2FE310A3"/>
    <w:rsid w:val="2FE894BB"/>
    <w:rsid w:val="2FEA508D"/>
    <w:rsid w:val="2FED4595"/>
    <w:rsid w:val="2FF3AC33"/>
    <w:rsid w:val="2FF639BB"/>
    <w:rsid w:val="2FFC44F0"/>
    <w:rsid w:val="3007E54A"/>
    <w:rsid w:val="300B0516"/>
    <w:rsid w:val="300BC425"/>
    <w:rsid w:val="300BF057"/>
    <w:rsid w:val="300F8533"/>
    <w:rsid w:val="3011914A"/>
    <w:rsid w:val="30132E2C"/>
    <w:rsid w:val="3014B15B"/>
    <w:rsid w:val="301B5656"/>
    <w:rsid w:val="301C38AB"/>
    <w:rsid w:val="3023887C"/>
    <w:rsid w:val="30238B1A"/>
    <w:rsid w:val="302606BB"/>
    <w:rsid w:val="302BEA3F"/>
    <w:rsid w:val="303601BD"/>
    <w:rsid w:val="30376EAB"/>
    <w:rsid w:val="30396460"/>
    <w:rsid w:val="304458D0"/>
    <w:rsid w:val="30474E64"/>
    <w:rsid w:val="304824FA"/>
    <w:rsid w:val="30483033"/>
    <w:rsid w:val="3049C54A"/>
    <w:rsid w:val="304A7E42"/>
    <w:rsid w:val="304B78DE"/>
    <w:rsid w:val="304EB26C"/>
    <w:rsid w:val="3050CB7F"/>
    <w:rsid w:val="3050DCC6"/>
    <w:rsid w:val="3052BCA4"/>
    <w:rsid w:val="3054E0EE"/>
    <w:rsid w:val="30566C9D"/>
    <w:rsid w:val="30598714"/>
    <w:rsid w:val="305BB63B"/>
    <w:rsid w:val="305D8313"/>
    <w:rsid w:val="30675180"/>
    <w:rsid w:val="3068AA26"/>
    <w:rsid w:val="3069F03C"/>
    <w:rsid w:val="306A7CEF"/>
    <w:rsid w:val="306B4D21"/>
    <w:rsid w:val="306EED03"/>
    <w:rsid w:val="307B3458"/>
    <w:rsid w:val="307B416A"/>
    <w:rsid w:val="307B8139"/>
    <w:rsid w:val="307C4F79"/>
    <w:rsid w:val="307E26A8"/>
    <w:rsid w:val="308450A9"/>
    <w:rsid w:val="3086048D"/>
    <w:rsid w:val="308F7075"/>
    <w:rsid w:val="3092BF18"/>
    <w:rsid w:val="3092F4E1"/>
    <w:rsid w:val="30935D38"/>
    <w:rsid w:val="3094FA17"/>
    <w:rsid w:val="309581C2"/>
    <w:rsid w:val="30963E4E"/>
    <w:rsid w:val="309E5E36"/>
    <w:rsid w:val="30A520FD"/>
    <w:rsid w:val="30A8FB7C"/>
    <w:rsid w:val="30B0751E"/>
    <w:rsid w:val="30B78299"/>
    <w:rsid w:val="30B7D3E3"/>
    <w:rsid w:val="30BD4B3C"/>
    <w:rsid w:val="30BD7B6A"/>
    <w:rsid w:val="30BF2BE7"/>
    <w:rsid w:val="30BFDD4B"/>
    <w:rsid w:val="30C39292"/>
    <w:rsid w:val="30C40E6C"/>
    <w:rsid w:val="30CD16A9"/>
    <w:rsid w:val="30D4615B"/>
    <w:rsid w:val="30D4B753"/>
    <w:rsid w:val="30D5BDA8"/>
    <w:rsid w:val="30D779B4"/>
    <w:rsid w:val="30D8050B"/>
    <w:rsid w:val="30D805BA"/>
    <w:rsid w:val="30D847E8"/>
    <w:rsid w:val="30E624AE"/>
    <w:rsid w:val="30E78D05"/>
    <w:rsid w:val="30E91A1F"/>
    <w:rsid w:val="30EDF720"/>
    <w:rsid w:val="30F0CD58"/>
    <w:rsid w:val="30F8DE00"/>
    <w:rsid w:val="30F9D3D3"/>
    <w:rsid w:val="30FA0E3A"/>
    <w:rsid w:val="30FBA3EC"/>
    <w:rsid w:val="30FFCE6E"/>
    <w:rsid w:val="3101E289"/>
    <w:rsid w:val="3103987E"/>
    <w:rsid w:val="31091CF9"/>
    <w:rsid w:val="31095F61"/>
    <w:rsid w:val="310C89EA"/>
    <w:rsid w:val="3114D836"/>
    <w:rsid w:val="311B1B87"/>
    <w:rsid w:val="311B66D9"/>
    <w:rsid w:val="3120660D"/>
    <w:rsid w:val="312404A3"/>
    <w:rsid w:val="3128D6C7"/>
    <w:rsid w:val="31305308"/>
    <w:rsid w:val="3130CB4A"/>
    <w:rsid w:val="3135D4AA"/>
    <w:rsid w:val="31377F8F"/>
    <w:rsid w:val="313C9CFC"/>
    <w:rsid w:val="313F4A56"/>
    <w:rsid w:val="314819ED"/>
    <w:rsid w:val="314ADC0D"/>
    <w:rsid w:val="314BC290"/>
    <w:rsid w:val="314C5B14"/>
    <w:rsid w:val="314D1B7A"/>
    <w:rsid w:val="315660CC"/>
    <w:rsid w:val="3156ECD5"/>
    <w:rsid w:val="3158D433"/>
    <w:rsid w:val="315E6F8E"/>
    <w:rsid w:val="315F3313"/>
    <w:rsid w:val="3160929F"/>
    <w:rsid w:val="316B000A"/>
    <w:rsid w:val="316E0B79"/>
    <w:rsid w:val="316F5189"/>
    <w:rsid w:val="31715EF6"/>
    <w:rsid w:val="317166CB"/>
    <w:rsid w:val="3172B0C4"/>
    <w:rsid w:val="31750B10"/>
    <w:rsid w:val="31764089"/>
    <w:rsid w:val="31775E69"/>
    <w:rsid w:val="31797608"/>
    <w:rsid w:val="31797DD0"/>
    <w:rsid w:val="3179F5D8"/>
    <w:rsid w:val="317D6AA3"/>
    <w:rsid w:val="31839C99"/>
    <w:rsid w:val="3183A98C"/>
    <w:rsid w:val="3187BE62"/>
    <w:rsid w:val="318BDE6C"/>
    <w:rsid w:val="319094E8"/>
    <w:rsid w:val="31924DE0"/>
    <w:rsid w:val="3193CB2A"/>
    <w:rsid w:val="31979E10"/>
    <w:rsid w:val="3197FA49"/>
    <w:rsid w:val="319C4B85"/>
    <w:rsid w:val="319CFEF3"/>
    <w:rsid w:val="319F1341"/>
    <w:rsid w:val="31A31188"/>
    <w:rsid w:val="31A3CBEE"/>
    <w:rsid w:val="31A978B4"/>
    <w:rsid w:val="31ACB204"/>
    <w:rsid w:val="31BA873A"/>
    <w:rsid w:val="31BE4000"/>
    <w:rsid w:val="31C03350"/>
    <w:rsid w:val="31C36BC4"/>
    <w:rsid w:val="31C38C88"/>
    <w:rsid w:val="31C618E4"/>
    <w:rsid w:val="31C97C6D"/>
    <w:rsid w:val="31C9F968"/>
    <w:rsid w:val="31CE958C"/>
    <w:rsid w:val="31D35136"/>
    <w:rsid w:val="31D4277D"/>
    <w:rsid w:val="31D85A3F"/>
    <w:rsid w:val="31D9298C"/>
    <w:rsid w:val="31E14960"/>
    <w:rsid w:val="31E1EF01"/>
    <w:rsid w:val="31E2F023"/>
    <w:rsid w:val="31E57161"/>
    <w:rsid w:val="31E6DFDF"/>
    <w:rsid w:val="31EA0141"/>
    <w:rsid w:val="31EB63F5"/>
    <w:rsid w:val="31EC1FA4"/>
    <w:rsid w:val="31EDBDBC"/>
    <w:rsid w:val="31EE15AE"/>
    <w:rsid w:val="31F2B0BD"/>
    <w:rsid w:val="31F373B4"/>
    <w:rsid w:val="31F58E8F"/>
    <w:rsid w:val="31F7F0C5"/>
    <w:rsid w:val="31FC3D19"/>
    <w:rsid w:val="320037B4"/>
    <w:rsid w:val="320419EC"/>
    <w:rsid w:val="32042A63"/>
    <w:rsid w:val="3207DACE"/>
    <w:rsid w:val="32096ADB"/>
    <w:rsid w:val="320AB52A"/>
    <w:rsid w:val="320C2E01"/>
    <w:rsid w:val="3216FFF4"/>
    <w:rsid w:val="321C22CA"/>
    <w:rsid w:val="3221B643"/>
    <w:rsid w:val="32226447"/>
    <w:rsid w:val="3222D406"/>
    <w:rsid w:val="3222DD4C"/>
    <w:rsid w:val="32246501"/>
    <w:rsid w:val="32280444"/>
    <w:rsid w:val="322A0402"/>
    <w:rsid w:val="322A3548"/>
    <w:rsid w:val="3230706E"/>
    <w:rsid w:val="3236D2C0"/>
    <w:rsid w:val="323BAF2A"/>
    <w:rsid w:val="32405869"/>
    <w:rsid w:val="3240A542"/>
    <w:rsid w:val="3241B301"/>
    <w:rsid w:val="324314A6"/>
    <w:rsid w:val="324A0DF8"/>
    <w:rsid w:val="324AEB04"/>
    <w:rsid w:val="324B52EA"/>
    <w:rsid w:val="324EA30F"/>
    <w:rsid w:val="32547A80"/>
    <w:rsid w:val="32558FFE"/>
    <w:rsid w:val="32564D6B"/>
    <w:rsid w:val="3257E0BA"/>
    <w:rsid w:val="325EFD2B"/>
    <w:rsid w:val="32600687"/>
    <w:rsid w:val="32609E3B"/>
    <w:rsid w:val="326301BC"/>
    <w:rsid w:val="32653797"/>
    <w:rsid w:val="326727A3"/>
    <w:rsid w:val="32696548"/>
    <w:rsid w:val="326C1C1B"/>
    <w:rsid w:val="326CC32C"/>
    <w:rsid w:val="326F6160"/>
    <w:rsid w:val="3270B941"/>
    <w:rsid w:val="32725F48"/>
    <w:rsid w:val="32731B95"/>
    <w:rsid w:val="327D5BE7"/>
    <w:rsid w:val="327F6034"/>
    <w:rsid w:val="32862F4C"/>
    <w:rsid w:val="32898937"/>
    <w:rsid w:val="328BFAEE"/>
    <w:rsid w:val="32918D71"/>
    <w:rsid w:val="32938C93"/>
    <w:rsid w:val="32998F85"/>
    <w:rsid w:val="329FB08D"/>
    <w:rsid w:val="32A066BA"/>
    <w:rsid w:val="32A51333"/>
    <w:rsid w:val="32A6EC0B"/>
    <w:rsid w:val="32AB34A0"/>
    <w:rsid w:val="32AD116C"/>
    <w:rsid w:val="32AD906C"/>
    <w:rsid w:val="32AFD8DA"/>
    <w:rsid w:val="32B11F77"/>
    <w:rsid w:val="32B17D0D"/>
    <w:rsid w:val="32B343CE"/>
    <w:rsid w:val="32B9CAEC"/>
    <w:rsid w:val="32BD943E"/>
    <w:rsid w:val="32C42D95"/>
    <w:rsid w:val="32C6C24F"/>
    <w:rsid w:val="32C6ED62"/>
    <w:rsid w:val="32CBF061"/>
    <w:rsid w:val="32D2EB82"/>
    <w:rsid w:val="32DA2A60"/>
    <w:rsid w:val="32DB1D44"/>
    <w:rsid w:val="32E0DFAB"/>
    <w:rsid w:val="32EFE5A6"/>
    <w:rsid w:val="32F864B4"/>
    <w:rsid w:val="32F8A0E9"/>
    <w:rsid w:val="32FDB4CC"/>
    <w:rsid w:val="3303B024"/>
    <w:rsid w:val="3304121F"/>
    <w:rsid w:val="3309E320"/>
    <w:rsid w:val="330C01C2"/>
    <w:rsid w:val="330E144C"/>
    <w:rsid w:val="3311ADB9"/>
    <w:rsid w:val="33131816"/>
    <w:rsid w:val="33139C5F"/>
    <w:rsid w:val="3314656D"/>
    <w:rsid w:val="33239C2A"/>
    <w:rsid w:val="3323BBC0"/>
    <w:rsid w:val="33258FC3"/>
    <w:rsid w:val="3326472A"/>
    <w:rsid w:val="3328DCEB"/>
    <w:rsid w:val="332AE92B"/>
    <w:rsid w:val="332BE565"/>
    <w:rsid w:val="33312A20"/>
    <w:rsid w:val="33379006"/>
    <w:rsid w:val="333C7954"/>
    <w:rsid w:val="333DD0A6"/>
    <w:rsid w:val="3344EFBD"/>
    <w:rsid w:val="33454BD4"/>
    <w:rsid w:val="33493DDF"/>
    <w:rsid w:val="3349DD9A"/>
    <w:rsid w:val="334C20F9"/>
    <w:rsid w:val="3351F376"/>
    <w:rsid w:val="335746DA"/>
    <w:rsid w:val="335A3343"/>
    <w:rsid w:val="335A81CA"/>
    <w:rsid w:val="335F05CC"/>
    <w:rsid w:val="335F8A43"/>
    <w:rsid w:val="33618637"/>
    <w:rsid w:val="3369E404"/>
    <w:rsid w:val="336B93CF"/>
    <w:rsid w:val="337288CE"/>
    <w:rsid w:val="337775CB"/>
    <w:rsid w:val="337B28AE"/>
    <w:rsid w:val="33812B57"/>
    <w:rsid w:val="338410D5"/>
    <w:rsid w:val="3388ADBD"/>
    <w:rsid w:val="338C7C8B"/>
    <w:rsid w:val="33933D0B"/>
    <w:rsid w:val="339C8992"/>
    <w:rsid w:val="339D8371"/>
    <w:rsid w:val="339E02D0"/>
    <w:rsid w:val="33A02AC7"/>
    <w:rsid w:val="33A0E6CA"/>
    <w:rsid w:val="33A5607F"/>
    <w:rsid w:val="33A9AF06"/>
    <w:rsid w:val="33AEB2F4"/>
    <w:rsid w:val="33B1F4ED"/>
    <w:rsid w:val="33B2194F"/>
    <w:rsid w:val="33BC92C0"/>
    <w:rsid w:val="33C09DF0"/>
    <w:rsid w:val="33C2E5E0"/>
    <w:rsid w:val="33C874E3"/>
    <w:rsid w:val="33CA428B"/>
    <w:rsid w:val="33CFD091"/>
    <w:rsid w:val="33D2C0F2"/>
    <w:rsid w:val="33D832BD"/>
    <w:rsid w:val="33DAB22F"/>
    <w:rsid w:val="33DB0CD3"/>
    <w:rsid w:val="33DBC714"/>
    <w:rsid w:val="33E2A17F"/>
    <w:rsid w:val="33E77386"/>
    <w:rsid w:val="33E7CD24"/>
    <w:rsid w:val="33F78D57"/>
    <w:rsid w:val="3404AA9D"/>
    <w:rsid w:val="340541EE"/>
    <w:rsid w:val="34067C8B"/>
    <w:rsid w:val="340A2CCF"/>
    <w:rsid w:val="340A4948"/>
    <w:rsid w:val="340B4D24"/>
    <w:rsid w:val="340E311E"/>
    <w:rsid w:val="3415BB34"/>
    <w:rsid w:val="341FA46D"/>
    <w:rsid w:val="341FAEE8"/>
    <w:rsid w:val="342025BE"/>
    <w:rsid w:val="342ADC91"/>
    <w:rsid w:val="342BF28C"/>
    <w:rsid w:val="3430B03D"/>
    <w:rsid w:val="3432CBFB"/>
    <w:rsid w:val="3432FB51"/>
    <w:rsid w:val="3435799B"/>
    <w:rsid w:val="34360338"/>
    <w:rsid w:val="343707C5"/>
    <w:rsid w:val="343C9EEC"/>
    <w:rsid w:val="343E4B9F"/>
    <w:rsid w:val="343E6CD3"/>
    <w:rsid w:val="343E76FB"/>
    <w:rsid w:val="343FD275"/>
    <w:rsid w:val="3441514C"/>
    <w:rsid w:val="3443876E"/>
    <w:rsid w:val="344CFF0F"/>
    <w:rsid w:val="34567080"/>
    <w:rsid w:val="3459C338"/>
    <w:rsid w:val="34641BE9"/>
    <w:rsid w:val="3470D403"/>
    <w:rsid w:val="3470D9DC"/>
    <w:rsid w:val="3472032D"/>
    <w:rsid w:val="347488FF"/>
    <w:rsid w:val="347A8D51"/>
    <w:rsid w:val="347DB2DF"/>
    <w:rsid w:val="34849099"/>
    <w:rsid w:val="348865E7"/>
    <w:rsid w:val="3494B84B"/>
    <w:rsid w:val="3495604F"/>
    <w:rsid w:val="34957D69"/>
    <w:rsid w:val="349587FB"/>
    <w:rsid w:val="349A66CD"/>
    <w:rsid w:val="349D7C38"/>
    <w:rsid w:val="349F0A87"/>
    <w:rsid w:val="34A00518"/>
    <w:rsid w:val="34A05010"/>
    <w:rsid w:val="34A10898"/>
    <w:rsid w:val="34A11596"/>
    <w:rsid w:val="34A21D17"/>
    <w:rsid w:val="34AAAA5E"/>
    <w:rsid w:val="34B995DA"/>
    <w:rsid w:val="34BBBA1A"/>
    <w:rsid w:val="34C0359E"/>
    <w:rsid w:val="34C6EE72"/>
    <w:rsid w:val="34C9C7BE"/>
    <w:rsid w:val="34D16CB9"/>
    <w:rsid w:val="34D1E732"/>
    <w:rsid w:val="34D4128E"/>
    <w:rsid w:val="34D6A278"/>
    <w:rsid w:val="34D87CA3"/>
    <w:rsid w:val="34DE89D1"/>
    <w:rsid w:val="34DFC575"/>
    <w:rsid w:val="34E03D71"/>
    <w:rsid w:val="34E44258"/>
    <w:rsid w:val="34E8C88C"/>
    <w:rsid w:val="34EABCCB"/>
    <w:rsid w:val="34EC4932"/>
    <w:rsid w:val="34F1F588"/>
    <w:rsid w:val="34FC0ED7"/>
    <w:rsid w:val="34FEFDFE"/>
    <w:rsid w:val="34FF5008"/>
    <w:rsid w:val="350202D7"/>
    <w:rsid w:val="3504B9A8"/>
    <w:rsid w:val="3504FB6E"/>
    <w:rsid w:val="350908EF"/>
    <w:rsid w:val="350B7C73"/>
    <w:rsid w:val="35111D92"/>
    <w:rsid w:val="3519B5AD"/>
    <w:rsid w:val="351BB8E9"/>
    <w:rsid w:val="351C16F0"/>
    <w:rsid w:val="351DCC50"/>
    <w:rsid w:val="3526D451"/>
    <w:rsid w:val="35295A80"/>
    <w:rsid w:val="352A1FEA"/>
    <w:rsid w:val="352E93F9"/>
    <w:rsid w:val="35313797"/>
    <w:rsid w:val="35332A52"/>
    <w:rsid w:val="353387F7"/>
    <w:rsid w:val="3535B97B"/>
    <w:rsid w:val="3536F78C"/>
    <w:rsid w:val="35389EDC"/>
    <w:rsid w:val="353A5D29"/>
    <w:rsid w:val="353AAF9B"/>
    <w:rsid w:val="353B3BB2"/>
    <w:rsid w:val="353B4A65"/>
    <w:rsid w:val="35406A3C"/>
    <w:rsid w:val="35415649"/>
    <w:rsid w:val="35417902"/>
    <w:rsid w:val="3545A3B3"/>
    <w:rsid w:val="3549B282"/>
    <w:rsid w:val="3554D546"/>
    <w:rsid w:val="35551F8F"/>
    <w:rsid w:val="3556C850"/>
    <w:rsid w:val="35583450"/>
    <w:rsid w:val="3559F03A"/>
    <w:rsid w:val="35652FBD"/>
    <w:rsid w:val="35692326"/>
    <w:rsid w:val="356E7CBD"/>
    <w:rsid w:val="35750655"/>
    <w:rsid w:val="35782F7B"/>
    <w:rsid w:val="357EB4FC"/>
    <w:rsid w:val="35806A0D"/>
    <w:rsid w:val="3581FC9B"/>
    <w:rsid w:val="358796AE"/>
    <w:rsid w:val="3588B4A7"/>
    <w:rsid w:val="358A5330"/>
    <w:rsid w:val="35A07DA4"/>
    <w:rsid w:val="35A11D31"/>
    <w:rsid w:val="35A3BC29"/>
    <w:rsid w:val="35A50EEA"/>
    <w:rsid w:val="35A8EA28"/>
    <w:rsid w:val="35AA20B7"/>
    <w:rsid w:val="35AB144C"/>
    <w:rsid w:val="35B3098A"/>
    <w:rsid w:val="35B6CE7C"/>
    <w:rsid w:val="35B7B27F"/>
    <w:rsid w:val="35B9D97C"/>
    <w:rsid w:val="35BA29C2"/>
    <w:rsid w:val="35C6731A"/>
    <w:rsid w:val="35CD45B8"/>
    <w:rsid w:val="35DA688A"/>
    <w:rsid w:val="35DCA8D6"/>
    <w:rsid w:val="35E54898"/>
    <w:rsid w:val="35E68D09"/>
    <w:rsid w:val="35E8468D"/>
    <w:rsid w:val="35EA6C59"/>
    <w:rsid w:val="35EEF6F0"/>
    <w:rsid w:val="35EFBE60"/>
    <w:rsid w:val="35F482FB"/>
    <w:rsid w:val="35F5F3A2"/>
    <w:rsid w:val="35F5FF4B"/>
    <w:rsid w:val="35F6B816"/>
    <w:rsid w:val="35FBFDEB"/>
    <w:rsid w:val="35FF43CC"/>
    <w:rsid w:val="3605220E"/>
    <w:rsid w:val="36089509"/>
    <w:rsid w:val="360D4BD4"/>
    <w:rsid w:val="360F4CDA"/>
    <w:rsid w:val="360F4D8C"/>
    <w:rsid w:val="3611A3E4"/>
    <w:rsid w:val="3614566B"/>
    <w:rsid w:val="36189CFF"/>
    <w:rsid w:val="361A94DA"/>
    <w:rsid w:val="361B7AF0"/>
    <w:rsid w:val="361BC2AB"/>
    <w:rsid w:val="361F5F5F"/>
    <w:rsid w:val="3620B123"/>
    <w:rsid w:val="3620DC07"/>
    <w:rsid w:val="36272B50"/>
    <w:rsid w:val="362735CE"/>
    <w:rsid w:val="36292B33"/>
    <w:rsid w:val="362E0148"/>
    <w:rsid w:val="362E64BA"/>
    <w:rsid w:val="363173FC"/>
    <w:rsid w:val="36349001"/>
    <w:rsid w:val="3634BA5F"/>
    <w:rsid w:val="363D0075"/>
    <w:rsid w:val="36418961"/>
    <w:rsid w:val="3642D16A"/>
    <w:rsid w:val="3646402D"/>
    <w:rsid w:val="3646F51D"/>
    <w:rsid w:val="36474146"/>
    <w:rsid w:val="3652DAB6"/>
    <w:rsid w:val="36555AEE"/>
    <w:rsid w:val="36604DE8"/>
    <w:rsid w:val="36616B98"/>
    <w:rsid w:val="36639CE3"/>
    <w:rsid w:val="366571E2"/>
    <w:rsid w:val="366B683B"/>
    <w:rsid w:val="366EEEAC"/>
    <w:rsid w:val="3670158C"/>
    <w:rsid w:val="36715C49"/>
    <w:rsid w:val="3673258E"/>
    <w:rsid w:val="3673AF37"/>
    <w:rsid w:val="3676A8EC"/>
    <w:rsid w:val="3677820F"/>
    <w:rsid w:val="36A08B9E"/>
    <w:rsid w:val="36A4F145"/>
    <w:rsid w:val="36A59DCD"/>
    <w:rsid w:val="36AF0ECF"/>
    <w:rsid w:val="36BD88D7"/>
    <w:rsid w:val="36BF5575"/>
    <w:rsid w:val="36C143A4"/>
    <w:rsid w:val="36C4311C"/>
    <w:rsid w:val="36C6DD56"/>
    <w:rsid w:val="36C802FE"/>
    <w:rsid w:val="36CFBBB7"/>
    <w:rsid w:val="36D03D0E"/>
    <w:rsid w:val="36D24B4C"/>
    <w:rsid w:val="36D997C5"/>
    <w:rsid w:val="36DD1A47"/>
    <w:rsid w:val="36E14D3D"/>
    <w:rsid w:val="36E653E1"/>
    <w:rsid w:val="36E946EC"/>
    <w:rsid w:val="36EF12FE"/>
    <w:rsid w:val="36F24FDA"/>
    <w:rsid w:val="36F638BF"/>
    <w:rsid w:val="36FDCEA7"/>
    <w:rsid w:val="36FEE400"/>
    <w:rsid w:val="36FFC9B8"/>
    <w:rsid w:val="3700F660"/>
    <w:rsid w:val="3705650A"/>
    <w:rsid w:val="3706B009"/>
    <w:rsid w:val="3708C131"/>
    <w:rsid w:val="370939D3"/>
    <w:rsid w:val="370A19B6"/>
    <w:rsid w:val="370ACAF9"/>
    <w:rsid w:val="37104DD5"/>
    <w:rsid w:val="37120A4B"/>
    <w:rsid w:val="37175EBB"/>
    <w:rsid w:val="3717BDDF"/>
    <w:rsid w:val="371A0512"/>
    <w:rsid w:val="371E9FF1"/>
    <w:rsid w:val="371F4913"/>
    <w:rsid w:val="37209490"/>
    <w:rsid w:val="3722E7F8"/>
    <w:rsid w:val="37252C36"/>
    <w:rsid w:val="37258D59"/>
    <w:rsid w:val="3729BA55"/>
    <w:rsid w:val="37318D0F"/>
    <w:rsid w:val="373231D4"/>
    <w:rsid w:val="37335E53"/>
    <w:rsid w:val="3738BBF6"/>
    <w:rsid w:val="3739E7D1"/>
    <w:rsid w:val="373A1C36"/>
    <w:rsid w:val="373C9686"/>
    <w:rsid w:val="373DC710"/>
    <w:rsid w:val="374131C2"/>
    <w:rsid w:val="374EF785"/>
    <w:rsid w:val="3766F20F"/>
    <w:rsid w:val="37688A42"/>
    <w:rsid w:val="3769345A"/>
    <w:rsid w:val="3769DA70"/>
    <w:rsid w:val="376FCD23"/>
    <w:rsid w:val="37731660"/>
    <w:rsid w:val="37805EF9"/>
    <w:rsid w:val="378598DF"/>
    <w:rsid w:val="378DE91F"/>
    <w:rsid w:val="379051A1"/>
    <w:rsid w:val="379132A9"/>
    <w:rsid w:val="3792CA52"/>
    <w:rsid w:val="37946246"/>
    <w:rsid w:val="3796F3CD"/>
    <w:rsid w:val="379879D9"/>
    <w:rsid w:val="379F4998"/>
    <w:rsid w:val="37A39642"/>
    <w:rsid w:val="37A4CB13"/>
    <w:rsid w:val="37AD160C"/>
    <w:rsid w:val="37B10DF9"/>
    <w:rsid w:val="37B44B10"/>
    <w:rsid w:val="37B519A2"/>
    <w:rsid w:val="37BBC360"/>
    <w:rsid w:val="37BC22F1"/>
    <w:rsid w:val="37BF1AD9"/>
    <w:rsid w:val="37BFDB6D"/>
    <w:rsid w:val="37C58D51"/>
    <w:rsid w:val="37C8D722"/>
    <w:rsid w:val="37CA4133"/>
    <w:rsid w:val="37CA9AFE"/>
    <w:rsid w:val="37CAA917"/>
    <w:rsid w:val="37CB2075"/>
    <w:rsid w:val="37D0F38A"/>
    <w:rsid w:val="37D1AB7A"/>
    <w:rsid w:val="37D40F9C"/>
    <w:rsid w:val="37D8B86F"/>
    <w:rsid w:val="37D9721E"/>
    <w:rsid w:val="37DE173C"/>
    <w:rsid w:val="37DF2BBB"/>
    <w:rsid w:val="37E659CC"/>
    <w:rsid w:val="37E7239D"/>
    <w:rsid w:val="37EB3649"/>
    <w:rsid w:val="37EBD235"/>
    <w:rsid w:val="37ED678F"/>
    <w:rsid w:val="37F052E9"/>
    <w:rsid w:val="37F1064B"/>
    <w:rsid w:val="37F29BCD"/>
    <w:rsid w:val="37F2DB0F"/>
    <w:rsid w:val="380730CA"/>
    <w:rsid w:val="380A0A69"/>
    <w:rsid w:val="380D6F9F"/>
    <w:rsid w:val="380FE38B"/>
    <w:rsid w:val="38169BDF"/>
    <w:rsid w:val="3820243E"/>
    <w:rsid w:val="382090CF"/>
    <w:rsid w:val="38220346"/>
    <w:rsid w:val="3822F5EE"/>
    <w:rsid w:val="3822F5F6"/>
    <w:rsid w:val="38256B34"/>
    <w:rsid w:val="38265F7F"/>
    <w:rsid w:val="3828CF3D"/>
    <w:rsid w:val="382AA86A"/>
    <w:rsid w:val="38326917"/>
    <w:rsid w:val="3834B814"/>
    <w:rsid w:val="383BE6E4"/>
    <w:rsid w:val="3841574C"/>
    <w:rsid w:val="384332FC"/>
    <w:rsid w:val="384895DF"/>
    <w:rsid w:val="38541772"/>
    <w:rsid w:val="3854B7D6"/>
    <w:rsid w:val="38559F73"/>
    <w:rsid w:val="385A4C69"/>
    <w:rsid w:val="385BF060"/>
    <w:rsid w:val="385F3703"/>
    <w:rsid w:val="3860790B"/>
    <w:rsid w:val="38673064"/>
    <w:rsid w:val="3868283B"/>
    <w:rsid w:val="3873F574"/>
    <w:rsid w:val="38787F4B"/>
    <w:rsid w:val="388B24CC"/>
    <w:rsid w:val="388FBAD6"/>
    <w:rsid w:val="3896BF06"/>
    <w:rsid w:val="3898450E"/>
    <w:rsid w:val="389CC8BF"/>
    <w:rsid w:val="38A7D455"/>
    <w:rsid w:val="38A85F20"/>
    <w:rsid w:val="38A94619"/>
    <w:rsid w:val="38ABFB9C"/>
    <w:rsid w:val="38B0A4C3"/>
    <w:rsid w:val="38B58D0D"/>
    <w:rsid w:val="38B683F3"/>
    <w:rsid w:val="38B6FBA2"/>
    <w:rsid w:val="38C10FE8"/>
    <w:rsid w:val="38C2F129"/>
    <w:rsid w:val="38C58ABE"/>
    <w:rsid w:val="38C6E324"/>
    <w:rsid w:val="38C8EDE1"/>
    <w:rsid w:val="38D41F75"/>
    <w:rsid w:val="38D8BD7C"/>
    <w:rsid w:val="38DA4ADA"/>
    <w:rsid w:val="38E25279"/>
    <w:rsid w:val="38E8DC8F"/>
    <w:rsid w:val="38EAD3B4"/>
    <w:rsid w:val="38EF8E74"/>
    <w:rsid w:val="38EFEB62"/>
    <w:rsid w:val="38FDB470"/>
    <w:rsid w:val="390A7BFE"/>
    <w:rsid w:val="390B0D56"/>
    <w:rsid w:val="39106996"/>
    <w:rsid w:val="3912C164"/>
    <w:rsid w:val="39143E87"/>
    <w:rsid w:val="39198E5D"/>
    <w:rsid w:val="391C08F5"/>
    <w:rsid w:val="391EAA7A"/>
    <w:rsid w:val="392526FA"/>
    <w:rsid w:val="39275A7F"/>
    <w:rsid w:val="39276439"/>
    <w:rsid w:val="39299DD1"/>
    <w:rsid w:val="392B030B"/>
    <w:rsid w:val="3930115E"/>
    <w:rsid w:val="3930D617"/>
    <w:rsid w:val="39329E8D"/>
    <w:rsid w:val="3936617B"/>
    <w:rsid w:val="3938A134"/>
    <w:rsid w:val="393C8D31"/>
    <w:rsid w:val="393EFA06"/>
    <w:rsid w:val="3949E373"/>
    <w:rsid w:val="3950ECD3"/>
    <w:rsid w:val="3956220B"/>
    <w:rsid w:val="39595ECE"/>
    <w:rsid w:val="39598D99"/>
    <w:rsid w:val="39641911"/>
    <w:rsid w:val="3966278C"/>
    <w:rsid w:val="396A12C1"/>
    <w:rsid w:val="396E5323"/>
    <w:rsid w:val="397644E0"/>
    <w:rsid w:val="39782A20"/>
    <w:rsid w:val="397ABCA4"/>
    <w:rsid w:val="397B00CC"/>
    <w:rsid w:val="397C9F0B"/>
    <w:rsid w:val="397DFFD5"/>
    <w:rsid w:val="3981CAF7"/>
    <w:rsid w:val="398AE129"/>
    <w:rsid w:val="398CA355"/>
    <w:rsid w:val="39990C2F"/>
    <w:rsid w:val="399D0857"/>
    <w:rsid w:val="39A4924E"/>
    <w:rsid w:val="39A79857"/>
    <w:rsid w:val="39A948B7"/>
    <w:rsid w:val="39AA42F8"/>
    <w:rsid w:val="39AE9122"/>
    <w:rsid w:val="39BD2ACC"/>
    <w:rsid w:val="39C5E6C0"/>
    <w:rsid w:val="39C6FE42"/>
    <w:rsid w:val="39C737EB"/>
    <w:rsid w:val="39C91CD0"/>
    <w:rsid w:val="39CE6564"/>
    <w:rsid w:val="39D31126"/>
    <w:rsid w:val="39D5E419"/>
    <w:rsid w:val="39D6E393"/>
    <w:rsid w:val="39D75B6F"/>
    <w:rsid w:val="39DB5B4E"/>
    <w:rsid w:val="39DF6611"/>
    <w:rsid w:val="39E3B5B9"/>
    <w:rsid w:val="39E5621C"/>
    <w:rsid w:val="39E56497"/>
    <w:rsid w:val="39E5BE1B"/>
    <w:rsid w:val="39E70463"/>
    <w:rsid w:val="39E7C01E"/>
    <w:rsid w:val="39E8EFEB"/>
    <w:rsid w:val="39EA3454"/>
    <w:rsid w:val="39EB6846"/>
    <w:rsid w:val="39EE19B2"/>
    <w:rsid w:val="39EF6B23"/>
    <w:rsid w:val="39EFE5B0"/>
    <w:rsid w:val="39F715B6"/>
    <w:rsid w:val="39F7C119"/>
    <w:rsid w:val="39F7F940"/>
    <w:rsid w:val="39F956E2"/>
    <w:rsid w:val="39FD8668"/>
    <w:rsid w:val="39FFC7A3"/>
    <w:rsid w:val="39FFC9DC"/>
    <w:rsid w:val="3A054B7F"/>
    <w:rsid w:val="3A1098AA"/>
    <w:rsid w:val="3A11E99C"/>
    <w:rsid w:val="3A1714EA"/>
    <w:rsid w:val="3A18146E"/>
    <w:rsid w:val="3A18B413"/>
    <w:rsid w:val="3A18E7CB"/>
    <w:rsid w:val="3A1B90D0"/>
    <w:rsid w:val="3A2238EB"/>
    <w:rsid w:val="3A226D5F"/>
    <w:rsid w:val="3A2506FE"/>
    <w:rsid w:val="3A279131"/>
    <w:rsid w:val="3A28114C"/>
    <w:rsid w:val="3A288DBA"/>
    <w:rsid w:val="3A2950F2"/>
    <w:rsid w:val="3A2A27AE"/>
    <w:rsid w:val="3A2D36D2"/>
    <w:rsid w:val="3A2F6719"/>
    <w:rsid w:val="3A374096"/>
    <w:rsid w:val="3A3931A5"/>
    <w:rsid w:val="3A45A90A"/>
    <w:rsid w:val="3A462C50"/>
    <w:rsid w:val="3A4B1A72"/>
    <w:rsid w:val="3A4BBCE4"/>
    <w:rsid w:val="3A4D7737"/>
    <w:rsid w:val="3A5264EA"/>
    <w:rsid w:val="3A532031"/>
    <w:rsid w:val="3A55BF98"/>
    <w:rsid w:val="3A55F302"/>
    <w:rsid w:val="3A56C040"/>
    <w:rsid w:val="3A56E2B8"/>
    <w:rsid w:val="3A5870DB"/>
    <w:rsid w:val="3A5C8CC4"/>
    <w:rsid w:val="3A61FA33"/>
    <w:rsid w:val="3A65C77E"/>
    <w:rsid w:val="3A66137A"/>
    <w:rsid w:val="3A67265B"/>
    <w:rsid w:val="3A69D2D7"/>
    <w:rsid w:val="3A69F46E"/>
    <w:rsid w:val="3A6BD20E"/>
    <w:rsid w:val="3A6FF654"/>
    <w:rsid w:val="3A732E74"/>
    <w:rsid w:val="3A75AE52"/>
    <w:rsid w:val="3A7694B3"/>
    <w:rsid w:val="3A7847CB"/>
    <w:rsid w:val="3A7F33A8"/>
    <w:rsid w:val="3A850072"/>
    <w:rsid w:val="3A8A036F"/>
    <w:rsid w:val="3A8F4DE0"/>
    <w:rsid w:val="3A901DC6"/>
    <w:rsid w:val="3A970C8F"/>
    <w:rsid w:val="3A9D2575"/>
    <w:rsid w:val="3A9E620A"/>
    <w:rsid w:val="3A9EF681"/>
    <w:rsid w:val="3A9F3038"/>
    <w:rsid w:val="3AA823B4"/>
    <w:rsid w:val="3AADE428"/>
    <w:rsid w:val="3AAFB3E5"/>
    <w:rsid w:val="3AB0751B"/>
    <w:rsid w:val="3AB1B701"/>
    <w:rsid w:val="3AB38939"/>
    <w:rsid w:val="3AB4E202"/>
    <w:rsid w:val="3AB662D0"/>
    <w:rsid w:val="3AB78DAD"/>
    <w:rsid w:val="3AB895EA"/>
    <w:rsid w:val="3ABD280B"/>
    <w:rsid w:val="3ABD7E5E"/>
    <w:rsid w:val="3AC3833F"/>
    <w:rsid w:val="3AC3CFB1"/>
    <w:rsid w:val="3AC4AB5A"/>
    <w:rsid w:val="3AC4B83B"/>
    <w:rsid w:val="3AC57CE0"/>
    <w:rsid w:val="3AC6B451"/>
    <w:rsid w:val="3AC70201"/>
    <w:rsid w:val="3ACC0991"/>
    <w:rsid w:val="3AD885C2"/>
    <w:rsid w:val="3AD97574"/>
    <w:rsid w:val="3ADBB78C"/>
    <w:rsid w:val="3ADE49A9"/>
    <w:rsid w:val="3AE0E1C6"/>
    <w:rsid w:val="3AE59706"/>
    <w:rsid w:val="3AEA106C"/>
    <w:rsid w:val="3AF7A33F"/>
    <w:rsid w:val="3AF91496"/>
    <w:rsid w:val="3AFA1507"/>
    <w:rsid w:val="3B03265B"/>
    <w:rsid w:val="3B12BC28"/>
    <w:rsid w:val="3B1590EF"/>
    <w:rsid w:val="3B185065"/>
    <w:rsid w:val="3B1DDDFA"/>
    <w:rsid w:val="3B1F1F6A"/>
    <w:rsid w:val="3B26BA6B"/>
    <w:rsid w:val="3B2A2F7D"/>
    <w:rsid w:val="3B2BE13D"/>
    <w:rsid w:val="3B31C4B8"/>
    <w:rsid w:val="3B345E84"/>
    <w:rsid w:val="3B3760C4"/>
    <w:rsid w:val="3B39542D"/>
    <w:rsid w:val="3B406E06"/>
    <w:rsid w:val="3B456135"/>
    <w:rsid w:val="3B49B8F6"/>
    <w:rsid w:val="3B4C7EFA"/>
    <w:rsid w:val="3B50CD39"/>
    <w:rsid w:val="3B51F0FB"/>
    <w:rsid w:val="3B564D59"/>
    <w:rsid w:val="3B57190C"/>
    <w:rsid w:val="3B57915B"/>
    <w:rsid w:val="3B57D0B7"/>
    <w:rsid w:val="3B5E573A"/>
    <w:rsid w:val="3B62C760"/>
    <w:rsid w:val="3B63FDFD"/>
    <w:rsid w:val="3B641BA5"/>
    <w:rsid w:val="3B649DE1"/>
    <w:rsid w:val="3B679EE7"/>
    <w:rsid w:val="3B68899C"/>
    <w:rsid w:val="3B68F516"/>
    <w:rsid w:val="3B69D06A"/>
    <w:rsid w:val="3B6CD304"/>
    <w:rsid w:val="3B70A76E"/>
    <w:rsid w:val="3B748D57"/>
    <w:rsid w:val="3B77F1F2"/>
    <w:rsid w:val="3B78213D"/>
    <w:rsid w:val="3B7AE402"/>
    <w:rsid w:val="3B7E6D73"/>
    <w:rsid w:val="3B824AF7"/>
    <w:rsid w:val="3B84FCCE"/>
    <w:rsid w:val="3B854422"/>
    <w:rsid w:val="3B885C5E"/>
    <w:rsid w:val="3B929E1C"/>
    <w:rsid w:val="3B934DD4"/>
    <w:rsid w:val="3B96B537"/>
    <w:rsid w:val="3B9A5E40"/>
    <w:rsid w:val="3B9BF3B7"/>
    <w:rsid w:val="3BA30F0D"/>
    <w:rsid w:val="3BA35CCB"/>
    <w:rsid w:val="3BAB0556"/>
    <w:rsid w:val="3BABC0E2"/>
    <w:rsid w:val="3BABD2B5"/>
    <w:rsid w:val="3BAC5EBA"/>
    <w:rsid w:val="3BADE181"/>
    <w:rsid w:val="3BAE849F"/>
    <w:rsid w:val="3BB01731"/>
    <w:rsid w:val="3BB78A46"/>
    <w:rsid w:val="3BBEFD98"/>
    <w:rsid w:val="3BCB0AC6"/>
    <w:rsid w:val="3BCFFACA"/>
    <w:rsid w:val="3BD339FE"/>
    <w:rsid w:val="3BD6E274"/>
    <w:rsid w:val="3BD71BAF"/>
    <w:rsid w:val="3BDB0802"/>
    <w:rsid w:val="3BDE3078"/>
    <w:rsid w:val="3BE009D7"/>
    <w:rsid w:val="3BE4C99B"/>
    <w:rsid w:val="3BE617C1"/>
    <w:rsid w:val="3BE724BD"/>
    <w:rsid w:val="3BEA3D39"/>
    <w:rsid w:val="3BEAD437"/>
    <w:rsid w:val="3BEC55A7"/>
    <w:rsid w:val="3BED70DF"/>
    <w:rsid w:val="3BEE6D28"/>
    <w:rsid w:val="3BEF12BE"/>
    <w:rsid w:val="3BEF1477"/>
    <w:rsid w:val="3BF0DA44"/>
    <w:rsid w:val="3BF20607"/>
    <w:rsid w:val="3BF98603"/>
    <w:rsid w:val="3BFC1600"/>
    <w:rsid w:val="3C00C3F7"/>
    <w:rsid w:val="3C0308B7"/>
    <w:rsid w:val="3C03DB8F"/>
    <w:rsid w:val="3C050D97"/>
    <w:rsid w:val="3C0622D3"/>
    <w:rsid w:val="3C0CEF9E"/>
    <w:rsid w:val="3C110A70"/>
    <w:rsid w:val="3C1296AB"/>
    <w:rsid w:val="3C1474C8"/>
    <w:rsid w:val="3C155378"/>
    <w:rsid w:val="3C15880E"/>
    <w:rsid w:val="3C189502"/>
    <w:rsid w:val="3C2498D7"/>
    <w:rsid w:val="3C24A7F9"/>
    <w:rsid w:val="3C25365F"/>
    <w:rsid w:val="3C28C06D"/>
    <w:rsid w:val="3C2A5C82"/>
    <w:rsid w:val="3C2B635D"/>
    <w:rsid w:val="3C2F0C16"/>
    <w:rsid w:val="3C30786B"/>
    <w:rsid w:val="3C308961"/>
    <w:rsid w:val="3C3226E0"/>
    <w:rsid w:val="3C33FBB5"/>
    <w:rsid w:val="3C37CB20"/>
    <w:rsid w:val="3C394994"/>
    <w:rsid w:val="3C398DAA"/>
    <w:rsid w:val="3C3B6A19"/>
    <w:rsid w:val="3C3C5193"/>
    <w:rsid w:val="3C42473E"/>
    <w:rsid w:val="3C42E305"/>
    <w:rsid w:val="3C511141"/>
    <w:rsid w:val="3C516F5C"/>
    <w:rsid w:val="3C54A272"/>
    <w:rsid w:val="3C550E90"/>
    <w:rsid w:val="3C5F75D1"/>
    <w:rsid w:val="3C6117FE"/>
    <w:rsid w:val="3C6802E4"/>
    <w:rsid w:val="3C6FF7B0"/>
    <w:rsid w:val="3C82E46E"/>
    <w:rsid w:val="3C8995F5"/>
    <w:rsid w:val="3C8A62D4"/>
    <w:rsid w:val="3C8E0298"/>
    <w:rsid w:val="3C8E9685"/>
    <w:rsid w:val="3C90CBA7"/>
    <w:rsid w:val="3C934F07"/>
    <w:rsid w:val="3C947639"/>
    <w:rsid w:val="3C98BD6B"/>
    <w:rsid w:val="3C9AD6E1"/>
    <w:rsid w:val="3C9E0FFD"/>
    <w:rsid w:val="3C9EDEF6"/>
    <w:rsid w:val="3CA1D54B"/>
    <w:rsid w:val="3CA4D0EB"/>
    <w:rsid w:val="3CA78C08"/>
    <w:rsid w:val="3CAA51B1"/>
    <w:rsid w:val="3CAC4B00"/>
    <w:rsid w:val="3CB0ABEA"/>
    <w:rsid w:val="3CB1FED8"/>
    <w:rsid w:val="3CB544D3"/>
    <w:rsid w:val="3CB64166"/>
    <w:rsid w:val="3CB80AEB"/>
    <w:rsid w:val="3CBB7B95"/>
    <w:rsid w:val="3CBFD0FE"/>
    <w:rsid w:val="3CC7831C"/>
    <w:rsid w:val="3CCC6463"/>
    <w:rsid w:val="3CD0B8D2"/>
    <w:rsid w:val="3CD85B8F"/>
    <w:rsid w:val="3CDB0184"/>
    <w:rsid w:val="3CDCF3DE"/>
    <w:rsid w:val="3CDE0AB2"/>
    <w:rsid w:val="3CE2186D"/>
    <w:rsid w:val="3CE26775"/>
    <w:rsid w:val="3CE467E4"/>
    <w:rsid w:val="3CE8826D"/>
    <w:rsid w:val="3CF38737"/>
    <w:rsid w:val="3CF44ED5"/>
    <w:rsid w:val="3CF80902"/>
    <w:rsid w:val="3CF86B2A"/>
    <w:rsid w:val="3CF9B782"/>
    <w:rsid w:val="3CFA6901"/>
    <w:rsid w:val="3CFEE053"/>
    <w:rsid w:val="3D0152C3"/>
    <w:rsid w:val="3D07C5E4"/>
    <w:rsid w:val="3D0FC8FC"/>
    <w:rsid w:val="3D111515"/>
    <w:rsid w:val="3D185C5A"/>
    <w:rsid w:val="3D1A3748"/>
    <w:rsid w:val="3D1B208E"/>
    <w:rsid w:val="3D1C18EF"/>
    <w:rsid w:val="3D1C2A12"/>
    <w:rsid w:val="3D20AD05"/>
    <w:rsid w:val="3D2271C5"/>
    <w:rsid w:val="3D26ED62"/>
    <w:rsid w:val="3D27E5EC"/>
    <w:rsid w:val="3D29EDA2"/>
    <w:rsid w:val="3D2B67EC"/>
    <w:rsid w:val="3D2FA8F0"/>
    <w:rsid w:val="3D34C874"/>
    <w:rsid w:val="3D38BD4B"/>
    <w:rsid w:val="3D41E289"/>
    <w:rsid w:val="3D430C22"/>
    <w:rsid w:val="3D45FB84"/>
    <w:rsid w:val="3D4623FB"/>
    <w:rsid w:val="3D4691E6"/>
    <w:rsid w:val="3D488A67"/>
    <w:rsid w:val="3D49B4AF"/>
    <w:rsid w:val="3D4B569E"/>
    <w:rsid w:val="3D4C38A7"/>
    <w:rsid w:val="3D4CC4EC"/>
    <w:rsid w:val="3D4F9F96"/>
    <w:rsid w:val="3D5260AF"/>
    <w:rsid w:val="3D55D363"/>
    <w:rsid w:val="3D57F57C"/>
    <w:rsid w:val="3D5B930F"/>
    <w:rsid w:val="3D65F650"/>
    <w:rsid w:val="3D6830CD"/>
    <w:rsid w:val="3D6FE95E"/>
    <w:rsid w:val="3D76791E"/>
    <w:rsid w:val="3D76A8BF"/>
    <w:rsid w:val="3D78A64B"/>
    <w:rsid w:val="3D7C7B1F"/>
    <w:rsid w:val="3D7D24A7"/>
    <w:rsid w:val="3D81A110"/>
    <w:rsid w:val="3D882F69"/>
    <w:rsid w:val="3D8F7451"/>
    <w:rsid w:val="3D935A3E"/>
    <w:rsid w:val="3D94884F"/>
    <w:rsid w:val="3D96F181"/>
    <w:rsid w:val="3D98991B"/>
    <w:rsid w:val="3D9969BF"/>
    <w:rsid w:val="3D99AF65"/>
    <w:rsid w:val="3D9C1BB1"/>
    <w:rsid w:val="3D9CAA55"/>
    <w:rsid w:val="3DA80338"/>
    <w:rsid w:val="3DA937FD"/>
    <w:rsid w:val="3DAFC2E7"/>
    <w:rsid w:val="3DB58DC6"/>
    <w:rsid w:val="3DB5E37B"/>
    <w:rsid w:val="3DB93D15"/>
    <w:rsid w:val="3DC0D307"/>
    <w:rsid w:val="3DC1B3D0"/>
    <w:rsid w:val="3DC3601B"/>
    <w:rsid w:val="3DC3B2CE"/>
    <w:rsid w:val="3DC62E14"/>
    <w:rsid w:val="3DC92463"/>
    <w:rsid w:val="3DC934FC"/>
    <w:rsid w:val="3DCBE4A1"/>
    <w:rsid w:val="3DCD0053"/>
    <w:rsid w:val="3DCD0687"/>
    <w:rsid w:val="3DCEB218"/>
    <w:rsid w:val="3DD0148D"/>
    <w:rsid w:val="3DD54C3D"/>
    <w:rsid w:val="3DDAE3C2"/>
    <w:rsid w:val="3DDDB500"/>
    <w:rsid w:val="3DE3AD5C"/>
    <w:rsid w:val="3DE9450B"/>
    <w:rsid w:val="3DED355F"/>
    <w:rsid w:val="3DEE6206"/>
    <w:rsid w:val="3DFF11A8"/>
    <w:rsid w:val="3E0A9A04"/>
    <w:rsid w:val="3E0B0832"/>
    <w:rsid w:val="3E10AA1C"/>
    <w:rsid w:val="3E13B871"/>
    <w:rsid w:val="3E179199"/>
    <w:rsid w:val="3E17DDAE"/>
    <w:rsid w:val="3E1F2836"/>
    <w:rsid w:val="3E257B54"/>
    <w:rsid w:val="3E26D8D3"/>
    <w:rsid w:val="3E289D21"/>
    <w:rsid w:val="3E2ADB6A"/>
    <w:rsid w:val="3E2E577C"/>
    <w:rsid w:val="3E31922F"/>
    <w:rsid w:val="3E33274A"/>
    <w:rsid w:val="3E33F3DA"/>
    <w:rsid w:val="3E3457C4"/>
    <w:rsid w:val="3E346910"/>
    <w:rsid w:val="3E359617"/>
    <w:rsid w:val="3E36626E"/>
    <w:rsid w:val="3E3833EC"/>
    <w:rsid w:val="3E38DE54"/>
    <w:rsid w:val="3E39F2CF"/>
    <w:rsid w:val="3E3A67D5"/>
    <w:rsid w:val="3E3E1DC8"/>
    <w:rsid w:val="3E46BDAA"/>
    <w:rsid w:val="3E4D42F1"/>
    <w:rsid w:val="3E54002C"/>
    <w:rsid w:val="3E5B5FC8"/>
    <w:rsid w:val="3E5E729E"/>
    <w:rsid w:val="3E6C347A"/>
    <w:rsid w:val="3E6CCEFC"/>
    <w:rsid w:val="3E7473BD"/>
    <w:rsid w:val="3E76DFE0"/>
    <w:rsid w:val="3E77C397"/>
    <w:rsid w:val="3E7C3D77"/>
    <w:rsid w:val="3E7D7BEE"/>
    <w:rsid w:val="3E7E9284"/>
    <w:rsid w:val="3E82BF9A"/>
    <w:rsid w:val="3E84A752"/>
    <w:rsid w:val="3E8793D6"/>
    <w:rsid w:val="3E88F862"/>
    <w:rsid w:val="3E8B6DAF"/>
    <w:rsid w:val="3E8C3D7A"/>
    <w:rsid w:val="3E8FCB3C"/>
    <w:rsid w:val="3E907638"/>
    <w:rsid w:val="3E90CB56"/>
    <w:rsid w:val="3E962EE9"/>
    <w:rsid w:val="3E9A211E"/>
    <w:rsid w:val="3E9D58A1"/>
    <w:rsid w:val="3EABB2F5"/>
    <w:rsid w:val="3EAD891E"/>
    <w:rsid w:val="3EB20021"/>
    <w:rsid w:val="3EB3CAE0"/>
    <w:rsid w:val="3EB96925"/>
    <w:rsid w:val="3EBA3E80"/>
    <w:rsid w:val="3EBEA31E"/>
    <w:rsid w:val="3EBEA922"/>
    <w:rsid w:val="3EBFC467"/>
    <w:rsid w:val="3EC2BAFC"/>
    <w:rsid w:val="3EC62E6F"/>
    <w:rsid w:val="3EC7E84D"/>
    <w:rsid w:val="3EC8CA99"/>
    <w:rsid w:val="3ECA7F49"/>
    <w:rsid w:val="3ECA9B54"/>
    <w:rsid w:val="3ECC8574"/>
    <w:rsid w:val="3ECE3317"/>
    <w:rsid w:val="3ED16359"/>
    <w:rsid w:val="3ED9293F"/>
    <w:rsid w:val="3EDAACED"/>
    <w:rsid w:val="3EE1B341"/>
    <w:rsid w:val="3EE47540"/>
    <w:rsid w:val="3EE610BC"/>
    <w:rsid w:val="3EEA3FA9"/>
    <w:rsid w:val="3EF70E4F"/>
    <w:rsid w:val="3EFB9702"/>
    <w:rsid w:val="3F002B01"/>
    <w:rsid w:val="3F037DDE"/>
    <w:rsid w:val="3F05A90D"/>
    <w:rsid w:val="3F0AD567"/>
    <w:rsid w:val="3F0AE784"/>
    <w:rsid w:val="3F0C1968"/>
    <w:rsid w:val="3F0EC6C2"/>
    <w:rsid w:val="3F104DA1"/>
    <w:rsid w:val="3F1102B7"/>
    <w:rsid w:val="3F1110A1"/>
    <w:rsid w:val="3F1144A2"/>
    <w:rsid w:val="3F137B69"/>
    <w:rsid w:val="3F16193E"/>
    <w:rsid w:val="3F17E447"/>
    <w:rsid w:val="3F197432"/>
    <w:rsid w:val="3F1BAA19"/>
    <w:rsid w:val="3F1E7481"/>
    <w:rsid w:val="3F2047A3"/>
    <w:rsid w:val="3F205094"/>
    <w:rsid w:val="3F235ED3"/>
    <w:rsid w:val="3F23C43C"/>
    <w:rsid w:val="3F244F95"/>
    <w:rsid w:val="3F252E87"/>
    <w:rsid w:val="3F2A5CC4"/>
    <w:rsid w:val="3F2B183B"/>
    <w:rsid w:val="3F2BF282"/>
    <w:rsid w:val="3F2DD197"/>
    <w:rsid w:val="3F341477"/>
    <w:rsid w:val="3F34F0A6"/>
    <w:rsid w:val="3F3514B0"/>
    <w:rsid w:val="3F380601"/>
    <w:rsid w:val="3F38561F"/>
    <w:rsid w:val="3F4193E6"/>
    <w:rsid w:val="3F44443B"/>
    <w:rsid w:val="3F49ABDE"/>
    <w:rsid w:val="3F4A4BC5"/>
    <w:rsid w:val="3F5007A1"/>
    <w:rsid w:val="3F537FAD"/>
    <w:rsid w:val="3F54B61C"/>
    <w:rsid w:val="3F55409F"/>
    <w:rsid w:val="3F57EDFF"/>
    <w:rsid w:val="3F59217E"/>
    <w:rsid w:val="3F5BC03D"/>
    <w:rsid w:val="3F5E3AE8"/>
    <w:rsid w:val="3F5FAA47"/>
    <w:rsid w:val="3F63FDCC"/>
    <w:rsid w:val="3F6533CB"/>
    <w:rsid w:val="3F69D3E1"/>
    <w:rsid w:val="3F6ABEBB"/>
    <w:rsid w:val="3F72CBC0"/>
    <w:rsid w:val="3F75EB26"/>
    <w:rsid w:val="3F75FEDB"/>
    <w:rsid w:val="3F7C5011"/>
    <w:rsid w:val="3F817CBC"/>
    <w:rsid w:val="3F9350D2"/>
    <w:rsid w:val="3F958191"/>
    <w:rsid w:val="3F994140"/>
    <w:rsid w:val="3F9B9D61"/>
    <w:rsid w:val="3F9BF952"/>
    <w:rsid w:val="3F9E5F77"/>
    <w:rsid w:val="3FA65EAC"/>
    <w:rsid w:val="3FA8E6EE"/>
    <w:rsid w:val="3FA91882"/>
    <w:rsid w:val="3FA96280"/>
    <w:rsid w:val="3FA9EFFA"/>
    <w:rsid w:val="3FAFF310"/>
    <w:rsid w:val="3FB042CA"/>
    <w:rsid w:val="3FB67176"/>
    <w:rsid w:val="3FB67E5A"/>
    <w:rsid w:val="3FB8C093"/>
    <w:rsid w:val="3FBA20DA"/>
    <w:rsid w:val="3FBB5485"/>
    <w:rsid w:val="3FBED189"/>
    <w:rsid w:val="3FBEF48F"/>
    <w:rsid w:val="3FBF9CAA"/>
    <w:rsid w:val="3FBFC029"/>
    <w:rsid w:val="3FC15E7D"/>
    <w:rsid w:val="3FC9F2C1"/>
    <w:rsid w:val="3FCA749D"/>
    <w:rsid w:val="3FCB844C"/>
    <w:rsid w:val="3FCBD295"/>
    <w:rsid w:val="3FD5F06E"/>
    <w:rsid w:val="3FD856A7"/>
    <w:rsid w:val="3FDA9A99"/>
    <w:rsid w:val="3FDC65D9"/>
    <w:rsid w:val="3FE169DD"/>
    <w:rsid w:val="3FE16DB4"/>
    <w:rsid w:val="3FE4B79C"/>
    <w:rsid w:val="3FE529C6"/>
    <w:rsid w:val="3FE54A94"/>
    <w:rsid w:val="3FE73BA5"/>
    <w:rsid w:val="3FED42D6"/>
    <w:rsid w:val="3FF320D7"/>
    <w:rsid w:val="3FF89DEE"/>
    <w:rsid w:val="3FFEF77C"/>
    <w:rsid w:val="400211F1"/>
    <w:rsid w:val="40021DFA"/>
    <w:rsid w:val="40070C54"/>
    <w:rsid w:val="4009ECE5"/>
    <w:rsid w:val="400B09E4"/>
    <w:rsid w:val="400BE833"/>
    <w:rsid w:val="4015803E"/>
    <w:rsid w:val="4017C7E3"/>
    <w:rsid w:val="4017E10E"/>
    <w:rsid w:val="401BEC5B"/>
    <w:rsid w:val="401EE9E8"/>
    <w:rsid w:val="40245A16"/>
    <w:rsid w:val="402505BA"/>
    <w:rsid w:val="402842F5"/>
    <w:rsid w:val="4030398C"/>
    <w:rsid w:val="40366BAF"/>
    <w:rsid w:val="40374461"/>
    <w:rsid w:val="4038C48C"/>
    <w:rsid w:val="403E9916"/>
    <w:rsid w:val="40433774"/>
    <w:rsid w:val="4044FA7C"/>
    <w:rsid w:val="4048DD7A"/>
    <w:rsid w:val="404B9780"/>
    <w:rsid w:val="404DC554"/>
    <w:rsid w:val="404E86BF"/>
    <w:rsid w:val="405033F0"/>
    <w:rsid w:val="40528B60"/>
    <w:rsid w:val="4052B972"/>
    <w:rsid w:val="40540219"/>
    <w:rsid w:val="40570A00"/>
    <w:rsid w:val="405A1175"/>
    <w:rsid w:val="405C66A9"/>
    <w:rsid w:val="406725A7"/>
    <w:rsid w:val="406B795C"/>
    <w:rsid w:val="406CF718"/>
    <w:rsid w:val="4071E590"/>
    <w:rsid w:val="40757C2C"/>
    <w:rsid w:val="40759560"/>
    <w:rsid w:val="407625EE"/>
    <w:rsid w:val="40813B7F"/>
    <w:rsid w:val="4081B2BB"/>
    <w:rsid w:val="4082922B"/>
    <w:rsid w:val="4083701C"/>
    <w:rsid w:val="408597CA"/>
    <w:rsid w:val="408BBD84"/>
    <w:rsid w:val="408D9179"/>
    <w:rsid w:val="40929B10"/>
    <w:rsid w:val="4092EF5A"/>
    <w:rsid w:val="40988FB1"/>
    <w:rsid w:val="409BE634"/>
    <w:rsid w:val="409D71F5"/>
    <w:rsid w:val="40A230BF"/>
    <w:rsid w:val="40A29160"/>
    <w:rsid w:val="40A456B0"/>
    <w:rsid w:val="40A60161"/>
    <w:rsid w:val="40A85E7A"/>
    <w:rsid w:val="40AA3CB9"/>
    <w:rsid w:val="40ACD548"/>
    <w:rsid w:val="40AE3F43"/>
    <w:rsid w:val="40B29B46"/>
    <w:rsid w:val="40B4AD00"/>
    <w:rsid w:val="40BAA1AD"/>
    <w:rsid w:val="40BC37B9"/>
    <w:rsid w:val="40BC6851"/>
    <w:rsid w:val="40C2678C"/>
    <w:rsid w:val="40C46BDB"/>
    <w:rsid w:val="40C60291"/>
    <w:rsid w:val="40C7A05E"/>
    <w:rsid w:val="40CB90BE"/>
    <w:rsid w:val="40CCCE26"/>
    <w:rsid w:val="40D25AF9"/>
    <w:rsid w:val="40D49695"/>
    <w:rsid w:val="40D6F848"/>
    <w:rsid w:val="40D8BD7C"/>
    <w:rsid w:val="40D9DB82"/>
    <w:rsid w:val="40DC9203"/>
    <w:rsid w:val="40DDC543"/>
    <w:rsid w:val="40DF9F93"/>
    <w:rsid w:val="40E47545"/>
    <w:rsid w:val="40E8C6CD"/>
    <w:rsid w:val="40E9EA59"/>
    <w:rsid w:val="40EA56EA"/>
    <w:rsid w:val="40ECF6D3"/>
    <w:rsid w:val="40F2659D"/>
    <w:rsid w:val="41007911"/>
    <w:rsid w:val="410829FD"/>
    <w:rsid w:val="410AC293"/>
    <w:rsid w:val="410C26E2"/>
    <w:rsid w:val="4113F2A7"/>
    <w:rsid w:val="4116E479"/>
    <w:rsid w:val="41206628"/>
    <w:rsid w:val="412EF9EA"/>
    <w:rsid w:val="41354671"/>
    <w:rsid w:val="413762B1"/>
    <w:rsid w:val="4137B030"/>
    <w:rsid w:val="41399652"/>
    <w:rsid w:val="413A4134"/>
    <w:rsid w:val="413B07EC"/>
    <w:rsid w:val="414562AF"/>
    <w:rsid w:val="4148347A"/>
    <w:rsid w:val="4150A38C"/>
    <w:rsid w:val="4151150A"/>
    <w:rsid w:val="4153E0A1"/>
    <w:rsid w:val="4164ECE5"/>
    <w:rsid w:val="41699D1E"/>
    <w:rsid w:val="416AFC68"/>
    <w:rsid w:val="416CC512"/>
    <w:rsid w:val="416CCD61"/>
    <w:rsid w:val="416DB812"/>
    <w:rsid w:val="416E0D54"/>
    <w:rsid w:val="417DA8DC"/>
    <w:rsid w:val="41873614"/>
    <w:rsid w:val="41899148"/>
    <w:rsid w:val="4189D363"/>
    <w:rsid w:val="418CDCDA"/>
    <w:rsid w:val="418DFF14"/>
    <w:rsid w:val="418F72CC"/>
    <w:rsid w:val="4194C54C"/>
    <w:rsid w:val="4197A92D"/>
    <w:rsid w:val="4199FD56"/>
    <w:rsid w:val="419CE8EB"/>
    <w:rsid w:val="419D2485"/>
    <w:rsid w:val="419D5FC3"/>
    <w:rsid w:val="419E8B49"/>
    <w:rsid w:val="419F87C6"/>
    <w:rsid w:val="41A2E89A"/>
    <w:rsid w:val="41A44737"/>
    <w:rsid w:val="41A81392"/>
    <w:rsid w:val="41A9B2C3"/>
    <w:rsid w:val="41AD06C4"/>
    <w:rsid w:val="41B3846C"/>
    <w:rsid w:val="41B41484"/>
    <w:rsid w:val="41C78594"/>
    <w:rsid w:val="41CC2BE5"/>
    <w:rsid w:val="41CC4729"/>
    <w:rsid w:val="41D5EBFC"/>
    <w:rsid w:val="41D7B411"/>
    <w:rsid w:val="41D8BF6F"/>
    <w:rsid w:val="41DA3BEF"/>
    <w:rsid w:val="41DDA3E9"/>
    <w:rsid w:val="41E405DF"/>
    <w:rsid w:val="41E42974"/>
    <w:rsid w:val="41E4652C"/>
    <w:rsid w:val="41EA814D"/>
    <w:rsid w:val="41EC6C21"/>
    <w:rsid w:val="41EF783B"/>
    <w:rsid w:val="41F51F5B"/>
    <w:rsid w:val="41FC30C2"/>
    <w:rsid w:val="420CF6A4"/>
    <w:rsid w:val="42110193"/>
    <w:rsid w:val="421111E6"/>
    <w:rsid w:val="4213F900"/>
    <w:rsid w:val="42196E90"/>
    <w:rsid w:val="421C367C"/>
    <w:rsid w:val="4225304D"/>
    <w:rsid w:val="422C7B2F"/>
    <w:rsid w:val="422EDF4D"/>
    <w:rsid w:val="42307E73"/>
    <w:rsid w:val="42320698"/>
    <w:rsid w:val="42365837"/>
    <w:rsid w:val="42369110"/>
    <w:rsid w:val="4239596C"/>
    <w:rsid w:val="423B0697"/>
    <w:rsid w:val="4240203F"/>
    <w:rsid w:val="42423F11"/>
    <w:rsid w:val="4242EFC9"/>
    <w:rsid w:val="42445644"/>
    <w:rsid w:val="424908A3"/>
    <w:rsid w:val="4249FE58"/>
    <w:rsid w:val="424A52F7"/>
    <w:rsid w:val="42512BE5"/>
    <w:rsid w:val="4253ED0A"/>
    <w:rsid w:val="42564540"/>
    <w:rsid w:val="42568FCB"/>
    <w:rsid w:val="425721C5"/>
    <w:rsid w:val="425C0DB2"/>
    <w:rsid w:val="42620932"/>
    <w:rsid w:val="4264B149"/>
    <w:rsid w:val="42660C35"/>
    <w:rsid w:val="426B18E5"/>
    <w:rsid w:val="426E0C80"/>
    <w:rsid w:val="426EBA89"/>
    <w:rsid w:val="426F6CF3"/>
    <w:rsid w:val="427088EB"/>
    <w:rsid w:val="4271DB42"/>
    <w:rsid w:val="427B5905"/>
    <w:rsid w:val="427CA9FF"/>
    <w:rsid w:val="427DC9B0"/>
    <w:rsid w:val="427F8B2F"/>
    <w:rsid w:val="427F8BAE"/>
    <w:rsid w:val="4283CA17"/>
    <w:rsid w:val="4288948C"/>
    <w:rsid w:val="428FF964"/>
    <w:rsid w:val="429176F7"/>
    <w:rsid w:val="42918E8A"/>
    <w:rsid w:val="4291B9D2"/>
    <w:rsid w:val="42924075"/>
    <w:rsid w:val="42937C10"/>
    <w:rsid w:val="4294E59A"/>
    <w:rsid w:val="429DEBDA"/>
    <w:rsid w:val="42A3C0C4"/>
    <w:rsid w:val="42A988CD"/>
    <w:rsid w:val="42B269FE"/>
    <w:rsid w:val="42B8FFA4"/>
    <w:rsid w:val="42BB9179"/>
    <w:rsid w:val="42BD1D1C"/>
    <w:rsid w:val="42C3BC1F"/>
    <w:rsid w:val="42C57BC4"/>
    <w:rsid w:val="42CE204B"/>
    <w:rsid w:val="42D0928F"/>
    <w:rsid w:val="42D20D84"/>
    <w:rsid w:val="42D9270A"/>
    <w:rsid w:val="42DB44C0"/>
    <w:rsid w:val="42DBEB8F"/>
    <w:rsid w:val="42DF0ED2"/>
    <w:rsid w:val="42DF1AD7"/>
    <w:rsid w:val="42E2D6DD"/>
    <w:rsid w:val="42E34B9B"/>
    <w:rsid w:val="42E6E621"/>
    <w:rsid w:val="42EA46C5"/>
    <w:rsid w:val="42EC3820"/>
    <w:rsid w:val="42EE3128"/>
    <w:rsid w:val="42EE98A3"/>
    <w:rsid w:val="42EEF53C"/>
    <w:rsid w:val="42EFFA27"/>
    <w:rsid w:val="42F04055"/>
    <w:rsid w:val="42F33C88"/>
    <w:rsid w:val="42F42DFB"/>
    <w:rsid w:val="42F54510"/>
    <w:rsid w:val="42F86CCD"/>
    <w:rsid w:val="42F8CB8E"/>
    <w:rsid w:val="42F8EF8E"/>
    <w:rsid w:val="42F963E8"/>
    <w:rsid w:val="42FC760E"/>
    <w:rsid w:val="43016D9F"/>
    <w:rsid w:val="4301D32F"/>
    <w:rsid w:val="430297C7"/>
    <w:rsid w:val="4305CAF7"/>
    <w:rsid w:val="43075619"/>
    <w:rsid w:val="4309CB77"/>
    <w:rsid w:val="430D9E79"/>
    <w:rsid w:val="43109864"/>
    <w:rsid w:val="43112BC4"/>
    <w:rsid w:val="43146610"/>
    <w:rsid w:val="4316EB80"/>
    <w:rsid w:val="43184973"/>
    <w:rsid w:val="4318C78A"/>
    <w:rsid w:val="432A1329"/>
    <w:rsid w:val="432B5178"/>
    <w:rsid w:val="43327422"/>
    <w:rsid w:val="43349EFD"/>
    <w:rsid w:val="4336DB6C"/>
    <w:rsid w:val="43378185"/>
    <w:rsid w:val="433871B6"/>
    <w:rsid w:val="433CD87B"/>
    <w:rsid w:val="433E1869"/>
    <w:rsid w:val="4341AA5A"/>
    <w:rsid w:val="4342C622"/>
    <w:rsid w:val="4346E3C1"/>
    <w:rsid w:val="434FDAEB"/>
    <w:rsid w:val="4353E6FD"/>
    <w:rsid w:val="43547E11"/>
    <w:rsid w:val="4356961A"/>
    <w:rsid w:val="435CB93C"/>
    <w:rsid w:val="435DBFAA"/>
    <w:rsid w:val="435DE9A0"/>
    <w:rsid w:val="435F351B"/>
    <w:rsid w:val="4364B548"/>
    <w:rsid w:val="43665CCB"/>
    <w:rsid w:val="4369685D"/>
    <w:rsid w:val="436C9104"/>
    <w:rsid w:val="4373462D"/>
    <w:rsid w:val="437A8CD0"/>
    <w:rsid w:val="437AA358"/>
    <w:rsid w:val="437BE1A7"/>
    <w:rsid w:val="43835796"/>
    <w:rsid w:val="4386B537"/>
    <w:rsid w:val="4387F5DF"/>
    <w:rsid w:val="438AEFF2"/>
    <w:rsid w:val="438CC81D"/>
    <w:rsid w:val="438D6A43"/>
    <w:rsid w:val="43924799"/>
    <w:rsid w:val="439365C6"/>
    <w:rsid w:val="439705DD"/>
    <w:rsid w:val="43977FF5"/>
    <w:rsid w:val="43998488"/>
    <w:rsid w:val="439A1C04"/>
    <w:rsid w:val="439D40FA"/>
    <w:rsid w:val="439F5CC1"/>
    <w:rsid w:val="43A0E565"/>
    <w:rsid w:val="43A24D04"/>
    <w:rsid w:val="43A8937F"/>
    <w:rsid w:val="43AD257D"/>
    <w:rsid w:val="43AF7BAC"/>
    <w:rsid w:val="43B1A72C"/>
    <w:rsid w:val="43B435FE"/>
    <w:rsid w:val="43B696FE"/>
    <w:rsid w:val="43B7CEAA"/>
    <w:rsid w:val="43B8EF18"/>
    <w:rsid w:val="43BEA779"/>
    <w:rsid w:val="43C71F0F"/>
    <w:rsid w:val="43CBAEDA"/>
    <w:rsid w:val="43CE56CE"/>
    <w:rsid w:val="43D2C91D"/>
    <w:rsid w:val="43D9FAFC"/>
    <w:rsid w:val="43DDDAD9"/>
    <w:rsid w:val="43E17A82"/>
    <w:rsid w:val="43E95AB1"/>
    <w:rsid w:val="43EFC979"/>
    <w:rsid w:val="43F21143"/>
    <w:rsid w:val="43F3CB57"/>
    <w:rsid w:val="43FA89EB"/>
    <w:rsid w:val="4400785A"/>
    <w:rsid w:val="440A0212"/>
    <w:rsid w:val="440B98F4"/>
    <w:rsid w:val="440C867D"/>
    <w:rsid w:val="440F887A"/>
    <w:rsid w:val="44109B9B"/>
    <w:rsid w:val="44110F09"/>
    <w:rsid w:val="44258DB6"/>
    <w:rsid w:val="4428DB2C"/>
    <w:rsid w:val="442FD61E"/>
    <w:rsid w:val="44322BED"/>
    <w:rsid w:val="4435685A"/>
    <w:rsid w:val="44358BBF"/>
    <w:rsid w:val="44369093"/>
    <w:rsid w:val="44371FEB"/>
    <w:rsid w:val="44387304"/>
    <w:rsid w:val="443B3343"/>
    <w:rsid w:val="443F8790"/>
    <w:rsid w:val="44421463"/>
    <w:rsid w:val="4443AD9B"/>
    <w:rsid w:val="44470D6A"/>
    <w:rsid w:val="44474012"/>
    <w:rsid w:val="444BF0EE"/>
    <w:rsid w:val="444E040F"/>
    <w:rsid w:val="4455FAC4"/>
    <w:rsid w:val="4456E359"/>
    <w:rsid w:val="445A2384"/>
    <w:rsid w:val="445CB705"/>
    <w:rsid w:val="445D9924"/>
    <w:rsid w:val="445F50C7"/>
    <w:rsid w:val="446019D8"/>
    <w:rsid w:val="4466DE44"/>
    <w:rsid w:val="446B22D5"/>
    <w:rsid w:val="446CA7C8"/>
    <w:rsid w:val="446E4872"/>
    <w:rsid w:val="4475279B"/>
    <w:rsid w:val="4476EFA5"/>
    <w:rsid w:val="44784369"/>
    <w:rsid w:val="447BC3DB"/>
    <w:rsid w:val="4480179A"/>
    <w:rsid w:val="44811E97"/>
    <w:rsid w:val="4483B530"/>
    <w:rsid w:val="4487D6BE"/>
    <w:rsid w:val="44882434"/>
    <w:rsid w:val="448CF4C2"/>
    <w:rsid w:val="448F6E98"/>
    <w:rsid w:val="4493B00D"/>
    <w:rsid w:val="44981A59"/>
    <w:rsid w:val="449B1A08"/>
    <w:rsid w:val="449D8B0F"/>
    <w:rsid w:val="44A3971E"/>
    <w:rsid w:val="44A628C4"/>
    <w:rsid w:val="44A656DD"/>
    <w:rsid w:val="44A8150C"/>
    <w:rsid w:val="44A92D3B"/>
    <w:rsid w:val="44B18F85"/>
    <w:rsid w:val="44B24D45"/>
    <w:rsid w:val="44B306D0"/>
    <w:rsid w:val="44B464E4"/>
    <w:rsid w:val="44BC6C03"/>
    <w:rsid w:val="44BD3182"/>
    <w:rsid w:val="44C1B575"/>
    <w:rsid w:val="44C57ED0"/>
    <w:rsid w:val="44C88B7E"/>
    <w:rsid w:val="44C91D04"/>
    <w:rsid w:val="44D3902C"/>
    <w:rsid w:val="44D45E18"/>
    <w:rsid w:val="44D69B04"/>
    <w:rsid w:val="44D7A817"/>
    <w:rsid w:val="44D9912C"/>
    <w:rsid w:val="44DA4323"/>
    <w:rsid w:val="44DAB09C"/>
    <w:rsid w:val="44DB1F20"/>
    <w:rsid w:val="44DDAD5C"/>
    <w:rsid w:val="44DF9B21"/>
    <w:rsid w:val="44E20681"/>
    <w:rsid w:val="44E77CCB"/>
    <w:rsid w:val="44EC9A83"/>
    <w:rsid w:val="44F05EBC"/>
    <w:rsid w:val="44F14712"/>
    <w:rsid w:val="44F62C75"/>
    <w:rsid w:val="44F94B8C"/>
    <w:rsid w:val="44FA7405"/>
    <w:rsid w:val="44FBFCEA"/>
    <w:rsid w:val="44FF0A93"/>
    <w:rsid w:val="4501C0FC"/>
    <w:rsid w:val="45039CC5"/>
    <w:rsid w:val="4503DC29"/>
    <w:rsid w:val="4504799E"/>
    <w:rsid w:val="4504D441"/>
    <w:rsid w:val="4506F7CF"/>
    <w:rsid w:val="450B0D18"/>
    <w:rsid w:val="450D4CEA"/>
    <w:rsid w:val="4511345E"/>
    <w:rsid w:val="45143A87"/>
    <w:rsid w:val="45150A59"/>
    <w:rsid w:val="451630A1"/>
    <w:rsid w:val="45165B4E"/>
    <w:rsid w:val="45179BB1"/>
    <w:rsid w:val="4522B716"/>
    <w:rsid w:val="45232AC5"/>
    <w:rsid w:val="452CAC70"/>
    <w:rsid w:val="4530BBA9"/>
    <w:rsid w:val="45368345"/>
    <w:rsid w:val="453DB77D"/>
    <w:rsid w:val="4540527E"/>
    <w:rsid w:val="45407CE5"/>
    <w:rsid w:val="4543FB59"/>
    <w:rsid w:val="4547F90A"/>
    <w:rsid w:val="4549CAE8"/>
    <w:rsid w:val="454AFA25"/>
    <w:rsid w:val="4553185C"/>
    <w:rsid w:val="45536E78"/>
    <w:rsid w:val="455A86FC"/>
    <w:rsid w:val="456913DB"/>
    <w:rsid w:val="456C02AA"/>
    <w:rsid w:val="456D5F55"/>
    <w:rsid w:val="456D974E"/>
    <w:rsid w:val="456DFB37"/>
    <w:rsid w:val="456F5D56"/>
    <w:rsid w:val="457606EC"/>
    <w:rsid w:val="45792725"/>
    <w:rsid w:val="457D6FE8"/>
    <w:rsid w:val="4581925A"/>
    <w:rsid w:val="45850F0F"/>
    <w:rsid w:val="4589B585"/>
    <w:rsid w:val="458A1EC2"/>
    <w:rsid w:val="458EBD0D"/>
    <w:rsid w:val="458FBE87"/>
    <w:rsid w:val="4596A409"/>
    <w:rsid w:val="4597D192"/>
    <w:rsid w:val="459CFC84"/>
    <w:rsid w:val="45A1687B"/>
    <w:rsid w:val="45A45A52"/>
    <w:rsid w:val="45A4731A"/>
    <w:rsid w:val="45A49847"/>
    <w:rsid w:val="45AC9310"/>
    <w:rsid w:val="45AD3825"/>
    <w:rsid w:val="45AD9D2C"/>
    <w:rsid w:val="45AF28BD"/>
    <w:rsid w:val="45B019C7"/>
    <w:rsid w:val="45B43C95"/>
    <w:rsid w:val="45B486E4"/>
    <w:rsid w:val="45B7BF72"/>
    <w:rsid w:val="45BEDF06"/>
    <w:rsid w:val="45C3AFE5"/>
    <w:rsid w:val="45C66416"/>
    <w:rsid w:val="45C9EA70"/>
    <w:rsid w:val="45CF85FF"/>
    <w:rsid w:val="45D1E03A"/>
    <w:rsid w:val="45D3DBCE"/>
    <w:rsid w:val="45D5BEA3"/>
    <w:rsid w:val="45D7A27D"/>
    <w:rsid w:val="45DCA93F"/>
    <w:rsid w:val="45E0FBCC"/>
    <w:rsid w:val="45E1B18E"/>
    <w:rsid w:val="45E35A6A"/>
    <w:rsid w:val="45E828F8"/>
    <w:rsid w:val="45E85D6F"/>
    <w:rsid w:val="45EA31A9"/>
    <w:rsid w:val="45EDDE78"/>
    <w:rsid w:val="45FC09C2"/>
    <w:rsid w:val="46021217"/>
    <w:rsid w:val="46038077"/>
    <w:rsid w:val="46068763"/>
    <w:rsid w:val="4609CDE7"/>
    <w:rsid w:val="460D3040"/>
    <w:rsid w:val="460E81E6"/>
    <w:rsid w:val="4612F504"/>
    <w:rsid w:val="4617871C"/>
    <w:rsid w:val="4618986A"/>
    <w:rsid w:val="461EA48B"/>
    <w:rsid w:val="462026FF"/>
    <w:rsid w:val="462824CB"/>
    <w:rsid w:val="46397426"/>
    <w:rsid w:val="463BD3A4"/>
    <w:rsid w:val="463F46BB"/>
    <w:rsid w:val="4644C74D"/>
    <w:rsid w:val="46499E06"/>
    <w:rsid w:val="464BF26D"/>
    <w:rsid w:val="464D6900"/>
    <w:rsid w:val="46522208"/>
    <w:rsid w:val="4661E314"/>
    <w:rsid w:val="4664E8CB"/>
    <w:rsid w:val="46658335"/>
    <w:rsid w:val="4668C593"/>
    <w:rsid w:val="466B9D89"/>
    <w:rsid w:val="466D5B18"/>
    <w:rsid w:val="466F21AA"/>
    <w:rsid w:val="466F9A13"/>
    <w:rsid w:val="4673C626"/>
    <w:rsid w:val="46766B3B"/>
    <w:rsid w:val="46778C13"/>
    <w:rsid w:val="467C5709"/>
    <w:rsid w:val="467FC2C5"/>
    <w:rsid w:val="468879AB"/>
    <w:rsid w:val="46893E9E"/>
    <w:rsid w:val="468F5BDB"/>
    <w:rsid w:val="46942192"/>
    <w:rsid w:val="46A5C3B1"/>
    <w:rsid w:val="46A98A70"/>
    <w:rsid w:val="46AB54AD"/>
    <w:rsid w:val="46AD6F09"/>
    <w:rsid w:val="46AD8BC0"/>
    <w:rsid w:val="46BE943C"/>
    <w:rsid w:val="46C0FE0C"/>
    <w:rsid w:val="46C41000"/>
    <w:rsid w:val="46C4120F"/>
    <w:rsid w:val="46C6A9F7"/>
    <w:rsid w:val="46C8C625"/>
    <w:rsid w:val="46C9CD87"/>
    <w:rsid w:val="46D3F7FB"/>
    <w:rsid w:val="46D97D48"/>
    <w:rsid w:val="46DA42C4"/>
    <w:rsid w:val="46E3F9B2"/>
    <w:rsid w:val="46EE2CDD"/>
    <w:rsid w:val="46EF30BC"/>
    <w:rsid w:val="46F4FD59"/>
    <w:rsid w:val="46FAB6DC"/>
    <w:rsid w:val="46FCEEE9"/>
    <w:rsid w:val="47016E65"/>
    <w:rsid w:val="47044E0C"/>
    <w:rsid w:val="470A98E0"/>
    <w:rsid w:val="470AED5F"/>
    <w:rsid w:val="470EF661"/>
    <w:rsid w:val="47106CDE"/>
    <w:rsid w:val="4712D38C"/>
    <w:rsid w:val="4716D807"/>
    <w:rsid w:val="471E6B2E"/>
    <w:rsid w:val="4725D770"/>
    <w:rsid w:val="473230A3"/>
    <w:rsid w:val="47326B55"/>
    <w:rsid w:val="4733CA18"/>
    <w:rsid w:val="4734820C"/>
    <w:rsid w:val="47400902"/>
    <w:rsid w:val="47445793"/>
    <w:rsid w:val="474461DF"/>
    <w:rsid w:val="4745EAED"/>
    <w:rsid w:val="47473B54"/>
    <w:rsid w:val="475046BC"/>
    <w:rsid w:val="47521119"/>
    <w:rsid w:val="47564D7F"/>
    <w:rsid w:val="4759E8C3"/>
    <w:rsid w:val="475AE68D"/>
    <w:rsid w:val="475C3D8B"/>
    <w:rsid w:val="475CF825"/>
    <w:rsid w:val="475D2FB9"/>
    <w:rsid w:val="475F10DB"/>
    <w:rsid w:val="475FD0C5"/>
    <w:rsid w:val="47605183"/>
    <w:rsid w:val="4765DEBC"/>
    <w:rsid w:val="476765EF"/>
    <w:rsid w:val="476A8D70"/>
    <w:rsid w:val="476C80A1"/>
    <w:rsid w:val="476CCC4E"/>
    <w:rsid w:val="476E2D0E"/>
    <w:rsid w:val="476E37EB"/>
    <w:rsid w:val="477238B6"/>
    <w:rsid w:val="47745216"/>
    <w:rsid w:val="4778A47A"/>
    <w:rsid w:val="477F0158"/>
    <w:rsid w:val="47800623"/>
    <w:rsid w:val="47837172"/>
    <w:rsid w:val="47844DB1"/>
    <w:rsid w:val="4784866A"/>
    <w:rsid w:val="47869800"/>
    <w:rsid w:val="4786F4BB"/>
    <w:rsid w:val="47879702"/>
    <w:rsid w:val="4788F2C7"/>
    <w:rsid w:val="4794AA18"/>
    <w:rsid w:val="4799D477"/>
    <w:rsid w:val="47A40225"/>
    <w:rsid w:val="47A5D107"/>
    <w:rsid w:val="47ADFC1E"/>
    <w:rsid w:val="47AFA9F7"/>
    <w:rsid w:val="47B26F86"/>
    <w:rsid w:val="47B47EA7"/>
    <w:rsid w:val="47B81642"/>
    <w:rsid w:val="47C32FDE"/>
    <w:rsid w:val="47C6E8E3"/>
    <w:rsid w:val="47C9C5A6"/>
    <w:rsid w:val="47CC7DE7"/>
    <w:rsid w:val="47D25D2E"/>
    <w:rsid w:val="47D4EC32"/>
    <w:rsid w:val="47D5E4EA"/>
    <w:rsid w:val="47D8DA5F"/>
    <w:rsid w:val="47DABD6E"/>
    <w:rsid w:val="47DC3AAA"/>
    <w:rsid w:val="47E35233"/>
    <w:rsid w:val="47E6BB5A"/>
    <w:rsid w:val="47E880A2"/>
    <w:rsid w:val="47E9A1E7"/>
    <w:rsid w:val="47ECF7BA"/>
    <w:rsid w:val="47ED0208"/>
    <w:rsid w:val="47F5AAAA"/>
    <w:rsid w:val="47F8D7D3"/>
    <w:rsid w:val="47FBECBB"/>
    <w:rsid w:val="4804F8F8"/>
    <w:rsid w:val="4804FF70"/>
    <w:rsid w:val="480556E1"/>
    <w:rsid w:val="48063469"/>
    <w:rsid w:val="480C3235"/>
    <w:rsid w:val="4810FC2B"/>
    <w:rsid w:val="48113B11"/>
    <w:rsid w:val="48138817"/>
    <w:rsid w:val="481490A5"/>
    <w:rsid w:val="4815B66F"/>
    <w:rsid w:val="4816DC23"/>
    <w:rsid w:val="4819F48C"/>
    <w:rsid w:val="481A70C5"/>
    <w:rsid w:val="481A8DF1"/>
    <w:rsid w:val="481B1A09"/>
    <w:rsid w:val="481E8A04"/>
    <w:rsid w:val="4820839E"/>
    <w:rsid w:val="4822C3AF"/>
    <w:rsid w:val="482F0D4B"/>
    <w:rsid w:val="4831FCF2"/>
    <w:rsid w:val="483A5E50"/>
    <w:rsid w:val="483A912E"/>
    <w:rsid w:val="483C7E75"/>
    <w:rsid w:val="483E0BAB"/>
    <w:rsid w:val="48401345"/>
    <w:rsid w:val="4845ADB7"/>
    <w:rsid w:val="48464AD7"/>
    <w:rsid w:val="4846EDB6"/>
    <w:rsid w:val="484B148A"/>
    <w:rsid w:val="4851D30D"/>
    <w:rsid w:val="4857ED4B"/>
    <w:rsid w:val="48602EC0"/>
    <w:rsid w:val="4861A06C"/>
    <w:rsid w:val="48657A1A"/>
    <w:rsid w:val="486706EB"/>
    <w:rsid w:val="4872A560"/>
    <w:rsid w:val="4879DB1D"/>
    <w:rsid w:val="48805DBB"/>
    <w:rsid w:val="48814C6D"/>
    <w:rsid w:val="4881C801"/>
    <w:rsid w:val="488AF1F9"/>
    <w:rsid w:val="488B69B5"/>
    <w:rsid w:val="488C96E9"/>
    <w:rsid w:val="488FEB76"/>
    <w:rsid w:val="488FF6D1"/>
    <w:rsid w:val="4892AA31"/>
    <w:rsid w:val="48970BC7"/>
    <w:rsid w:val="489F986F"/>
    <w:rsid w:val="48A0E0D0"/>
    <w:rsid w:val="48A4C7CC"/>
    <w:rsid w:val="48A538D5"/>
    <w:rsid w:val="48A793F4"/>
    <w:rsid w:val="48A8A3A2"/>
    <w:rsid w:val="48A98A6E"/>
    <w:rsid w:val="48ABF7CF"/>
    <w:rsid w:val="48AF8B6B"/>
    <w:rsid w:val="48B42EF0"/>
    <w:rsid w:val="48B74291"/>
    <w:rsid w:val="48B84FFE"/>
    <w:rsid w:val="48BA7A7C"/>
    <w:rsid w:val="48BABCA3"/>
    <w:rsid w:val="48CA259A"/>
    <w:rsid w:val="48CE28C0"/>
    <w:rsid w:val="48CE3A61"/>
    <w:rsid w:val="48D01A80"/>
    <w:rsid w:val="48D05278"/>
    <w:rsid w:val="48D17374"/>
    <w:rsid w:val="48D28A21"/>
    <w:rsid w:val="48D932CA"/>
    <w:rsid w:val="48E869A7"/>
    <w:rsid w:val="48F0835E"/>
    <w:rsid w:val="48F341B3"/>
    <w:rsid w:val="48F39340"/>
    <w:rsid w:val="48F4AD4F"/>
    <w:rsid w:val="48F5F29F"/>
    <w:rsid w:val="48F8288B"/>
    <w:rsid w:val="48FA1AB6"/>
    <w:rsid w:val="48FCEAB6"/>
    <w:rsid w:val="48FF40A9"/>
    <w:rsid w:val="4905271E"/>
    <w:rsid w:val="490603BE"/>
    <w:rsid w:val="490A26C8"/>
    <w:rsid w:val="490C6FB2"/>
    <w:rsid w:val="49172B6F"/>
    <w:rsid w:val="491821AA"/>
    <w:rsid w:val="4919498A"/>
    <w:rsid w:val="4920B925"/>
    <w:rsid w:val="4924F5D0"/>
    <w:rsid w:val="4927BF52"/>
    <w:rsid w:val="4928754F"/>
    <w:rsid w:val="492A5E25"/>
    <w:rsid w:val="492AE331"/>
    <w:rsid w:val="492D7C50"/>
    <w:rsid w:val="492E73D4"/>
    <w:rsid w:val="492EA96F"/>
    <w:rsid w:val="492F24CF"/>
    <w:rsid w:val="4936BA2C"/>
    <w:rsid w:val="493BBBA5"/>
    <w:rsid w:val="493D4FB4"/>
    <w:rsid w:val="493D8DD5"/>
    <w:rsid w:val="493EF4D5"/>
    <w:rsid w:val="49405C60"/>
    <w:rsid w:val="4941DFBF"/>
    <w:rsid w:val="49456543"/>
    <w:rsid w:val="49472B0B"/>
    <w:rsid w:val="494ED2EB"/>
    <w:rsid w:val="4950F741"/>
    <w:rsid w:val="49513A35"/>
    <w:rsid w:val="4951D879"/>
    <w:rsid w:val="4953E21B"/>
    <w:rsid w:val="49544BF2"/>
    <w:rsid w:val="4959864C"/>
    <w:rsid w:val="495B4493"/>
    <w:rsid w:val="495E7EF1"/>
    <w:rsid w:val="495F308D"/>
    <w:rsid w:val="49606A24"/>
    <w:rsid w:val="49618361"/>
    <w:rsid w:val="4961DDFD"/>
    <w:rsid w:val="4962EAD9"/>
    <w:rsid w:val="4964A9A2"/>
    <w:rsid w:val="49714943"/>
    <w:rsid w:val="497AC460"/>
    <w:rsid w:val="497ACDBA"/>
    <w:rsid w:val="497C8BF6"/>
    <w:rsid w:val="497DCC73"/>
    <w:rsid w:val="497EAC31"/>
    <w:rsid w:val="4982C3E0"/>
    <w:rsid w:val="4982E75C"/>
    <w:rsid w:val="4988C111"/>
    <w:rsid w:val="498B77E1"/>
    <w:rsid w:val="498BB366"/>
    <w:rsid w:val="498C5B25"/>
    <w:rsid w:val="498E11B6"/>
    <w:rsid w:val="49900620"/>
    <w:rsid w:val="4995F326"/>
    <w:rsid w:val="4997F960"/>
    <w:rsid w:val="49A74CEB"/>
    <w:rsid w:val="49AC5A1A"/>
    <w:rsid w:val="49AFCB30"/>
    <w:rsid w:val="49B11B17"/>
    <w:rsid w:val="49B21673"/>
    <w:rsid w:val="49B37A65"/>
    <w:rsid w:val="49B51214"/>
    <w:rsid w:val="49B5C580"/>
    <w:rsid w:val="49BAD951"/>
    <w:rsid w:val="49BB0F91"/>
    <w:rsid w:val="49C49BBC"/>
    <w:rsid w:val="49C5A5C9"/>
    <w:rsid w:val="49C9629E"/>
    <w:rsid w:val="49CA2BD5"/>
    <w:rsid w:val="49CA8CA7"/>
    <w:rsid w:val="49DE47CF"/>
    <w:rsid w:val="49E0B070"/>
    <w:rsid w:val="49E377C5"/>
    <w:rsid w:val="49E3D9BD"/>
    <w:rsid w:val="49E50269"/>
    <w:rsid w:val="49E9B58B"/>
    <w:rsid w:val="49EF30F0"/>
    <w:rsid w:val="49F24C9F"/>
    <w:rsid w:val="49F476EE"/>
    <w:rsid w:val="49F526AD"/>
    <w:rsid w:val="49F77CC1"/>
    <w:rsid w:val="49F83A36"/>
    <w:rsid w:val="49F8690A"/>
    <w:rsid w:val="49FA039F"/>
    <w:rsid w:val="49FB79BD"/>
    <w:rsid w:val="49FC489D"/>
    <w:rsid w:val="4A04C16A"/>
    <w:rsid w:val="4A05A9D5"/>
    <w:rsid w:val="4A089E09"/>
    <w:rsid w:val="4A0B9948"/>
    <w:rsid w:val="4A1A69A3"/>
    <w:rsid w:val="4A1BA73A"/>
    <w:rsid w:val="4A1FDB42"/>
    <w:rsid w:val="4A1FF101"/>
    <w:rsid w:val="4A24789F"/>
    <w:rsid w:val="4A26B95D"/>
    <w:rsid w:val="4A31241E"/>
    <w:rsid w:val="4A313EB7"/>
    <w:rsid w:val="4A32BB83"/>
    <w:rsid w:val="4A34AA97"/>
    <w:rsid w:val="4A3573DA"/>
    <w:rsid w:val="4A35B603"/>
    <w:rsid w:val="4A390E80"/>
    <w:rsid w:val="4A3B1252"/>
    <w:rsid w:val="4A401F30"/>
    <w:rsid w:val="4A43455C"/>
    <w:rsid w:val="4A454612"/>
    <w:rsid w:val="4A4A96E6"/>
    <w:rsid w:val="4A4AB8C5"/>
    <w:rsid w:val="4A4BD681"/>
    <w:rsid w:val="4A537118"/>
    <w:rsid w:val="4A5429EE"/>
    <w:rsid w:val="4A5B49E0"/>
    <w:rsid w:val="4A6A9BB8"/>
    <w:rsid w:val="4A6C062B"/>
    <w:rsid w:val="4A72A036"/>
    <w:rsid w:val="4A74791B"/>
    <w:rsid w:val="4A760053"/>
    <w:rsid w:val="4A763437"/>
    <w:rsid w:val="4A77DE0F"/>
    <w:rsid w:val="4A7A9CC0"/>
    <w:rsid w:val="4A7E9AD9"/>
    <w:rsid w:val="4A7FF82E"/>
    <w:rsid w:val="4A8405B2"/>
    <w:rsid w:val="4A86FD0C"/>
    <w:rsid w:val="4A894136"/>
    <w:rsid w:val="4A89997A"/>
    <w:rsid w:val="4A8CEF09"/>
    <w:rsid w:val="4A8D3E8E"/>
    <w:rsid w:val="4A9276B0"/>
    <w:rsid w:val="4A93EDBC"/>
    <w:rsid w:val="4A99ED6A"/>
    <w:rsid w:val="4A9CBBC3"/>
    <w:rsid w:val="4AA08130"/>
    <w:rsid w:val="4AA43FCE"/>
    <w:rsid w:val="4AA5ADEC"/>
    <w:rsid w:val="4AAC3848"/>
    <w:rsid w:val="4AAD19A6"/>
    <w:rsid w:val="4AAE0B1D"/>
    <w:rsid w:val="4AB207E6"/>
    <w:rsid w:val="4AB26B2E"/>
    <w:rsid w:val="4AB69F47"/>
    <w:rsid w:val="4ABB5B61"/>
    <w:rsid w:val="4ABB7C80"/>
    <w:rsid w:val="4ABD7EC6"/>
    <w:rsid w:val="4AC08968"/>
    <w:rsid w:val="4AC11344"/>
    <w:rsid w:val="4AC15C9F"/>
    <w:rsid w:val="4AC1BEBE"/>
    <w:rsid w:val="4AC34A88"/>
    <w:rsid w:val="4AC4312C"/>
    <w:rsid w:val="4AC6F876"/>
    <w:rsid w:val="4AC983CD"/>
    <w:rsid w:val="4ACB12E9"/>
    <w:rsid w:val="4ACB3945"/>
    <w:rsid w:val="4AD0C896"/>
    <w:rsid w:val="4AD54CBF"/>
    <w:rsid w:val="4AD6E36B"/>
    <w:rsid w:val="4AD72195"/>
    <w:rsid w:val="4AD7CB13"/>
    <w:rsid w:val="4ADBC0D8"/>
    <w:rsid w:val="4ADF3DE3"/>
    <w:rsid w:val="4AE126BA"/>
    <w:rsid w:val="4AEDD04B"/>
    <w:rsid w:val="4B03A88E"/>
    <w:rsid w:val="4B055989"/>
    <w:rsid w:val="4B07BAF1"/>
    <w:rsid w:val="4B0930CB"/>
    <w:rsid w:val="4B0C8765"/>
    <w:rsid w:val="4B0D7047"/>
    <w:rsid w:val="4B0E32E7"/>
    <w:rsid w:val="4B0ED91A"/>
    <w:rsid w:val="4B0F8BF0"/>
    <w:rsid w:val="4B125B4B"/>
    <w:rsid w:val="4B17913A"/>
    <w:rsid w:val="4B19BF1F"/>
    <w:rsid w:val="4B242F79"/>
    <w:rsid w:val="4B266FC9"/>
    <w:rsid w:val="4B268B93"/>
    <w:rsid w:val="4B27AFA6"/>
    <w:rsid w:val="4B28213E"/>
    <w:rsid w:val="4B29778B"/>
    <w:rsid w:val="4B2A27C7"/>
    <w:rsid w:val="4B2C1660"/>
    <w:rsid w:val="4B30C171"/>
    <w:rsid w:val="4B30FB4A"/>
    <w:rsid w:val="4B322913"/>
    <w:rsid w:val="4B348794"/>
    <w:rsid w:val="4B39287D"/>
    <w:rsid w:val="4B39F455"/>
    <w:rsid w:val="4B3BC7E8"/>
    <w:rsid w:val="4B445E9C"/>
    <w:rsid w:val="4B4CBEC7"/>
    <w:rsid w:val="4B4FFC74"/>
    <w:rsid w:val="4B52DAE4"/>
    <w:rsid w:val="4B56B150"/>
    <w:rsid w:val="4B5C3419"/>
    <w:rsid w:val="4B5D7315"/>
    <w:rsid w:val="4B616E0F"/>
    <w:rsid w:val="4B618FC9"/>
    <w:rsid w:val="4B62924E"/>
    <w:rsid w:val="4B635D2F"/>
    <w:rsid w:val="4B685B19"/>
    <w:rsid w:val="4B6B850B"/>
    <w:rsid w:val="4B6DF112"/>
    <w:rsid w:val="4B70544C"/>
    <w:rsid w:val="4B7343EA"/>
    <w:rsid w:val="4B76E6D5"/>
    <w:rsid w:val="4B79FB37"/>
    <w:rsid w:val="4B7B1970"/>
    <w:rsid w:val="4B7B1F29"/>
    <w:rsid w:val="4B7B5D70"/>
    <w:rsid w:val="4B80C9A4"/>
    <w:rsid w:val="4B817138"/>
    <w:rsid w:val="4B81B0BB"/>
    <w:rsid w:val="4B8229E7"/>
    <w:rsid w:val="4B849A26"/>
    <w:rsid w:val="4B87B764"/>
    <w:rsid w:val="4B88DEC5"/>
    <w:rsid w:val="4B8A1F80"/>
    <w:rsid w:val="4B8C308D"/>
    <w:rsid w:val="4B8E6860"/>
    <w:rsid w:val="4B913DE7"/>
    <w:rsid w:val="4B92FB65"/>
    <w:rsid w:val="4B934C9B"/>
    <w:rsid w:val="4B942E21"/>
    <w:rsid w:val="4B9436C1"/>
    <w:rsid w:val="4B96C502"/>
    <w:rsid w:val="4B983E8B"/>
    <w:rsid w:val="4B9C9E51"/>
    <w:rsid w:val="4B9D65D6"/>
    <w:rsid w:val="4B9DB76B"/>
    <w:rsid w:val="4BA62FBD"/>
    <w:rsid w:val="4BA71C7C"/>
    <w:rsid w:val="4BAF98D5"/>
    <w:rsid w:val="4BAFD0A0"/>
    <w:rsid w:val="4BB04324"/>
    <w:rsid w:val="4BB1ED3B"/>
    <w:rsid w:val="4BB2945C"/>
    <w:rsid w:val="4BB3A6F1"/>
    <w:rsid w:val="4BB3B8BD"/>
    <w:rsid w:val="4BB4328D"/>
    <w:rsid w:val="4BB47772"/>
    <w:rsid w:val="4BC64475"/>
    <w:rsid w:val="4BC665AC"/>
    <w:rsid w:val="4BC6CDDC"/>
    <w:rsid w:val="4BD237A9"/>
    <w:rsid w:val="4BD3E1CD"/>
    <w:rsid w:val="4BD495C9"/>
    <w:rsid w:val="4BD7C9B8"/>
    <w:rsid w:val="4BD97470"/>
    <w:rsid w:val="4BDC4367"/>
    <w:rsid w:val="4BF08244"/>
    <w:rsid w:val="4BF2CC92"/>
    <w:rsid w:val="4BF3E1E2"/>
    <w:rsid w:val="4BFD46C5"/>
    <w:rsid w:val="4C031E6C"/>
    <w:rsid w:val="4C16B2CE"/>
    <w:rsid w:val="4C19E6DA"/>
    <w:rsid w:val="4C1B96F0"/>
    <w:rsid w:val="4C1BF855"/>
    <w:rsid w:val="4C1E081F"/>
    <w:rsid w:val="4C1FBAAE"/>
    <w:rsid w:val="4C20DDA0"/>
    <w:rsid w:val="4C228C5D"/>
    <w:rsid w:val="4C23C923"/>
    <w:rsid w:val="4C24459C"/>
    <w:rsid w:val="4C3872AC"/>
    <w:rsid w:val="4C39D4BF"/>
    <w:rsid w:val="4C3C6C32"/>
    <w:rsid w:val="4C3D26B9"/>
    <w:rsid w:val="4C3F8C8C"/>
    <w:rsid w:val="4C45A828"/>
    <w:rsid w:val="4C45F0E3"/>
    <w:rsid w:val="4C4E4491"/>
    <w:rsid w:val="4C5BA7AE"/>
    <w:rsid w:val="4C5E0265"/>
    <w:rsid w:val="4C60F864"/>
    <w:rsid w:val="4C641436"/>
    <w:rsid w:val="4C65C818"/>
    <w:rsid w:val="4C6CAD02"/>
    <w:rsid w:val="4C704242"/>
    <w:rsid w:val="4C709056"/>
    <w:rsid w:val="4C710F41"/>
    <w:rsid w:val="4C781A36"/>
    <w:rsid w:val="4C782252"/>
    <w:rsid w:val="4C78A822"/>
    <w:rsid w:val="4C7DD558"/>
    <w:rsid w:val="4C7EBA7B"/>
    <w:rsid w:val="4C828553"/>
    <w:rsid w:val="4C83977A"/>
    <w:rsid w:val="4C85F75B"/>
    <w:rsid w:val="4C8876F6"/>
    <w:rsid w:val="4C8DAAB3"/>
    <w:rsid w:val="4C8E70CB"/>
    <w:rsid w:val="4C911991"/>
    <w:rsid w:val="4C98F401"/>
    <w:rsid w:val="4C996C07"/>
    <w:rsid w:val="4C9A6411"/>
    <w:rsid w:val="4CA07A39"/>
    <w:rsid w:val="4CA7A9D8"/>
    <w:rsid w:val="4CA88205"/>
    <w:rsid w:val="4CA9A3E8"/>
    <w:rsid w:val="4CABC02D"/>
    <w:rsid w:val="4CAD3534"/>
    <w:rsid w:val="4CAD8767"/>
    <w:rsid w:val="4CAEF3DC"/>
    <w:rsid w:val="4CB4FF9A"/>
    <w:rsid w:val="4CB59A33"/>
    <w:rsid w:val="4CC8553D"/>
    <w:rsid w:val="4CCE7796"/>
    <w:rsid w:val="4CD0BACB"/>
    <w:rsid w:val="4CD2E456"/>
    <w:rsid w:val="4CD5A4D2"/>
    <w:rsid w:val="4CDAAB1F"/>
    <w:rsid w:val="4CDD8C89"/>
    <w:rsid w:val="4CEC65E3"/>
    <w:rsid w:val="4CED65EC"/>
    <w:rsid w:val="4CEDC72E"/>
    <w:rsid w:val="4CF1B781"/>
    <w:rsid w:val="4CF3680B"/>
    <w:rsid w:val="4CF3E5EE"/>
    <w:rsid w:val="4CF3F3B1"/>
    <w:rsid w:val="4CF40D66"/>
    <w:rsid w:val="4CF826C1"/>
    <w:rsid w:val="4CF829B4"/>
    <w:rsid w:val="4CFB7A0D"/>
    <w:rsid w:val="4CFE7EE1"/>
    <w:rsid w:val="4CFFF0A7"/>
    <w:rsid w:val="4D023652"/>
    <w:rsid w:val="4D046ACB"/>
    <w:rsid w:val="4D04AE39"/>
    <w:rsid w:val="4D0D7C3C"/>
    <w:rsid w:val="4D0DE3AD"/>
    <w:rsid w:val="4D10AB53"/>
    <w:rsid w:val="4D126C94"/>
    <w:rsid w:val="4D13A0C4"/>
    <w:rsid w:val="4D15A069"/>
    <w:rsid w:val="4D19C754"/>
    <w:rsid w:val="4D1AD81B"/>
    <w:rsid w:val="4D1B9D05"/>
    <w:rsid w:val="4D1BB4AF"/>
    <w:rsid w:val="4D21B6FB"/>
    <w:rsid w:val="4D21F58D"/>
    <w:rsid w:val="4D244D94"/>
    <w:rsid w:val="4D28107A"/>
    <w:rsid w:val="4D2B0B31"/>
    <w:rsid w:val="4D324EB2"/>
    <w:rsid w:val="4D325C4A"/>
    <w:rsid w:val="4D32E2C0"/>
    <w:rsid w:val="4D35B675"/>
    <w:rsid w:val="4D38C656"/>
    <w:rsid w:val="4D3DD8D8"/>
    <w:rsid w:val="4D43F6C1"/>
    <w:rsid w:val="4D46496D"/>
    <w:rsid w:val="4D4B2B74"/>
    <w:rsid w:val="4D4EEC01"/>
    <w:rsid w:val="4D561D57"/>
    <w:rsid w:val="4D57AB16"/>
    <w:rsid w:val="4D5816D8"/>
    <w:rsid w:val="4D5A3D71"/>
    <w:rsid w:val="4D5BE165"/>
    <w:rsid w:val="4D5CEC46"/>
    <w:rsid w:val="4D69AD0B"/>
    <w:rsid w:val="4D6C8782"/>
    <w:rsid w:val="4D6C8EDB"/>
    <w:rsid w:val="4D7006D4"/>
    <w:rsid w:val="4D733D97"/>
    <w:rsid w:val="4D75924F"/>
    <w:rsid w:val="4D7EFBFC"/>
    <w:rsid w:val="4D806340"/>
    <w:rsid w:val="4D82E006"/>
    <w:rsid w:val="4D87393B"/>
    <w:rsid w:val="4D8A9C5F"/>
    <w:rsid w:val="4D8B46B2"/>
    <w:rsid w:val="4D907C08"/>
    <w:rsid w:val="4D91278A"/>
    <w:rsid w:val="4D92E2D4"/>
    <w:rsid w:val="4D994830"/>
    <w:rsid w:val="4D9ABA0B"/>
    <w:rsid w:val="4D9D65E0"/>
    <w:rsid w:val="4DA06B6A"/>
    <w:rsid w:val="4DA41A49"/>
    <w:rsid w:val="4DA4A7EE"/>
    <w:rsid w:val="4DA6A739"/>
    <w:rsid w:val="4DAB1922"/>
    <w:rsid w:val="4DAD0FB7"/>
    <w:rsid w:val="4DAE80BE"/>
    <w:rsid w:val="4DB3DAFE"/>
    <w:rsid w:val="4DB53727"/>
    <w:rsid w:val="4DB5BD1D"/>
    <w:rsid w:val="4DB6833A"/>
    <w:rsid w:val="4DB6C3D5"/>
    <w:rsid w:val="4DB846E1"/>
    <w:rsid w:val="4DB8D2DB"/>
    <w:rsid w:val="4DBEBA94"/>
    <w:rsid w:val="4DC29D0E"/>
    <w:rsid w:val="4DC697DC"/>
    <w:rsid w:val="4DC78FB6"/>
    <w:rsid w:val="4DC79035"/>
    <w:rsid w:val="4DCE9606"/>
    <w:rsid w:val="4DCF5E90"/>
    <w:rsid w:val="4DD19A8E"/>
    <w:rsid w:val="4DD1E063"/>
    <w:rsid w:val="4DDBD618"/>
    <w:rsid w:val="4DDE03CF"/>
    <w:rsid w:val="4DE09200"/>
    <w:rsid w:val="4DE1753E"/>
    <w:rsid w:val="4DE2641B"/>
    <w:rsid w:val="4DE73BEA"/>
    <w:rsid w:val="4DEEB6A4"/>
    <w:rsid w:val="4DF0156B"/>
    <w:rsid w:val="4DF0B020"/>
    <w:rsid w:val="4DF4ECF3"/>
    <w:rsid w:val="4DF5BA55"/>
    <w:rsid w:val="4DFA18DB"/>
    <w:rsid w:val="4DFA2046"/>
    <w:rsid w:val="4DFB4C1C"/>
    <w:rsid w:val="4DFB8207"/>
    <w:rsid w:val="4DFDBFF3"/>
    <w:rsid w:val="4DFE9C90"/>
    <w:rsid w:val="4DFFD4CD"/>
    <w:rsid w:val="4E02C87E"/>
    <w:rsid w:val="4E04093F"/>
    <w:rsid w:val="4E0688FA"/>
    <w:rsid w:val="4E07A8C6"/>
    <w:rsid w:val="4E0899E6"/>
    <w:rsid w:val="4E0D5388"/>
    <w:rsid w:val="4E0DF04E"/>
    <w:rsid w:val="4E0EB516"/>
    <w:rsid w:val="4E11EF87"/>
    <w:rsid w:val="4E128B35"/>
    <w:rsid w:val="4E14A6C8"/>
    <w:rsid w:val="4E17E06E"/>
    <w:rsid w:val="4E1B5CDB"/>
    <w:rsid w:val="4E1C7019"/>
    <w:rsid w:val="4E1D74AC"/>
    <w:rsid w:val="4E1EADF8"/>
    <w:rsid w:val="4E24A320"/>
    <w:rsid w:val="4E26561E"/>
    <w:rsid w:val="4E349119"/>
    <w:rsid w:val="4E3496C9"/>
    <w:rsid w:val="4E374B0D"/>
    <w:rsid w:val="4E39E99C"/>
    <w:rsid w:val="4E3BBBD9"/>
    <w:rsid w:val="4E42E90F"/>
    <w:rsid w:val="4E48B3CA"/>
    <w:rsid w:val="4E5043B3"/>
    <w:rsid w:val="4E543F12"/>
    <w:rsid w:val="4E6270C0"/>
    <w:rsid w:val="4E649666"/>
    <w:rsid w:val="4E64BA37"/>
    <w:rsid w:val="4E672B7A"/>
    <w:rsid w:val="4E6BB162"/>
    <w:rsid w:val="4E6BEB45"/>
    <w:rsid w:val="4E74ABFA"/>
    <w:rsid w:val="4E86660C"/>
    <w:rsid w:val="4E8B2B7F"/>
    <w:rsid w:val="4E8DDEC4"/>
    <w:rsid w:val="4E939A04"/>
    <w:rsid w:val="4E9762AF"/>
    <w:rsid w:val="4E9DCC06"/>
    <w:rsid w:val="4E9FF295"/>
    <w:rsid w:val="4EA20E28"/>
    <w:rsid w:val="4EA3344A"/>
    <w:rsid w:val="4EA3C0FE"/>
    <w:rsid w:val="4EA6D72B"/>
    <w:rsid w:val="4EAA6A5E"/>
    <w:rsid w:val="4EB32349"/>
    <w:rsid w:val="4EBB4708"/>
    <w:rsid w:val="4EBF28CD"/>
    <w:rsid w:val="4EC303BD"/>
    <w:rsid w:val="4EC3D189"/>
    <w:rsid w:val="4EC5C64F"/>
    <w:rsid w:val="4ECCACC7"/>
    <w:rsid w:val="4ECCEDB8"/>
    <w:rsid w:val="4ECF5537"/>
    <w:rsid w:val="4ECFDFE1"/>
    <w:rsid w:val="4ED1BD32"/>
    <w:rsid w:val="4ED2F3FC"/>
    <w:rsid w:val="4ED8909E"/>
    <w:rsid w:val="4EDD4563"/>
    <w:rsid w:val="4EE50331"/>
    <w:rsid w:val="4EE767C1"/>
    <w:rsid w:val="4EEA43B2"/>
    <w:rsid w:val="4EF41957"/>
    <w:rsid w:val="4EF8C1F2"/>
    <w:rsid w:val="4EFB94B0"/>
    <w:rsid w:val="4EFE64E1"/>
    <w:rsid w:val="4F039928"/>
    <w:rsid w:val="4F067A01"/>
    <w:rsid w:val="4F06C756"/>
    <w:rsid w:val="4F07ED87"/>
    <w:rsid w:val="4F09C514"/>
    <w:rsid w:val="4F0F56AA"/>
    <w:rsid w:val="4F17D193"/>
    <w:rsid w:val="4F1A4D87"/>
    <w:rsid w:val="4F1BA1AD"/>
    <w:rsid w:val="4F1CF07C"/>
    <w:rsid w:val="4F2280E4"/>
    <w:rsid w:val="4F28DAC8"/>
    <w:rsid w:val="4F294F83"/>
    <w:rsid w:val="4F2C9BE0"/>
    <w:rsid w:val="4F2DF686"/>
    <w:rsid w:val="4F365CEB"/>
    <w:rsid w:val="4F37FA12"/>
    <w:rsid w:val="4F437019"/>
    <w:rsid w:val="4F440C3B"/>
    <w:rsid w:val="4F471E90"/>
    <w:rsid w:val="4F4E2DA7"/>
    <w:rsid w:val="4F517030"/>
    <w:rsid w:val="4F51F0E0"/>
    <w:rsid w:val="4F5361B8"/>
    <w:rsid w:val="4F552963"/>
    <w:rsid w:val="4F568D27"/>
    <w:rsid w:val="4F56E49A"/>
    <w:rsid w:val="4F5DF0B0"/>
    <w:rsid w:val="4F61E3AF"/>
    <w:rsid w:val="4F626DC9"/>
    <w:rsid w:val="4F69B0F5"/>
    <w:rsid w:val="4F6EF7F9"/>
    <w:rsid w:val="4F705680"/>
    <w:rsid w:val="4F77CE66"/>
    <w:rsid w:val="4F7B851E"/>
    <w:rsid w:val="4F7D97EB"/>
    <w:rsid w:val="4F7F2AFF"/>
    <w:rsid w:val="4F7FBA7C"/>
    <w:rsid w:val="4F7FDC47"/>
    <w:rsid w:val="4F858555"/>
    <w:rsid w:val="4F86B5C4"/>
    <w:rsid w:val="4F8DFCE5"/>
    <w:rsid w:val="4F8EF8E8"/>
    <w:rsid w:val="4F9496B5"/>
    <w:rsid w:val="4F97DC8A"/>
    <w:rsid w:val="4F991164"/>
    <w:rsid w:val="4F991A9B"/>
    <w:rsid w:val="4F9E4A19"/>
    <w:rsid w:val="4FA4E3E6"/>
    <w:rsid w:val="4FA7D854"/>
    <w:rsid w:val="4FA809CB"/>
    <w:rsid w:val="4FAAF2DC"/>
    <w:rsid w:val="4FAFDCC9"/>
    <w:rsid w:val="4FB01A1D"/>
    <w:rsid w:val="4FB0F7F2"/>
    <w:rsid w:val="4FB2D298"/>
    <w:rsid w:val="4FB41731"/>
    <w:rsid w:val="4FB66D21"/>
    <w:rsid w:val="4FBA36EE"/>
    <w:rsid w:val="4FBBCC49"/>
    <w:rsid w:val="4FC1C0BA"/>
    <w:rsid w:val="4FC23F06"/>
    <w:rsid w:val="4FC27280"/>
    <w:rsid w:val="4FCDAA08"/>
    <w:rsid w:val="4FCEC2B2"/>
    <w:rsid w:val="4FD58186"/>
    <w:rsid w:val="4FD5E341"/>
    <w:rsid w:val="4FD8482D"/>
    <w:rsid w:val="4FD8F4B2"/>
    <w:rsid w:val="4FD9ACB6"/>
    <w:rsid w:val="4FDA6750"/>
    <w:rsid w:val="4FDBB9D2"/>
    <w:rsid w:val="4FDBE756"/>
    <w:rsid w:val="4FDCCB65"/>
    <w:rsid w:val="4FDD034F"/>
    <w:rsid w:val="4FDE5C51"/>
    <w:rsid w:val="4FDEC4A9"/>
    <w:rsid w:val="4FE3458E"/>
    <w:rsid w:val="4FE90CC2"/>
    <w:rsid w:val="4FEB2EC8"/>
    <w:rsid w:val="4FF4F490"/>
    <w:rsid w:val="4FFC8431"/>
    <w:rsid w:val="500AE44C"/>
    <w:rsid w:val="5012013B"/>
    <w:rsid w:val="50184D59"/>
    <w:rsid w:val="5019343F"/>
    <w:rsid w:val="5023366A"/>
    <w:rsid w:val="5023CE29"/>
    <w:rsid w:val="50267F45"/>
    <w:rsid w:val="503802F1"/>
    <w:rsid w:val="5038E726"/>
    <w:rsid w:val="503D979B"/>
    <w:rsid w:val="503EA09C"/>
    <w:rsid w:val="5043E145"/>
    <w:rsid w:val="504E58F6"/>
    <w:rsid w:val="5050F3E0"/>
    <w:rsid w:val="505BA0D5"/>
    <w:rsid w:val="505FD06C"/>
    <w:rsid w:val="506067F8"/>
    <w:rsid w:val="506337BD"/>
    <w:rsid w:val="5063CF7E"/>
    <w:rsid w:val="506CB7F0"/>
    <w:rsid w:val="506D9368"/>
    <w:rsid w:val="506F3934"/>
    <w:rsid w:val="507BDB99"/>
    <w:rsid w:val="508442AE"/>
    <w:rsid w:val="5088521F"/>
    <w:rsid w:val="508858E4"/>
    <w:rsid w:val="5089D2C4"/>
    <w:rsid w:val="5089D64D"/>
    <w:rsid w:val="509195BC"/>
    <w:rsid w:val="509394EA"/>
    <w:rsid w:val="509FE847"/>
    <w:rsid w:val="50A84521"/>
    <w:rsid w:val="50AA4049"/>
    <w:rsid w:val="50AE67E5"/>
    <w:rsid w:val="50B20FBF"/>
    <w:rsid w:val="50B38B67"/>
    <w:rsid w:val="50B38C63"/>
    <w:rsid w:val="50BCA504"/>
    <w:rsid w:val="50BE6AA5"/>
    <w:rsid w:val="50C3C519"/>
    <w:rsid w:val="50C5EBE0"/>
    <w:rsid w:val="50C7EF95"/>
    <w:rsid w:val="50C9ED0E"/>
    <w:rsid w:val="50CB50FC"/>
    <w:rsid w:val="50CC065D"/>
    <w:rsid w:val="50CDC299"/>
    <w:rsid w:val="50D3C74D"/>
    <w:rsid w:val="50D495E0"/>
    <w:rsid w:val="50D6495E"/>
    <w:rsid w:val="50D9AF0D"/>
    <w:rsid w:val="50E28479"/>
    <w:rsid w:val="50E3EBD7"/>
    <w:rsid w:val="50E42BEF"/>
    <w:rsid w:val="50E44100"/>
    <w:rsid w:val="50E686B8"/>
    <w:rsid w:val="50E801FB"/>
    <w:rsid w:val="50E8FF7A"/>
    <w:rsid w:val="50F1634B"/>
    <w:rsid w:val="50F36D98"/>
    <w:rsid w:val="50F7E4DA"/>
    <w:rsid w:val="50FFE322"/>
    <w:rsid w:val="5100A9F5"/>
    <w:rsid w:val="5115EFB1"/>
    <w:rsid w:val="5117B848"/>
    <w:rsid w:val="5119F49F"/>
    <w:rsid w:val="5126BA1E"/>
    <w:rsid w:val="51275FB5"/>
    <w:rsid w:val="51276F92"/>
    <w:rsid w:val="51398881"/>
    <w:rsid w:val="513ADE2B"/>
    <w:rsid w:val="5140901A"/>
    <w:rsid w:val="5145D0BC"/>
    <w:rsid w:val="5149008F"/>
    <w:rsid w:val="51525110"/>
    <w:rsid w:val="5155A20E"/>
    <w:rsid w:val="51562570"/>
    <w:rsid w:val="5157B897"/>
    <w:rsid w:val="5158D1DF"/>
    <w:rsid w:val="515DB736"/>
    <w:rsid w:val="515E0DAA"/>
    <w:rsid w:val="515F6BE9"/>
    <w:rsid w:val="51606DC6"/>
    <w:rsid w:val="51655FBB"/>
    <w:rsid w:val="51687033"/>
    <w:rsid w:val="5171DC8A"/>
    <w:rsid w:val="51742F03"/>
    <w:rsid w:val="51771396"/>
    <w:rsid w:val="5177EFF4"/>
    <w:rsid w:val="51788AD2"/>
    <w:rsid w:val="517BBB34"/>
    <w:rsid w:val="51841C15"/>
    <w:rsid w:val="5187B1B0"/>
    <w:rsid w:val="51880A65"/>
    <w:rsid w:val="5189888B"/>
    <w:rsid w:val="518AD0C7"/>
    <w:rsid w:val="518E68B9"/>
    <w:rsid w:val="518F2A8F"/>
    <w:rsid w:val="5196C322"/>
    <w:rsid w:val="519AEE74"/>
    <w:rsid w:val="519C97FA"/>
    <w:rsid w:val="519FF7A3"/>
    <w:rsid w:val="51A1F7B4"/>
    <w:rsid w:val="51A2A532"/>
    <w:rsid w:val="51A3144F"/>
    <w:rsid w:val="51A4F865"/>
    <w:rsid w:val="51A8CBE1"/>
    <w:rsid w:val="51AC5CF9"/>
    <w:rsid w:val="51ADCE34"/>
    <w:rsid w:val="51B0D858"/>
    <w:rsid w:val="51B3671E"/>
    <w:rsid w:val="51BABF38"/>
    <w:rsid w:val="51BB0287"/>
    <w:rsid w:val="51C1ED5C"/>
    <w:rsid w:val="51C2D689"/>
    <w:rsid w:val="51C60542"/>
    <w:rsid w:val="51C72E58"/>
    <w:rsid w:val="51CAA32E"/>
    <w:rsid w:val="51CBCD3A"/>
    <w:rsid w:val="51CC3FDE"/>
    <w:rsid w:val="51D330DC"/>
    <w:rsid w:val="51D463F9"/>
    <w:rsid w:val="51D8FB76"/>
    <w:rsid w:val="51E9066D"/>
    <w:rsid w:val="51E9D096"/>
    <w:rsid w:val="51EDCAAF"/>
    <w:rsid w:val="51F9C4DD"/>
    <w:rsid w:val="51FCB9CA"/>
    <w:rsid w:val="52021FF1"/>
    <w:rsid w:val="5202497B"/>
    <w:rsid w:val="52067AD5"/>
    <w:rsid w:val="5209A32B"/>
    <w:rsid w:val="520FDED5"/>
    <w:rsid w:val="5212C55F"/>
    <w:rsid w:val="5218B75D"/>
    <w:rsid w:val="52190F89"/>
    <w:rsid w:val="52195E2B"/>
    <w:rsid w:val="521D5E8C"/>
    <w:rsid w:val="521DC67A"/>
    <w:rsid w:val="52205E7D"/>
    <w:rsid w:val="522803F4"/>
    <w:rsid w:val="522AA4CC"/>
    <w:rsid w:val="522C8F2F"/>
    <w:rsid w:val="522CB413"/>
    <w:rsid w:val="522D7667"/>
    <w:rsid w:val="522ED227"/>
    <w:rsid w:val="5232D161"/>
    <w:rsid w:val="52333827"/>
    <w:rsid w:val="5235BCFD"/>
    <w:rsid w:val="5237276C"/>
    <w:rsid w:val="523B9171"/>
    <w:rsid w:val="523D41B6"/>
    <w:rsid w:val="52429A28"/>
    <w:rsid w:val="5247CE38"/>
    <w:rsid w:val="52522355"/>
    <w:rsid w:val="52571D36"/>
    <w:rsid w:val="52572F8D"/>
    <w:rsid w:val="52573212"/>
    <w:rsid w:val="525848B2"/>
    <w:rsid w:val="52588ACA"/>
    <w:rsid w:val="5259D61D"/>
    <w:rsid w:val="525ED762"/>
    <w:rsid w:val="526610D8"/>
    <w:rsid w:val="5272C5E4"/>
    <w:rsid w:val="5272EE6C"/>
    <w:rsid w:val="52785003"/>
    <w:rsid w:val="52795245"/>
    <w:rsid w:val="527B38C8"/>
    <w:rsid w:val="5283434E"/>
    <w:rsid w:val="528C8EAF"/>
    <w:rsid w:val="52905F42"/>
    <w:rsid w:val="529123E9"/>
    <w:rsid w:val="52915DDF"/>
    <w:rsid w:val="52954A34"/>
    <w:rsid w:val="5299388A"/>
    <w:rsid w:val="52A0C6E9"/>
    <w:rsid w:val="52A4F086"/>
    <w:rsid w:val="52ACBAD1"/>
    <w:rsid w:val="52B236CD"/>
    <w:rsid w:val="52BF15F3"/>
    <w:rsid w:val="52C04497"/>
    <w:rsid w:val="52C5C3DC"/>
    <w:rsid w:val="52CDD301"/>
    <w:rsid w:val="52D0057C"/>
    <w:rsid w:val="52D03DC4"/>
    <w:rsid w:val="52D1BF97"/>
    <w:rsid w:val="52D603BE"/>
    <w:rsid w:val="52D93B86"/>
    <w:rsid w:val="52DE03E6"/>
    <w:rsid w:val="52DE326B"/>
    <w:rsid w:val="52E048FE"/>
    <w:rsid w:val="52E35933"/>
    <w:rsid w:val="52E94A7B"/>
    <w:rsid w:val="52EA1FE0"/>
    <w:rsid w:val="52EB64CF"/>
    <w:rsid w:val="52EC1B69"/>
    <w:rsid w:val="52ECB8DF"/>
    <w:rsid w:val="52ED515A"/>
    <w:rsid w:val="52EFA2F6"/>
    <w:rsid w:val="52F209C9"/>
    <w:rsid w:val="52F3604B"/>
    <w:rsid w:val="52F5CE07"/>
    <w:rsid w:val="52F6731C"/>
    <w:rsid w:val="52F9DFDC"/>
    <w:rsid w:val="52FAA725"/>
    <w:rsid w:val="52FEE097"/>
    <w:rsid w:val="5300985E"/>
    <w:rsid w:val="530A95BE"/>
    <w:rsid w:val="5315449C"/>
    <w:rsid w:val="531ACB1B"/>
    <w:rsid w:val="531C3B98"/>
    <w:rsid w:val="531C8DFF"/>
    <w:rsid w:val="531E6FFB"/>
    <w:rsid w:val="532096A4"/>
    <w:rsid w:val="5324916C"/>
    <w:rsid w:val="5325460F"/>
    <w:rsid w:val="532A9841"/>
    <w:rsid w:val="532C36DB"/>
    <w:rsid w:val="532FC77C"/>
    <w:rsid w:val="5332743F"/>
    <w:rsid w:val="533978F0"/>
    <w:rsid w:val="533A0D7C"/>
    <w:rsid w:val="534698CE"/>
    <w:rsid w:val="53478421"/>
    <w:rsid w:val="534A5CF5"/>
    <w:rsid w:val="534D65B6"/>
    <w:rsid w:val="53502504"/>
    <w:rsid w:val="53503D4A"/>
    <w:rsid w:val="53566DFE"/>
    <w:rsid w:val="5365903A"/>
    <w:rsid w:val="5369BB5F"/>
    <w:rsid w:val="536A7957"/>
    <w:rsid w:val="536BD7F2"/>
    <w:rsid w:val="537E2A42"/>
    <w:rsid w:val="537F6C04"/>
    <w:rsid w:val="5389E745"/>
    <w:rsid w:val="538AB7C8"/>
    <w:rsid w:val="538BA009"/>
    <w:rsid w:val="538E9808"/>
    <w:rsid w:val="53901954"/>
    <w:rsid w:val="539263BA"/>
    <w:rsid w:val="53938B64"/>
    <w:rsid w:val="539BC3EE"/>
    <w:rsid w:val="539E7859"/>
    <w:rsid w:val="53A18E3B"/>
    <w:rsid w:val="53A696A7"/>
    <w:rsid w:val="53AA0F83"/>
    <w:rsid w:val="53B0010F"/>
    <w:rsid w:val="53B03C1F"/>
    <w:rsid w:val="53B240EA"/>
    <w:rsid w:val="53B2EA77"/>
    <w:rsid w:val="53B9B700"/>
    <w:rsid w:val="53BF57D1"/>
    <w:rsid w:val="53C32121"/>
    <w:rsid w:val="53C4B5F4"/>
    <w:rsid w:val="53C647BC"/>
    <w:rsid w:val="53CAA5A6"/>
    <w:rsid w:val="53CB3994"/>
    <w:rsid w:val="53CDD13C"/>
    <w:rsid w:val="53D60E33"/>
    <w:rsid w:val="53DA49D4"/>
    <w:rsid w:val="53DAB44F"/>
    <w:rsid w:val="53DC16C9"/>
    <w:rsid w:val="53DEA87D"/>
    <w:rsid w:val="53E2D302"/>
    <w:rsid w:val="53E53C93"/>
    <w:rsid w:val="53EBDFFC"/>
    <w:rsid w:val="53F3252E"/>
    <w:rsid w:val="53F339AD"/>
    <w:rsid w:val="53F3E90E"/>
    <w:rsid w:val="53F44CAD"/>
    <w:rsid w:val="53FAC6A3"/>
    <w:rsid w:val="5400982D"/>
    <w:rsid w:val="54085E57"/>
    <w:rsid w:val="540A4BAD"/>
    <w:rsid w:val="540B081E"/>
    <w:rsid w:val="540BE15F"/>
    <w:rsid w:val="540E8DBA"/>
    <w:rsid w:val="541C1EAB"/>
    <w:rsid w:val="5420A382"/>
    <w:rsid w:val="542B9C21"/>
    <w:rsid w:val="542D0F1D"/>
    <w:rsid w:val="542D7AAD"/>
    <w:rsid w:val="542DDAFE"/>
    <w:rsid w:val="542E275C"/>
    <w:rsid w:val="543129C3"/>
    <w:rsid w:val="543625A3"/>
    <w:rsid w:val="543BA27B"/>
    <w:rsid w:val="543CB332"/>
    <w:rsid w:val="543E10C3"/>
    <w:rsid w:val="5441D12A"/>
    <w:rsid w:val="5444336F"/>
    <w:rsid w:val="5445ACA9"/>
    <w:rsid w:val="544A16F8"/>
    <w:rsid w:val="544C6A2D"/>
    <w:rsid w:val="544CADEC"/>
    <w:rsid w:val="544E4267"/>
    <w:rsid w:val="54632C4B"/>
    <w:rsid w:val="5463A17F"/>
    <w:rsid w:val="54697330"/>
    <w:rsid w:val="546C36F7"/>
    <w:rsid w:val="546DC830"/>
    <w:rsid w:val="546E67B4"/>
    <w:rsid w:val="547B7317"/>
    <w:rsid w:val="547BBD8C"/>
    <w:rsid w:val="547CE3B4"/>
    <w:rsid w:val="5485281C"/>
    <w:rsid w:val="5488EEDA"/>
    <w:rsid w:val="54898EEF"/>
    <w:rsid w:val="5489D95E"/>
    <w:rsid w:val="548BD447"/>
    <w:rsid w:val="548BE79E"/>
    <w:rsid w:val="548C6E53"/>
    <w:rsid w:val="548E591E"/>
    <w:rsid w:val="548F3A7B"/>
    <w:rsid w:val="548FBED7"/>
    <w:rsid w:val="5497C72D"/>
    <w:rsid w:val="549AF5A8"/>
    <w:rsid w:val="549C9F3F"/>
    <w:rsid w:val="549CE424"/>
    <w:rsid w:val="54A9697C"/>
    <w:rsid w:val="54AB4DEB"/>
    <w:rsid w:val="54AEAB48"/>
    <w:rsid w:val="54B26985"/>
    <w:rsid w:val="54B4623A"/>
    <w:rsid w:val="54B66480"/>
    <w:rsid w:val="54C9F06B"/>
    <w:rsid w:val="54CB2D45"/>
    <w:rsid w:val="54CB9F59"/>
    <w:rsid w:val="54CD7D86"/>
    <w:rsid w:val="54CF9E59"/>
    <w:rsid w:val="54D1A68B"/>
    <w:rsid w:val="54D1A842"/>
    <w:rsid w:val="54D22E8B"/>
    <w:rsid w:val="54D3BE87"/>
    <w:rsid w:val="54D9DE5E"/>
    <w:rsid w:val="54E18BE6"/>
    <w:rsid w:val="54EBBE04"/>
    <w:rsid w:val="54F1B08D"/>
    <w:rsid w:val="54F1D13A"/>
    <w:rsid w:val="54F8AEF9"/>
    <w:rsid w:val="54FEBA07"/>
    <w:rsid w:val="54FF0F99"/>
    <w:rsid w:val="55009B09"/>
    <w:rsid w:val="5503CB10"/>
    <w:rsid w:val="55075EFA"/>
    <w:rsid w:val="550AE8B3"/>
    <w:rsid w:val="550B048E"/>
    <w:rsid w:val="550E5A02"/>
    <w:rsid w:val="5513976E"/>
    <w:rsid w:val="551416AA"/>
    <w:rsid w:val="551E31F5"/>
    <w:rsid w:val="5521E991"/>
    <w:rsid w:val="5526382D"/>
    <w:rsid w:val="552F93DD"/>
    <w:rsid w:val="55311CEE"/>
    <w:rsid w:val="55328988"/>
    <w:rsid w:val="553332A9"/>
    <w:rsid w:val="553746DA"/>
    <w:rsid w:val="553F1CD5"/>
    <w:rsid w:val="5542F95F"/>
    <w:rsid w:val="55437C32"/>
    <w:rsid w:val="554803CD"/>
    <w:rsid w:val="554F520F"/>
    <w:rsid w:val="554FD19D"/>
    <w:rsid w:val="5557A3D3"/>
    <w:rsid w:val="555A234C"/>
    <w:rsid w:val="555F0B04"/>
    <w:rsid w:val="555FDF9E"/>
    <w:rsid w:val="55611ECC"/>
    <w:rsid w:val="55644C5A"/>
    <w:rsid w:val="5565E05C"/>
    <w:rsid w:val="5569E1A7"/>
    <w:rsid w:val="556A2D0A"/>
    <w:rsid w:val="557266F1"/>
    <w:rsid w:val="5572923B"/>
    <w:rsid w:val="5579AB8D"/>
    <w:rsid w:val="557B0C3B"/>
    <w:rsid w:val="557DF07B"/>
    <w:rsid w:val="558092AD"/>
    <w:rsid w:val="55834B67"/>
    <w:rsid w:val="55845FAD"/>
    <w:rsid w:val="55856539"/>
    <w:rsid w:val="55859A97"/>
    <w:rsid w:val="558B059A"/>
    <w:rsid w:val="558E71F3"/>
    <w:rsid w:val="558F32E2"/>
    <w:rsid w:val="55918F18"/>
    <w:rsid w:val="55976B91"/>
    <w:rsid w:val="559899CF"/>
    <w:rsid w:val="55A09BA2"/>
    <w:rsid w:val="55A15C6E"/>
    <w:rsid w:val="55A5C35E"/>
    <w:rsid w:val="55AA8BBF"/>
    <w:rsid w:val="55AB6379"/>
    <w:rsid w:val="55AD8AA9"/>
    <w:rsid w:val="55B06FF7"/>
    <w:rsid w:val="55B0DCF6"/>
    <w:rsid w:val="55B23C73"/>
    <w:rsid w:val="55B35A4B"/>
    <w:rsid w:val="55B43D47"/>
    <w:rsid w:val="55B8536C"/>
    <w:rsid w:val="55BA10E6"/>
    <w:rsid w:val="55C22DBD"/>
    <w:rsid w:val="55C6CFD9"/>
    <w:rsid w:val="55CEB5E1"/>
    <w:rsid w:val="55D42A45"/>
    <w:rsid w:val="55D5B83B"/>
    <w:rsid w:val="55DB5679"/>
    <w:rsid w:val="55E92146"/>
    <w:rsid w:val="55E9F4D7"/>
    <w:rsid w:val="55EC2BD9"/>
    <w:rsid w:val="55F08EF0"/>
    <w:rsid w:val="55F1287B"/>
    <w:rsid w:val="55F1ADA4"/>
    <w:rsid w:val="55F52B63"/>
    <w:rsid w:val="55F6173E"/>
    <w:rsid w:val="55F670D3"/>
    <w:rsid w:val="55FB7431"/>
    <w:rsid w:val="55FCC59F"/>
    <w:rsid w:val="5601CE35"/>
    <w:rsid w:val="5602EF71"/>
    <w:rsid w:val="5606B8C1"/>
    <w:rsid w:val="56089AC2"/>
    <w:rsid w:val="5609714A"/>
    <w:rsid w:val="560B9B92"/>
    <w:rsid w:val="560EA6D0"/>
    <w:rsid w:val="560F067C"/>
    <w:rsid w:val="561C12AA"/>
    <w:rsid w:val="561FCF5C"/>
    <w:rsid w:val="56260C20"/>
    <w:rsid w:val="562B8938"/>
    <w:rsid w:val="562C633D"/>
    <w:rsid w:val="562E3F83"/>
    <w:rsid w:val="562EE9DE"/>
    <w:rsid w:val="562F6809"/>
    <w:rsid w:val="5634D5A4"/>
    <w:rsid w:val="563A9C2D"/>
    <w:rsid w:val="563BAFD9"/>
    <w:rsid w:val="563BD74E"/>
    <w:rsid w:val="563ED18B"/>
    <w:rsid w:val="56417B8E"/>
    <w:rsid w:val="56448E6D"/>
    <w:rsid w:val="56470A58"/>
    <w:rsid w:val="56473203"/>
    <w:rsid w:val="5648864D"/>
    <w:rsid w:val="564CA11F"/>
    <w:rsid w:val="56540AAD"/>
    <w:rsid w:val="5655742B"/>
    <w:rsid w:val="5658A444"/>
    <w:rsid w:val="565D1381"/>
    <w:rsid w:val="56659101"/>
    <w:rsid w:val="56664B96"/>
    <w:rsid w:val="566904F4"/>
    <w:rsid w:val="566F2F98"/>
    <w:rsid w:val="5673FD75"/>
    <w:rsid w:val="567478C5"/>
    <w:rsid w:val="56753AA2"/>
    <w:rsid w:val="5676D3B3"/>
    <w:rsid w:val="567B4112"/>
    <w:rsid w:val="567BC8DA"/>
    <w:rsid w:val="56860D49"/>
    <w:rsid w:val="5687F223"/>
    <w:rsid w:val="568A487E"/>
    <w:rsid w:val="56906D4E"/>
    <w:rsid w:val="5690C269"/>
    <w:rsid w:val="569215BC"/>
    <w:rsid w:val="569A148E"/>
    <w:rsid w:val="569AEA1D"/>
    <w:rsid w:val="569C24D6"/>
    <w:rsid w:val="569F0838"/>
    <w:rsid w:val="56A478BE"/>
    <w:rsid w:val="56B262EC"/>
    <w:rsid w:val="56B5F51E"/>
    <w:rsid w:val="56B75938"/>
    <w:rsid w:val="56B7820D"/>
    <w:rsid w:val="56B7C56D"/>
    <w:rsid w:val="56BA913C"/>
    <w:rsid w:val="56BC0D09"/>
    <w:rsid w:val="56C8B31A"/>
    <w:rsid w:val="56C958F1"/>
    <w:rsid w:val="56D3F469"/>
    <w:rsid w:val="56D70A23"/>
    <w:rsid w:val="56E4BD0D"/>
    <w:rsid w:val="56E67ACD"/>
    <w:rsid w:val="56E93815"/>
    <w:rsid w:val="56ED3A2C"/>
    <w:rsid w:val="56ED3A6D"/>
    <w:rsid w:val="56F051DF"/>
    <w:rsid w:val="56F0CBD2"/>
    <w:rsid w:val="56F178E3"/>
    <w:rsid w:val="56F70211"/>
    <w:rsid w:val="56FD92DE"/>
    <w:rsid w:val="5704A329"/>
    <w:rsid w:val="570861AC"/>
    <w:rsid w:val="570F0F61"/>
    <w:rsid w:val="5714F5E9"/>
    <w:rsid w:val="5716503B"/>
    <w:rsid w:val="571F5EF0"/>
    <w:rsid w:val="5724C3E9"/>
    <w:rsid w:val="572891FB"/>
    <w:rsid w:val="57310827"/>
    <w:rsid w:val="5732E43E"/>
    <w:rsid w:val="573AA37A"/>
    <w:rsid w:val="573BAA80"/>
    <w:rsid w:val="573C4FC5"/>
    <w:rsid w:val="574132E0"/>
    <w:rsid w:val="574197AF"/>
    <w:rsid w:val="5744488A"/>
    <w:rsid w:val="57469873"/>
    <w:rsid w:val="574C21EA"/>
    <w:rsid w:val="574C5A71"/>
    <w:rsid w:val="574CE685"/>
    <w:rsid w:val="5754BBC1"/>
    <w:rsid w:val="57556C43"/>
    <w:rsid w:val="5755C83E"/>
    <w:rsid w:val="575660DE"/>
    <w:rsid w:val="5756DF65"/>
    <w:rsid w:val="5757FB34"/>
    <w:rsid w:val="575EA1FE"/>
    <w:rsid w:val="576035D6"/>
    <w:rsid w:val="5760FA2F"/>
    <w:rsid w:val="57652A9A"/>
    <w:rsid w:val="57678C25"/>
    <w:rsid w:val="576BCF8A"/>
    <w:rsid w:val="57701587"/>
    <w:rsid w:val="577105C8"/>
    <w:rsid w:val="5772418D"/>
    <w:rsid w:val="5775B720"/>
    <w:rsid w:val="57769685"/>
    <w:rsid w:val="57788C2C"/>
    <w:rsid w:val="577D1F98"/>
    <w:rsid w:val="577EA434"/>
    <w:rsid w:val="57816951"/>
    <w:rsid w:val="5781EEDF"/>
    <w:rsid w:val="57823978"/>
    <w:rsid w:val="57855FAE"/>
    <w:rsid w:val="5795DF2F"/>
    <w:rsid w:val="5797947C"/>
    <w:rsid w:val="57987FFD"/>
    <w:rsid w:val="579A1858"/>
    <w:rsid w:val="57A24AE8"/>
    <w:rsid w:val="57A88996"/>
    <w:rsid w:val="57AA9B86"/>
    <w:rsid w:val="57ADBDF1"/>
    <w:rsid w:val="57AE5A79"/>
    <w:rsid w:val="57AEE729"/>
    <w:rsid w:val="57AFBEBB"/>
    <w:rsid w:val="57B098CF"/>
    <w:rsid w:val="57B24451"/>
    <w:rsid w:val="57B47AAC"/>
    <w:rsid w:val="57B509AC"/>
    <w:rsid w:val="57B544FD"/>
    <w:rsid w:val="57B69E41"/>
    <w:rsid w:val="57B7842C"/>
    <w:rsid w:val="57B84873"/>
    <w:rsid w:val="57B8711D"/>
    <w:rsid w:val="57B91B9B"/>
    <w:rsid w:val="57B9B3AF"/>
    <w:rsid w:val="57C218CB"/>
    <w:rsid w:val="57CA4D4A"/>
    <w:rsid w:val="57CBA781"/>
    <w:rsid w:val="57CC9AFE"/>
    <w:rsid w:val="57D1A9AB"/>
    <w:rsid w:val="57D596BB"/>
    <w:rsid w:val="57D72633"/>
    <w:rsid w:val="57DB327A"/>
    <w:rsid w:val="57DE402D"/>
    <w:rsid w:val="57DEDA97"/>
    <w:rsid w:val="57E2BDE3"/>
    <w:rsid w:val="57E3DD90"/>
    <w:rsid w:val="57E42A87"/>
    <w:rsid w:val="57EBC03B"/>
    <w:rsid w:val="57EE9582"/>
    <w:rsid w:val="57EEAE8F"/>
    <w:rsid w:val="57F1B400"/>
    <w:rsid w:val="57FA8BA9"/>
    <w:rsid w:val="57FB409D"/>
    <w:rsid w:val="57FD5E9C"/>
    <w:rsid w:val="57FF504A"/>
    <w:rsid w:val="57FFE7C3"/>
    <w:rsid w:val="58029B81"/>
    <w:rsid w:val="5803FAA5"/>
    <w:rsid w:val="580C3AA6"/>
    <w:rsid w:val="58134D47"/>
    <w:rsid w:val="58170085"/>
    <w:rsid w:val="58173ACF"/>
    <w:rsid w:val="5821AFA9"/>
    <w:rsid w:val="5825C122"/>
    <w:rsid w:val="582C84AF"/>
    <w:rsid w:val="582EAB84"/>
    <w:rsid w:val="58371F83"/>
    <w:rsid w:val="583A0D58"/>
    <w:rsid w:val="5840D970"/>
    <w:rsid w:val="5846818B"/>
    <w:rsid w:val="5846A3F8"/>
    <w:rsid w:val="58474177"/>
    <w:rsid w:val="58482042"/>
    <w:rsid w:val="5849DD8F"/>
    <w:rsid w:val="584EE58E"/>
    <w:rsid w:val="584F721B"/>
    <w:rsid w:val="5851A0AF"/>
    <w:rsid w:val="5852812C"/>
    <w:rsid w:val="5855FAF9"/>
    <w:rsid w:val="585937C8"/>
    <w:rsid w:val="5859582D"/>
    <w:rsid w:val="585ADADC"/>
    <w:rsid w:val="585F7122"/>
    <w:rsid w:val="58616378"/>
    <w:rsid w:val="586475C1"/>
    <w:rsid w:val="5868483F"/>
    <w:rsid w:val="586FA7AD"/>
    <w:rsid w:val="58730797"/>
    <w:rsid w:val="58734FD3"/>
    <w:rsid w:val="587370BF"/>
    <w:rsid w:val="587ABA76"/>
    <w:rsid w:val="587F277E"/>
    <w:rsid w:val="58822108"/>
    <w:rsid w:val="5885B265"/>
    <w:rsid w:val="5888E90F"/>
    <w:rsid w:val="588BE4B9"/>
    <w:rsid w:val="589033D9"/>
    <w:rsid w:val="58958419"/>
    <w:rsid w:val="5895954F"/>
    <w:rsid w:val="589A672B"/>
    <w:rsid w:val="589ACBAE"/>
    <w:rsid w:val="589CB61C"/>
    <w:rsid w:val="589D6A84"/>
    <w:rsid w:val="58A7F8F3"/>
    <w:rsid w:val="58AB17D9"/>
    <w:rsid w:val="58AC8A87"/>
    <w:rsid w:val="58AD3A2B"/>
    <w:rsid w:val="58B55E63"/>
    <w:rsid w:val="58B9F410"/>
    <w:rsid w:val="58B9F4C8"/>
    <w:rsid w:val="58BB1FB8"/>
    <w:rsid w:val="58BB3409"/>
    <w:rsid w:val="58BB8193"/>
    <w:rsid w:val="58BDA5BE"/>
    <w:rsid w:val="58BE5F77"/>
    <w:rsid w:val="58BEF679"/>
    <w:rsid w:val="58C3B3F7"/>
    <w:rsid w:val="58C62C7A"/>
    <w:rsid w:val="58C74A1E"/>
    <w:rsid w:val="58C86483"/>
    <w:rsid w:val="58C93E6A"/>
    <w:rsid w:val="58CBC56A"/>
    <w:rsid w:val="58CBF59C"/>
    <w:rsid w:val="58D97495"/>
    <w:rsid w:val="58DEC713"/>
    <w:rsid w:val="58DFA1E0"/>
    <w:rsid w:val="58E2018B"/>
    <w:rsid w:val="58EADAA5"/>
    <w:rsid w:val="58EC2246"/>
    <w:rsid w:val="58EEF6BB"/>
    <w:rsid w:val="58F08FC6"/>
    <w:rsid w:val="58F128D1"/>
    <w:rsid w:val="58F16289"/>
    <w:rsid w:val="58F2FD05"/>
    <w:rsid w:val="58FCEFB5"/>
    <w:rsid w:val="58FE498D"/>
    <w:rsid w:val="5900CD39"/>
    <w:rsid w:val="5901834C"/>
    <w:rsid w:val="5901EA86"/>
    <w:rsid w:val="59048495"/>
    <w:rsid w:val="5905750C"/>
    <w:rsid w:val="5906FFCB"/>
    <w:rsid w:val="59087801"/>
    <w:rsid w:val="59098458"/>
    <w:rsid w:val="590A6B00"/>
    <w:rsid w:val="590EEE9B"/>
    <w:rsid w:val="590F69F9"/>
    <w:rsid w:val="59161A1C"/>
    <w:rsid w:val="591A4B3E"/>
    <w:rsid w:val="591FCD3C"/>
    <w:rsid w:val="59243C04"/>
    <w:rsid w:val="592DF6ED"/>
    <w:rsid w:val="592E21D5"/>
    <w:rsid w:val="59340FDB"/>
    <w:rsid w:val="5935CF1C"/>
    <w:rsid w:val="593A2AA4"/>
    <w:rsid w:val="593AF98D"/>
    <w:rsid w:val="593B7FE8"/>
    <w:rsid w:val="5948BCB6"/>
    <w:rsid w:val="595D4386"/>
    <w:rsid w:val="596006C6"/>
    <w:rsid w:val="5966EA39"/>
    <w:rsid w:val="596C5FA7"/>
    <w:rsid w:val="596D352A"/>
    <w:rsid w:val="59720ED2"/>
    <w:rsid w:val="59739EA1"/>
    <w:rsid w:val="59758A2E"/>
    <w:rsid w:val="59775885"/>
    <w:rsid w:val="597F0AAE"/>
    <w:rsid w:val="597F656A"/>
    <w:rsid w:val="5989B4D6"/>
    <w:rsid w:val="599237E1"/>
    <w:rsid w:val="5993D653"/>
    <w:rsid w:val="59952729"/>
    <w:rsid w:val="59967C2D"/>
    <w:rsid w:val="5998A880"/>
    <w:rsid w:val="599C3BF5"/>
    <w:rsid w:val="59A42C05"/>
    <w:rsid w:val="59AEBDB7"/>
    <w:rsid w:val="59B1AF18"/>
    <w:rsid w:val="59B2E3EE"/>
    <w:rsid w:val="59B39191"/>
    <w:rsid w:val="59B810B8"/>
    <w:rsid w:val="59B82F54"/>
    <w:rsid w:val="59BA0DF5"/>
    <w:rsid w:val="59BC9C0D"/>
    <w:rsid w:val="59BE709D"/>
    <w:rsid w:val="59BF9EC3"/>
    <w:rsid w:val="59C0ED08"/>
    <w:rsid w:val="59C3828C"/>
    <w:rsid w:val="59C624EF"/>
    <w:rsid w:val="59C66660"/>
    <w:rsid w:val="59CE9B27"/>
    <w:rsid w:val="59D03C1F"/>
    <w:rsid w:val="59D9796D"/>
    <w:rsid w:val="59D99686"/>
    <w:rsid w:val="59DA6620"/>
    <w:rsid w:val="59DB738C"/>
    <w:rsid w:val="59E5CAC6"/>
    <w:rsid w:val="59ED00FD"/>
    <w:rsid w:val="59F6A736"/>
    <w:rsid w:val="59F6F8FC"/>
    <w:rsid w:val="59F73A28"/>
    <w:rsid w:val="59FBA417"/>
    <w:rsid w:val="5A0070AA"/>
    <w:rsid w:val="5A00C8BC"/>
    <w:rsid w:val="5A029753"/>
    <w:rsid w:val="5A02E816"/>
    <w:rsid w:val="5A06211E"/>
    <w:rsid w:val="5A0C3D7E"/>
    <w:rsid w:val="5A0EAC12"/>
    <w:rsid w:val="5A155147"/>
    <w:rsid w:val="5A16EF07"/>
    <w:rsid w:val="5A1774C9"/>
    <w:rsid w:val="5A1B22E1"/>
    <w:rsid w:val="5A210DA4"/>
    <w:rsid w:val="5A21DD46"/>
    <w:rsid w:val="5A231B85"/>
    <w:rsid w:val="5A24A22D"/>
    <w:rsid w:val="5A24E234"/>
    <w:rsid w:val="5A281E33"/>
    <w:rsid w:val="5A2DF3E1"/>
    <w:rsid w:val="5A3B5B01"/>
    <w:rsid w:val="5A3B6CBB"/>
    <w:rsid w:val="5A3DC0B4"/>
    <w:rsid w:val="5A419351"/>
    <w:rsid w:val="5A42F299"/>
    <w:rsid w:val="5A460BC2"/>
    <w:rsid w:val="5A4845FF"/>
    <w:rsid w:val="5A484CAC"/>
    <w:rsid w:val="5A48F8A7"/>
    <w:rsid w:val="5A4DCCAA"/>
    <w:rsid w:val="5A51912E"/>
    <w:rsid w:val="5A534F9F"/>
    <w:rsid w:val="5A5846F7"/>
    <w:rsid w:val="5A6A6DD1"/>
    <w:rsid w:val="5A6D128F"/>
    <w:rsid w:val="5A6D3534"/>
    <w:rsid w:val="5A70BBDE"/>
    <w:rsid w:val="5A71F8C9"/>
    <w:rsid w:val="5A73CC3B"/>
    <w:rsid w:val="5A767759"/>
    <w:rsid w:val="5A79F037"/>
    <w:rsid w:val="5A7E4012"/>
    <w:rsid w:val="5A80F9EE"/>
    <w:rsid w:val="5A827053"/>
    <w:rsid w:val="5A84F3BE"/>
    <w:rsid w:val="5A8E1C5F"/>
    <w:rsid w:val="5A8E891E"/>
    <w:rsid w:val="5A94E6EB"/>
    <w:rsid w:val="5A966CEB"/>
    <w:rsid w:val="5A9BB44A"/>
    <w:rsid w:val="5A9BD3AA"/>
    <w:rsid w:val="5AA092EE"/>
    <w:rsid w:val="5AA0CA51"/>
    <w:rsid w:val="5AA25BF6"/>
    <w:rsid w:val="5AA5F08C"/>
    <w:rsid w:val="5AA6A780"/>
    <w:rsid w:val="5AA8B622"/>
    <w:rsid w:val="5AAC8610"/>
    <w:rsid w:val="5AAEBBFD"/>
    <w:rsid w:val="5AAF21CB"/>
    <w:rsid w:val="5AB01F3D"/>
    <w:rsid w:val="5AB80591"/>
    <w:rsid w:val="5ABBA225"/>
    <w:rsid w:val="5ABC9E31"/>
    <w:rsid w:val="5ABCE848"/>
    <w:rsid w:val="5ABD48F4"/>
    <w:rsid w:val="5ABDFDBE"/>
    <w:rsid w:val="5AC000F5"/>
    <w:rsid w:val="5AC59C8F"/>
    <w:rsid w:val="5AC7269E"/>
    <w:rsid w:val="5ACC69C6"/>
    <w:rsid w:val="5ACC90CC"/>
    <w:rsid w:val="5ACCC508"/>
    <w:rsid w:val="5AD3D276"/>
    <w:rsid w:val="5AD99062"/>
    <w:rsid w:val="5ADC5479"/>
    <w:rsid w:val="5AE48AE4"/>
    <w:rsid w:val="5AEA9766"/>
    <w:rsid w:val="5AEAB200"/>
    <w:rsid w:val="5AEAE369"/>
    <w:rsid w:val="5AFE179F"/>
    <w:rsid w:val="5B011223"/>
    <w:rsid w:val="5B051F7A"/>
    <w:rsid w:val="5B086BD9"/>
    <w:rsid w:val="5B095BBA"/>
    <w:rsid w:val="5B0AC01A"/>
    <w:rsid w:val="5B0CE49E"/>
    <w:rsid w:val="5B0F83D5"/>
    <w:rsid w:val="5B0FC5D3"/>
    <w:rsid w:val="5B0FF117"/>
    <w:rsid w:val="5B103A57"/>
    <w:rsid w:val="5B14249E"/>
    <w:rsid w:val="5B14A842"/>
    <w:rsid w:val="5B17B763"/>
    <w:rsid w:val="5B1E57C5"/>
    <w:rsid w:val="5B2999AE"/>
    <w:rsid w:val="5B2B3C33"/>
    <w:rsid w:val="5B30539C"/>
    <w:rsid w:val="5B30A310"/>
    <w:rsid w:val="5B325C27"/>
    <w:rsid w:val="5B346648"/>
    <w:rsid w:val="5B364E33"/>
    <w:rsid w:val="5B3CC97C"/>
    <w:rsid w:val="5B404D15"/>
    <w:rsid w:val="5B41CFA0"/>
    <w:rsid w:val="5B4664D8"/>
    <w:rsid w:val="5B470858"/>
    <w:rsid w:val="5B4DF90E"/>
    <w:rsid w:val="5B5D4985"/>
    <w:rsid w:val="5B5EEDBE"/>
    <w:rsid w:val="5B606DEF"/>
    <w:rsid w:val="5B634D02"/>
    <w:rsid w:val="5B68328A"/>
    <w:rsid w:val="5B6A209E"/>
    <w:rsid w:val="5B6A7618"/>
    <w:rsid w:val="5B6B1F35"/>
    <w:rsid w:val="5B6FA49B"/>
    <w:rsid w:val="5B797872"/>
    <w:rsid w:val="5B798D77"/>
    <w:rsid w:val="5B7BD1D4"/>
    <w:rsid w:val="5B851FE6"/>
    <w:rsid w:val="5B86B236"/>
    <w:rsid w:val="5B878315"/>
    <w:rsid w:val="5B8C2802"/>
    <w:rsid w:val="5B8E8F1D"/>
    <w:rsid w:val="5B9F4F98"/>
    <w:rsid w:val="5BA7B357"/>
    <w:rsid w:val="5BABBF0A"/>
    <w:rsid w:val="5BB064B7"/>
    <w:rsid w:val="5BB4305E"/>
    <w:rsid w:val="5BBBA5A6"/>
    <w:rsid w:val="5BBC3B3D"/>
    <w:rsid w:val="5BBCE154"/>
    <w:rsid w:val="5BBD93AC"/>
    <w:rsid w:val="5BBE4024"/>
    <w:rsid w:val="5BBFA4E3"/>
    <w:rsid w:val="5BC0B634"/>
    <w:rsid w:val="5BC80B57"/>
    <w:rsid w:val="5BCF5158"/>
    <w:rsid w:val="5BCF902A"/>
    <w:rsid w:val="5BD4CAD4"/>
    <w:rsid w:val="5BDB333C"/>
    <w:rsid w:val="5BDFB0C1"/>
    <w:rsid w:val="5BE4E9CE"/>
    <w:rsid w:val="5BE5423F"/>
    <w:rsid w:val="5BE69443"/>
    <w:rsid w:val="5BE80275"/>
    <w:rsid w:val="5BE93608"/>
    <w:rsid w:val="5BEBA04E"/>
    <w:rsid w:val="5BEBA779"/>
    <w:rsid w:val="5BED1C6F"/>
    <w:rsid w:val="5BED7557"/>
    <w:rsid w:val="5BEF7890"/>
    <w:rsid w:val="5BF0DF7B"/>
    <w:rsid w:val="5BF5EF09"/>
    <w:rsid w:val="5BFE4AE1"/>
    <w:rsid w:val="5BFF2AF8"/>
    <w:rsid w:val="5C05B8B1"/>
    <w:rsid w:val="5C062461"/>
    <w:rsid w:val="5C0AECEE"/>
    <w:rsid w:val="5C0C7BE6"/>
    <w:rsid w:val="5C17AA3E"/>
    <w:rsid w:val="5C19A118"/>
    <w:rsid w:val="5C217A79"/>
    <w:rsid w:val="5C23C00F"/>
    <w:rsid w:val="5C26B5C4"/>
    <w:rsid w:val="5C29DF02"/>
    <w:rsid w:val="5C2D4BE4"/>
    <w:rsid w:val="5C2E81F9"/>
    <w:rsid w:val="5C31A5E7"/>
    <w:rsid w:val="5C342FFC"/>
    <w:rsid w:val="5C375A1E"/>
    <w:rsid w:val="5C3A6317"/>
    <w:rsid w:val="5C3B8C8B"/>
    <w:rsid w:val="5C3FB04A"/>
    <w:rsid w:val="5C491FEA"/>
    <w:rsid w:val="5C4B6FEF"/>
    <w:rsid w:val="5C533903"/>
    <w:rsid w:val="5C5CD8B8"/>
    <w:rsid w:val="5C5D347A"/>
    <w:rsid w:val="5C5D5CA2"/>
    <w:rsid w:val="5C5EA705"/>
    <w:rsid w:val="5C635849"/>
    <w:rsid w:val="5C68FCE6"/>
    <w:rsid w:val="5C6D5252"/>
    <w:rsid w:val="5C6F6D28"/>
    <w:rsid w:val="5C770F79"/>
    <w:rsid w:val="5C7EFA48"/>
    <w:rsid w:val="5C7F4B3B"/>
    <w:rsid w:val="5C8306B9"/>
    <w:rsid w:val="5C89EBBA"/>
    <w:rsid w:val="5C8F2DD8"/>
    <w:rsid w:val="5C9120E8"/>
    <w:rsid w:val="5C935776"/>
    <w:rsid w:val="5C93E581"/>
    <w:rsid w:val="5C9652F4"/>
    <w:rsid w:val="5C984AEB"/>
    <w:rsid w:val="5C9A1022"/>
    <w:rsid w:val="5C9A78BE"/>
    <w:rsid w:val="5C9AC3D3"/>
    <w:rsid w:val="5CA218CF"/>
    <w:rsid w:val="5CA55F23"/>
    <w:rsid w:val="5CAC96F8"/>
    <w:rsid w:val="5CB30C3D"/>
    <w:rsid w:val="5CB87E1A"/>
    <w:rsid w:val="5CBB8472"/>
    <w:rsid w:val="5CC1E687"/>
    <w:rsid w:val="5CC73BB4"/>
    <w:rsid w:val="5CC92871"/>
    <w:rsid w:val="5CC9D932"/>
    <w:rsid w:val="5CCE002A"/>
    <w:rsid w:val="5CD04089"/>
    <w:rsid w:val="5CD383B0"/>
    <w:rsid w:val="5CD5F37F"/>
    <w:rsid w:val="5CD84602"/>
    <w:rsid w:val="5CDA1D1F"/>
    <w:rsid w:val="5CDB765A"/>
    <w:rsid w:val="5CDD9276"/>
    <w:rsid w:val="5CDEEDE5"/>
    <w:rsid w:val="5CE2E83D"/>
    <w:rsid w:val="5CE61928"/>
    <w:rsid w:val="5CEB11B2"/>
    <w:rsid w:val="5CF7F682"/>
    <w:rsid w:val="5CFA2CDA"/>
    <w:rsid w:val="5CFBA00E"/>
    <w:rsid w:val="5CFD1E92"/>
    <w:rsid w:val="5CFE0360"/>
    <w:rsid w:val="5CFE80F8"/>
    <w:rsid w:val="5D0489F1"/>
    <w:rsid w:val="5D116EAC"/>
    <w:rsid w:val="5D131460"/>
    <w:rsid w:val="5D1A53FF"/>
    <w:rsid w:val="5D1B7C48"/>
    <w:rsid w:val="5D1C4B0D"/>
    <w:rsid w:val="5D2C9EE4"/>
    <w:rsid w:val="5D2EB315"/>
    <w:rsid w:val="5D32EC0B"/>
    <w:rsid w:val="5D3A77C1"/>
    <w:rsid w:val="5D3B743C"/>
    <w:rsid w:val="5D4571D1"/>
    <w:rsid w:val="5D45FBA4"/>
    <w:rsid w:val="5D47A487"/>
    <w:rsid w:val="5D492503"/>
    <w:rsid w:val="5D4E9A41"/>
    <w:rsid w:val="5D529445"/>
    <w:rsid w:val="5D53C175"/>
    <w:rsid w:val="5D543CEC"/>
    <w:rsid w:val="5D5C7A0A"/>
    <w:rsid w:val="5D62D9E7"/>
    <w:rsid w:val="5D65B63E"/>
    <w:rsid w:val="5D692B34"/>
    <w:rsid w:val="5D736CED"/>
    <w:rsid w:val="5D76FC40"/>
    <w:rsid w:val="5D779F63"/>
    <w:rsid w:val="5D7B23E6"/>
    <w:rsid w:val="5D848DDA"/>
    <w:rsid w:val="5D84B785"/>
    <w:rsid w:val="5D874D39"/>
    <w:rsid w:val="5D87CCC3"/>
    <w:rsid w:val="5D8CF7C0"/>
    <w:rsid w:val="5D8DB5FB"/>
    <w:rsid w:val="5D8F0319"/>
    <w:rsid w:val="5D8FA798"/>
    <w:rsid w:val="5D918F5F"/>
    <w:rsid w:val="5D94CA46"/>
    <w:rsid w:val="5D95800C"/>
    <w:rsid w:val="5D95E9B5"/>
    <w:rsid w:val="5D98C672"/>
    <w:rsid w:val="5D9950B8"/>
    <w:rsid w:val="5DA0C518"/>
    <w:rsid w:val="5DA91838"/>
    <w:rsid w:val="5DA9C6DE"/>
    <w:rsid w:val="5DAF3032"/>
    <w:rsid w:val="5DB21A08"/>
    <w:rsid w:val="5DB33220"/>
    <w:rsid w:val="5DB49548"/>
    <w:rsid w:val="5DB534B4"/>
    <w:rsid w:val="5DB55B12"/>
    <w:rsid w:val="5DB649FD"/>
    <w:rsid w:val="5DB78BA2"/>
    <w:rsid w:val="5DB80996"/>
    <w:rsid w:val="5DB92A82"/>
    <w:rsid w:val="5DBA7464"/>
    <w:rsid w:val="5DBC5B5B"/>
    <w:rsid w:val="5DBE53C1"/>
    <w:rsid w:val="5DBECD11"/>
    <w:rsid w:val="5DCC4F3D"/>
    <w:rsid w:val="5DCC545C"/>
    <w:rsid w:val="5DCD69FE"/>
    <w:rsid w:val="5DD0EE2A"/>
    <w:rsid w:val="5DD23C4B"/>
    <w:rsid w:val="5DD38AC5"/>
    <w:rsid w:val="5DD77775"/>
    <w:rsid w:val="5DD8CF9B"/>
    <w:rsid w:val="5DDBB92B"/>
    <w:rsid w:val="5DE1B607"/>
    <w:rsid w:val="5DE21352"/>
    <w:rsid w:val="5DE3183D"/>
    <w:rsid w:val="5DE3B227"/>
    <w:rsid w:val="5DEAE3D9"/>
    <w:rsid w:val="5DED16F1"/>
    <w:rsid w:val="5DEE4AE0"/>
    <w:rsid w:val="5DF056C3"/>
    <w:rsid w:val="5DF0DAC1"/>
    <w:rsid w:val="5DF829D8"/>
    <w:rsid w:val="5DFB5644"/>
    <w:rsid w:val="5E03339C"/>
    <w:rsid w:val="5E09EADB"/>
    <w:rsid w:val="5E1373CF"/>
    <w:rsid w:val="5E17F1DD"/>
    <w:rsid w:val="5E181309"/>
    <w:rsid w:val="5E19AA9A"/>
    <w:rsid w:val="5E20434E"/>
    <w:rsid w:val="5E23B8A5"/>
    <w:rsid w:val="5E265BDA"/>
    <w:rsid w:val="5E26D943"/>
    <w:rsid w:val="5E27FAF6"/>
    <w:rsid w:val="5E2ADB06"/>
    <w:rsid w:val="5E330A79"/>
    <w:rsid w:val="5E3420D9"/>
    <w:rsid w:val="5E41B509"/>
    <w:rsid w:val="5E41D715"/>
    <w:rsid w:val="5E4481A6"/>
    <w:rsid w:val="5E44FFBC"/>
    <w:rsid w:val="5E477FE2"/>
    <w:rsid w:val="5E48D79C"/>
    <w:rsid w:val="5E4F432D"/>
    <w:rsid w:val="5E5078C9"/>
    <w:rsid w:val="5E53CA1A"/>
    <w:rsid w:val="5E55013E"/>
    <w:rsid w:val="5E55FFC7"/>
    <w:rsid w:val="5E5CFE1D"/>
    <w:rsid w:val="5E616B0C"/>
    <w:rsid w:val="5E712A15"/>
    <w:rsid w:val="5E7229A9"/>
    <w:rsid w:val="5E73EEDE"/>
    <w:rsid w:val="5E76E09E"/>
    <w:rsid w:val="5E7B1D4B"/>
    <w:rsid w:val="5E810317"/>
    <w:rsid w:val="5E835E6D"/>
    <w:rsid w:val="5E862C31"/>
    <w:rsid w:val="5E8E44CB"/>
    <w:rsid w:val="5E8E6C2A"/>
    <w:rsid w:val="5E90132E"/>
    <w:rsid w:val="5E92A968"/>
    <w:rsid w:val="5E94661D"/>
    <w:rsid w:val="5E9595CB"/>
    <w:rsid w:val="5E9706ED"/>
    <w:rsid w:val="5E977FEA"/>
    <w:rsid w:val="5E97C241"/>
    <w:rsid w:val="5E981971"/>
    <w:rsid w:val="5E9C483D"/>
    <w:rsid w:val="5EA2BCE1"/>
    <w:rsid w:val="5EA6085C"/>
    <w:rsid w:val="5EA6543F"/>
    <w:rsid w:val="5EA87915"/>
    <w:rsid w:val="5EAB145A"/>
    <w:rsid w:val="5EABE86C"/>
    <w:rsid w:val="5EAC56FA"/>
    <w:rsid w:val="5EACDAC3"/>
    <w:rsid w:val="5EB1CAF0"/>
    <w:rsid w:val="5EB1DDE4"/>
    <w:rsid w:val="5EB2B610"/>
    <w:rsid w:val="5EB31F43"/>
    <w:rsid w:val="5EB9DD4A"/>
    <w:rsid w:val="5EBA34B0"/>
    <w:rsid w:val="5EBE2223"/>
    <w:rsid w:val="5EBEA5EE"/>
    <w:rsid w:val="5EC327C0"/>
    <w:rsid w:val="5EC392BE"/>
    <w:rsid w:val="5EC50D15"/>
    <w:rsid w:val="5ED07534"/>
    <w:rsid w:val="5ED1A665"/>
    <w:rsid w:val="5EDC004A"/>
    <w:rsid w:val="5EDC648E"/>
    <w:rsid w:val="5EE537F8"/>
    <w:rsid w:val="5EE5E297"/>
    <w:rsid w:val="5EF6DE7C"/>
    <w:rsid w:val="5EF7D267"/>
    <w:rsid w:val="5EF90E65"/>
    <w:rsid w:val="5EFA1163"/>
    <w:rsid w:val="5EFCC625"/>
    <w:rsid w:val="5EFE9A45"/>
    <w:rsid w:val="5F03F8BA"/>
    <w:rsid w:val="5F0604AF"/>
    <w:rsid w:val="5F077BBB"/>
    <w:rsid w:val="5F094AC4"/>
    <w:rsid w:val="5F117B49"/>
    <w:rsid w:val="5F16B4F6"/>
    <w:rsid w:val="5F16E37B"/>
    <w:rsid w:val="5F1847E4"/>
    <w:rsid w:val="5F18ABFB"/>
    <w:rsid w:val="5F1B34AC"/>
    <w:rsid w:val="5F1D3531"/>
    <w:rsid w:val="5F21AF1A"/>
    <w:rsid w:val="5F222AF5"/>
    <w:rsid w:val="5F24610E"/>
    <w:rsid w:val="5F26E872"/>
    <w:rsid w:val="5F31E0A2"/>
    <w:rsid w:val="5F33BC58"/>
    <w:rsid w:val="5F35CA5C"/>
    <w:rsid w:val="5F393E23"/>
    <w:rsid w:val="5F3AB796"/>
    <w:rsid w:val="5F3CFA28"/>
    <w:rsid w:val="5F43E60C"/>
    <w:rsid w:val="5F4413EF"/>
    <w:rsid w:val="5F4CDF5C"/>
    <w:rsid w:val="5F4D8C53"/>
    <w:rsid w:val="5F518AB1"/>
    <w:rsid w:val="5F5DB291"/>
    <w:rsid w:val="5F5DC0D7"/>
    <w:rsid w:val="5F602C12"/>
    <w:rsid w:val="5F609BF2"/>
    <w:rsid w:val="5F61BE39"/>
    <w:rsid w:val="5F680E34"/>
    <w:rsid w:val="5F68EFD7"/>
    <w:rsid w:val="5F6A3720"/>
    <w:rsid w:val="5F6D708F"/>
    <w:rsid w:val="5F6DDEBC"/>
    <w:rsid w:val="5F6F2D0B"/>
    <w:rsid w:val="5F701CC3"/>
    <w:rsid w:val="5F70E289"/>
    <w:rsid w:val="5F737DAC"/>
    <w:rsid w:val="5F74580B"/>
    <w:rsid w:val="5F76CB31"/>
    <w:rsid w:val="5F78F25A"/>
    <w:rsid w:val="5F8087AA"/>
    <w:rsid w:val="5F87D363"/>
    <w:rsid w:val="5F8F1722"/>
    <w:rsid w:val="5F8F2CDA"/>
    <w:rsid w:val="5F97FC56"/>
    <w:rsid w:val="5F9803A4"/>
    <w:rsid w:val="5F9E5566"/>
    <w:rsid w:val="5FA23611"/>
    <w:rsid w:val="5FA2DB5C"/>
    <w:rsid w:val="5FA34483"/>
    <w:rsid w:val="5FA4F509"/>
    <w:rsid w:val="5FAEE087"/>
    <w:rsid w:val="5FAFAF66"/>
    <w:rsid w:val="5FB3715E"/>
    <w:rsid w:val="5FBA9444"/>
    <w:rsid w:val="5FBAEE11"/>
    <w:rsid w:val="5FBE465A"/>
    <w:rsid w:val="5FC445DD"/>
    <w:rsid w:val="5FC4A596"/>
    <w:rsid w:val="5FC4C543"/>
    <w:rsid w:val="5FCE7651"/>
    <w:rsid w:val="5FCEB8E3"/>
    <w:rsid w:val="5FD286C0"/>
    <w:rsid w:val="5FDBFCFE"/>
    <w:rsid w:val="5FDCBDF9"/>
    <w:rsid w:val="5FDF3A2E"/>
    <w:rsid w:val="5FEE0BF9"/>
    <w:rsid w:val="5FF32A55"/>
    <w:rsid w:val="5FF43EC6"/>
    <w:rsid w:val="5FF57FC9"/>
    <w:rsid w:val="5FF6E3DB"/>
    <w:rsid w:val="5FF9CAE2"/>
    <w:rsid w:val="5FFB4E59"/>
    <w:rsid w:val="5FFCD6B6"/>
    <w:rsid w:val="600104D3"/>
    <w:rsid w:val="60056093"/>
    <w:rsid w:val="600CDBF6"/>
    <w:rsid w:val="600DC1D5"/>
    <w:rsid w:val="60171B84"/>
    <w:rsid w:val="60178ED3"/>
    <w:rsid w:val="6018E43F"/>
    <w:rsid w:val="601C28B0"/>
    <w:rsid w:val="601CB03C"/>
    <w:rsid w:val="601EEAAC"/>
    <w:rsid w:val="60207B58"/>
    <w:rsid w:val="6020BD65"/>
    <w:rsid w:val="6020D950"/>
    <w:rsid w:val="6022160F"/>
    <w:rsid w:val="6023DC6D"/>
    <w:rsid w:val="602454EE"/>
    <w:rsid w:val="60249D84"/>
    <w:rsid w:val="60274480"/>
    <w:rsid w:val="602ED2C9"/>
    <w:rsid w:val="60316A51"/>
    <w:rsid w:val="6038D1AE"/>
    <w:rsid w:val="603AF272"/>
    <w:rsid w:val="603E0E61"/>
    <w:rsid w:val="603FEDF9"/>
    <w:rsid w:val="6041CE42"/>
    <w:rsid w:val="6042FAA7"/>
    <w:rsid w:val="604A9D0E"/>
    <w:rsid w:val="604CF879"/>
    <w:rsid w:val="604E6A68"/>
    <w:rsid w:val="60514F16"/>
    <w:rsid w:val="6053D7E2"/>
    <w:rsid w:val="6053F226"/>
    <w:rsid w:val="6057A689"/>
    <w:rsid w:val="6058BEC4"/>
    <w:rsid w:val="60595F10"/>
    <w:rsid w:val="60598814"/>
    <w:rsid w:val="605DCE32"/>
    <w:rsid w:val="605E1897"/>
    <w:rsid w:val="606173EB"/>
    <w:rsid w:val="6062BB53"/>
    <w:rsid w:val="6063A891"/>
    <w:rsid w:val="6063E903"/>
    <w:rsid w:val="606847C1"/>
    <w:rsid w:val="606A740F"/>
    <w:rsid w:val="606B1A68"/>
    <w:rsid w:val="606DA734"/>
    <w:rsid w:val="606DBDB6"/>
    <w:rsid w:val="606F303C"/>
    <w:rsid w:val="6073FE58"/>
    <w:rsid w:val="6075AC31"/>
    <w:rsid w:val="60764AE9"/>
    <w:rsid w:val="607A1A70"/>
    <w:rsid w:val="607F63EA"/>
    <w:rsid w:val="6081CA75"/>
    <w:rsid w:val="6088917A"/>
    <w:rsid w:val="60898E2A"/>
    <w:rsid w:val="6089CDBB"/>
    <w:rsid w:val="609983DC"/>
    <w:rsid w:val="60A0BA6E"/>
    <w:rsid w:val="60A31C37"/>
    <w:rsid w:val="60A4EC27"/>
    <w:rsid w:val="60A7AAB8"/>
    <w:rsid w:val="60AB6AB8"/>
    <w:rsid w:val="60AC027E"/>
    <w:rsid w:val="60AD3225"/>
    <w:rsid w:val="60B2F4BC"/>
    <w:rsid w:val="60B78275"/>
    <w:rsid w:val="60B791BE"/>
    <w:rsid w:val="60B8F5E6"/>
    <w:rsid w:val="60BDD3C8"/>
    <w:rsid w:val="60BE496A"/>
    <w:rsid w:val="60CCF411"/>
    <w:rsid w:val="60D3594D"/>
    <w:rsid w:val="60D3EACD"/>
    <w:rsid w:val="60D87C1D"/>
    <w:rsid w:val="60DA65CC"/>
    <w:rsid w:val="60DAC4AB"/>
    <w:rsid w:val="60DE08F0"/>
    <w:rsid w:val="60E00414"/>
    <w:rsid w:val="60EA3370"/>
    <w:rsid w:val="60EAE2FD"/>
    <w:rsid w:val="60ED3552"/>
    <w:rsid w:val="61000489"/>
    <w:rsid w:val="61057A4A"/>
    <w:rsid w:val="61079C56"/>
    <w:rsid w:val="6107F955"/>
    <w:rsid w:val="610E2475"/>
    <w:rsid w:val="6110383F"/>
    <w:rsid w:val="61138B38"/>
    <w:rsid w:val="6113C519"/>
    <w:rsid w:val="6113CF9E"/>
    <w:rsid w:val="6113E6EF"/>
    <w:rsid w:val="6115491D"/>
    <w:rsid w:val="6115742D"/>
    <w:rsid w:val="61165445"/>
    <w:rsid w:val="61207C4A"/>
    <w:rsid w:val="61269F7F"/>
    <w:rsid w:val="612B12C2"/>
    <w:rsid w:val="612BA571"/>
    <w:rsid w:val="612D939B"/>
    <w:rsid w:val="613000B6"/>
    <w:rsid w:val="613278E5"/>
    <w:rsid w:val="6137A75E"/>
    <w:rsid w:val="613CB97D"/>
    <w:rsid w:val="61412305"/>
    <w:rsid w:val="614705F0"/>
    <w:rsid w:val="61495D3A"/>
    <w:rsid w:val="614A067B"/>
    <w:rsid w:val="61553773"/>
    <w:rsid w:val="6157D8DD"/>
    <w:rsid w:val="615B9309"/>
    <w:rsid w:val="615D99C3"/>
    <w:rsid w:val="6163942C"/>
    <w:rsid w:val="61643821"/>
    <w:rsid w:val="616EB304"/>
    <w:rsid w:val="6175E3C5"/>
    <w:rsid w:val="6178DF9F"/>
    <w:rsid w:val="617CCCF1"/>
    <w:rsid w:val="617DD763"/>
    <w:rsid w:val="617E915A"/>
    <w:rsid w:val="61815FAA"/>
    <w:rsid w:val="6184CB81"/>
    <w:rsid w:val="6188EC82"/>
    <w:rsid w:val="618B5D03"/>
    <w:rsid w:val="618E2C59"/>
    <w:rsid w:val="618E743C"/>
    <w:rsid w:val="6190D5A8"/>
    <w:rsid w:val="61962E70"/>
    <w:rsid w:val="6197454A"/>
    <w:rsid w:val="619B1FB8"/>
    <w:rsid w:val="619E726F"/>
    <w:rsid w:val="619ED0AD"/>
    <w:rsid w:val="619F24AD"/>
    <w:rsid w:val="61A325D5"/>
    <w:rsid w:val="61A61EF0"/>
    <w:rsid w:val="61AAA62B"/>
    <w:rsid w:val="61AB2B8F"/>
    <w:rsid w:val="61AD10E1"/>
    <w:rsid w:val="61AFFDBF"/>
    <w:rsid w:val="61B05DAF"/>
    <w:rsid w:val="61B1F00E"/>
    <w:rsid w:val="61B75EFD"/>
    <w:rsid w:val="61BE7A28"/>
    <w:rsid w:val="61C7526F"/>
    <w:rsid w:val="61C83F90"/>
    <w:rsid w:val="61C944E3"/>
    <w:rsid w:val="61CC13F0"/>
    <w:rsid w:val="61D2651F"/>
    <w:rsid w:val="61D66129"/>
    <w:rsid w:val="61DFBDD7"/>
    <w:rsid w:val="61E05C24"/>
    <w:rsid w:val="61E34B48"/>
    <w:rsid w:val="61E553CB"/>
    <w:rsid w:val="61EB80DB"/>
    <w:rsid w:val="61EC8D50"/>
    <w:rsid w:val="61EF09A9"/>
    <w:rsid w:val="61F5DC9D"/>
    <w:rsid w:val="61F82E7E"/>
    <w:rsid w:val="61FA2E5A"/>
    <w:rsid w:val="61FB2C5F"/>
    <w:rsid w:val="620400B9"/>
    <w:rsid w:val="620C4A08"/>
    <w:rsid w:val="620E32F6"/>
    <w:rsid w:val="6210BAB1"/>
    <w:rsid w:val="6216AFC9"/>
    <w:rsid w:val="62190A60"/>
    <w:rsid w:val="621E7B6A"/>
    <w:rsid w:val="622083B4"/>
    <w:rsid w:val="6221DAD6"/>
    <w:rsid w:val="62259462"/>
    <w:rsid w:val="6225E9AF"/>
    <w:rsid w:val="6229DF8A"/>
    <w:rsid w:val="622B6588"/>
    <w:rsid w:val="622D6774"/>
    <w:rsid w:val="62305325"/>
    <w:rsid w:val="6236DD74"/>
    <w:rsid w:val="624051CE"/>
    <w:rsid w:val="6240D894"/>
    <w:rsid w:val="62410711"/>
    <w:rsid w:val="62413B34"/>
    <w:rsid w:val="62480ADD"/>
    <w:rsid w:val="624A8044"/>
    <w:rsid w:val="624B65CA"/>
    <w:rsid w:val="624DBB60"/>
    <w:rsid w:val="624F2707"/>
    <w:rsid w:val="62532C62"/>
    <w:rsid w:val="6253FBCD"/>
    <w:rsid w:val="6257CE73"/>
    <w:rsid w:val="625BE3B7"/>
    <w:rsid w:val="625DB368"/>
    <w:rsid w:val="625F57DF"/>
    <w:rsid w:val="625F5D31"/>
    <w:rsid w:val="62611B39"/>
    <w:rsid w:val="6261DDC1"/>
    <w:rsid w:val="62625BA3"/>
    <w:rsid w:val="626282B5"/>
    <w:rsid w:val="62636C5F"/>
    <w:rsid w:val="626710E3"/>
    <w:rsid w:val="6269BE12"/>
    <w:rsid w:val="626B3AA5"/>
    <w:rsid w:val="626E8D65"/>
    <w:rsid w:val="6271D8D6"/>
    <w:rsid w:val="6272B586"/>
    <w:rsid w:val="6274C44D"/>
    <w:rsid w:val="6275BBEE"/>
    <w:rsid w:val="62761075"/>
    <w:rsid w:val="6278BF69"/>
    <w:rsid w:val="62877E98"/>
    <w:rsid w:val="6288365A"/>
    <w:rsid w:val="6289BB51"/>
    <w:rsid w:val="628A3517"/>
    <w:rsid w:val="628AD202"/>
    <w:rsid w:val="628E587C"/>
    <w:rsid w:val="6292831D"/>
    <w:rsid w:val="629612A7"/>
    <w:rsid w:val="62A427F3"/>
    <w:rsid w:val="62A5C133"/>
    <w:rsid w:val="62A8569A"/>
    <w:rsid w:val="62B0D6FF"/>
    <w:rsid w:val="62B309AE"/>
    <w:rsid w:val="62B3F4D3"/>
    <w:rsid w:val="62BAB5F2"/>
    <w:rsid w:val="62BCEE6B"/>
    <w:rsid w:val="62BF29A4"/>
    <w:rsid w:val="62C5D0AC"/>
    <w:rsid w:val="62CD924F"/>
    <w:rsid w:val="62DA6D19"/>
    <w:rsid w:val="62DBBD66"/>
    <w:rsid w:val="62DD7930"/>
    <w:rsid w:val="62DE6384"/>
    <w:rsid w:val="62E0D592"/>
    <w:rsid w:val="62E3100A"/>
    <w:rsid w:val="62ED4CE1"/>
    <w:rsid w:val="62EDEF4D"/>
    <w:rsid w:val="62EDFAD0"/>
    <w:rsid w:val="62EECE02"/>
    <w:rsid w:val="62F4AD0E"/>
    <w:rsid w:val="62F6B774"/>
    <w:rsid w:val="62F8D0D0"/>
    <w:rsid w:val="63022C73"/>
    <w:rsid w:val="630A256F"/>
    <w:rsid w:val="630A61AE"/>
    <w:rsid w:val="630B62C5"/>
    <w:rsid w:val="631226FD"/>
    <w:rsid w:val="6319C284"/>
    <w:rsid w:val="631B3510"/>
    <w:rsid w:val="631DC10E"/>
    <w:rsid w:val="6320A119"/>
    <w:rsid w:val="6322CED1"/>
    <w:rsid w:val="632AA14B"/>
    <w:rsid w:val="632B56C9"/>
    <w:rsid w:val="632C1A14"/>
    <w:rsid w:val="632DDAF6"/>
    <w:rsid w:val="632FA8E3"/>
    <w:rsid w:val="6332594B"/>
    <w:rsid w:val="63334795"/>
    <w:rsid w:val="6334BF84"/>
    <w:rsid w:val="6339CE4F"/>
    <w:rsid w:val="633CFDE6"/>
    <w:rsid w:val="634337B7"/>
    <w:rsid w:val="634366FC"/>
    <w:rsid w:val="6349E634"/>
    <w:rsid w:val="634FB231"/>
    <w:rsid w:val="634FE91B"/>
    <w:rsid w:val="634FF752"/>
    <w:rsid w:val="63509D38"/>
    <w:rsid w:val="6356F6CB"/>
    <w:rsid w:val="63590259"/>
    <w:rsid w:val="635A421D"/>
    <w:rsid w:val="635ACF7D"/>
    <w:rsid w:val="635BAB2A"/>
    <w:rsid w:val="635E21F5"/>
    <w:rsid w:val="636AC34B"/>
    <w:rsid w:val="636C4D92"/>
    <w:rsid w:val="636D6A53"/>
    <w:rsid w:val="636E6341"/>
    <w:rsid w:val="63703255"/>
    <w:rsid w:val="6372BEA3"/>
    <w:rsid w:val="6376ADDC"/>
    <w:rsid w:val="63785170"/>
    <w:rsid w:val="6379583C"/>
    <w:rsid w:val="637D7603"/>
    <w:rsid w:val="63804526"/>
    <w:rsid w:val="638D59FE"/>
    <w:rsid w:val="638F4A58"/>
    <w:rsid w:val="63905168"/>
    <w:rsid w:val="639D38FE"/>
    <w:rsid w:val="63A46517"/>
    <w:rsid w:val="63AA32AE"/>
    <w:rsid w:val="63ACF37C"/>
    <w:rsid w:val="63AF1794"/>
    <w:rsid w:val="63B17156"/>
    <w:rsid w:val="63B4A6D0"/>
    <w:rsid w:val="63B8C38B"/>
    <w:rsid w:val="63BFFC02"/>
    <w:rsid w:val="63C673C1"/>
    <w:rsid w:val="63C72887"/>
    <w:rsid w:val="63D27BA5"/>
    <w:rsid w:val="63D7E11B"/>
    <w:rsid w:val="63D857FE"/>
    <w:rsid w:val="63D8BC86"/>
    <w:rsid w:val="63DFE120"/>
    <w:rsid w:val="63E031C3"/>
    <w:rsid w:val="63E066EB"/>
    <w:rsid w:val="63E1AA4E"/>
    <w:rsid w:val="63E2A2D3"/>
    <w:rsid w:val="63F22B6E"/>
    <w:rsid w:val="63F33FDA"/>
    <w:rsid w:val="63F48D8E"/>
    <w:rsid w:val="63F4C8F3"/>
    <w:rsid w:val="63F6AD96"/>
    <w:rsid w:val="640498D1"/>
    <w:rsid w:val="64066FB9"/>
    <w:rsid w:val="640B335E"/>
    <w:rsid w:val="640D8608"/>
    <w:rsid w:val="640E3B91"/>
    <w:rsid w:val="641D7BA8"/>
    <w:rsid w:val="64218C80"/>
    <w:rsid w:val="6424625D"/>
    <w:rsid w:val="6427E439"/>
    <w:rsid w:val="64282BBC"/>
    <w:rsid w:val="64301AE7"/>
    <w:rsid w:val="643101A5"/>
    <w:rsid w:val="643F4458"/>
    <w:rsid w:val="643F4D83"/>
    <w:rsid w:val="644114B2"/>
    <w:rsid w:val="6442ADB1"/>
    <w:rsid w:val="64434A0D"/>
    <w:rsid w:val="64453526"/>
    <w:rsid w:val="6446D4A8"/>
    <w:rsid w:val="64471459"/>
    <w:rsid w:val="644A4001"/>
    <w:rsid w:val="644ADE82"/>
    <w:rsid w:val="6450281A"/>
    <w:rsid w:val="6450F260"/>
    <w:rsid w:val="64536B3A"/>
    <w:rsid w:val="64548136"/>
    <w:rsid w:val="64565176"/>
    <w:rsid w:val="645EF73C"/>
    <w:rsid w:val="6460B81D"/>
    <w:rsid w:val="646503DC"/>
    <w:rsid w:val="646E3768"/>
    <w:rsid w:val="6470C861"/>
    <w:rsid w:val="64722C22"/>
    <w:rsid w:val="6473EEC4"/>
    <w:rsid w:val="64793A73"/>
    <w:rsid w:val="647982B5"/>
    <w:rsid w:val="647E912D"/>
    <w:rsid w:val="6481DEB0"/>
    <w:rsid w:val="6484CA3B"/>
    <w:rsid w:val="648B2CFD"/>
    <w:rsid w:val="648C805D"/>
    <w:rsid w:val="649E13FF"/>
    <w:rsid w:val="649F139F"/>
    <w:rsid w:val="649F50C0"/>
    <w:rsid w:val="649F61D1"/>
    <w:rsid w:val="64A01485"/>
    <w:rsid w:val="64A4B402"/>
    <w:rsid w:val="64A50EDF"/>
    <w:rsid w:val="64B9FEF3"/>
    <w:rsid w:val="64BB41D4"/>
    <w:rsid w:val="64BB7236"/>
    <w:rsid w:val="64BCFD49"/>
    <w:rsid w:val="64BEAA37"/>
    <w:rsid w:val="64C85D84"/>
    <w:rsid w:val="64CBAD6F"/>
    <w:rsid w:val="64CD23C7"/>
    <w:rsid w:val="64D2C0DE"/>
    <w:rsid w:val="64D57562"/>
    <w:rsid w:val="64D5FCD0"/>
    <w:rsid w:val="64DAC733"/>
    <w:rsid w:val="64DDD7B2"/>
    <w:rsid w:val="64E23BA0"/>
    <w:rsid w:val="64EA784C"/>
    <w:rsid w:val="64ECAD9A"/>
    <w:rsid w:val="64ED756E"/>
    <w:rsid w:val="64EDFED5"/>
    <w:rsid w:val="64F1FEEE"/>
    <w:rsid w:val="64F4E08E"/>
    <w:rsid w:val="64F53870"/>
    <w:rsid w:val="64F75656"/>
    <w:rsid w:val="64FBD011"/>
    <w:rsid w:val="64FDA46F"/>
    <w:rsid w:val="650010F5"/>
    <w:rsid w:val="6500ACA4"/>
    <w:rsid w:val="65010016"/>
    <w:rsid w:val="6505D1D6"/>
    <w:rsid w:val="6506A121"/>
    <w:rsid w:val="650CD83D"/>
    <w:rsid w:val="650D4943"/>
    <w:rsid w:val="650DE6A3"/>
    <w:rsid w:val="651006AF"/>
    <w:rsid w:val="6510A570"/>
    <w:rsid w:val="6510F671"/>
    <w:rsid w:val="65115057"/>
    <w:rsid w:val="65174E9A"/>
    <w:rsid w:val="651C84E2"/>
    <w:rsid w:val="651E32C5"/>
    <w:rsid w:val="6520C6FD"/>
    <w:rsid w:val="65242D3E"/>
    <w:rsid w:val="652A8DC6"/>
    <w:rsid w:val="652BD6E3"/>
    <w:rsid w:val="65347E0B"/>
    <w:rsid w:val="653A3B1F"/>
    <w:rsid w:val="653B2C71"/>
    <w:rsid w:val="653D3103"/>
    <w:rsid w:val="653E054F"/>
    <w:rsid w:val="6545B137"/>
    <w:rsid w:val="6545D1E9"/>
    <w:rsid w:val="6546CA8B"/>
    <w:rsid w:val="6548AAE8"/>
    <w:rsid w:val="654B0B74"/>
    <w:rsid w:val="654D700F"/>
    <w:rsid w:val="6552D2A5"/>
    <w:rsid w:val="655552CF"/>
    <w:rsid w:val="6555616F"/>
    <w:rsid w:val="6557A578"/>
    <w:rsid w:val="6564BF61"/>
    <w:rsid w:val="657359C6"/>
    <w:rsid w:val="657821D4"/>
    <w:rsid w:val="6587C123"/>
    <w:rsid w:val="658F006F"/>
    <w:rsid w:val="6592A53C"/>
    <w:rsid w:val="65996A06"/>
    <w:rsid w:val="65A19689"/>
    <w:rsid w:val="65A9A236"/>
    <w:rsid w:val="65B0FED6"/>
    <w:rsid w:val="65B12B4B"/>
    <w:rsid w:val="65B582BE"/>
    <w:rsid w:val="65BBDCB3"/>
    <w:rsid w:val="65BE1447"/>
    <w:rsid w:val="65BEAC24"/>
    <w:rsid w:val="65BEF2DC"/>
    <w:rsid w:val="65C0F164"/>
    <w:rsid w:val="65C21CF3"/>
    <w:rsid w:val="65D0D1E3"/>
    <w:rsid w:val="65D6E517"/>
    <w:rsid w:val="65D8A1DF"/>
    <w:rsid w:val="65D8F480"/>
    <w:rsid w:val="65DD6FCE"/>
    <w:rsid w:val="65DF22A0"/>
    <w:rsid w:val="65DF4D63"/>
    <w:rsid w:val="65DFCA8C"/>
    <w:rsid w:val="65E46B7F"/>
    <w:rsid w:val="65E56F6C"/>
    <w:rsid w:val="65EA2A56"/>
    <w:rsid w:val="65EC1005"/>
    <w:rsid w:val="65F9ED80"/>
    <w:rsid w:val="65FBD8FE"/>
    <w:rsid w:val="65FE6DF5"/>
    <w:rsid w:val="65FEF66F"/>
    <w:rsid w:val="6607303C"/>
    <w:rsid w:val="6609267B"/>
    <w:rsid w:val="660C2FB8"/>
    <w:rsid w:val="660F2746"/>
    <w:rsid w:val="66162B5F"/>
    <w:rsid w:val="661C9A8E"/>
    <w:rsid w:val="66203C3F"/>
    <w:rsid w:val="66235AEF"/>
    <w:rsid w:val="66289A75"/>
    <w:rsid w:val="66298153"/>
    <w:rsid w:val="662C6339"/>
    <w:rsid w:val="662C7013"/>
    <w:rsid w:val="662C75C0"/>
    <w:rsid w:val="662F4BFD"/>
    <w:rsid w:val="662F4DBA"/>
    <w:rsid w:val="66348208"/>
    <w:rsid w:val="66384824"/>
    <w:rsid w:val="663951AE"/>
    <w:rsid w:val="6640A001"/>
    <w:rsid w:val="664220B6"/>
    <w:rsid w:val="66444481"/>
    <w:rsid w:val="66488FF8"/>
    <w:rsid w:val="6649B8EE"/>
    <w:rsid w:val="664DA912"/>
    <w:rsid w:val="664E4DE4"/>
    <w:rsid w:val="66538186"/>
    <w:rsid w:val="6653C060"/>
    <w:rsid w:val="66547BB7"/>
    <w:rsid w:val="665739CC"/>
    <w:rsid w:val="665CA5DC"/>
    <w:rsid w:val="6660BA51"/>
    <w:rsid w:val="6669C468"/>
    <w:rsid w:val="666C5171"/>
    <w:rsid w:val="6674975F"/>
    <w:rsid w:val="6674BF4E"/>
    <w:rsid w:val="66751705"/>
    <w:rsid w:val="6677DBB4"/>
    <w:rsid w:val="66786E15"/>
    <w:rsid w:val="66807A99"/>
    <w:rsid w:val="668463C5"/>
    <w:rsid w:val="66851FB0"/>
    <w:rsid w:val="66855A60"/>
    <w:rsid w:val="66887463"/>
    <w:rsid w:val="66889262"/>
    <w:rsid w:val="668B15DD"/>
    <w:rsid w:val="6691C396"/>
    <w:rsid w:val="66929DA5"/>
    <w:rsid w:val="66A37495"/>
    <w:rsid w:val="66A7EF7D"/>
    <w:rsid w:val="66AD875D"/>
    <w:rsid w:val="66B37E38"/>
    <w:rsid w:val="66BDCB0F"/>
    <w:rsid w:val="66BFF898"/>
    <w:rsid w:val="66C21B71"/>
    <w:rsid w:val="66C530F8"/>
    <w:rsid w:val="66C8CC76"/>
    <w:rsid w:val="66CD4CF1"/>
    <w:rsid w:val="66D2693E"/>
    <w:rsid w:val="66D3F9C3"/>
    <w:rsid w:val="66D8CAFA"/>
    <w:rsid w:val="66D97713"/>
    <w:rsid w:val="66D9D281"/>
    <w:rsid w:val="66D9F7D4"/>
    <w:rsid w:val="66DC1AB4"/>
    <w:rsid w:val="66DF2C00"/>
    <w:rsid w:val="66DF835D"/>
    <w:rsid w:val="66E74F24"/>
    <w:rsid w:val="66F17B8D"/>
    <w:rsid w:val="66F30766"/>
    <w:rsid w:val="66F74CC1"/>
    <w:rsid w:val="66F7F2B6"/>
    <w:rsid w:val="66FA47AD"/>
    <w:rsid w:val="66FAA476"/>
    <w:rsid w:val="6703B140"/>
    <w:rsid w:val="670AD18B"/>
    <w:rsid w:val="670CFF7F"/>
    <w:rsid w:val="6711D370"/>
    <w:rsid w:val="671200FA"/>
    <w:rsid w:val="671304AC"/>
    <w:rsid w:val="6719CEA4"/>
    <w:rsid w:val="671DE6DF"/>
    <w:rsid w:val="671EC538"/>
    <w:rsid w:val="672154E7"/>
    <w:rsid w:val="672A8652"/>
    <w:rsid w:val="673374A5"/>
    <w:rsid w:val="6734D0C7"/>
    <w:rsid w:val="67383F38"/>
    <w:rsid w:val="6738F889"/>
    <w:rsid w:val="67394BF7"/>
    <w:rsid w:val="673E5218"/>
    <w:rsid w:val="6740A8D4"/>
    <w:rsid w:val="6741602C"/>
    <w:rsid w:val="6743AA8E"/>
    <w:rsid w:val="6748432C"/>
    <w:rsid w:val="674BE88B"/>
    <w:rsid w:val="674E7D2C"/>
    <w:rsid w:val="6750F8FA"/>
    <w:rsid w:val="67532B96"/>
    <w:rsid w:val="67564BA3"/>
    <w:rsid w:val="67567935"/>
    <w:rsid w:val="6759E2C6"/>
    <w:rsid w:val="675C079C"/>
    <w:rsid w:val="675E5D6D"/>
    <w:rsid w:val="67601A08"/>
    <w:rsid w:val="676489F2"/>
    <w:rsid w:val="6764F1B8"/>
    <w:rsid w:val="67664FB0"/>
    <w:rsid w:val="676CCE53"/>
    <w:rsid w:val="676E4921"/>
    <w:rsid w:val="677BA3CB"/>
    <w:rsid w:val="677CC30F"/>
    <w:rsid w:val="677D960C"/>
    <w:rsid w:val="67852459"/>
    <w:rsid w:val="67856246"/>
    <w:rsid w:val="678CDE3B"/>
    <w:rsid w:val="678E5547"/>
    <w:rsid w:val="678F7A7D"/>
    <w:rsid w:val="67AF3370"/>
    <w:rsid w:val="67AFE282"/>
    <w:rsid w:val="67B57E9D"/>
    <w:rsid w:val="67B57EC7"/>
    <w:rsid w:val="67B78B13"/>
    <w:rsid w:val="67C5F087"/>
    <w:rsid w:val="67D1033C"/>
    <w:rsid w:val="67D7701A"/>
    <w:rsid w:val="67D868BB"/>
    <w:rsid w:val="67DB3C5A"/>
    <w:rsid w:val="67DB7784"/>
    <w:rsid w:val="67DBBD84"/>
    <w:rsid w:val="67DCFB22"/>
    <w:rsid w:val="67DD9617"/>
    <w:rsid w:val="67E868FE"/>
    <w:rsid w:val="67EDE141"/>
    <w:rsid w:val="67F2DD70"/>
    <w:rsid w:val="67FA6DBC"/>
    <w:rsid w:val="6801C8A0"/>
    <w:rsid w:val="6802A760"/>
    <w:rsid w:val="68032EDC"/>
    <w:rsid w:val="6803E41C"/>
    <w:rsid w:val="6805C679"/>
    <w:rsid w:val="680BCDAC"/>
    <w:rsid w:val="680CBF1D"/>
    <w:rsid w:val="680F7F97"/>
    <w:rsid w:val="680FA753"/>
    <w:rsid w:val="680FA7DD"/>
    <w:rsid w:val="68103985"/>
    <w:rsid w:val="6811B22C"/>
    <w:rsid w:val="6816AC76"/>
    <w:rsid w:val="6817D2D4"/>
    <w:rsid w:val="68198FF3"/>
    <w:rsid w:val="681B6F4A"/>
    <w:rsid w:val="6827D9D8"/>
    <w:rsid w:val="6827DCAC"/>
    <w:rsid w:val="682EA349"/>
    <w:rsid w:val="68306107"/>
    <w:rsid w:val="68353F87"/>
    <w:rsid w:val="68392EB2"/>
    <w:rsid w:val="683E3CC2"/>
    <w:rsid w:val="683F8662"/>
    <w:rsid w:val="684164FF"/>
    <w:rsid w:val="6847EDD1"/>
    <w:rsid w:val="684CD573"/>
    <w:rsid w:val="684EBEE2"/>
    <w:rsid w:val="684F14D0"/>
    <w:rsid w:val="6850B1CE"/>
    <w:rsid w:val="685A2536"/>
    <w:rsid w:val="685B2B0F"/>
    <w:rsid w:val="685B70F2"/>
    <w:rsid w:val="685CCB9D"/>
    <w:rsid w:val="685D0FB0"/>
    <w:rsid w:val="685F5D8B"/>
    <w:rsid w:val="6863BFE9"/>
    <w:rsid w:val="68647A4F"/>
    <w:rsid w:val="686A823C"/>
    <w:rsid w:val="686AA426"/>
    <w:rsid w:val="686C5E29"/>
    <w:rsid w:val="687144B7"/>
    <w:rsid w:val="6877E1B5"/>
    <w:rsid w:val="688396C7"/>
    <w:rsid w:val="688A97CE"/>
    <w:rsid w:val="688DF8AD"/>
    <w:rsid w:val="68916621"/>
    <w:rsid w:val="68942D06"/>
    <w:rsid w:val="68968A90"/>
    <w:rsid w:val="689A5C50"/>
    <w:rsid w:val="689C6D7E"/>
    <w:rsid w:val="689E4724"/>
    <w:rsid w:val="689F428A"/>
    <w:rsid w:val="68A07761"/>
    <w:rsid w:val="68A3F722"/>
    <w:rsid w:val="68A80DEB"/>
    <w:rsid w:val="68AB4766"/>
    <w:rsid w:val="68AD836A"/>
    <w:rsid w:val="68B4F91C"/>
    <w:rsid w:val="68B6A34B"/>
    <w:rsid w:val="68B77347"/>
    <w:rsid w:val="68B907F2"/>
    <w:rsid w:val="68BC2D25"/>
    <w:rsid w:val="68C643A9"/>
    <w:rsid w:val="68CAAC31"/>
    <w:rsid w:val="68CE385A"/>
    <w:rsid w:val="68D171DE"/>
    <w:rsid w:val="68D2E36D"/>
    <w:rsid w:val="68D8F4AC"/>
    <w:rsid w:val="68DA4C74"/>
    <w:rsid w:val="68DAF261"/>
    <w:rsid w:val="68DDDD1A"/>
    <w:rsid w:val="68E03468"/>
    <w:rsid w:val="68E1A5CE"/>
    <w:rsid w:val="68E80792"/>
    <w:rsid w:val="68EE0885"/>
    <w:rsid w:val="68F500B8"/>
    <w:rsid w:val="68F73C30"/>
    <w:rsid w:val="690259CE"/>
    <w:rsid w:val="690B10D3"/>
    <w:rsid w:val="690B453F"/>
    <w:rsid w:val="6910421B"/>
    <w:rsid w:val="69108DD4"/>
    <w:rsid w:val="69123095"/>
    <w:rsid w:val="6913572A"/>
    <w:rsid w:val="69137B66"/>
    <w:rsid w:val="6916C232"/>
    <w:rsid w:val="69178141"/>
    <w:rsid w:val="6918B8D0"/>
    <w:rsid w:val="691DB0EA"/>
    <w:rsid w:val="691DEDC2"/>
    <w:rsid w:val="69225022"/>
    <w:rsid w:val="6922688E"/>
    <w:rsid w:val="69238817"/>
    <w:rsid w:val="6926AE74"/>
    <w:rsid w:val="69293142"/>
    <w:rsid w:val="692A6F34"/>
    <w:rsid w:val="692C309A"/>
    <w:rsid w:val="6932EA8B"/>
    <w:rsid w:val="693461AD"/>
    <w:rsid w:val="69373733"/>
    <w:rsid w:val="6938DD59"/>
    <w:rsid w:val="693B3131"/>
    <w:rsid w:val="693EF9B0"/>
    <w:rsid w:val="694488A1"/>
    <w:rsid w:val="6947C2A2"/>
    <w:rsid w:val="694B77AE"/>
    <w:rsid w:val="694C1DB3"/>
    <w:rsid w:val="694CF86B"/>
    <w:rsid w:val="694FC9D1"/>
    <w:rsid w:val="6951E980"/>
    <w:rsid w:val="695AF07E"/>
    <w:rsid w:val="695C14E0"/>
    <w:rsid w:val="6960988B"/>
    <w:rsid w:val="6967F242"/>
    <w:rsid w:val="696EBF67"/>
    <w:rsid w:val="6978C845"/>
    <w:rsid w:val="697FE2F4"/>
    <w:rsid w:val="69857235"/>
    <w:rsid w:val="6987E603"/>
    <w:rsid w:val="698A7E18"/>
    <w:rsid w:val="698D501F"/>
    <w:rsid w:val="699249C9"/>
    <w:rsid w:val="69961156"/>
    <w:rsid w:val="6999463E"/>
    <w:rsid w:val="699970E2"/>
    <w:rsid w:val="699F4B8B"/>
    <w:rsid w:val="69A316CC"/>
    <w:rsid w:val="69A3E673"/>
    <w:rsid w:val="69A441E1"/>
    <w:rsid w:val="69AA4B24"/>
    <w:rsid w:val="69B02F78"/>
    <w:rsid w:val="69C2115C"/>
    <w:rsid w:val="69C7C94A"/>
    <w:rsid w:val="69C89454"/>
    <w:rsid w:val="69C8D7C2"/>
    <w:rsid w:val="69CDF651"/>
    <w:rsid w:val="69D02D11"/>
    <w:rsid w:val="69D11791"/>
    <w:rsid w:val="69D1A46E"/>
    <w:rsid w:val="69D37499"/>
    <w:rsid w:val="69D7C7AB"/>
    <w:rsid w:val="69D9762C"/>
    <w:rsid w:val="69DDD4B0"/>
    <w:rsid w:val="69EA5B4A"/>
    <w:rsid w:val="69EB1DCD"/>
    <w:rsid w:val="69EB9050"/>
    <w:rsid w:val="69EE5EC4"/>
    <w:rsid w:val="69F7B604"/>
    <w:rsid w:val="6A01A62F"/>
    <w:rsid w:val="6A08BA10"/>
    <w:rsid w:val="6A0C6B84"/>
    <w:rsid w:val="6A0C6ED1"/>
    <w:rsid w:val="6A0E487E"/>
    <w:rsid w:val="6A1496DD"/>
    <w:rsid w:val="6A1AB8E2"/>
    <w:rsid w:val="6A1D66DD"/>
    <w:rsid w:val="6A1F96C3"/>
    <w:rsid w:val="6A2A6286"/>
    <w:rsid w:val="6A2AC838"/>
    <w:rsid w:val="6A2BCB43"/>
    <w:rsid w:val="6A2E21A3"/>
    <w:rsid w:val="6A300602"/>
    <w:rsid w:val="6A301CCE"/>
    <w:rsid w:val="6A322B8A"/>
    <w:rsid w:val="6A33EF7F"/>
    <w:rsid w:val="6A344E65"/>
    <w:rsid w:val="6A347BBC"/>
    <w:rsid w:val="6A35F211"/>
    <w:rsid w:val="6A370EF0"/>
    <w:rsid w:val="6A38F3DB"/>
    <w:rsid w:val="6A39DFC2"/>
    <w:rsid w:val="6A3BFE5A"/>
    <w:rsid w:val="6A3C4023"/>
    <w:rsid w:val="6A3CAE77"/>
    <w:rsid w:val="6A3D2D75"/>
    <w:rsid w:val="6A40F1DA"/>
    <w:rsid w:val="6A4346A0"/>
    <w:rsid w:val="6A46FA0C"/>
    <w:rsid w:val="6A4A4E99"/>
    <w:rsid w:val="6A4CE8AD"/>
    <w:rsid w:val="6A4ECD13"/>
    <w:rsid w:val="6A4FB685"/>
    <w:rsid w:val="6A5A8CCB"/>
    <w:rsid w:val="6A5C26AB"/>
    <w:rsid w:val="6A5C6ED0"/>
    <w:rsid w:val="6A5D9851"/>
    <w:rsid w:val="6A64C64D"/>
    <w:rsid w:val="6A6663E3"/>
    <w:rsid w:val="6A68D37D"/>
    <w:rsid w:val="6A6A76B3"/>
    <w:rsid w:val="6A6AF310"/>
    <w:rsid w:val="6A6E6CEE"/>
    <w:rsid w:val="6A71571A"/>
    <w:rsid w:val="6A72F1AA"/>
    <w:rsid w:val="6A76EEBC"/>
    <w:rsid w:val="6A779CCC"/>
    <w:rsid w:val="6A7DE6D3"/>
    <w:rsid w:val="6A8077EB"/>
    <w:rsid w:val="6A824725"/>
    <w:rsid w:val="6A8280B8"/>
    <w:rsid w:val="6A85DC65"/>
    <w:rsid w:val="6A89773F"/>
    <w:rsid w:val="6A8C833B"/>
    <w:rsid w:val="6A8CB6A1"/>
    <w:rsid w:val="6A900E06"/>
    <w:rsid w:val="6A959E8D"/>
    <w:rsid w:val="6A960886"/>
    <w:rsid w:val="6A961318"/>
    <w:rsid w:val="6A997B42"/>
    <w:rsid w:val="6A9DF8CD"/>
    <w:rsid w:val="6AA7BB64"/>
    <w:rsid w:val="6AB4689B"/>
    <w:rsid w:val="6ABA4288"/>
    <w:rsid w:val="6ABC25CB"/>
    <w:rsid w:val="6ABD2891"/>
    <w:rsid w:val="6ABD661D"/>
    <w:rsid w:val="6ABF86C8"/>
    <w:rsid w:val="6AC2A091"/>
    <w:rsid w:val="6AC5EDCE"/>
    <w:rsid w:val="6ACAF725"/>
    <w:rsid w:val="6ACD1B9A"/>
    <w:rsid w:val="6AD31BCF"/>
    <w:rsid w:val="6AD3AD2F"/>
    <w:rsid w:val="6AD60287"/>
    <w:rsid w:val="6AD752E0"/>
    <w:rsid w:val="6AD93568"/>
    <w:rsid w:val="6AD9FD68"/>
    <w:rsid w:val="6ADAB001"/>
    <w:rsid w:val="6AE89F23"/>
    <w:rsid w:val="6AEDBF54"/>
    <w:rsid w:val="6AEEA183"/>
    <w:rsid w:val="6AF66BFD"/>
    <w:rsid w:val="6AF81F2C"/>
    <w:rsid w:val="6AF99AB5"/>
    <w:rsid w:val="6AFBC0F3"/>
    <w:rsid w:val="6AFC4983"/>
    <w:rsid w:val="6B025D28"/>
    <w:rsid w:val="6B03B3B4"/>
    <w:rsid w:val="6B071A7F"/>
    <w:rsid w:val="6B08B0D5"/>
    <w:rsid w:val="6B0A89A3"/>
    <w:rsid w:val="6B0DADB5"/>
    <w:rsid w:val="6B0E0B8B"/>
    <w:rsid w:val="6B122842"/>
    <w:rsid w:val="6B132FD1"/>
    <w:rsid w:val="6B1355C9"/>
    <w:rsid w:val="6B139410"/>
    <w:rsid w:val="6B1443F8"/>
    <w:rsid w:val="6B162674"/>
    <w:rsid w:val="6B1754C0"/>
    <w:rsid w:val="6B1879AB"/>
    <w:rsid w:val="6B22E9DF"/>
    <w:rsid w:val="6B23C297"/>
    <w:rsid w:val="6B2666E7"/>
    <w:rsid w:val="6B2BA032"/>
    <w:rsid w:val="6B2DD1B3"/>
    <w:rsid w:val="6B31BFFE"/>
    <w:rsid w:val="6B324D57"/>
    <w:rsid w:val="6B39F791"/>
    <w:rsid w:val="6B3E673C"/>
    <w:rsid w:val="6B46B6FD"/>
    <w:rsid w:val="6B46F559"/>
    <w:rsid w:val="6B476CBA"/>
    <w:rsid w:val="6B495C7D"/>
    <w:rsid w:val="6B4A94BF"/>
    <w:rsid w:val="6B4A9D4E"/>
    <w:rsid w:val="6B4BCA6F"/>
    <w:rsid w:val="6B520108"/>
    <w:rsid w:val="6B53A511"/>
    <w:rsid w:val="6B545FF1"/>
    <w:rsid w:val="6B59EE3B"/>
    <w:rsid w:val="6B5A0A97"/>
    <w:rsid w:val="6B5E3D4C"/>
    <w:rsid w:val="6B5FBB29"/>
    <w:rsid w:val="6B5FF4D2"/>
    <w:rsid w:val="6B66490A"/>
    <w:rsid w:val="6B666D5B"/>
    <w:rsid w:val="6B68706A"/>
    <w:rsid w:val="6B6889B6"/>
    <w:rsid w:val="6B6AF7D6"/>
    <w:rsid w:val="6B6EFE80"/>
    <w:rsid w:val="6B715ACC"/>
    <w:rsid w:val="6B772FB3"/>
    <w:rsid w:val="6B799EFA"/>
    <w:rsid w:val="6B806D31"/>
    <w:rsid w:val="6B859FDB"/>
    <w:rsid w:val="6B86A7AA"/>
    <w:rsid w:val="6B8B19D1"/>
    <w:rsid w:val="6B8D4DC5"/>
    <w:rsid w:val="6B8F47EC"/>
    <w:rsid w:val="6B914F39"/>
    <w:rsid w:val="6B9156DF"/>
    <w:rsid w:val="6B91866B"/>
    <w:rsid w:val="6B929816"/>
    <w:rsid w:val="6B9DAEBD"/>
    <w:rsid w:val="6BA37EB7"/>
    <w:rsid w:val="6BA6F524"/>
    <w:rsid w:val="6BA8F477"/>
    <w:rsid w:val="6BAA544E"/>
    <w:rsid w:val="6BAB46E8"/>
    <w:rsid w:val="6BB81DEF"/>
    <w:rsid w:val="6BBF46B0"/>
    <w:rsid w:val="6BC18374"/>
    <w:rsid w:val="6BC242E1"/>
    <w:rsid w:val="6BC48128"/>
    <w:rsid w:val="6BC4E5E8"/>
    <w:rsid w:val="6BC6936A"/>
    <w:rsid w:val="6BC72040"/>
    <w:rsid w:val="6BC8551B"/>
    <w:rsid w:val="6BD0610E"/>
    <w:rsid w:val="6BD1D557"/>
    <w:rsid w:val="6BDE1E46"/>
    <w:rsid w:val="6BE0FF9A"/>
    <w:rsid w:val="6BE325C4"/>
    <w:rsid w:val="6BE6803B"/>
    <w:rsid w:val="6BEDB7AD"/>
    <w:rsid w:val="6BEE5F36"/>
    <w:rsid w:val="6BEF0D7D"/>
    <w:rsid w:val="6BEF65A2"/>
    <w:rsid w:val="6BF3E54E"/>
    <w:rsid w:val="6BF94627"/>
    <w:rsid w:val="6BFBD255"/>
    <w:rsid w:val="6BFDA696"/>
    <w:rsid w:val="6BFED721"/>
    <w:rsid w:val="6BFF9EE9"/>
    <w:rsid w:val="6C008202"/>
    <w:rsid w:val="6C018FA4"/>
    <w:rsid w:val="6C043DB8"/>
    <w:rsid w:val="6C085DEF"/>
    <w:rsid w:val="6C0A9CBF"/>
    <w:rsid w:val="6C0C6118"/>
    <w:rsid w:val="6C0E477D"/>
    <w:rsid w:val="6C153FB3"/>
    <w:rsid w:val="6C16C585"/>
    <w:rsid w:val="6C17F02D"/>
    <w:rsid w:val="6C21C9CA"/>
    <w:rsid w:val="6C276FA0"/>
    <w:rsid w:val="6C2909D0"/>
    <w:rsid w:val="6C29AE87"/>
    <w:rsid w:val="6C2C6AA8"/>
    <w:rsid w:val="6C2CEAFA"/>
    <w:rsid w:val="6C347261"/>
    <w:rsid w:val="6C35618C"/>
    <w:rsid w:val="6C3BA2A6"/>
    <w:rsid w:val="6C3E685A"/>
    <w:rsid w:val="6C3F42AB"/>
    <w:rsid w:val="6C4009FD"/>
    <w:rsid w:val="6C43CBFF"/>
    <w:rsid w:val="6C46E23F"/>
    <w:rsid w:val="6C483B9E"/>
    <w:rsid w:val="6C4AA226"/>
    <w:rsid w:val="6C4C3E1F"/>
    <w:rsid w:val="6C50A0A5"/>
    <w:rsid w:val="6C5A6DD8"/>
    <w:rsid w:val="6C6400C0"/>
    <w:rsid w:val="6C6416E1"/>
    <w:rsid w:val="6C6B20CD"/>
    <w:rsid w:val="6C6F00E1"/>
    <w:rsid w:val="6C731E0C"/>
    <w:rsid w:val="6C732BEA"/>
    <w:rsid w:val="6C73840C"/>
    <w:rsid w:val="6C7DF049"/>
    <w:rsid w:val="6C804A01"/>
    <w:rsid w:val="6C82412B"/>
    <w:rsid w:val="6C873D8C"/>
    <w:rsid w:val="6C8BAE30"/>
    <w:rsid w:val="6C92A20E"/>
    <w:rsid w:val="6C94FFA3"/>
    <w:rsid w:val="6C95D32B"/>
    <w:rsid w:val="6C969D90"/>
    <w:rsid w:val="6C9883A4"/>
    <w:rsid w:val="6C99678D"/>
    <w:rsid w:val="6C9C0104"/>
    <w:rsid w:val="6CA2F576"/>
    <w:rsid w:val="6CA71007"/>
    <w:rsid w:val="6CAC2B2C"/>
    <w:rsid w:val="6CAC651F"/>
    <w:rsid w:val="6CAC76D1"/>
    <w:rsid w:val="6CC430C4"/>
    <w:rsid w:val="6CC4A272"/>
    <w:rsid w:val="6CC6AF60"/>
    <w:rsid w:val="6CC81D13"/>
    <w:rsid w:val="6CC9EACC"/>
    <w:rsid w:val="6CCB3B04"/>
    <w:rsid w:val="6CDBD87B"/>
    <w:rsid w:val="6CDE31D7"/>
    <w:rsid w:val="6CDEB1D2"/>
    <w:rsid w:val="6CE86D6F"/>
    <w:rsid w:val="6CED1016"/>
    <w:rsid w:val="6CEFFA7E"/>
    <w:rsid w:val="6CF277BA"/>
    <w:rsid w:val="6CF7DE4B"/>
    <w:rsid w:val="6CF97F17"/>
    <w:rsid w:val="6CFB2762"/>
    <w:rsid w:val="6CFFA6B4"/>
    <w:rsid w:val="6D00BC8D"/>
    <w:rsid w:val="6D00FE1E"/>
    <w:rsid w:val="6D04446E"/>
    <w:rsid w:val="6D052C4B"/>
    <w:rsid w:val="6D05EDBA"/>
    <w:rsid w:val="6D0FDE0F"/>
    <w:rsid w:val="6D1433DF"/>
    <w:rsid w:val="6D1A0B40"/>
    <w:rsid w:val="6D1F9440"/>
    <w:rsid w:val="6D212F5A"/>
    <w:rsid w:val="6D240E56"/>
    <w:rsid w:val="6D245508"/>
    <w:rsid w:val="6D28CC0D"/>
    <w:rsid w:val="6D2A8B47"/>
    <w:rsid w:val="6D2C7AA8"/>
    <w:rsid w:val="6D2D12D0"/>
    <w:rsid w:val="6D3043FF"/>
    <w:rsid w:val="6D3105F3"/>
    <w:rsid w:val="6D33E615"/>
    <w:rsid w:val="6D380B74"/>
    <w:rsid w:val="6D38480C"/>
    <w:rsid w:val="6D38B82A"/>
    <w:rsid w:val="6D396D58"/>
    <w:rsid w:val="6D3A63F0"/>
    <w:rsid w:val="6D3D2B64"/>
    <w:rsid w:val="6D3D46B1"/>
    <w:rsid w:val="6D40FCE3"/>
    <w:rsid w:val="6D4492B8"/>
    <w:rsid w:val="6D44AAEB"/>
    <w:rsid w:val="6D4797D6"/>
    <w:rsid w:val="6D4963F0"/>
    <w:rsid w:val="6D4E3DEE"/>
    <w:rsid w:val="6D516A9D"/>
    <w:rsid w:val="6D527F51"/>
    <w:rsid w:val="6D57DE0C"/>
    <w:rsid w:val="6D5A7155"/>
    <w:rsid w:val="6D5C1A95"/>
    <w:rsid w:val="6D5CCFD7"/>
    <w:rsid w:val="6D60FB52"/>
    <w:rsid w:val="6D61B5FA"/>
    <w:rsid w:val="6D69ACD0"/>
    <w:rsid w:val="6D6E1507"/>
    <w:rsid w:val="6D707746"/>
    <w:rsid w:val="6D7837DF"/>
    <w:rsid w:val="6D7C0222"/>
    <w:rsid w:val="6D7DF35C"/>
    <w:rsid w:val="6D7E5ECA"/>
    <w:rsid w:val="6D81C2D8"/>
    <w:rsid w:val="6D867C2B"/>
    <w:rsid w:val="6D88FC7F"/>
    <w:rsid w:val="6D93FD65"/>
    <w:rsid w:val="6D95AC66"/>
    <w:rsid w:val="6D98188C"/>
    <w:rsid w:val="6D9B9B4B"/>
    <w:rsid w:val="6D9E6108"/>
    <w:rsid w:val="6D9ED030"/>
    <w:rsid w:val="6D9F0721"/>
    <w:rsid w:val="6D9F29DB"/>
    <w:rsid w:val="6D9F9AC0"/>
    <w:rsid w:val="6DA06DA7"/>
    <w:rsid w:val="6DA350B5"/>
    <w:rsid w:val="6DA72DDD"/>
    <w:rsid w:val="6DA885A2"/>
    <w:rsid w:val="6DAA70A4"/>
    <w:rsid w:val="6DAF1560"/>
    <w:rsid w:val="6DAF6759"/>
    <w:rsid w:val="6DB100BA"/>
    <w:rsid w:val="6DB4E891"/>
    <w:rsid w:val="6DB6867C"/>
    <w:rsid w:val="6DBF1DDB"/>
    <w:rsid w:val="6DC5AB53"/>
    <w:rsid w:val="6DD3DB29"/>
    <w:rsid w:val="6DD7B44C"/>
    <w:rsid w:val="6DD9C751"/>
    <w:rsid w:val="6DDBAA86"/>
    <w:rsid w:val="6DDC1DDA"/>
    <w:rsid w:val="6DE19EB9"/>
    <w:rsid w:val="6DE1A88C"/>
    <w:rsid w:val="6DE526B9"/>
    <w:rsid w:val="6DE54D1F"/>
    <w:rsid w:val="6DE655CB"/>
    <w:rsid w:val="6DECA9D0"/>
    <w:rsid w:val="6DF0338E"/>
    <w:rsid w:val="6DF25B9A"/>
    <w:rsid w:val="6DF5D6C5"/>
    <w:rsid w:val="6DF7CF5B"/>
    <w:rsid w:val="6DF88F97"/>
    <w:rsid w:val="6DFA7090"/>
    <w:rsid w:val="6DFE4BE2"/>
    <w:rsid w:val="6DFF5B6D"/>
    <w:rsid w:val="6DFF6513"/>
    <w:rsid w:val="6E016F2D"/>
    <w:rsid w:val="6E086769"/>
    <w:rsid w:val="6E0A6183"/>
    <w:rsid w:val="6E0C4DA7"/>
    <w:rsid w:val="6E1209A3"/>
    <w:rsid w:val="6E13EDBD"/>
    <w:rsid w:val="6E1BF06A"/>
    <w:rsid w:val="6E1CA5BC"/>
    <w:rsid w:val="6E1CD2A2"/>
    <w:rsid w:val="6E1EC497"/>
    <w:rsid w:val="6E1F07E1"/>
    <w:rsid w:val="6E20D669"/>
    <w:rsid w:val="6E23D586"/>
    <w:rsid w:val="6E24D50E"/>
    <w:rsid w:val="6E2688F6"/>
    <w:rsid w:val="6E294092"/>
    <w:rsid w:val="6E2B5A26"/>
    <w:rsid w:val="6E2F0596"/>
    <w:rsid w:val="6E3152A4"/>
    <w:rsid w:val="6E3D6341"/>
    <w:rsid w:val="6E3DD1F5"/>
    <w:rsid w:val="6E3E7E15"/>
    <w:rsid w:val="6E41499A"/>
    <w:rsid w:val="6E425211"/>
    <w:rsid w:val="6E50A72B"/>
    <w:rsid w:val="6E5176F7"/>
    <w:rsid w:val="6E54F5E7"/>
    <w:rsid w:val="6E691E95"/>
    <w:rsid w:val="6E6EC15F"/>
    <w:rsid w:val="6E6F104D"/>
    <w:rsid w:val="6E6FD7FA"/>
    <w:rsid w:val="6E72B6C7"/>
    <w:rsid w:val="6E78442E"/>
    <w:rsid w:val="6E7AC039"/>
    <w:rsid w:val="6E86E6D0"/>
    <w:rsid w:val="6E89E10B"/>
    <w:rsid w:val="6E8ACBEB"/>
    <w:rsid w:val="6E9D899E"/>
    <w:rsid w:val="6EAEEFB8"/>
    <w:rsid w:val="6EAF997D"/>
    <w:rsid w:val="6EB41846"/>
    <w:rsid w:val="6EB6A2E3"/>
    <w:rsid w:val="6EBF1D98"/>
    <w:rsid w:val="6ECEDB55"/>
    <w:rsid w:val="6ED0CA0E"/>
    <w:rsid w:val="6ED30E44"/>
    <w:rsid w:val="6ED3C6E2"/>
    <w:rsid w:val="6ED42568"/>
    <w:rsid w:val="6ED4D9E6"/>
    <w:rsid w:val="6EDD8401"/>
    <w:rsid w:val="6EE5BA9B"/>
    <w:rsid w:val="6EE6E320"/>
    <w:rsid w:val="6EE707D8"/>
    <w:rsid w:val="6EE8AE85"/>
    <w:rsid w:val="6EE9F5FC"/>
    <w:rsid w:val="6EEACBBB"/>
    <w:rsid w:val="6EEDD4ED"/>
    <w:rsid w:val="6EEF875B"/>
    <w:rsid w:val="6EF12A0C"/>
    <w:rsid w:val="6EF165C8"/>
    <w:rsid w:val="6EF5711F"/>
    <w:rsid w:val="6EF61CDD"/>
    <w:rsid w:val="6EF651E8"/>
    <w:rsid w:val="6EF8684C"/>
    <w:rsid w:val="6EFB9B3B"/>
    <w:rsid w:val="6F0639B9"/>
    <w:rsid w:val="6F0930FB"/>
    <w:rsid w:val="6F0960C7"/>
    <w:rsid w:val="6F0A7967"/>
    <w:rsid w:val="6F0B084B"/>
    <w:rsid w:val="6F0D43A8"/>
    <w:rsid w:val="6F12B2A8"/>
    <w:rsid w:val="6F1304A6"/>
    <w:rsid w:val="6F13205D"/>
    <w:rsid w:val="6F135966"/>
    <w:rsid w:val="6F1BD52A"/>
    <w:rsid w:val="6F1EB042"/>
    <w:rsid w:val="6F1F275B"/>
    <w:rsid w:val="6F201382"/>
    <w:rsid w:val="6F270CE6"/>
    <w:rsid w:val="6F2876FB"/>
    <w:rsid w:val="6F2A23D6"/>
    <w:rsid w:val="6F32FA7D"/>
    <w:rsid w:val="6F39B326"/>
    <w:rsid w:val="6F404625"/>
    <w:rsid w:val="6F416843"/>
    <w:rsid w:val="6F48093F"/>
    <w:rsid w:val="6F48900E"/>
    <w:rsid w:val="6F4AC412"/>
    <w:rsid w:val="6F5188F5"/>
    <w:rsid w:val="6F58B87E"/>
    <w:rsid w:val="6F5FD370"/>
    <w:rsid w:val="6F651BC5"/>
    <w:rsid w:val="6F65D1E7"/>
    <w:rsid w:val="6F6C45B4"/>
    <w:rsid w:val="6F6CBD8C"/>
    <w:rsid w:val="6F72351B"/>
    <w:rsid w:val="6F78029A"/>
    <w:rsid w:val="6F795E17"/>
    <w:rsid w:val="6F7A6E34"/>
    <w:rsid w:val="6F801F71"/>
    <w:rsid w:val="6F808EB2"/>
    <w:rsid w:val="6F814A2F"/>
    <w:rsid w:val="6F82D618"/>
    <w:rsid w:val="6F854F02"/>
    <w:rsid w:val="6F8597C6"/>
    <w:rsid w:val="6F87BF56"/>
    <w:rsid w:val="6F87CBFA"/>
    <w:rsid w:val="6F8940F0"/>
    <w:rsid w:val="6F926E90"/>
    <w:rsid w:val="6F965CEF"/>
    <w:rsid w:val="6F97C506"/>
    <w:rsid w:val="6F9E9D5B"/>
    <w:rsid w:val="6FA26855"/>
    <w:rsid w:val="6FA76F23"/>
    <w:rsid w:val="6FA79678"/>
    <w:rsid w:val="6FA87864"/>
    <w:rsid w:val="6FAA4EC3"/>
    <w:rsid w:val="6FABBC27"/>
    <w:rsid w:val="6FAF84A1"/>
    <w:rsid w:val="6FBF2BDC"/>
    <w:rsid w:val="6FC42074"/>
    <w:rsid w:val="6FC47106"/>
    <w:rsid w:val="6FC504A4"/>
    <w:rsid w:val="6FC8D33E"/>
    <w:rsid w:val="6FCC36B8"/>
    <w:rsid w:val="6FCF8B53"/>
    <w:rsid w:val="6FD049A6"/>
    <w:rsid w:val="6FD5E816"/>
    <w:rsid w:val="6FD65436"/>
    <w:rsid w:val="6FE11007"/>
    <w:rsid w:val="6FE1BE75"/>
    <w:rsid w:val="6FE2ACF2"/>
    <w:rsid w:val="6FE2D85F"/>
    <w:rsid w:val="6FE67258"/>
    <w:rsid w:val="6FE70967"/>
    <w:rsid w:val="6FE872BA"/>
    <w:rsid w:val="6FEBA7F4"/>
    <w:rsid w:val="6FEC2CAF"/>
    <w:rsid w:val="6FEC3E4D"/>
    <w:rsid w:val="6FF429BB"/>
    <w:rsid w:val="6FF8E502"/>
    <w:rsid w:val="6FFC0AF8"/>
    <w:rsid w:val="6FFD6110"/>
    <w:rsid w:val="7000CFD2"/>
    <w:rsid w:val="70063C0B"/>
    <w:rsid w:val="7006CAFA"/>
    <w:rsid w:val="70072C4B"/>
    <w:rsid w:val="700A2C85"/>
    <w:rsid w:val="700A6DB6"/>
    <w:rsid w:val="700BB31D"/>
    <w:rsid w:val="700D1809"/>
    <w:rsid w:val="700EF12F"/>
    <w:rsid w:val="700FF828"/>
    <w:rsid w:val="7015413A"/>
    <w:rsid w:val="701CC5C6"/>
    <w:rsid w:val="701CDD80"/>
    <w:rsid w:val="7020CA53"/>
    <w:rsid w:val="70264D70"/>
    <w:rsid w:val="702743B9"/>
    <w:rsid w:val="702800DD"/>
    <w:rsid w:val="702902F7"/>
    <w:rsid w:val="70298A73"/>
    <w:rsid w:val="702C8CB1"/>
    <w:rsid w:val="70315F7C"/>
    <w:rsid w:val="70339E36"/>
    <w:rsid w:val="70375CB1"/>
    <w:rsid w:val="70379A42"/>
    <w:rsid w:val="70391DCF"/>
    <w:rsid w:val="703A6080"/>
    <w:rsid w:val="70400325"/>
    <w:rsid w:val="7044B29A"/>
    <w:rsid w:val="7045E344"/>
    <w:rsid w:val="70484E7D"/>
    <w:rsid w:val="704E93CC"/>
    <w:rsid w:val="704F13AE"/>
    <w:rsid w:val="7054138C"/>
    <w:rsid w:val="70556460"/>
    <w:rsid w:val="7057EDA9"/>
    <w:rsid w:val="7058F9EA"/>
    <w:rsid w:val="705BDD38"/>
    <w:rsid w:val="705E5978"/>
    <w:rsid w:val="7062A749"/>
    <w:rsid w:val="70674D69"/>
    <w:rsid w:val="707B2553"/>
    <w:rsid w:val="707CD633"/>
    <w:rsid w:val="707D7817"/>
    <w:rsid w:val="707DE172"/>
    <w:rsid w:val="707EE8D9"/>
    <w:rsid w:val="70842C27"/>
    <w:rsid w:val="7085BC99"/>
    <w:rsid w:val="70894C32"/>
    <w:rsid w:val="708EAEFF"/>
    <w:rsid w:val="708FA00E"/>
    <w:rsid w:val="70900436"/>
    <w:rsid w:val="7092F5FE"/>
    <w:rsid w:val="70931BA8"/>
    <w:rsid w:val="7096178E"/>
    <w:rsid w:val="709CB745"/>
    <w:rsid w:val="709DA97E"/>
    <w:rsid w:val="709E1C07"/>
    <w:rsid w:val="709E9913"/>
    <w:rsid w:val="70A44DF3"/>
    <w:rsid w:val="70A5A7C3"/>
    <w:rsid w:val="70A9111B"/>
    <w:rsid w:val="70AD1464"/>
    <w:rsid w:val="70AFDE03"/>
    <w:rsid w:val="70B77737"/>
    <w:rsid w:val="70B820D8"/>
    <w:rsid w:val="70B85DAB"/>
    <w:rsid w:val="70B98869"/>
    <w:rsid w:val="70C0D970"/>
    <w:rsid w:val="70C455E6"/>
    <w:rsid w:val="70C8E880"/>
    <w:rsid w:val="70C93CD4"/>
    <w:rsid w:val="70CC146B"/>
    <w:rsid w:val="70CC7725"/>
    <w:rsid w:val="70D55085"/>
    <w:rsid w:val="70D78099"/>
    <w:rsid w:val="70D852A4"/>
    <w:rsid w:val="70DC117E"/>
    <w:rsid w:val="70DD8A13"/>
    <w:rsid w:val="70DFC619"/>
    <w:rsid w:val="70F0B8F7"/>
    <w:rsid w:val="70F26EB7"/>
    <w:rsid w:val="70F281F2"/>
    <w:rsid w:val="70F2DD79"/>
    <w:rsid w:val="70FBF9A3"/>
    <w:rsid w:val="70FD66AF"/>
    <w:rsid w:val="71011598"/>
    <w:rsid w:val="7101EFCE"/>
    <w:rsid w:val="7102ACCF"/>
    <w:rsid w:val="710414C8"/>
    <w:rsid w:val="71044544"/>
    <w:rsid w:val="71076219"/>
    <w:rsid w:val="71082E93"/>
    <w:rsid w:val="710948A4"/>
    <w:rsid w:val="71137DB6"/>
    <w:rsid w:val="71153F8B"/>
    <w:rsid w:val="7116D7C6"/>
    <w:rsid w:val="711E152C"/>
    <w:rsid w:val="7123592B"/>
    <w:rsid w:val="712A4C9F"/>
    <w:rsid w:val="712E1AFE"/>
    <w:rsid w:val="713011F4"/>
    <w:rsid w:val="7135D24E"/>
    <w:rsid w:val="71362B3C"/>
    <w:rsid w:val="713AECFE"/>
    <w:rsid w:val="713CC06C"/>
    <w:rsid w:val="7142B850"/>
    <w:rsid w:val="7143B79B"/>
    <w:rsid w:val="7143EB4B"/>
    <w:rsid w:val="71478035"/>
    <w:rsid w:val="7148057C"/>
    <w:rsid w:val="714A7102"/>
    <w:rsid w:val="714DCCC9"/>
    <w:rsid w:val="714E6AC4"/>
    <w:rsid w:val="71559C6D"/>
    <w:rsid w:val="715680D9"/>
    <w:rsid w:val="715839D1"/>
    <w:rsid w:val="7158FDA3"/>
    <w:rsid w:val="715A082D"/>
    <w:rsid w:val="715B22C6"/>
    <w:rsid w:val="715B6A82"/>
    <w:rsid w:val="715E5700"/>
    <w:rsid w:val="716B3F5E"/>
    <w:rsid w:val="716E050B"/>
    <w:rsid w:val="716E4568"/>
    <w:rsid w:val="7170673F"/>
    <w:rsid w:val="7173F75B"/>
    <w:rsid w:val="71743362"/>
    <w:rsid w:val="71763D8E"/>
    <w:rsid w:val="7176C032"/>
    <w:rsid w:val="717A45F1"/>
    <w:rsid w:val="717C1796"/>
    <w:rsid w:val="718279F8"/>
    <w:rsid w:val="718AC73C"/>
    <w:rsid w:val="718E13A8"/>
    <w:rsid w:val="71982D9B"/>
    <w:rsid w:val="719873F8"/>
    <w:rsid w:val="7199A4BC"/>
    <w:rsid w:val="719C1740"/>
    <w:rsid w:val="71A34A7E"/>
    <w:rsid w:val="71A6B84D"/>
    <w:rsid w:val="71A886FE"/>
    <w:rsid w:val="71AC65F3"/>
    <w:rsid w:val="71ACFEA4"/>
    <w:rsid w:val="71AF432C"/>
    <w:rsid w:val="71B37E7D"/>
    <w:rsid w:val="71BA6B28"/>
    <w:rsid w:val="71BB83AD"/>
    <w:rsid w:val="71BBB92A"/>
    <w:rsid w:val="71BC40FB"/>
    <w:rsid w:val="71BC73D9"/>
    <w:rsid w:val="71BC74E9"/>
    <w:rsid w:val="71C3537A"/>
    <w:rsid w:val="71C4FA9F"/>
    <w:rsid w:val="71C570B2"/>
    <w:rsid w:val="71CED130"/>
    <w:rsid w:val="71CFD2B5"/>
    <w:rsid w:val="71D15C7B"/>
    <w:rsid w:val="71D5A175"/>
    <w:rsid w:val="71D952A0"/>
    <w:rsid w:val="71D9D46A"/>
    <w:rsid w:val="71DCB530"/>
    <w:rsid w:val="71DCE5C7"/>
    <w:rsid w:val="71DCE992"/>
    <w:rsid w:val="71DDD3AE"/>
    <w:rsid w:val="71DF7F55"/>
    <w:rsid w:val="71E20653"/>
    <w:rsid w:val="71EF18C3"/>
    <w:rsid w:val="71F21310"/>
    <w:rsid w:val="71FABE62"/>
    <w:rsid w:val="71FC55C9"/>
    <w:rsid w:val="71FCF28C"/>
    <w:rsid w:val="7201AE2B"/>
    <w:rsid w:val="7201ECF4"/>
    <w:rsid w:val="7205B8AD"/>
    <w:rsid w:val="7207ABE3"/>
    <w:rsid w:val="72096FF9"/>
    <w:rsid w:val="720B2167"/>
    <w:rsid w:val="721169E2"/>
    <w:rsid w:val="72130856"/>
    <w:rsid w:val="72130AC7"/>
    <w:rsid w:val="7215E1DB"/>
    <w:rsid w:val="7216BD93"/>
    <w:rsid w:val="72182143"/>
    <w:rsid w:val="7220534A"/>
    <w:rsid w:val="72255BE4"/>
    <w:rsid w:val="72261401"/>
    <w:rsid w:val="7226E73F"/>
    <w:rsid w:val="72276E68"/>
    <w:rsid w:val="722AFFB6"/>
    <w:rsid w:val="722E44B7"/>
    <w:rsid w:val="72313216"/>
    <w:rsid w:val="7233FCF2"/>
    <w:rsid w:val="7237BE57"/>
    <w:rsid w:val="723A238C"/>
    <w:rsid w:val="723D8C02"/>
    <w:rsid w:val="723E3C15"/>
    <w:rsid w:val="724210B0"/>
    <w:rsid w:val="72497B05"/>
    <w:rsid w:val="724E7345"/>
    <w:rsid w:val="7253B126"/>
    <w:rsid w:val="7253F738"/>
    <w:rsid w:val="7257538B"/>
    <w:rsid w:val="725FA805"/>
    <w:rsid w:val="72601D36"/>
    <w:rsid w:val="72608BC9"/>
    <w:rsid w:val="72655810"/>
    <w:rsid w:val="726BABD9"/>
    <w:rsid w:val="726DC221"/>
    <w:rsid w:val="7273CDBE"/>
    <w:rsid w:val="72745405"/>
    <w:rsid w:val="72745F91"/>
    <w:rsid w:val="72771F74"/>
    <w:rsid w:val="727810E7"/>
    <w:rsid w:val="72791AFA"/>
    <w:rsid w:val="727CD1DF"/>
    <w:rsid w:val="72806899"/>
    <w:rsid w:val="7289DCDF"/>
    <w:rsid w:val="728E4C7E"/>
    <w:rsid w:val="7290BD6C"/>
    <w:rsid w:val="72911DA4"/>
    <w:rsid w:val="729BDCC8"/>
    <w:rsid w:val="729C4A53"/>
    <w:rsid w:val="729C8B8E"/>
    <w:rsid w:val="729E5EED"/>
    <w:rsid w:val="72A0F101"/>
    <w:rsid w:val="72AB9E5E"/>
    <w:rsid w:val="72AF0B49"/>
    <w:rsid w:val="72AF2956"/>
    <w:rsid w:val="72B0FA1F"/>
    <w:rsid w:val="72B27979"/>
    <w:rsid w:val="72B539F3"/>
    <w:rsid w:val="72C02FED"/>
    <w:rsid w:val="72C03E32"/>
    <w:rsid w:val="72C230B5"/>
    <w:rsid w:val="72C8F58F"/>
    <w:rsid w:val="72CB63C1"/>
    <w:rsid w:val="72CB886E"/>
    <w:rsid w:val="72D72162"/>
    <w:rsid w:val="72DBD919"/>
    <w:rsid w:val="72DC6D89"/>
    <w:rsid w:val="72DEA165"/>
    <w:rsid w:val="72E128F4"/>
    <w:rsid w:val="72E39943"/>
    <w:rsid w:val="72E522C2"/>
    <w:rsid w:val="72E9E502"/>
    <w:rsid w:val="72EA35A1"/>
    <w:rsid w:val="72F3D322"/>
    <w:rsid w:val="72F69FFF"/>
    <w:rsid w:val="72F7F069"/>
    <w:rsid w:val="72FF105D"/>
    <w:rsid w:val="7300A674"/>
    <w:rsid w:val="73045552"/>
    <w:rsid w:val="73053240"/>
    <w:rsid w:val="7306BFF6"/>
    <w:rsid w:val="730BCA26"/>
    <w:rsid w:val="730C6CF0"/>
    <w:rsid w:val="730F8452"/>
    <w:rsid w:val="731C3F95"/>
    <w:rsid w:val="731E7B84"/>
    <w:rsid w:val="73203445"/>
    <w:rsid w:val="732214C2"/>
    <w:rsid w:val="73265BF2"/>
    <w:rsid w:val="732682AC"/>
    <w:rsid w:val="732BFEE1"/>
    <w:rsid w:val="732FCD85"/>
    <w:rsid w:val="7333107C"/>
    <w:rsid w:val="7333C667"/>
    <w:rsid w:val="7333CB9D"/>
    <w:rsid w:val="7334AC91"/>
    <w:rsid w:val="7334D681"/>
    <w:rsid w:val="73366FFC"/>
    <w:rsid w:val="733852AE"/>
    <w:rsid w:val="73386795"/>
    <w:rsid w:val="733878BF"/>
    <w:rsid w:val="73394F93"/>
    <w:rsid w:val="733B287B"/>
    <w:rsid w:val="733BFF13"/>
    <w:rsid w:val="733E5436"/>
    <w:rsid w:val="733FB97C"/>
    <w:rsid w:val="7343B203"/>
    <w:rsid w:val="7350CAA8"/>
    <w:rsid w:val="73523764"/>
    <w:rsid w:val="7366F245"/>
    <w:rsid w:val="736924D6"/>
    <w:rsid w:val="737834E1"/>
    <w:rsid w:val="737DDD5E"/>
    <w:rsid w:val="738152A0"/>
    <w:rsid w:val="73818BD7"/>
    <w:rsid w:val="73823D51"/>
    <w:rsid w:val="73836231"/>
    <w:rsid w:val="738D94FE"/>
    <w:rsid w:val="738EA5AE"/>
    <w:rsid w:val="738F986D"/>
    <w:rsid w:val="738FB269"/>
    <w:rsid w:val="7393B61D"/>
    <w:rsid w:val="7394D7DA"/>
    <w:rsid w:val="73955F22"/>
    <w:rsid w:val="739BDD32"/>
    <w:rsid w:val="73A070F4"/>
    <w:rsid w:val="73A16B01"/>
    <w:rsid w:val="73A688E0"/>
    <w:rsid w:val="73AA1060"/>
    <w:rsid w:val="73AFAB64"/>
    <w:rsid w:val="73B129B1"/>
    <w:rsid w:val="73B2A1D4"/>
    <w:rsid w:val="73B4F729"/>
    <w:rsid w:val="73B527CA"/>
    <w:rsid w:val="73B5CFF1"/>
    <w:rsid w:val="73B5F7D1"/>
    <w:rsid w:val="73B823C3"/>
    <w:rsid w:val="73B991F7"/>
    <w:rsid w:val="73C0E80D"/>
    <w:rsid w:val="73C2514A"/>
    <w:rsid w:val="73CAB6DC"/>
    <w:rsid w:val="73CB65FB"/>
    <w:rsid w:val="73CC2086"/>
    <w:rsid w:val="73CC8379"/>
    <w:rsid w:val="73D15D96"/>
    <w:rsid w:val="73D3295D"/>
    <w:rsid w:val="73D80D3C"/>
    <w:rsid w:val="73DA4900"/>
    <w:rsid w:val="73E03C94"/>
    <w:rsid w:val="73E0EAF5"/>
    <w:rsid w:val="73E452C1"/>
    <w:rsid w:val="73E55342"/>
    <w:rsid w:val="73E91BE5"/>
    <w:rsid w:val="73EB0D21"/>
    <w:rsid w:val="73EE6CAC"/>
    <w:rsid w:val="73EEB754"/>
    <w:rsid w:val="73F1B20D"/>
    <w:rsid w:val="73F43EE8"/>
    <w:rsid w:val="73F7EC23"/>
    <w:rsid w:val="73F85A17"/>
    <w:rsid w:val="73F99550"/>
    <w:rsid w:val="73FB53CD"/>
    <w:rsid w:val="73FD2167"/>
    <w:rsid w:val="73FE6534"/>
    <w:rsid w:val="7406310B"/>
    <w:rsid w:val="7409B015"/>
    <w:rsid w:val="740D1932"/>
    <w:rsid w:val="741E7F7A"/>
    <w:rsid w:val="74224D8E"/>
    <w:rsid w:val="742260E8"/>
    <w:rsid w:val="74244486"/>
    <w:rsid w:val="74245E2B"/>
    <w:rsid w:val="74246BB9"/>
    <w:rsid w:val="742F4369"/>
    <w:rsid w:val="7432A2E3"/>
    <w:rsid w:val="74390E59"/>
    <w:rsid w:val="743C5913"/>
    <w:rsid w:val="7445B8EE"/>
    <w:rsid w:val="744A66F9"/>
    <w:rsid w:val="744E0FE6"/>
    <w:rsid w:val="745CA0AB"/>
    <w:rsid w:val="745FA859"/>
    <w:rsid w:val="7467391B"/>
    <w:rsid w:val="746A9D8F"/>
    <w:rsid w:val="747168FB"/>
    <w:rsid w:val="74719327"/>
    <w:rsid w:val="7474A4C0"/>
    <w:rsid w:val="7479A2E3"/>
    <w:rsid w:val="747A2463"/>
    <w:rsid w:val="747DF3BA"/>
    <w:rsid w:val="747F2337"/>
    <w:rsid w:val="7483AED6"/>
    <w:rsid w:val="748587A9"/>
    <w:rsid w:val="74A08B44"/>
    <w:rsid w:val="74A91783"/>
    <w:rsid w:val="74AAD052"/>
    <w:rsid w:val="74AD4784"/>
    <w:rsid w:val="74AF7AA9"/>
    <w:rsid w:val="74B29A40"/>
    <w:rsid w:val="74B2AFC2"/>
    <w:rsid w:val="74BA7053"/>
    <w:rsid w:val="74BAD187"/>
    <w:rsid w:val="74BC3514"/>
    <w:rsid w:val="74BDE3A6"/>
    <w:rsid w:val="74C0C4E0"/>
    <w:rsid w:val="74C90F5E"/>
    <w:rsid w:val="74CB9957"/>
    <w:rsid w:val="74CE4203"/>
    <w:rsid w:val="74D1504A"/>
    <w:rsid w:val="74D1927A"/>
    <w:rsid w:val="74D73521"/>
    <w:rsid w:val="74DAF066"/>
    <w:rsid w:val="74DEA41E"/>
    <w:rsid w:val="74E1B03E"/>
    <w:rsid w:val="74E20588"/>
    <w:rsid w:val="74E6383C"/>
    <w:rsid w:val="74E8E6AF"/>
    <w:rsid w:val="74E9AD22"/>
    <w:rsid w:val="74ED70AD"/>
    <w:rsid w:val="74F1CD1C"/>
    <w:rsid w:val="74FA845C"/>
    <w:rsid w:val="7502973B"/>
    <w:rsid w:val="75067E5E"/>
    <w:rsid w:val="7506B17C"/>
    <w:rsid w:val="75081E6E"/>
    <w:rsid w:val="750D6D84"/>
    <w:rsid w:val="751587D9"/>
    <w:rsid w:val="75209CB8"/>
    <w:rsid w:val="752666F7"/>
    <w:rsid w:val="75269C49"/>
    <w:rsid w:val="7528103B"/>
    <w:rsid w:val="752BB6D4"/>
    <w:rsid w:val="752F34E3"/>
    <w:rsid w:val="7537BC84"/>
    <w:rsid w:val="7538937B"/>
    <w:rsid w:val="7539A30B"/>
    <w:rsid w:val="7540F3D3"/>
    <w:rsid w:val="7542780F"/>
    <w:rsid w:val="7544EAED"/>
    <w:rsid w:val="7547C7DF"/>
    <w:rsid w:val="754C5019"/>
    <w:rsid w:val="754CB2F4"/>
    <w:rsid w:val="755164C9"/>
    <w:rsid w:val="755532C0"/>
    <w:rsid w:val="755646EB"/>
    <w:rsid w:val="7557CDE9"/>
    <w:rsid w:val="75610684"/>
    <w:rsid w:val="75610EAE"/>
    <w:rsid w:val="7561EABA"/>
    <w:rsid w:val="7562C315"/>
    <w:rsid w:val="75643653"/>
    <w:rsid w:val="75653859"/>
    <w:rsid w:val="75658BC8"/>
    <w:rsid w:val="7567F75A"/>
    <w:rsid w:val="756A7E9A"/>
    <w:rsid w:val="756C6AB5"/>
    <w:rsid w:val="756F4A6A"/>
    <w:rsid w:val="75726E3E"/>
    <w:rsid w:val="75750E3D"/>
    <w:rsid w:val="75781800"/>
    <w:rsid w:val="757BA635"/>
    <w:rsid w:val="757F4716"/>
    <w:rsid w:val="757FD635"/>
    <w:rsid w:val="757FF7E7"/>
    <w:rsid w:val="7580A650"/>
    <w:rsid w:val="7580FB64"/>
    <w:rsid w:val="7581BB33"/>
    <w:rsid w:val="7582061E"/>
    <w:rsid w:val="75887D3F"/>
    <w:rsid w:val="758ADE63"/>
    <w:rsid w:val="758B63EE"/>
    <w:rsid w:val="758FA362"/>
    <w:rsid w:val="7592C939"/>
    <w:rsid w:val="75936A1D"/>
    <w:rsid w:val="75995665"/>
    <w:rsid w:val="759F27DD"/>
    <w:rsid w:val="75A53DD4"/>
    <w:rsid w:val="75A67644"/>
    <w:rsid w:val="75A94988"/>
    <w:rsid w:val="75AF1589"/>
    <w:rsid w:val="75AF3598"/>
    <w:rsid w:val="75AF930E"/>
    <w:rsid w:val="75B623FB"/>
    <w:rsid w:val="75B84A74"/>
    <w:rsid w:val="75B8732F"/>
    <w:rsid w:val="75BECEE6"/>
    <w:rsid w:val="75BF7319"/>
    <w:rsid w:val="75BFF1B6"/>
    <w:rsid w:val="75C1A455"/>
    <w:rsid w:val="75C65291"/>
    <w:rsid w:val="75C951C5"/>
    <w:rsid w:val="75CAFE7D"/>
    <w:rsid w:val="75CCD00B"/>
    <w:rsid w:val="75D325E0"/>
    <w:rsid w:val="75D4E836"/>
    <w:rsid w:val="75D5215F"/>
    <w:rsid w:val="75D8940B"/>
    <w:rsid w:val="75D90B98"/>
    <w:rsid w:val="75D9F7F4"/>
    <w:rsid w:val="75DC071C"/>
    <w:rsid w:val="75E15266"/>
    <w:rsid w:val="75E3C490"/>
    <w:rsid w:val="75E5F2ED"/>
    <w:rsid w:val="75EB84AE"/>
    <w:rsid w:val="75FC4959"/>
    <w:rsid w:val="75FC7AC3"/>
    <w:rsid w:val="76020F2E"/>
    <w:rsid w:val="76030C99"/>
    <w:rsid w:val="76052BFE"/>
    <w:rsid w:val="760550BF"/>
    <w:rsid w:val="7605CC38"/>
    <w:rsid w:val="760ACBEB"/>
    <w:rsid w:val="760BAD7F"/>
    <w:rsid w:val="761192C4"/>
    <w:rsid w:val="7617ADAC"/>
    <w:rsid w:val="761BE180"/>
    <w:rsid w:val="761E6946"/>
    <w:rsid w:val="761F2F1F"/>
    <w:rsid w:val="76242EA9"/>
    <w:rsid w:val="76250115"/>
    <w:rsid w:val="76251D4B"/>
    <w:rsid w:val="762AFA88"/>
    <w:rsid w:val="762B5D4A"/>
    <w:rsid w:val="763086B8"/>
    <w:rsid w:val="763521C5"/>
    <w:rsid w:val="76371CB7"/>
    <w:rsid w:val="7645D5C2"/>
    <w:rsid w:val="764E5E1D"/>
    <w:rsid w:val="764E975D"/>
    <w:rsid w:val="7656768E"/>
    <w:rsid w:val="7657D17C"/>
    <w:rsid w:val="765B6C26"/>
    <w:rsid w:val="76667F67"/>
    <w:rsid w:val="76671BC1"/>
    <w:rsid w:val="7668E9E5"/>
    <w:rsid w:val="766AA799"/>
    <w:rsid w:val="76716CE8"/>
    <w:rsid w:val="76722143"/>
    <w:rsid w:val="76730B44"/>
    <w:rsid w:val="7673103B"/>
    <w:rsid w:val="767921E9"/>
    <w:rsid w:val="7682A48B"/>
    <w:rsid w:val="7683AE2B"/>
    <w:rsid w:val="768A464B"/>
    <w:rsid w:val="768DC752"/>
    <w:rsid w:val="768F1D90"/>
    <w:rsid w:val="76952285"/>
    <w:rsid w:val="7697C9A2"/>
    <w:rsid w:val="76A019CD"/>
    <w:rsid w:val="76A0DB4C"/>
    <w:rsid w:val="76A18FC9"/>
    <w:rsid w:val="76A59F0F"/>
    <w:rsid w:val="76A7BDF2"/>
    <w:rsid w:val="76A8B538"/>
    <w:rsid w:val="76AA160A"/>
    <w:rsid w:val="76ADB8DC"/>
    <w:rsid w:val="76B294A7"/>
    <w:rsid w:val="76B8F2A4"/>
    <w:rsid w:val="76C08AC8"/>
    <w:rsid w:val="76CBAF42"/>
    <w:rsid w:val="76CBD769"/>
    <w:rsid w:val="76CD8F25"/>
    <w:rsid w:val="76CF66D8"/>
    <w:rsid w:val="76CF84E4"/>
    <w:rsid w:val="76D11674"/>
    <w:rsid w:val="76D4FC8A"/>
    <w:rsid w:val="76D82196"/>
    <w:rsid w:val="76DB069F"/>
    <w:rsid w:val="76E8DE70"/>
    <w:rsid w:val="76F69D1A"/>
    <w:rsid w:val="76F812F2"/>
    <w:rsid w:val="76FAE138"/>
    <w:rsid w:val="76FBAEB6"/>
    <w:rsid w:val="76FC89F1"/>
    <w:rsid w:val="77010D61"/>
    <w:rsid w:val="7704A134"/>
    <w:rsid w:val="77094D2C"/>
    <w:rsid w:val="7709A9D5"/>
    <w:rsid w:val="7714139C"/>
    <w:rsid w:val="7717C835"/>
    <w:rsid w:val="7718E422"/>
    <w:rsid w:val="771F2E7A"/>
    <w:rsid w:val="7720E527"/>
    <w:rsid w:val="7722CFC1"/>
    <w:rsid w:val="772980FD"/>
    <w:rsid w:val="772A643B"/>
    <w:rsid w:val="772B6741"/>
    <w:rsid w:val="772D553E"/>
    <w:rsid w:val="772E160D"/>
    <w:rsid w:val="773204C8"/>
    <w:rsid w:val="773372DF"/>
    <w:rsid w:val="773981DD"/>
    <w:rsid w:val="773ABBD9"/>
    <w:rsid w:val="773C2A36"/>
    <w:rsid w:val="774112F9"/>
    <w:rsid w:val="7748436D"/>
    <w:rsid w:val="7748786B"/>
    <w:rsid w:val="774AAB14"/>
    <w:rsid w:val="774CD3B1"/>
    <w:rsid w:val="77520DC3"/>
    <w:rsid w:val="7752BDE1"/>
    <w:rsid w:val="77562265"/>
    <w:rsid w:val="7756B2BD"/>
    <w:rsid w:val="775E2717"/>
    <w:rsid w:val="77607CDF"/>
    <w:rsid w:val="77618780"/>
    <w:rsid w:val="77641F9F"/>
    <w:rsid w:val="77663C30"/>
    <w:rsid w:val="776BE814"/>
    <w:rsid w:val="776C6077"/>
    <w:rsid w:val="776F46D0"/>
    <w:rsid w:val="776FAC1C"/>
    <w:rsid w:val="7772314D"/>
    <w:rsid w:val="77747BC1"/>
    <w:rsid w:val="7777C903"/>
    <w:rsid w:val="77789F5B"/>
    <w:rsid w:val="777CFAD9"/>
    <w:rsid w:val="777E5577"/>
    <w:rsid w:val="777FF033"/>
    <w:rsid w:val="778D19B9"/>
    <w:rsid w:val="778D4B09"/>
    <w:rsid w:val="77945C58"/>
    <w:rsid w:val="779552AC"/>
    <w:rsid w:val="779AE6B2"/>
    <w:rsid w:val="77A1C53E"/>
    <w:rsid w:val="77A2537C"/>
    <w:rsid w:val="77A3E067"/>
    <w:rsid w:val="77AA7269"/>
    <w:rsid w:val="77B27CDB"/>
    <w:rsid w:val="77B3C1F1"/>
    <w:rsid w:val="77B86F42"/>
    <w:rsid w:val="77BB0498"/>
    <w:rsid w:val="77BCC990"/>
    <w:rsid w:val="77BF6932"/>
    <w:rsid w:val="77C4D227"/>
    <w:rsid w:val="77C71931"/>
    <w:rsid w:val="77CE8DAC"/>
    <w:rsid w:val="77CE9EAB"/>
    <w:rsid w:val="77CFB6D6"/>
    <w:rsid w:val="77D15DB6"/>
    <w:rsid w:val="77D1818D"/>
    <w:rsid w:val="77D342A3"/>
    <w:rsid w:val="77D89277"/>
    <w:rsid w:val="77DB710A"/>
    <w:rsid w:val="77DE58D8"/>
    <w:rsid w:val="77E1A992"/>
    <w:rsid w:val="77EEC0D2"/>
    <w:rsid w:val="77F09C6E"/>
    <w:rsid w:val="77F3FA6B"/>
    <w:rsid w:val="77F4CBF6"/>
    <w:rsid w:val="77F86150"/>
    <w:rsid w:val="77FB0F79"/>
    <w:rsid w:val="77FD1519"/>
    <w:rsid w:val="77FE2849"/>
    <w:rsid w:val="77FFC2B1"/>
    <w:rsid w:val="7800C388"/>
    <w:rsid w:val="7801406A"/>
    <w:rsid w:val="7805928D"/>
    <w:rsid w:val="7806BDC4"/>
    <w:rsid w:val="780B2112"/>
    <w:rsid w:val="780FFAC3"/>
    <w:rsid w:val="7814AA6B"/>
    <w:rsid w:val="781742FF"/>
    <w:rsid w:val="781FDFE1"/>
    <w:rsid w:val="7820393E"/>
    <w:rsid w:val="7822FADE"/>
    <w:rsid w:val="7826BA0D"/>
    <w:rsid w:val="78279514"/>
    <w:rsid w:val="78282044"/>
    <w:rsid w:val="7830916F"/>
    <w:rsid w:val="7831443A"/>
    <w:rsid w:val="7833CBA6"/>
    <w:rsid w:val="78343041"/>
    <w:rsid w:val="783B4D06"/>
    <w:rsid w:val="783C58AC"/>
    <w:rsid w:val="783E8795"/>
    <w:rsid w:val="78430235"/>
    <w:rsid w:val="7844B51E"/>
    <w:rsid w:val="784654BF"/>
    <w:rsid w:val="7848BC83"/>
    <w:rsid w:val="784E7F9E"/>
    <w:rsid w:val="785A19AA"/>
    <w:rsid w:val="785BAFB5"/>
    <w:rsid w:val="785CF7EE"/>
    <w:rsid w:val="785D5753"/>
    <w:rsid w:val="78657C11"/>
    <w:rsid w:val="78686A42"/>
    <w:rsid w:val="786F3B9B"/>
    <w:rsid w:val="7871F160"/>
    <w:rsid w:val="78765F10"/>
    <w:rsid w:val="787BA5A2"/>
    <w:rsid w:val="787FACAE"/>
    <w:rsid w:val="78843C2A"/>
    <w:rsid w:val="7887306B"/>
    <w:rsid w:val="788BB6B6"/>
    <w:rsid w:val="788D0DFA"/>
    <w:rsid w:val="788F914C"/>
    <w:rsid w:val="78906C5E"/>
    <w:rsid w:val="7895AC5F"/>
    <w:rsid w:val="78A0F3A9"/>
    <w:rsid w:val="78A4C5E1"/>
    <w:rsid w:val="78A4DF27"/>
    <w:rsid w:val="78ABBA81"/>
    <w:rsid w:val="78AF8EA9"/>
    <w:rsid w:val="78B35469"/>
    <w:rsid w:val="78B61686"/>
    <w:rsid w:val="78B777B6"/>
    <w:rsid w:val="78B7C7BF"/>
    <w:rsid w:val="78B99155"/>
    <w:rsid w:val="78BAC2DD"/>
    <w:rsid w:val="78BD9F34"/>
    <w:rsid w:val="78CF99AD"/>
    <w:rsid w:val="78D152E0"/>
    <w:rsid w:val="78D247BE"/>
    <w:rsid w:val="78D53AA7"/>
    <w:rsid w:val="78D5476B"/>
    <w:rsid w:val="78D9F898"/>
    <w:rsid w:val="78E4685E"/>
    <w:rsid w:val="78E5ABE3"/>
    <w:rsid w:val="78E6A749"/>
    <w:rsid w:val="78E9515D"/>
    <w:rsid w:val="78E9C5D3"/>
    <w:rsid w:val="78F5541E"/>
    <w:rsid w:val="78F65FCC"/>
    <w:rsid w:val="78F67F6A"/>
    <w:rsid w:val="78F6F969"/>
    <w:rsid w:val="78F76ED0"/>
    <w:rsid w:val="78FDD447"/>
    <w:rsid w:val="78FE62F0"/>
    <w:rsid w:val="78FE7358"/>
    <w:rsid w:val="790313A7"/>
    <w:rsid w:val="79089E45"/>
    <w:rsid w:val="790A5805"/>
    <w:rsid w:val="790AA91C"/>
    <w:rsid w:val="791C24D3"/>
    <w:rsid w:val="7930236B"/>
    <w:rsid w:val="79314846"/>
    <w:rsid w:val="7932FC18"/>
    <w:rsid w:val="7934B9D6"/>
    <w:rsid w:val="79388848"/>
    <w:rsid w:val="793B9180"/>
    <w:rsid w:val="793CE433"/>
    <w:rsid w:val="793E3F9E"/>
    <w:rsid w:val="7940951F"/>
    <w:rsid w:val="7940AFF2"/>
    <w:rsid w:val="79423479"/>
    <w:rsid w:val="7942F00C"/>
    <w:rsid w:val="794429C4"/>
    <w:rsid w:val="79447259"/>
    <w:rsid w:val="794A843C"/>
    <w:rsid w:val="794CF26F"/>
    <w:rsid w:val="794FBBAF"/>
    <w:rsid w:val="7959405E"/>
    <w:rsid w:val="7959950A"/>
    <w:rsid w:val="795EFA37"/>
    <w:rsid w:val="79634621"/>
    <w:rsid w:val="79637DE5"/>
    <w:rsid w:val="79674DE4"/>
    <w:rsid w:val="796C1866"/>
    <w:rsid w:val="796E61ED"/>
    <w:rsid w:val="79739FB8"/>
    <w:rsid w:val="7974E607"/>
    <w:rsid w:val="79785A5C"/>
    <w:rsid w:val="797F52A5"/>
    <w:rsid w:val="798262FC"/>
    <w:rsid w:val="7982E970"/>
    <w:rsid w:val="7983EB7B"/>
    <w:rsid w:val="7987E82F"/>
    <w:rsid w:val="798A8CC1"/>
    <w:rsid w:val="798B37CB"/>
    <w:rsid w:val="79988986"/>
    <w:rsid w:val="79991761"/>
    <w:rsid w:val="7999F8B8"/>
    <w:rsid w:val="79A1414A"/>
    <w:rsid w:val="79A40A96"/>
    <w:rsid w:val="79A45455"/>
    <w:rsid w:val="79A8A875"/>
    <w:rsid w:val="79A8A9CF"/>
    <w:rsid w:val="79AC9CC6"/>
    <w:rsid w:val="79ACE9E7"/>
    <w:rsid w:val="79AFEC81"/>
    <w:rsid w:val="79B3C541"/>
    <w:rsid w:val="79B6636B"/>
    <w:rsid w:val="79B87B98"/>
    <w:rsid w:val="79BCCEBC"/>
    <w:rsid w:val="79C1E193"/>
    <w:rsid w:val="79C2795C"/>
    <w:rsid w:val="79C44211"/>
    <w:rsid w:val="79C4C257"/>
    <w:rsid w:val="79C8F2EB"/>
    <w:rsid w:val="79CC2402"/>
    <w:rsid w:val="79CCF9C2"/>
    <w:rsid w:val="79CE7CC0"/>
    <w:rsid w:val="79D02A9A"/>
    <w:rsid w:val="79D03F90"/>
    <w:rsid w:val="79D603D9"/>
    <w:rsid w:val="79D8BF2C"/>
    <w:rsid w:val="79E3A4F6"/>
    <w:rsid w:val="79E56DB4"/>
    <w:rsid w:val="79E5B74A"/>
    <w:rsid w:val="79E75103"/>
    <w:rsid w:val="79F514EE"/>
    <w:rsid w:val="79F67D90"/>
    <w:rsid w:val="79F98DCE"/>
    <w:rsid w:val="79FA254A"/>
    <w:rsid w:val="79FB31AB"/>
    <w:rsid w:val="79FC6E77"/>
    <w:rsid w:val="7A0122AE"/>
    <w:rsid w:val="7A012EDA"/>
    <w:rsid w:val="7A026E0E"/>
    <w:rsid w:val="7A031DC1"/>
    <w:rsid w:val="7A0C7EFF"/>
    <w:rsid w:val="7A105A24"/>
    <w:rsid w:val="7A10A14A"/>
    <w:rsid w:val="7A131F22"/>
    <w:rsid w:val="7A1A9BD5"/>
    <w:rsid w:val="7A1F3677"/>
    <w:rsid w:val="7A23A3C1"/>
    <w:rsid w:val="7A23CAA3"/>
    <w:rsid w:val="7A26834D"/>
    <w:rsid w:val="7A2CD46C"/>
    <w:rsid w:val="7A316E2F"/>
    <w:rsid w:val="7A333573"/>
    <w:rsid w:val="7A35AA11"/>
    <w:rsid w:val="7A37213B"/>
    <w:rsid w:val="7A3AAEF8"/>
    <w:rsid w:val="7A3B091E"/>
    <w:rsid w:val="7A3BABA7"/>
    <w:rsid w:val="7A3E985A"/>
    <w:rsid w:val="7A3FC0DE"/>
    <w:rsid w:val="7A418831"/>
    <w:rsid w:val="7A45C6E5"/>
    <w:rsid w:val="7A4A18B5"/>
    <w:rsid w:val="7A4D8513"/>
    <w:rsid w:val="7A4E2CD7"/>
    <w:rsid w:val="7A518A7D"/>
    <w:rsid w:val="7A519D55"/>
    <w:rsid w:val="7A552307"/>
    <w:rsid w:val="7A56C3BB"/>
    <w:rsid w:val="7A59B7B1"/>
    <w:rsid w:val="7A5A0110"/>
    <w:rsid w:val="7A5DBF75"/>
    <w:rsid w:val="7A5F27E4"/>
    <w:rsid w:val="7A623827"/>
    <w:rsid w:val="7A6805B4"/>
    <w:rsid w:val="7A703E5C"/>
    <w:rsid w:val="7A70A00F"/>
    <w:rsid w:val="7A71E90A"/>
    <w:rsid w:val="7A75624D"/>
    <w:rsid w:val="7A773A40"/>
    <w:rsid w:val="7A77406C"/>
    <w:rsid w:val="7A7EB84F"/>
    <w:rsid w:val="7A7EE94A"/>
    <w:rsid w:val="7A81144C"/>
    <w:rsid w:val="7A8412D9"/>
    <w:rsid w:val="7A899470"/>
    <w:rsid w:val="7A89E7EB"/>
    <w:rsid w:val="7A8B9057"/>
    <w:rsid w:val="7A925EE1"/>
    <w:rsid w:val="7A92EB4D"/>
    <w:rsid w:val="7AA2AD4A"/>
    <w:rsid w:val="7AA3F7A2"/>
    <w:rsid w:val="7AA54432"/>
    <w:rsid w:val="7AA65537"/>
    <w:rsid w:val="7AAB3B20"/>
    <w:rsid w:val="7AB2914A"/>
    <w:rsid w:val="7AB61102"/>
    <w:rsid w:val="7AB70E2D"/>
    <w:rsid w:val="7ABC5565"/>
    <w:rsid w:val="7ABFB66C"/>
    <w:rsid w:val="7ABFEAA0"/>
    <w:rsid w:val="7AC0AEBB"/>
    <w:rsid w:val="7AC442C3"/>
    <w:rsid w:val="7AC7D3D4"/>
    <w:rsid w:val="7AC97B06"/>
    <w:rsid w:val="7ACD75D3"/>
    <w:rsid w:val="7AD39873"/>
    <w:rsid w:val="7AD4DD4C"/>
    <w:rsid w:val="7AD61538"/>
    <w:rsid w:val="7ADAEF5D"/>
    <w:rsid w:val="7ADBD241"/>
    <w:rsid w:val="7ADDE4E8"/>
    <w:rsid w:val="7ADE3B9F"/>
    <w:rsid w:val="7AE18A29"/>
    <w:rsid w:val="7AE62F35"/>
    <w:rsid w:val="7AE6F6C5"/>
    <w:rsid w:val="7AE92D91"/>
    <w:rsid w:val="7AEA366F"/>
    <w:rsid w:val="7AEB43E0"/>
    <w:rsid w:val="7AF0F137"/>
    <w:rsid w:val="7AF1FF89"/>
    <w:rsid w:val="7AF2C91E"/>
    <w:rsid w:val="7AF41C60"/>
    <w:rsid w:val="7AF688D9"/>
    <w:rsid w:val="7AF81128"/>
    <w:rsid w:val="7AFAA89E"/>
    <w:rsid w:val="7AFD8189"/>
    <w:rsid w:val="7AFF383A"/>
    <w:rsid w:val="7B00FA41"/>
    <w:rsid w:val="7B013310"/>
    <w:rsid w:val="7B015F8C"/>
    <w:rsid w:val="7B01D51B"/>
    <w:rsid w:val="7B05F615"/>
    <w:rsid w:val="7B0634A2"/>
    <w:rsid w:val="7B0CCC54"/>
    <w:rsid w:val="7B144FCE"/>
    <w:rsid w:val="7B196423"/>
    <w:rsid w:val="7B1B2A5B"/>
    <w:rsid w:val="7B2CC0E9"/>
    <w:rsid w:val="7B3322C4"/>
    <w:rsid w:val="7B334FB2"/>
    <w:rsid w:val="7B3418B0"/>
    <w:rsid w:val="7B34D5A7"/>
    <w:rsid w:val="7B39AB43"/>
    <w:rsid w:val="7B3DDD8A"/>
    <w:rsid w:val="7B41BF7F"/>
    <w:rsid w:val="7B458D1A"/>
    <w:rsid w:val="7B4D828A"/>
    <w:rsid w:val="7B503948"/>
    <w:rsid w:val="7B514675"/>
    <w:rsid w:val="7B5AAA5A"/>
    <w:rsid w:val="7B5DACBB"/>
    <w:rsid w:val="7B5F4EEC"/>
    <w:rsid w:val="7B60CF23"/>
    <w:rsid w:val="7B62967D"/>
    <w:rsid w:val="7B63CF82"/>
    <w:rsid w:val="7B65BCCB"/>
    <w:rsid w:val="7B676DF4"/>
    <w:rsid w:val="7B67ADE3"/>
    <w:rsid w:val="7B68B0F6"/>
    <w:rsid w:val="7B6BA53D"/>
    <w:rsid w:val="7B6E544F"/>
    <w:rsid w:val="7B6EE8BB"/>
    <w:rsid w:val="7B6EFC69"/>
    <w:rsid w:val="7B709CF8"/>
    <w:rsid w:val="7B71014F"/>
    <w:rsid w:val="7B71689B"/>
    <w:rsid w:val="7B79F9C3"/>
    <w:rsid w:val="7B7B3941"/>
    <w:rsid w:val="7B7E36C4"/>
    <w:rsid w:val="7B8A7AE2"/>
    <w:rsid w:val="7B904C88"/>
    <w:rsid w:val="7B92A513"/>
    <w:rsid w:val="7B957081"/>
    <w:rsid w:val="7B9A2019"/>
    <w:rsid w:val="7B9A38C8"/>
    <w:rsid w:val="7B9C840B"/>
    <w:rsid w:val="7B9D4B34"/>
    <w:rsid w:val="7BA159CD"/>
    <w:rsid w:val="7BA18B17"/>
    <w:rsid w:val="7BA2113C"/>
    <w:rsid w:val="7BA8AB03"/>
    <w:rsid w:val="7BA94EF0"/>
    <w:rsid w:val="7BAAE1EC"/>
    <w:rsid w:val="7BAE2B11"/>
    <w:rsid w:val="7BB2777B"/>
    <w:rsid w:val="7BB43DBB"/>
    <w:rsid w:val="7BB5EA8D"/>
    <w:rsid w:val="7BBBADD6"/>
    <w:rsid w:val="7BBC8AD0"/>
    <w:rsid w:val="7BBF2237"/>
    <w:rsid w:val="7BBF3714"/>
    <w:rsid w:val="7BBFE4E1"/>
    <w:rsid w:val="7BC62CF5"/>
    <w:rsid w:val="7BC87906"/>
    <w:rsid w:val="7BD598B1"/>
    <w:rsid w:val="7BDAE50E"/>
    <w:rsid w:val="7BDC8B86"/>
    <w:rsid w:val="7BDF964F"/>
    <w:rsid w:val="7BE04E5D"/>
    <w:rsid w:val="7BE3CEF9"/>
    <w:rsid w:val="7BE6DB16"/>
    <w:rsid w:val="7BE8354D"/>
    <w:rsid w:val="7BEB23E6"/>
    <w:rsid w:val="7BEB8FF0"/>
    <w:rsid w:val="7BEBFA04"/>
    <w:rsid w:val="7BF3A712"/>
    <w:rsid w:val="7BFA38F6"/>
    <w:rsid w:val="7BFC09F7"/>
    <w:rsid w:val="7BFCB39A"/>
    <w:rsid w:val="7BFD1946"/>
    <w:rsid w:val="7C04FD8B"/>
    <w:rsid w:val="7C093F19"/>
    <w:rsid w:val="7C0B4046"/>
    <w:rsid w:val="7C0CA400"/>
    <w:rsid w:val="7C0CC1A0"/>
    <w:rsid w:val="7C12BA8C"/>
    <w:rsid w:val="7C1640C9"/>
    <w:rsid w:val="7C164817"/>
    <w:rsid w:val="7C164A41"/>
    <w:rsid w:val="7C169EF4"/>
    <w:rsid w:val="7C1EC812"/>
    <w:rsid w:val="7C214692"/>
    <w:rsid w:val="7C26AD73"/>
    <w:rsid w:val="7C2F789F"/>
    <w:rsid w:val="7C36B14C"/>
    <w:rsid w:val="7C3B00AB"/>
    <w:rsid w:val="7C3CFD42"/>
    <w:rsid w:val="7C3DE87D"/>
    <w:rsid w:val="7C403E94"/>
    <w:rsid w:val="7C40CE5A"/>
    <w:rsid w:val="7C438666"/>
    <w:rsid w:val="7C559542"/>
    <w:rsid w:val="7C56282C"/>
    <w:rsid w:val="7C56ECA0"/>
    <w:rsid w:val="7C57C083"/>
    <w:rsid w:val="7C5BFD08"/>
    <w:rsid w:val="7C5E6B36"/>
    <w:rsid w:val="7C5EF26D"/>
    <w:rsid w:val="7C61B55B"/>
    <w:rsid w:val="7C626585"/>
    <w:rsid w:val="7C65AB9D"/>
    <w:rsid w:val="7C6D6D73"/>
    <w:rsid w:val="7C71B1D3"/>
    <w:rsid w:val="7C76A371"/>
    <w:rsid w:val="7C774D11"/>
    <w:rsid w:val="7C77F652"/>
    <w:rsid w:val="7C7CCA70"/>
    <w:rsid w:val="7C81E22F"/>
    <w:rsid w:val="7C8344AC"/>
    <w:rsid w:val="7C856EA1"/>
    <w:rsid w:val="7C87BCEC"/>
    <w:rsid w:val="7C8E21D2"/>
    <w:rsid w:val="7C8FC3FA"/>
    <w:rsid w:val="7C95A59D"/>
    <w:rsid w:val="7C986373"/>
    <w:rsid w:val="7C99F653"/>
    <w:rsid w:val="7C9E3054"/>
    <w:rsid w:val="7C9FA801"/>
    <w:rsid w:val="7CA38234"/>
    <w:rsid w:val="7CA7E1E1"/>
    <w:rsid w:val="7CA83E00"/>
    <w:rsid w:val="7CA9F487"/>
    <w:rsid w:val="7CAB8EEC"/>
    <w:rsid w:val="7CAC51AA"/>
    <w:rsid w:val="7CB195AD"/>
    <w:rsid w:val="7CB6013C"/>
    <w:rsid w:val="7CB7D7EA"/>
    <w:rsid w:val="7CBDEE8C"/>
    <w:rsid w:val="7CBE7B9A"/>
    <w:rsid w:val="7CC86437"/>
    <w:rsid w:val="7CCEADF4"/>
    <w:rsid w:val="7CD3F4AA"/>
    <w:rsid w:val="7CD4C8C5"/>
    <w:rsid w:val="7CD723B5"/>
    <w:rsid w:val="7CD9C716"/>
    <w:rsid w:val="7CDB7AD8"/>
    <w:rsid w:val="7CF47BF8"/>
    <w:rsid w:val="7CF488B3"/>
    <w:rsid w:val="7CF4BFA9"/>
    <w:rsid w:val="7CF593FD"/>
    <w:rsid w:val="7CF74B04"/>
    <w:rsid w:val="7CFAAD6B"/>
    <w:rsid w:val="7CFC1EA2"/>
    <w:rsid w:val="7CFDC1A8"/>
    <w:rsid w:val="7CFE0955"/>
    <w:rsid w:val="7D01413B"/>
    <w:rsid w:val="7D062784"/>
    <w:rsid w:val="7D070A74"/>
    <w:rsid w:val="7D0AD2AA"/>
    <w:rsid w:val="7D0AF9E1"/>
    <w:rsid w:val="7D0B5EAD"/>
    <w:rsid w:val="7D0C65F5"/>
    <w:rsid w:val="7D0F8FC0"/>
    <w:rsid w:val="7D1B0684"/>
    <w:rsid w:val="7D1C4EEC"/>
    <w:rsid w:val="7D1DBF87"/>
    <w:rsid w:val="7D226716"/>
    <w:rsid w:val="7D2289C3"/>
    <w:rsid w:val="7D240AB9"/>
    <w:rsid w:val="7D24FA19"/>
    <w:rsid w:val="7D26F50D"/>
    <w:rsid w:val="7D2757CB"/>
    <w:rsid w:val="7D2927A3"/>
    <w:rsid w:val="7D29E90B"/>
    <w:rsid w:val="7D2F6DBF"/>
    <w:rsid w:val="7D30E160"/>
    <w:rsid w:val="7D321EA6"/>
    <w:rsid w:val="7D330BA2"/>
    <w:rsid w:val="7D38E3F9"/>
    <w:rsid w:val="7D4B8E26"/>
    <w:rsid w:val="7D4FB169"/>
    <w:rsid w:val="7D53C24F"/>
    <w:rsid w:val="7D565BF0"/>
    <w:rsid w:val="7D5D3964"/>
    <w:rsid w:val="7D5E2460"/>
    <w:rsid w:val="7D5F42A2"/>
    <w:rsid w:val="7D61AC70"/>
    <w:rsid w:val="7D64C5EB"/>
    <w:rsid w:val="7D6AFDFE"/>
    <w:rsid w:val="7D7019A1"/>
    <w:rsid w:val="7D7063BD"/>
    <w:rsid w:val="7D7227C8"/>
    <w:rsid w:val="7D7455DF"/>
    <w:rsid w:val="7D780237"/>
    <w:rsid w:val="7D7903B7"/>
    <w:rsid w:val="7D8000D3"/>
    <w:rsid w:val="7D820911"/>
    <w:rsid w:val="7D83F312"/>
    <w:rsid w:val="7D856292"/>
    <w:rsid w:val="7D88C4F8"/>
    <w:rsid w:val="7D89FB37"/>
    <w:rsid w:val="7D8AD37F"/>
    <w:rsid w:val="7D93D8BB"/>
    <w:rsid w:val="7D985376"/>
    <w:rsid w:val="7D98D4D4"/>
    <w:rsid w:val="7D9C674C"/>
    <w:rsid w:val="7D9CE28D"/>
    <w:rsid w:val="7D9F7A4F"/>
    <w:rsid w:val="7DA3EF1E"/>
    <w:rsid w:val="7DAA846B"/>
    <w:rsid w:val="7DAC80A6"/>
    <w:rsid w:val="7DAE7042"/>
    <w:rsid w:val="7DB02EF2"/>
    <w:rsid w:val="7DB4600A"/>
    <w:rsid w:val="7DB65C21"/>
    <w:rsid w:val="7DB89B08"/>
    <w:rsid w:val="7DBA8977"/>
    <w:rsid w:val="7DBB3EA5"/>
    <w:rsid w:val="7DBD5889"/>
    <w:rsid w:val="7DBF8A33"/>
    <w:rsid w:val="7DCAA474"/>
    <w:rsid w:val="7DCCA3BB"/>
    <w:rsid w:val="7DD07ECD"/>
    <w:rsid w:val="7DD6D639"/>
    <w:rsid w:val="7DD6DC3F"/>
    <w:rsid w:val="7DD81531"/>
    <w:rsid w:val="7DDDB409"/>
    <w:rsid w:val="7DE58693"/>
    <w:rsid w:val="7DE7F174"/>
    <w:rsid w:val="7DEB49F1"/>
    <w:rsid w:val="7DED73A1"/>
    <w:rsid w:val="7DEFFFDC"/>
    <w:rsid w:val="7DF3CF6D"/>
    <w:rsid w:val="7DF4972C"/>
    <w:rsid w:val="7DFA73A5"/>
    <w:rsid w:val="7DFAF8BD"/>
    <w:rsid w:val="7E08C68B"/>
    <w:rsid w:val="7E1DEA16"/>
    <w:rsid w:val="7E1EBAF4"/>
    <w:rsid w:val="7E1EDF2D"/>
    <w:rsid w:val="7E2226B8"/>
    <w:rsid w:val="7E22C071"/>
    <w:rsid w:val="7E24DF0E"/>
    <w:rsid w:val="7E294406"/>
    <w:rsid w:val="7E29E719"/>
    <w:rsid w:val="7E2B9454"/>
    <w:rsid w:val="7E2B9E1D"/>
    <w:rsid w:val="7E3114E1"/>
    <w:rsid w:val="7E339A7C"/>
    <w:rsid w:val="7E33F211"/>
    <w:rsid w:val="7E379D68"/>
    <w:rsid w:val="7E3AD960"/>
    <w:rsid w:val="7E439CE5"/>
    <w:rsid w:val="7E495F07"/>
    <w:rsid w:val="7E499576"/>
    <w:rsid w:val="7E4AB246"/>
    <w:rsid w:val="7E50D755"/>
    <w:rsid w:val="7E524602"/>
    <w:rsid w:val="7E55055B"/>
    <w:rsid w:val="7E5682E2"/>
    <w:rsid w:val="7E569815"/>
    <w:rsid w:val="7E588DD4"/>
    <w:rsid w:val="7E5AF528"/>
    <w:rsid w:val="7E64FBF2"/>
    <w:rsid w:val="7E6CE793"/>
    <w:rsid w:val="7E797293"/>
    <w:rsid w:val="7E7B3703"/>
    <w:rsid w:val="7E7EB7FF"/>
    <w:rsid w:val="7E7EDA25"/>
    <w:rsid w:val="7E80A45F"/>
    <w:rsid w:val="7E872F53"/>
    <w:rsid w:val="7E8B55F2"/>
    <w:rsid w:val="7E8D1656"/>
    <w:rsid w:val="7E8D7325"/>
    <w:rsid w:val="7E9110BF"/>
    <w:rsid w:val="7E92C251"/>
    <w:rsid w:val="7E93F176"/>
    <w:rsid w:val="7E949B1C"/>
    <w:rsid w:val="7E971030"/>
    <w:rsid w:val="7E9AF479"/>
    <w:rsid w:val="7E9B9DF1"/>
    <w:rsid w:val="7E9C5BA5"/>
    <w:rsid w:val="7E9DE887"/>
    <w:rsid w:val="7E9E2A79"/>
    <w:rsid w:val="7E9FD133"/>
    <w:rsid w:val="7EA42D42"/>
    <w:rsid w:val="7EA535E7"/>
    <w:rsid w:val="7EA5776F"/>
    <w:rsid w:val="7EB13BC4"/>
    <w:rsid w:val="7EB302ED"/>
    <w:rsid w:val="7EB43A3F"/>
    <w:rsid w:val="7EB87E35"/>
    <w:rsid w:val="7EBCD278"/>
    <w:rsid w:val="7EC04E68"/>
    <w:rsid w:val="7EC141B1"/>
    <w:rsid w:val="7EC3A31F"/>
    <w:rsid w:val="7EC5DAF2"/>
    <w:rsid w:val="7EC91224"/>
    <w:rsid w:val="7ECC3A4F"/>
    <w:rsid w:val="7ECC3C7C"/>
    <w:rsid w:val="7ECF9D99"/>
    <w:rsid w:val="7ED0C319"/>
    <w:rsid w:val="7ED64F0C"/>
    <w:rsid w:val="7ED81936"/>
    <w:rsid w:val="7EE11A12"/>
    <w:rsid w:val="7EEFA0E5"/>
    <w:rsid w:val="7EF6883C"/>
    <w:rsid w:val="7EF70041"/>
    <w:rsid w:val="7EFA82B7"/>
    <w:rsid w:val="7EFC95AE"/>
    <w:rsid w:val="7F05FE04"/>
    <w:rsid w:val="7F0BB55F"/>
    <w:rsid w:val="7F0DB94C"/>
    <w:rsid w:val="7F0F92A9"/>
    <w:rsid w:val="7F1110C2"/>
    <w:rsid w:val="7F132A68"/>
    <w:rsid w:val="7F1719C4"/>
    <w:rsid w:val="7F175B6F"/>
    <w:rsid w:val="7F186F6C"/>
    <w:rsid w:val="7F1DC724"/>
    <w:rsid w:val="7F1E90BA"/>
    <w:rsid w:val="7F1F6DEA"/>
    <w:rsid w:val="7F25D73E"/>
    <w:rsid w:val="7F26F731"/>
    <w:rsid w:val="7F27E16D"/>
    <w:rsid w:val="7F2A33F9"/>
    <w:rsid w:val="7F306F7E"/>
    <w:rsid w:val="7F331CD5"/>
    <w:rsid w:val="7F38A9A3"/>
    <w:rsid w:val="7F3C77D3"/>
    <w:rsid w:val="7F46E915"/>
    <w:rsid w:val="7F49BCF6"/>
    <w:rsid w:val="7F4BD2E0"/>
    <w:rsid w:val="7F4F07AF"/>
    <w:rsid w:val="7F5107D2"/>
    <w:rsid w:val="7F5B48B7"/>
    <w:rsid w:val="7F5CD888"/>
    <w:rsid w:val="7F5E1307"/>
    <w:rsid w:val="7F628EE1"/>
    <w:rsid w:val="7F63B02D"/>
    <w:rsid w:val="7F68A23B"/>
    <w:rsid w:val="7F6A9EFB"/>
    <w:rsid w:val="7F6F3BB0"/>
    <w:rsid w:val="7F794963"/>
    <w:rsid w:val="7F79C868"/>
    <w:rsid w:val="7F7F1370"/>
    <w:rsid w:val="7F80D824"/>
    <w:rsid w:val="7F823A4D"/>
    <w:rsid w:val="7F83B9C3"/>
    <w:rsid w:val="7F86D819"/>
    <w:rsid w:val="7F8AE428"/>
    <w:rsid w:val="7F8AEBB5"/>
    <w:rsid w:val="7F91C8B3"/>
    <w:rsid w:val="7F9281DF"/>
    <w:rsid w:val="7F942FCE"/>
    <w:rsid w:val="7F95A993"/>
    <w:rsid w:val="7F99E24C"/>
    <w:rsid w:val="7F9EC6E1"/>
    <w:rsid w:val="7F9F1400"/>
    <w:rsid w:val="7FA0F5BD"/>
    <w:rsid w:val="7FA1F4DC"/>
    <w:rsid w:val="7FAD829E"/>
    <w:rsid w:val="7FB64F03"/>
    <w:rsid w:val="7FBC4C8D"/>
    <w:rsid w:val="7FBDEE3A"/>
    <w:rsid w:val="7FC4CCD0"/>
    <w:rsid w:val="7FC5B4BC"/>
    <w:rsid w:val="7FC95F08"/>
    <w:rsid w:val="7FCB5A67"/>
    <w:rsid w:val="7FCD1A10"/>
    <w:rsid w:val="7FCD500C"/>
    <w:rsid w:val="7FCFD313"/>
    <w:rsid w:val="7FD0BFEE"/>
    <w:rsid w:val="7FD2E0BE"/>
    <w:rsid w:val="7FD5A8CC"/>
    <w:rsid w:val="7FD62DF4"/>
    <w:rsid w:val="7FE1C45C"/>
    <w:rsid w:val="7FEA5DCB"/>
    <w:rsid w:val="7FEA826D"/>
    <w:rsid w:val="7FEFA5CD"/>
    <w:rsid w:val="7FF31B7B"/>
    <w:rsid w:val="7FFBAD6E"/>
    <w:rsid w:val="7FFC7DE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F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10" w:unhideWhenUsed="1"/>
    <w:lsdException w:name="heading 6" w:semiHidden="1" w:uiPriority="12" w:unhideWhenUsed="1"/>
    <w:lsdException w:name="heading 7" w:semiHidden="1" w:uiPriority="12" w:unhideWhenUsed="1"/>
    <w:lsdException w:name="heading 8" w:semiHidden="1" w:uiPriority="7" w:unhideWhenUsed="1" w:qFormat="1"/>
    <w:lsdException w:name="heading 9" w:semiHidden="1" w:uiPriority="12"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9" w:unhideWhenUsed="1"/>
    <w:lsdException w:name="Normal Indent" w:semiHidden="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unhideWhenUsed="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uiPriority="0"/>
    <w:lsdException w:name="List Number 4" w:semiHidden="1"/>
    <w:lsdException w:name="List Number 5" w:semiHidden="1"/>
    <w:lsdException w:name="Title" w:semiHidden="1" w:uiPriority="10" w:unhideWhenUsed="1"/>
    <w:lsdException w:name="Closing" w:semiHidden="1"/>
    <w:lsdException w:name="Signature" w:semiHidden="1"/>
    <w:lsdException w:name="Default Paragraph Font" w:semiHidden="1" w:uiPriority="1" w:unhideWhenUsed="1"/>
    <w:lsdException w:name="Body Text" w:semiHidden="1" w:uiPriority="4" w:unhideWhenUsed="1"/>
    <w:lsdException w:name="Body Text Indent" w:semiHidden="1" w:uiPriority="9"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2"/>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9" w:unhideWhenUsed="1"/>
    <w:lsdException w:name="Body Text 3" w:semiHidden="1" w:uiPriority="9"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5"/>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unhideWhenUsed="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2"/>
    <w:lsdException w:name="Intense Quote" w:semiHidden="1"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lsdException w:name="Intense Emphasis" w:semiHidden="1" w:uiPriority="24"/>
    <w:lsdException w:name="Subtle Reference" w:semiHidden="1" w:uiPriority="34"/>
    <w:lsdException w:name="Intense Reference" w:semiHidden="1" w:uiPriority="35"/>
    <w:lsdException w:name="Book Title" w:semiHidden="1" w:uiPriority="36"/>
    <w:lsdException w:name="Bibliography" w:semiHidden="1" w:uiPriority="37" w:unhideWhenUsed="1"/>
    <w:lsdException w:name="TOC Heading" w:semiHidden="1" w:uiPriority="4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E59"/>
    <w:pPr>
      <w:spacing w:before="120" w:line="240" w:lineRule="auto"/>
      <w:jc w:val="both"/>
    </w:pPr>
    <w:rPr>
      <w:sz w:val="24"/>
    </w:rPr>
  </w:style>
  <w:style w:type="paragraph" w:styleId="Heading1">
    <w:name w:val="heading 1"/>
    <w:next w:val="MSACESParagraph"/>
    <w:link w:val="Heading1Char"/>
    <w:uiPriority w:val="2"/>
    <w:qFormat/>
    <w:rsid w:val="005C2085"/>
    <w:pPr>
      <w:keepNext/>
      <w:keepLines/>
      <w:numPr>
        <w:numId w:val="4"/>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3"/>
    <w:qFormat/>
    <w:rsid w:val="004A5746"/>
    <w:pPr>
      <w:keepNext/>
      <w:keepLines/>
      <w:numPr>
        <w:ilvl w:val="3"/>
        <w:numId w:val="4"/>
      </w:numPr>
      <w:spacing w:before="360" w:after="120"/>
      <w:jc w:val="left"/>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3"/>
    <w:qFormat/>
    <w:rsid w:val="00186307"/>
    <w:pPr>
      <w:keepNext/>
      <w:keepLines/>
      <w:numPr>
        <w:ilvl w:val="5"/>
        <w:numId w:val="4"/>
      </w:numPr>
      <w:spacing w:after="120"/>
      <w:outlineLvl w:val="2"/>
    </w:pPr>
    <w:rPr>
      <w:rFonts w:eastAsiaTheme="majorEastAsia" w:cstheme="majorBidi"/>
      <w:b/>
      <w:sz w:val="28"/>
      <w:szCs w:val="28"/>
    </w:rPr>
  </w:style>
  <w:style w:type="paragraph" w:styleId="Heading4">
    <w:name w:val="heading 4"/>
    <w:basedOn w:val="Heading1"/>
    <w:next w:val="Normal"/>
    <w:link w:val="Heading4Char"/>
    <w:uiPriority w:val="3"/>
    <w:qFormat/>
    <w:rsid w:val="00BB6875"/>
    <w:pPr>
      <w:numPr>
        <w:ilvl w:val="6"/>
      </w:numPr>
      <w:spacing w:before="240" w:after="0"/>
      <w:outlineLvl w:val="3"/>
    </w:pPr>
    <w:rPr>
      <w:color w:val="000000" w:themeColor="text1"/>
      <w:sz w:val="24"/>
    </w:rPr>
  </w:style>
  <w:style w:type="paragraph" w:styleId="Heading5">
    <w:name w:val="heading 5"/>
    <w:aliases w:val="Heading 2 - Body"/>
    <w:basedOn w:val="Heading2"/>
    <w:next w:val="Normal"/>
    <w:link w:val="Heading5Char"/>
    <w:uiPriority w:val="10"/>
    <w:semiHidden/>
    <w:rsid w:val="003B095E"/>
    <w:pPr>
      <w:numPr>
        <w:ilvl w:val="0"/>
        <w:numId w:val="0"/>
      </w:numPr>
      <w:outlineLvl w:val="4"/>
    </w:pPr>
  </w:style>
  <w:style w:type="paragraph" w:styleId="Heading6">
    <w:name w:val="heading 6"/>
    <w:aliases w:val="Heading 3 - Body"/>
    <w:basedOn w:val="Heading3"/>
    <w:next w:val="Normal"/>
    <w:link w:val="Heading6Char"/>
    <w:uiPriority w:val="12"/>
    <w:semiHidden/>
    <w:rsid w:val="00624315"/>
    <w:pPr>
      <w:outlineLvl w:val="5"/>
    </w:pPr>
    <w:rPr>
      <w:sz w:val="24"/>
    </w:rPr>
  </w:style>
  <w:style w:type="paragraph" w:styleId="Heading7">
    <w:name w:val="heading 7"/>
    <w:basedOn w:val="Heading1"/>
    <w:next w:val="Normal"/>
    <w:link w:val="Heading7Char"/>
    <w:uiPriority w:val="12"/>
    <w:semiHidden/>
    <w:rsid w:val="00472D4D"/>
    <w:pPr>
      <w:numPr>
        <w:numId w:val="0"/>
      </w:numPr>
      <w:spacing w:before="120"/>
      <w:ind w:left="1296" w:hanging="1296"/>
      <w:outlineLvl w:val="6"/>
    </w:pPr>
    <w:rPr>
      <w:i/>
      <w:sz w:val="24"/>
      <w:szCs w:val="24"/>
    </w:rPr>
  </w:style>
  <w:style w:type="paragraph" w:styleId="Heading8">
    <w:name w:val="heading 8"/>
    <w:basedOn w:val="Normal"/>
    <w:next w:val="Normal"/>
    <w:link w:val="Heading8Char"/>
    <w:uiPriority w:val="7"/>
    <w:qFormat/>
    <w:rsid w:val="002B5D74"/>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rsid w:val="002A4503"/>
    <w:pPr>
      <w:numPr>
        <w:ilvl w:val="8"/>
      </w:num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94C83"/>
    <w:rPr>
      <w:rFonts w:eastAsiaTheme="majorEastAsia" w:cstheme="majorBidi"/>
      <w:b/>
      <w:sz w:val="32"/>
      <w:szCs w:val="28"/>
    </w:rPr>
  </w:style>
  <w:style w:type="character" w:customStyle="1" w:styleId="Heading2Char">
    <w:name w:val="Heading 2 Char"/>
    <w:basedOn w:val="DefaultParagraphFont"/>
    <w:link w:val="Heading2"/>
    <w:uiPriority w:val="3"/>
    <w:rsid w:val="00245AD1"/>
    <w:rPr>
      <w:rFonts w:ascii="Arial" w:eastAsiaTheme="majorEastAsia" w:hAnsi="Arial" w:cstheme="majorBidi"/>
      <w:b/>
      <w:i/>
      <w:snapToGrid w:val="0"/>
      <w:sz w:val="28"/>
      <w:szCs w:val="28"/>
    </w:rPr>
  </w:style>
  <w:style w:type="character" w:customStyle="1" w:styleId="Heading3Char">
    <w:name w:val="Heading 3 Char"/>
    <w:basedOn w:val="DefaultParagraphFont"/>
    <w:link w:val="Heading3"/>
    <w:uiPriority w:val="3"/>
    <w:rsid w:val="00245AD1"/>
    <w:rPr>
      <w:rFonts w:eastAsiaTheme="majorEastAsia" w:cstheme="majorBidi"/>
      <w:b/>
      <w:sz w:val="28"/>
      <w:szCs w:val="28"/>
    </w:rPr>
  </w:style>
  <w:style w:type="paragraph" w:styleId="ListParagraph">
    <w:name w:val="List Paragraph"/>
    <w:aliases w:val="PBAC ES Paragraph,Body Text Bullet Points,Numbered para,BulletPoints,List Paragraph1,Bullet point,List Paragraph11,Recommendation,Section heading,Footnote,ES Paragraph,PBAC normal points,Bullet List,Figure_name,Numbered Indented Text,lp1"/>
    <w:basedOn w:val="Normal"/>
    <w:link w:val="ListParagraphChar"/>
    <w:uiPriority w:val="34"/>
    <w:qFormat/>
    <w:rsid w:val="00EC79E8"/>
    <w:pPr>
      <w:spacing w:after="120"/>
    </w:pPr>
    <w:rPr>
      <w:color w:val="000000" w:themeColor="text1"/>
    </w:rPr>
  </w:style>
  <w:style w:type="paragraph" w:styleId="BalloonText">
    <w:name w:val="Balloon Text"/>
    <w:basedOn w:val="Normal"/>
    <w:link w:val="BalloonTextChar"/>
    <w:uiPriority w:val="9"/>
    <w:semiHidden/>
    <w:unhideWhenUsed/>
    <w:rsid w:val="00F0542E"/>
    <w:pPr>
      <w:spacing w:before="0" w:after="0"/>
    </w:pPr>
    <w:rPr>
      <w:rFonts w:ascii="Segoe UI" w:hAnsi="Segoe UI" w:cs="Segoe UI"/>
      <w:sz w:val="18"/>
      <w:szCs w:val="18"/>
    </w:rPr>
  </w:style>
  <w:style w:type="paragraph" w:customStyle="1" w:styleId="InstructionalText">
    <w:name w:val="Instructional Text"/>
    <w:basedOn w:val="MSACESParagraph"/>
    <w:link w:val="InstructionalTextChar"/>
    <w:uiPriority w:val="3"/>
    <w:qFormat/>
    <w:rsid w:val="00DD373C"/>
    <w:pPr>
      <w:jc w:val="both"/>
    </w:pPr>
    <w:rPr>
      <w:rFonts w:asciiTheme="minorHAnsi" w:hAnsiTheme="minorHAnsi" w:cstheme="minorHAnsi"/>
      <w:color w:val="3366FF"/>
    </w:rPr>
  </w:style>
  <w:style w:type="character" w:customStyle="1" w:styleId="Heading4Char">
    <w:name w:val="Heading 4 Char"/>
    <w:basedOn w:val="DefaultParagraphFont"/>
    <w:link w:val="Heading4"/>
    <w:uiPriority w:val="3"/>
    <w:rsid w:val="00245AD1"/>
    <w:rPr>
      <w:rFonts w:eastAsiaTheme="majorEastAsia" w:cstheme="majorBidi"/>
      <w:b/>
      <w:color w:val="000000" w:themeColor="text1"/>
      <w:sz w:val="24"/>
      <w:szCs w:val="28"/>
    </w:rPr>
  </w:style>
  <w:style w:type="character" w:customStyle="1" w:styleId="Heading5Char">
    <w:name w:val="Heading 5 Char"/>
    <w:aliases w:val="Heading 2 - Body Char"/>
    <w:basedOn w:val="DefaultParagraphFont"/>
    <w:link w:val="Heading5"/>
    <w:uiPriority w:val="10"/>
    <w:semiHidden/>
    <w:rsid w:val="00481549"/>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semiHidden/>
    <w:rsid w:val="00481549"/>
    <w:rPr>
      <w:rFonts w:eastAsiaTheme="majorEastAsia" w:cstheme="majorBidi"/>
      <w:b/>
      <w:sz w:val="24"/>
      <w:szCs w:val="28"/>
    </w:rPr>
  </w:style>
  <w:style w:type="character" w:customStyle="1" w:styleId="Heading7Char">
    <w:name w:val="Heading 7 Char"/>
    <w:basedOn w:val="DefaultParagraphFont"/>
    <w:link w:val="Heading7"/>
    <w:uiPriority w:val="12"/>
    <w:semiHidden/>
    <w:rsid w:val="00481549"/>
    <w:rPr>
      <w:rFonts w:eastAsiaTheme="majorEastAsia" w:cstheme="majorBidi"/>
      <w:b/>
      <w:i/>
      <w:sz w:val="24"/>
      <w:szCs w:val="24"/>
    </w:rPr>
  </w:style>
  <w:style w:type="character" w:customStyle="1" w:styleId="Heading8Char">
    <w:name w:val="Heading 8 Char"/>
    <w:basedOn w:val="DefaultParagraphFont"/>
    <w:link w:val="Heading8"/>
    <w:uiPriority w:val="7"/>
    <w:semiHidden/>
    <w:rsid w:val="004E6CF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12"/>
    <w:semiHidden/>
    <w:rsid w:val="00645AB3"/>
    <w:rPr>
      <w:rFonts w:eastAsiaTheme="majorEastAsia" w:cstheme="majorBidi"/>
      <w:b/>
      <w:sz w:val="36"/>
      <w:szCs w:val="28"/>
    </w:rPr>
  </w:style>
  <w:style w:type="character" w:customStyle="1" w:styleId="BalloonTextChar">
    <w:name w:val="Balloon Text Char"/>
    <w:basedOn w:val="DefaultParagraphFont"/>
    <w:link w:val="BalloonText"/>
    <w:uiPriority w:val="9"/>
    <w:semiHidden/>
    <w:rsid w:val="00F0542E"/>
    <w:rPr>
      <w:rFonts w:ascii="Segoe UI" w:hAnsi="Segoe UI" w:cs="Segoe UI"/>
      <w:sz w:val="18"/>
      <w:szCs w:val="18"/>
    </w:rPr>
  </w:style>
  <w:style w:type="table" w:styleId="TableGrid">
    <w:name w:val="Table Grid"/>
    <w:aliases w:val="Summary box,Table Gridbeth,CMA Table Template,ASD Table,MSD Table Grid,RTI AMCP Table,new style,PBAC table,Legemiddelverket 3,HTAtableplain,Table Grid nm,Dossier table,Summary Table,HealthConsult,Source table_,NICE instructions,Header Table"/>
    <w:basedOn w:val="TableNormal"/>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 H17"/>
    <w:next w:val="Normal"/>
    <w:link w:val="CaptionChar"/>
    <w:autoRedefine/>
    <w:qFormat/>
    <w:rsid w:val="00204461"/>
    <w:pPr>
      <w:keepNext/>
      <w:tabs>
        <w:tab w:val="left" w:pos="709"/>
      </w:tabs>
      <w:spacing w:before="120" w:after="0"/>
      <w:contextualSpacing/>
    </w:pPr>
    <w:rPr>
      <w:rFonts w:ascii="Arial Narrow" w:hAnsi="Arial Narrow"/>
      <w:b/>
      <w:iCs/>
      <w:sz w:val="20"/>
      <w:szCs w:val="18"/>
    </w:rPr>
  </w:style>
  <w:style w:type="paragraph" w:customStyle="1" w:styleId="TableText">
    <w:name w:val="Table Text"/>
    <w:basedOn w:val="Normal"/>
    <w:link w:val="TableTextChar"/>
    <w:qFormat/>
    <w:rsid w:val="007D3BFB"/>
    <w:pPr>
      <w:widowControl w:val="0"/>
      <w:spacing w:before="0" w:after="0"/>
      <w:jc w:val="left"/>
    </w:pPr>
    <w:rPr>
      <w:rFonts w:ascii="Arial Narrow" w:hAnsi="Arial Narrow"/>
      <w:sz w:val="20"/>
    </w:rPr>
  </w:style>
  <w:style w:type="character" w:styleId="Hyperlink">
    <w:name w:val="Hyperlink"/>
    <w:basedOn w:val="DefaultParagraphFont"/>
    <w:uiPriority w:val="99"/>
    <w:semiHidden/>
    <w:rsid w:val="00BA3306"/>
    <w:rPr>
      <w:color w:val="00B0F0"/>
      <w:u w:val="single"/>
    </w:rPr>
  </w:style>
  <w:style w:type="paragraph" w:styleId="FootnoteText">
    <w:name w:val="footnote text"/>
    <w:basedOn w:val="Normal"/>
    <w:link w:val="FootnoteTextChar"/>
    <w:semiHidden/>
    <w:rsid w:val="00BA3306"/>
    <w:pPr>
      <w:spacing w:before="0" w:after="0"/>
    </w:pPr>
    <w:rPr>
      <w:sz w:val="18"/>
      <w:szCs w:val="20"/>
    </w:rPr>
  </w:style>
  <w:style w:type="character" w:customStyle="1" w:styleId="FootnoteTextChar">
    <w:name w:val="Footnote Text Char"/>
    <w:basedOn w:val="DefaultParagraphFont"/>
    <w:link w:val="FootnoteText"/>
    <w:semiHidden/>
    <w:rsid w:val="00481549"/>
    <w:rPr>
      <w:sz w:val="18"/>
      <w:szCs w:val="20"/>
    </w:rPr>
  </w:style>
  <w:style w:type="character" w:styleId="FootnoteReference">
    <w:name w:val="footnote reference"/>
    <w:basedOn w:val="DefaultParagraphFont"/>
    <w:semiHidden/>
    <w:rsid w:val="00BA3306"/>
    <w:rPr>
      <w:vertAlign w:val="superscript"/>
    </w:rPr>
  </w:style>
  <w:style w:type="character" w:styleId="CommentReference">
    <w:name w:val="annotation reference"/>
    <w:aliases w:val="Table Title,-H18"/>
    <w:basedOn w:val="DefaultParagraphFont"/>
    <w:uiPriority w:val="99"/>
    <w:qFormat/>
    <w:rsid w:val="00F12ED0"/>
    <w:rPr>
      <w:rFonts w:ascii="Arial Narrow" w:hAnsi="Arial Narrow"/>
      <w:b/>
      <w:sz w:val="20"/>
      <w:szCs w:val="16"/>
    </w:rPr>
  </w:style>
  <w:style w:type="paragraph" w:styleId="CommentSubject">
    <w:name w:val="annotation subject"/>
    <w:basedOn w:val="Normal"/>
    <w:link w:val="CommentSubjectChar"/>
    <w:uiPriority w:val="99"/>
    <w:semiHidden/>
    <w:rsid w:val="004E6CFF"/>
    <w:rPr>
      <w:b/>
      <w:bCs/>
      <w:sz w:val="20"/>
      <w:szCs w:val="20"/>
    </w:rPr>
  </w:style>
  <w:style w:type="character" w:customStyle="1" w:styleId="CommentSubjectChar">
    <w:name w:val="Comment Subject Char"/>
    <w:basedOn w:val="DefaultParagraphFont"/>
    <w:link w:val="CommentSubject"/>
    <w:uiPriority w:val="99"/>
    <w:semiHidden/>
    <w:rsid w:val="004E6CFF"/>
    <w:rPr>
      <w:b/>
      <w:bCs/>
      <w:sz w:val="20"/>
      <w:szCs w:val="20"/>
    </w:rPr>
  </w:style>
  <w:style w:type="character" w:customStyle="1" w:styleId="InstructionalTextChar">
    <w:name w:val="Instructional Text Char"/>
    <w:basedOn w:val="DefaultParagraphFont"/>
    <w:link w:val="InstructionalText"/>
    <w:uiPriority w:val="3"/>
    <w:rsid w:val="00DD373C"/>
    <w:rPr>
      <w:rFonts w:cstheme="minorHAnsi"/>
      <w:color w:val="3366FF"/>
      <w:sz w:val="24"/>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 H17 Char"/>
    <w:link w:val="Caption"/>
    <w:qFormat/>
    <w:rsid w:val="00204461"/>
    <w:rPr>
      <w:rFonts w:ascii="Arial Narrow" w:hAnsi="Arial Narrow"/>
      <w:b/>
      <w:iCs/>
      <w:sz w:val="20"/>
      <w:szCs w:val="18"/>
    </w:rPr>
  </w:style>
  <w:style w:type="paragraph" w:customStyle="1" w:styleId="TableFooter">
    <w:name w:val="Table Footer"/>
    <w:basedOn w:val="Normal"/>
    <w:link w:val="TableFooterChar"/>
    <w:qFormat/>
    <w:rsid w:val="00EA0D94"/>
    <w:pPr>
      <w:widowControl w:val="0"/>
      <w:spacing w:before="0" w:after="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EA0D94"/>
    <w:rPr>
      <w:rFonts w:ascii="Arial Narrow" w:eastAsia="Times New Roman" w:hAnsi="Arial Narrow" w:cs="Arial"/>
      <w:snapToGrid w:val="0"/>
      <w:sz w:val="18"/>
      <w:szCs w:val="20"/>
    </w:rPr>
  </w:style>
  <w:style w:type="paragraph" w:styleId="Header">
    <w:name w:val="header"/>
    <w:aliases w:val="Page Header,Header title,he=header,cntr/bld"/>
    <w:basedOn w:val="Normal"/>
    <w:link w:val="HeaderChar"/>
    <w:uiPriority w:val="99"/>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481549"/>
    <w:rPr>
      <w:sz w:val="24"/>
    </w:rPr>
  </w:style>
  <w:style w:type="paragraph" w:styleId="Footer">
    <w:name w:val="footer"/>
    <w:basedOn w:val="Normal"/>
    <w:link w:val="FooterChar"/>
    <w:uiPriority w:val="99"/>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481549"/>
    <w:rPr>
      <w:sz w:val="24"/>
    </w:rPr>
  </w:style>
  <w:style w:type="paragraph" w:styleId="TOC2">
    <w:name w:val="toc 2"/>
    <w:basedOn w:val="Normal"/>
    <w:next w:val="Normal"/>
    <w:autoRedefine/>
    <w:uiPriority w:val="39"/>
    <w:rsid w:val="00F825B5"/>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F825B5"/>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styleId="NormalWeb">
    <w:name w:val="Normal (Web)"/>
    <w:basedOn w:val="Normal"/>
    <w:uiPriority w:val="99"/>
    <w:semiHidden/>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42"/>
    <w:semiHidden/>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semiHidden/>
    <w:rsid w:val="00D93D75"/>
    <w:pPr>
      <w:widowControl w:val="0"/>
      <w:tabs>
        <w:tab w:val="right" w:pos="1134"/>
        <w:tab w:val="right" w:leader="dot" w:pos="9015"/>
      </w:tabs>
      <w:spacing w:after="0"/>
      <w:ind w:left="1758" w:hanging="879"/>
    </w:pPr>
    <w:rPr>
      <w:rFonts w:ascii="Arial" w:eastAsia="Times New Roman" w:hAnsi="Arial" w:cs="Arial"/>
      <w:snapToGrid w:val="0"/>
      <w:sz w:val="20"/>
      <w:szCs w:val="20"/>
    </w:rPr>
  </w:style>
  <w:style w:type="paragraph" w:styleId="TOC4">
    <w:name w:val="toc 4"/>
    <w:basedOn w:val="Normal"/>
    <w:next w:val="Normal"/>
    <w:autoRedefine/>
    <w:uiPriority w:val="39"/>
    <w:semiHidden/>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semiHidden/>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semiHidden/>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semiHidden/>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semiHidden/>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semiHidden/>
    <w:rsid w:val="00C317F3"/>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character" w:customStyle="1" w:styleId="ListParagraphChar">
    <w:name w:val="List Paragraph Char"/>
    <w:aliases w:val="PBAC ES Paragraph Char,Body Text Bullet Points Char,Numbered para Char,BulletPoints Char,List Paragraph1 Char,Bullet point Char,List Paragraph11 Char,Recommendation Char,Section heading Char,Footnote Char,ES Paragraph Char,lp1 Char"/>
    <w:basedOn w:val="DefaultParagraphFont"/>
    <w:link w:val="ListParagraph"/>
    <w:uiPriority w:val="34"/>
    <w:qFormat/>
    <w:locked/>
    <w:rsid w:val="00EC79E8"/>
    <w:rPr>
      <w:color w:val="000000" w:themeColor="text1"/>
      <w:sz w:val="24"/>
    </w:rPr>
  </w:style>
  <w:style w:type="numbering" w:customStyle="1" w:styleId="Headings">
    <w:name w:val="Headings"/>
    <w:uiPriority w:val="99"/>
    <w:rsid w:val="00C317F3"/>
    <w:pPr>
      <w:numPr>
        <w:numId w:val="1"/>
      </w:numPr>
    </w:pPr>
  </w:style>
  <w:style w:type="character" w:styleId="FollowedHyperlink">
    <w:name w:val="FollowedHyperlink"/>
    <w:basedOn w:val="DefaultParagraphFont"/>
    <w:uiPriority w:val="99"/>
    <w:semiHidden/>
    <w:rsid w:val="00177893"/>
    <w:rPr>
      <w:color w:val="954F72" w:themeColor="followedHyperlink"/>
      <w:u w:val="single"/>
    </w:rPr>
  </w:style>
  <w:style w:type="paragraph" w:customStyle="1" w:styleId="PBACESHeading1">
    <w:name w:val="PBAC ES Heading 1"/>
    <w:basedOn w:val="Heading1"/>
    <w:next w:val="ListParagraph"/>
    <w:link w:val="PBACESHeading1Char"/>
    <w:uiPriority w:val="1"/>
    <w:qFormat/>
    <w:rsid w:val="00F927FB"/>
    <w:pPr>
      <w:tabs>
        <w:tab w:val="left" w:pos="1077"/>
      </w:tabs>
      <w:spacing w:before="240" w:line="240" w:lineRule="auto"/>
      <w:ind w:left="431" w:hanging="431"/>
    </w:pPr>
    <w:rPr>
      <w:rFonts w:eastAsia="Times New Roman" w:cs="Arial"/>
      <w:snapToGrid w:val="0"/>
      <w:szCs w:val="32"/>
    </w:rPr>
  </w:style>
  <w:style w:type="paragraph" w:customStyle="1" w:styleId="Heading1subheading">
    <w:name w:val="Heading 1 subheading"/>
    <w:basedOn w:val="Heading1"/>
    <w:next w:val="Normal"/>
    <w:link w:val="Heading1subheadingChar"/>
    <w:uiPriority w:val="3"/>
    <w:qFormat/>
    <w:rsid w:val="00225FCB"/>
    <w:pPr>
      <w:numPr>
        <w:ilvl w:val="1"/>
      </w:numPr>
    </w:pPr>
    <w:rPr>
      <w:caps/>
    </w:rPr>
  </w:style>
  <w:style w:type="paragraph" w:customStyle="1" w:styleId="Heading2SECTION2">
    <w:name w:val="Heading 2 SECTION 2"/>
    <w:basedOn w:val="Heading2"/>
    <w:next w:val="Normal"/>
    <w:link w:val="Heading2SECTION2Char"/>
    <w:uiPriority w:val="3"/>
    <w:qFormat/>
    <w:rsid w:val="00C934DC"/>
    <w:pPr>
      <w:numPr>
        <w:ilvl w:val="2"/>
      </w:numPr>
      <w:tabs>
        <w:tab w:val="left" w:pos="1134"/>
      </w:tabs>
    </w:pPr>
  </w:style>
  <w:style w:type="character" w:customStyle="1" w:styleId="Heading1subheadingChar">
    <w:name w:val="Heading 1 subheading Char"/>
    <w:basedOn w:val="Heading1Char"/>
    <w:link w:val="Heading1subheading"/>
    <w:uiPriority w:val="3"/>
    <w:rsid w:val="00245AD1"/>
    <w:rPr>
      <w:rFonts w:eastAsiaTheme="majorEastAsia" w:cstheme="majorBidi"/>
      <w:b/>
      <w:caps/>
      <w:sz w:val="32"/>
      <w:szCs w:val="28"/>
    </w:rPr>
  </w:style>
  <w:style w:type="character" w:customStyle="1" w:styleId="Heading2SECTION2Char">
    <w:name w:val="Heading 2 SECTION 2 Char"/>
    <w:basedOn w:val="Heading2Char"/>
    <w:link w:val="Heading2SECTION2"/>
    <w:uiPriority w:val="3"/>
    <w:rsid w:val="00394C83"/>
    <w:rPr>
      <w:rFonts w:ascii="Arial" w:eastAsiaTheme="majorEastAsia" w:hAnsi="Arial" w:cstheme="majorBidi"/>
      <w:b/>
      <w:i/>
      <w:snapToGrid w:val="0"/>
      <w:sz w:val="28"/>
      <w:szCs w:val="28"/>
    </w:rPr>
  </w:style>
  <w:style w:type="paragraph" w:customStyle="1" w:styleId="Comment">
    <w:name w:val="Comment"/>
    <w:basedOn w:val="Normal"/>
    <w:link w:val="CommentChar"/>
    <w:uiPriority w:val="4"/>
    <w:semiHidden/>
    <w:rsid w:val="0048761C"/>
    <w:pPr>
      <w:tabs>
        <w:tab w:val="num" w:pos="720"/>
      </w:tabs>
      <w:spacing w:before="0" w:after="240" w:line="312" w:lineRule="auto"/>
    </w:pPr>
    <w:rPr>
      <w:rFonts w:ascii="Calibri" w:eastAsia="Times New Roman" w:hAnsi="Calibri" w:cs="Tahoma"/>
      <w:i/>
      <w:color w:val="C00000"/>
      <w:sz w:val="22"/>
      <w:lang w:eastAsia="en-AU"/>
    </w:rPr>
  </w:style>
  <w:style w:type="character" w:customStyle="1" w:styleId="CommentChar">
    <w:name w:val="Comment Char"/>
    <w:basedOn w:val="DefaultParagraphFont"/>
    <w:link w:val="Comment"/>
    <w:uiPriority w:val="4"/>
    <w:semiHidden/>
    <w:rsid w:val="00481549"/>
    <w:rPr>
      <w:rFonts w:ascii="Calibri" w:eastAsia="Times New Roman" w:hAnsi="Calibri" w:cs="Tahoma"/>
      <w:i/>
      <w:color w:val="C00000"/>
      <w:lang w:eastAsia="en-AU"/>
    </w:rPr>
  </w:style>
  <w:style w:type="character" w:customStyle="1" w:styleId="TableTextChar">
    <w:name w:val="Table Text Char"/>
    <w:link w:val="TableText"/>
    <w:rsid w:val="007D3BFB"/>
    <w:rPr>
      <w:rFonts w:ascii="Arial Narrow" w:hAnsi="Arial Narrow"/>
      <w:sz w:val="20"/>
    </w:rPr>
  </w:style>
  <w:style w:type="paragraph" w:customStyle="1" w:styleId="OutlineHeading1">
    <w:name w:val="Outline Heading 1"/>
    <w:basedOn w:val="Heading1"/>
    <w:next w:val="Normal"/>
    <w:link w:val="OutlineHeading1Char"/>
    <w:uiPriority w:val="3"/>
    <w:qFormat/>
    <w:rsid w:val="00243F24"/>
    <w:pPr>
      <w:numPr>
        <w:numId w:val="0"/>
      </w:numPr>
    </w:pPr>
  </w:style>
  <w:style w:type="table" w:customStyle="1" w:styleId="PBACTableStyle">
    <w:name w:val="PBAC Table Style"/>
    <w:basedOn w:val="TableGrid1"/>
    <w:uiPriority w:val="99"/>
    <w:rsid w:val="004A5746"/>
    <w:pPr>
      <w:widowControl w:val="0"/>
      <w:spacing w:after="0"/>
      <w:contextualSpacing/>
      <w:jc w:val="center"/>
    </w:pPr>
    <w:rPr>
      <w:rFonts w:ascii="Arial Narrow" w:hAnsi="Arial Narrow"/>
      <w:color w:val="000000" w:themeColor="text1"/>
      <w:sz w:val="20"/>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MingLiU_HKSCS-ExtB" w:hAnsi="@MingLiU_HKSCS-ExtB"/>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MingLiU_HKSCS-ExtB" w:hAnsi="@MingLiU_HKSCS-ExtB"/>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MingLiU_HKSCS-ExtB" w:hAnsi="@MingLiU_HKSCS-ExtB"/>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ListTable1Light">
    <w:name w:val="List Table 1 Light"/>
    <w:basedOn w:val="TableNormal"/>
    <w:uiPriority w:val="46"/>
    <w:rsid w:val="000620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urfulAccent6">
    <w:name w:val="List Table 7 Colorful Accent 6"/>
    <w:basedOn w:val="TableNormal"/>
    <w:uiPriority w:val="52"/>
    <w:rsid w:val="0006201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2532B4"/>
    <w:pPr>
      <w:numPr>
        <w:numId w:val="12"/>
      </w:numPr>
      <w:spacing w:after="120"/>
      <w:jc w:val="left"/>
    </w:pPr>
    <w:rPr>
      <w:rFonts w:ascii="Calibri" w:hAnsi="Calibri"/>
    </w:rPr>
  </w:style>
  <w:style w:type="paragraph" w:customStyle="1" w:styleId="PBACESHeading2">
    <w:name w:val="PBAC ES Heading 2"/>
    <w:basedOn w:val="Heading2"/>
    <w:link w:val="PBACESHeading2Char"/>
    <w:uiPriority w:val="1"/>
    <w:qFormat/>
    <w:rsid w:val="00E54ACA"/>
    <w:pPr>
      <w:numPr>
        <w:ilvl w:val="0"/>
        <w:numId w:val="0"/>
      </w:numPr>
    </w:pPr>
    <w:rPr>
      <w:rFonts w:asciiTheme="majorHAnsi" w:hAnsiTheme="majorHAnsi"/>
    </w:rPr>
  </w:style>
  <w:style w:type="character" w:customStyle="1" w:styleId="InstructionBulletpointChar">
    <w:name w:val="Instruction Bullet point Char"/>
    <w:basedOn w:val="InstructionalTextChar"/>
    <w:link w:val="InstructionBulletpoint"/>
    <w:uiPriority w:val="3"/>
    <w:rsid w:val="002532B4"/>
    <w:rPr>
      <w:rFonts w:ascii="Calibri" w:hAnsi="Calibri" w:cstheme="minorHAnsi"/>
      <w:color w:val="3366FF"/>
      <w:sz w:val="24"/>
    </w:rPr>
  </w:style>
  <w:style w:type="character" w:customStyle="1" w:styleId="PBACESHeading2Char">
    <w:name w:val="PBAC ES Heading 2 Char"/>
    <w:basedOn w:val="Heading2Char"/>
    <w:link w:val="PBACESHeading2"/>
    <w:uiPriority w:val="1"/>
    <w:rsid w:val="00245AD1"/>
    <w:rPr>
      <w:rFonts w:asciiTheme="majorHAnsi" w:eastAsiaTheme="majorEastAsia" w:hAnsiTheme="majorHAnsi" w:cstheme="majorBidi"/>
      <w:b/>
      <w:i/>
      <w:snapToGrid w:val="0"/>
      <w:sz w:val="28"/>
      <w:szCs w:val="28"/>
    </w:rPr>
  </w:style>
  <w:style w:type="paragraph" w:customStyle="1" w:styleId="CommentTabletext">
    <w:name w:val="Comment Table text"/>
    <w:basedOn w:val="Normal"/>
    <w:uiPriority w:val="4"/>
    <w:semiHidden/>
    <w:rsid w:val="00900174"/>
    <w:pPr>
      <w:tabs>
        <w:tab w:val="num" w:pos="720"/>
      </w:tabs>
      <w:spacing w:before="40" w:after="40"/>
      <w:ind w:left="720"/>
    </w:pPr>
    <w:rPr>
      <w:rFonts w:ascii="Arial Narrow" w:eastAsia="Times New Roman"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BC1ECD"/>
    <w:rPr>
      <w:i w:val="0"/>
      <w:smallCaps/>
      <w:sz w:val="32"/>
    </w:rPr>
  </w:style>
  <w:style w:type="paragraph" w:customStyle="1" w:styleId="PBACESHeading3">
    <w:name w:val="PBAC ES Heading 3"/>
    <w:basedOn w:val="PBACESHeading2"/>
    <w:link w:val="PBACESHeading3Char"/>
    <w:uiPriority w:val="1"/>
    <w:qFormat/>
    <w:rsid w:val="00396339"/>
    <w:pPr>
      <w:numPr>
        <w:ilvl w:val="3"/>
        <w:numId w:val="8"/>
      </w:numPr>
    </w:pPr>
    <w:rPr>
      <w:i w:val="0"/>
      <w:sz w:val="24"/>
    </w:rPr>
  </w:style>
  <w:style w:type="character" w:customStyle="1" w:styleId="PBACESHeadingCAPSChar">
    <w:name w:val="PBAC ES Heading CAPS Char"/>
    <w:basedOn w:val="PBACESHeading2Char"/>
    <w:link w:val="PBACESHeadingCAPS"/>
    <w:uiPriority w:val="1"/>
    <w:rsid w:val="00245AD1"/>
    <w:rPr>
      <w:rFonts w:asciiTheme="majorHAnsi" w:eastAsiaTheme="majorEastAsia" w:hAnsiTheme="majorHAnsi" w:cstheme="majorBidi"/>
      <w:b/>
      <w:i w:val="0"/>
      <w:smallCaps/>
      <w:snapToGrid w:val="0"/>
      <w:sz w:val="32"/>
      <w:szCs w:val="28"/>
    </w:rPr>
  </w:style>
  <w:style w:type="character" w:customStyle="1" w:styleId="PBACESHeading3Char">
    <w:name w:val="PBAC ES Heading 3 Char"/>
    <w:basedOn w:val="PBACESHeading2Char"/>
    <w:link w:val="PBACESHeading3"/>
    <w:uiPriority w:val="1"/>
    <w:rsid w:val="00245AD1"/>
    <w:rPr>
      <w:rFonts w:asciiTheme="majorHAnsi" w:eastAsiaTheme="majorEastAsia" w:hAnsiTheme="majorHAnsi" w:cstheme="majorBidi"/>
      <w:b/>
      <w:i w:val="0"/>
      <w:snapToGrid w:val="0"/>
      <w:sz w:val="24"/>
      <w:szCs w:val="28"/>
    </w:rPr>
  </w:style>
  <w:style w:type="paragraph" w:customStyle="1" w:styleId="Level1">
    <w:name w:val="Level 1"/>
    <w:basedOn w:val="Normal"/>
    <w:uiPriority w:val="3"/>
    <w:semiHidden/>
    <w:rsid w:val="001059D6"/>
  </w:style>
  <w:style w:type="paragraph" w:customStyle="1" w:styleId="PBACESParagraphBulletPoint">
    <w:name w:val="PBAC ES Paragraph Bullet Point"/>
    <w:basedOn w:val="ListParagraph"/>
    <w:link w:val="PBACESParagraphBulletPointChar"/>
    <w:uiPriority w:val="1"/>
    <w:qFormat/>
    <w:rsid w:val="00F0152D"/>
    <w:pPr>
      <w:numPr>
        <w:numId w:val="13"/>
      </w:numPr>
    </w:pPr>
  </w:style>
  <w:style w:type="character" w:customStyle="1" w:styleId="PBACESParagraphBulletPointChar">
    <w:name w:val="PBAC ES Paragraph Bullet Point Char"/>
    <w:basedOn w:val="ListParagraphChar"/>
    <w:link w:val="PBACESParagraphBulletPoint"/>
    <w:uiPriority w:val="1"/>
    <w:rsid w:val="00245AD1"/>
    <w:rPr>
      <w:color w:val="000000" w:themeColor="text1"/>
      <w:sz w:val="24"/>
    </w:rPr>
  </w:style>
  <w:style w:type="paragraph" w:customStyle="1" w:styleId="OutlineHeading2">
    <w:name w:val="Outline Heading 2"/>
    <w:basedOn w:val="Heading2"/>
    <w:link w:val="OutlineHeading2Char"/>
    <w:uiPriority w:val="3"/>
    <w:qFormat/>
    <w:rsid w:val="00F927FB"/>
    <w:pPr>
      <w:numPr>
        <w:ilvl w:val="0"/>
        <w:numId w:val="0"/>
      </w:numPr>
      <w:spacing w:before="120"/>
    </w:pPr>
  </w:style>
  <w:style w:type="character" w:customStyle="1" w:styleId="OutlineHeading2Char">
    <w:name w:val="Outline Heading 2 Char"/>
    <w:basedOn w:val="Heading2Char"/>
    <w:link w:val="OutlineHeading2"/>
    <w:uiPriority w:val="3"/>
    <w:rsid w:val="00F927FB"/>
    <w:rPr>
      <w:rFonts w:ascii="Arial" w:eastAsiaTheme="majorEastAsia" w:hAnsi="Arial" w:cstheme="majorBidi"/>
      <w:b/>
      <w:i/>
      <w:snapToGrid w:val="0"/>
      <w:sz w:val="28"/>
      <w:szCs w:val="28"/>
    </w:rPr>
  </w:style>
  <w:style w:type="table" w:styleId="TableGrid1">
    <w:name w:val="Table Grid 1"/>
    <w:basedOn w:val="TableNormal"/>
    <w:uiPriority w:val="99"/>
    <w:semiHidden/>
    <w:unhideWhenUsed/>
    <w:rsid w:val="00264773"/>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7A0C94"/>
    <w:pPr>
      <w:tabs>
        <w:tab w:val="decimal" w:pos="396"/>
      </w:tabs>
      <w:jc w:val="center"/>
    </w:pPr>
  </w:style>
  <w:style w:type="paragraph" w:customStyle="1" w:styleId="TableRowHeader">
    <w:name w:val="Table Row Header"/>
    <w:basedOn w:val="TableText"/>
    <w:link w:val="TableRowHeaderChar"/>
    <w:qFormat/>
    <w:rsid w:val="0015150F"/>
    <w:pPr>
      <w:jc w:val="center"/>
    </w:pPr>
    <w:rPr>
      <w:b/>
    </w:rPr>
  </w:style>
  <w:style w:type="character" w:styleId="HTMLCite">
    <w:name w:val="HTML Cite"/>
    <w:basedOn w:val="DefaultParagraphFont"/>
    <w:uiPriority w:val="99"/>
    <w:semiHidden/>
    <w:rsid w:val="00D61F15"/>
    <w:rPr>
      <w:i/>
      <w:iCs/>
    </w:rPr>
  </w:style>
  <w:style w:type="paragraph" w:customStyle="1" w:styleId="Heading2Clinical">
    <w:name w:val="Heading 2 Clinical"/>
    <w:basedOn w:val="Heading3"/>
    <w:next w:val="Normal"/>
    <w:link w:val="Heading2ClinicalChar"/>
    <w:uiPriority w:val="1"/>
    <w:semiHidden/>
    <w:rsid w:val="000B35EA"/>
    <w:pPr>
      <w:numPr>
        <w:ilvl w:val="4"/>
      </w:numPr>
      <w:tabs>
        <w:tab w:val="left" w:pos="1418"/>
      </w:tabs>
    </w:pPr>
    <w:rPr>
      <w:i/>
    </w:rPr>
  </w:style>
  <w:style w:type="character" w:customStyle="1" w:styleId="Heading2ClinicalChar">
    <w:name w:val="Heading 2 Clinical Char"/>
    <w:basedOn w:val="Heading4Char"/>
    <w:link w:val="Heading2Clinical"/>
    <w:uiPriority w:val="1"/>
    <w:semiHidden/>
    <w:rsid w:val="00394C83"/>
    <w:rPr>
      <w:rFonts w:eastAsiaTheme="majorEastAsia" w:cstheme="majorBidi"/>
      <w:b/>
      <w:i/>
      <w:color w:val="000000" w:themeColor="text1"/>
      <w:sz w:val="28"/>
      <w:szCs w:val="28"/>
    </w:rPr>
  </w:style>
  <w:style w:type="paragraph" w:customStyle="1" w:styleId="MSACSubtitle">
    <w:name w:val="MSAC Subtitle"/>
    <w:basedOn w:val="Normal"/>
    <w:next w:val="Normal"/>
    <w:link w:val="MSACSubtitleChar"/>
    <w:uiPriority w:val="1"/>
    <w:rsid w:val="00111951"/>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F927FB"/>
    <w:rPr>
      <w:rFonts w:eastAsia="Times New Roman" w:cs="Arial"/>
      <w:b/>
      <w:snapToGrid w:val="0"/>
      <w:sz w:val="32"/>
      <w:szCs w:val="32"/>
    </w:rPr>
  </w:style>
  <w:style w:type="character" w:customStyle="1" w:styleId="MSACSubtitleChar">
    <w:name w:val="MSAC Subtitle Char"/>
    <w:basedOn w:val="DefaultParagraphFont"/>
    <w:link w:val="MSACSubtitle"/>
    <w:uiPriority w:val="1"/>
    <w:rsid w:val="00245AD1"/>
    <w:rPr>
      <w:rFonts w:ascii="Arial" w:hAnsi="Arial"/>
      <w:b/>
      <w:i/>
      <w:color w:val="000080"/>
      <w:sz w:val="28"/>
    </w:rPr>
  </w:style>
  <w:style w:type="paragraph" w:customStyle="1" w:styleId="MSACHeading1">
    <w:name w:val="MSAC Heading 1"/>
    <w:basedOn w:val="Heading1"/>
    <w:next w:val="MSACESParagraph"/>
    <w:link w:val="MSACHeading1Char"/>
    <w:uiPriority w:val="1"/>
    <w:rsid w:val="001E1827"/>
    <w:pPr>
      <w:numPr>
        <w:numId w:val="0"/>
      </w:numPr>
      <w:spacing w:before="160" w:after="240"/>
    </w:pPr>
    <w:rPr>
      <w:rFonts w:ascii="Arial" w:hAnsi="Arial"/>
      <w:sz w:val="24"/>
    </w:rPr>
  </w:style>
  <w:style w:type="paragraph" w:customStyle="1" w:styleId="MSACESParagraph">
    <w:name w:val="MSAC ES Paragraph"/>
    <w:link w:val="MSACESParagraphChar"/>
    <w:uiPriority w:val="1"/>
    <w:rsid w:val="00EB360C"/>
    <w:pPr>
      <w:spacing w:after="240" w:line="240" w:lineRule="auto"/>
    </w:pPr>
    <w:rPr>
      <w:rFonts w:ascii="Times New Roman" w:hAnsi="Times New Roman"/>
      <w:sz w:val="24"/>
    </w:rPr>
  </w:style>
  <w:style w:type="character" w:customStyle="1" w:styleId="MSACHeading1Char">
    <w:name w:val="MSAC Heading 1 Char"/>
    <w:basedOn w:val="DefaultParagraphFont"/>
    <w:link w:val="MSACHeading1"/>
    <w:uiPriority w:val="1"/>
    <w:rsid w:val="00245AD1"/>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uiPriority w:val="1"/>
    <w:rsid w:val="001E1827"/>
    <w:pPr>
      <w:numPr>
        <w:ilvl w:val="0"/>
        <w:numId w:val="0"/>
      </w:numPr>
    </w:pPr>
    <w:rPr>
      <w:rFonts w:ascii="Cambria" w:hAnsi="Cambria"/>
      <w:i w:val="0"/>
      <w:sz w:val="24"/>
    </w:rPr>
  </w:style>
  <w:style w:type="paragraph" w:customStyle="1" w:styleId="MSACESBulletPoint">
    <w:name w:val="MSAC ES Bullet Point"/>
    <w:basedOn w:val="MSACESParagraph"/>
    <w:link w:val="MSACESBulletPointChar"/>
    <w:uiPriority w:val="1"/>
    <w:rsid w:val="002532B4"/>
    <w:pPr>
      <w:numPr>
        <w:numId w:val="7"/>
      </w:numPr>
      <w:spacing w:before="120" w:after="120"/>
      <w:ind w:left="714" w:hanging="357"/>
    </w:pPr>
  </w:style>
  <w:style w:type="character" w:customStyle="1" w:styleId="MSACESHeading2Char">
    <w:name w:val="MSAC ES Heading 2 Char"/>
    <w:basedOn w:val="DefaultParagraphFont"/>
    <w:link w:val="MSACESHeading2"/>
    <w:uiPriority w:val="1"/>
    <w:rsid w:val="00245AD1"/>
    <w:rPr>
      <w:rFonts w:ascii="Cambria" w:eastAsiaTheme="majorEastAsia" w:hAnsi="Cambria" w:cstheme="majorBidi"/>
      <w:b/>
      <w:snapToGrid w:val="0"/>
      <w:sz w:val="24"/>
      <w:szCs w:val="28"/>
    </w:rPr>
  </w:style>
  <w:style w:type="character" w:customStyle="1" w:styleId="TableNumberChar">
    <w:name w:val="Table Number Char"/>
    <w:basedOn w:val="TableTextChar"/>
    <w:link w:val="TableNumber"/>
    <w:rsid w:val="007A0C94"/>
    <w:rPr>
      <w:rFonts w:ascii="Arial Narrow" w:hAnsi="Arial Narrow"/>
      <w:sz w:val="20"/>
    </w:rPr>
  </w:style>
  <w:style w:type="character" w:customStyle="1" w:styleId="MSACESParagraphChar">
    <w:name w:val="MSAC ES Paragraph Char"/>
    <w:basedOn w:val="DefaultParagraphFont"/>
    <w:link w:val="MSACESParagraph"/>
    <w:uiPriority w:val="1"/>
    <w:rsid w:val="004E6CFF"/>
    <w:rPr>
      <w:rFonts w:ascii="Times New Roman" w:hAnsi="Times New Roman"/>
      <w:sz w:val="24"/>
    </w:rPr>
  </w:style>
  <w:style w:type="character" w:customStyle="1" w:styleId="MSACESBulletPointChar">
    <w:name w:val="MSAC ES Bullet Point Char"/>
    <w:basedOn w:val="MSACESParagraphChar"/>
    <w:link w:val="MSACESBulletPoint"/>
    <w:uiPriority w:val="1"/>
    <w:rsid w:val="00394C83"/>
    <w:rPr>
      <w:rFonts w:ascii="Times New Roman" w:hAnsi="Times New Roman"/>
      <w:sz w:val="24"/>
    </w:rPr>
  </w:style>
  <w:style w:type="paragraph" w:customStyle="1" w:styleId="ESHeading1">
    <w:name w:val="ES Heading 1"/>
    <w:basedOn w:val="Heading1"/>
    <w:next w:val="Heading1"/>
    <w:uiPriority w:val="8"/>
    <w:semiHidden/>
    <w:rsid w:val="00703418"/>
    <w:pPr>
      <w:numPr>
        <w:numId w:val="0"/>
      </w:numPr>
      <w:spacing w:before="240" w:line="240" w:lineRule="auto"/>
      <w:ind w:left="720" w:hanging="720"/>
    </w:pPr>
    <w:rPr>
      <w:rFonts w:eastAsia="Times New Roman" w:cs="Arial"/>
      <w:snapToGrid w:val="0"/>
      <w:szCs w:val="32"/>
    </w:rPr>
  </w:style>
  <w:style w:type="paragraph" w:customStyle="1" w:styleId="ESHeading2">
    <w:name w:val="ES Heading 2"/>
    <w:basedOn w:val="Heading2"/>
    <w:uiPriority w:val="8"/>
    <w:semiHidden/>
    <w:rsid w:val="00703418"/>
    <w:pPr>
      <w:numPr>
        <w:ilvl w:val="0"/>
        <w:numId w:val="0"/>
      </w:numPr>
      <w:ind w:left="720" w:hanging="720"/>
    </w:pPr>
    <w:rPr>
      <w:rFonts w:asciiTheme="majorHAnsi" w:hAnsiTheme="majorHAnsi"/>
    </w:rPr>
  </w:style>
  <w:style w:type="paragraph" w:customStyle="1" w:styleId="ESHeadingCAPS">
    <w:name w:val="ES Heading CAPS"/>
    <w:basedOn w:val="ESHeading2"/>
    <w:uiPriority w:val="8"/>
    <w:semiHidden/>
    <w:rsid w:val="00703418"/>
    <w:rPr>
      <w:i w:val="0"/>
      <w:smallCaps/>
      <w:sz w:val="32"/>
    </w:rPr>
  </w:style>
  <w:style w:type="paragraph" w:customStyle="1" w:styleId="ESHeading3">
    <w:name w:val="ES Heading 3"/>
    <w:basedOn w:val="ESHeading2"/>
    <w:uiPriority w:val="8"/>
    <w:semiHidden/>
    <w:rsid w:val="00703418"/>
    <w:pPr>
      <w:ind w:left="1080" w:hanging="1080"/>
    </w:pPr>
    <w:rPr>
      <w:i w:val="0"/>
      <w:sz w:val="24"/>
    </w:rPr>
  </w:style>
  <w:style w:type="numbering" w:customStyle="1" w:styleId="MSACESBulletpoints">
    <w:name w:val="MSAC ES Bullet points"/>
    <w:uiPriority w:val="99"/>
    <w:rsid w:val="00FA1A77"/>
    <w:pPr>
      <w:numPr>
        <w:numId w:val="10"/>
      </w:numPr>
    </w:pPr>
  </w:style>
  <w:style w:type="paragraph" w:customStyle="1" w:styleId="MainBodyBulletPoint">
    <w:name w:val="MainBody Bullet Point"/>
    <w:basedOn w:val="InstructionBulletpoint"/>
    <w:link w:val="MainBodyBulletPointChar"/>
    <w:uiPriority w:val="1"/>
    <w:qFormat/>
    <w:rsid w:val="002532B4"/>
    <w:pPr>
      <w:numPr>
        <w:numId w:val="11"/>
      </w:numPr>
    </w:pPr>
    <w:rPr>
      <w:color w:val="auto"/>
    </w:rPr>
  </w:style>
  <w:style w:type="character" w:customStyle="1" w:styleId="MainBodyBulletPointChar">
    <w:name w:val="MainBody Bullet Point Char"/>
    <w:basedOn w:val="InstructionBulletpointChar"/>
    <w:link w:val="MainBodyBulletPoint"/>
    <w:uiPriority w:val="1"/>
    <w:rsid w:val="00F61E38"/>
    <w:rPr>
      <w:rFonts w:ascii="Calibri" w:hAnsi="Calibri" w:cstheme="minorHAnsi"/>
      <w:color w:val="3366FF"/>
      <w:sz w:val="24"/>
    </w:rPr>
  </w:style>
  <w:style w:type="character" w:customStyle="1" w:styleId="OutlineHeading1Char">
    <w:name w:val="Outline Heading 1 Char"/>
    <w:basedOn w:val="Heading1Char"/>
    <w:link w:val="OutlineHeading1"/>
    <w:uiPriority w:val="3"/>
    <w:rsid w:val="00F630C9"/>
    <w:rPr>
      <w:rFonts w:eastAsiaTheme="majorEastAsia" w:cstheme="majorBidi"/>
      <w:b/>
      <w:sz w:val="32"/>
      <w:szCs w:val="28"/>
    </w:rPr>
  </w:style>
  <w:style w:type="numbering" w:customStyle="1" w:styleId="Style1">
    <w:name w:val="Style1"/>
    <w:uiPriority w:val="99"/>
    <w:rsid w:val="009A580E"/>
    <w:pPr>
      <w:numPr>
        <w:numId w:val="14"/>
      </w:numPr>
    </w:pPr>
  </w:style>
  <w:style w:type="numbering" w:customStyle="1" w:styleId="Style2">
    <w:name w:val="Style2"/>
    <w:uiPriority w:val="99"/>
    <w:rsid w:val="002A391F"/>
    <w:pPr>
      <w:numPr>
        <w:numId w:val="16"/>
      </w:numPr>
    </w:pPr>
  </w:style>
  <w:style w:type="table" w:customStyle="1" w:styleId="ListTable1Light1">
    <w:name w:val="List Table 1 Light1"/>
    <w:basedOn w:val="TableNormal"/>
    <w:uiPriority w:val="46"/>
    <w:rsid w:val="00104A1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104A1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semiHidden/>
    <w:rsid w:val="003D1FB3"/>
    <w:rPr>
      <w:i/>
      <w:iCs/>
    </w:rPr>
  </w:style>
  <w:style w:type="numbering" w:customStyle="1" w:styleId="Style3">
    <w:name w:val="Style3"/>
    <w:uiPriority w:val="99"/>
    <w:rsid w:val="0076446C"/>
    <w:pPr>
      <w:numPr>
        <w:numId w:val="17"/>
      </w:numPr>
    </w:pPr>
  </w:style>
  <w:style w:type="character" w:customStyle="1" w:styleId="TableRowHeaderChar">
    <w:name w:val="Table Row Header Char"/>
    <w:basedOn w:val="TableTextChar"/>
    <w:link w:val="TableRowHeader"/>
    <w:rsid w:val="0015150F"/>
    <w:rPr>
      <w:rFonts w:ascii="Arial Narrow" w:hAnsi="Arial Narrow"/>
      <w:b/>
      <w:sz w:val="20"/>
    </w:rPr>
  </w:style>
  <w:style w:type="paragraph" w:styleId="CommentText">
    <w:name w:val="annotation text"/>
    <w:aliases w:val="Comment Text Char Char Char,Comment Text Char Char,- H19,Commentaire,Comment Text Char1 Char Char,Comment Text Char Char1"/>
    <w:basedOn w:val="Normal"/>
    <w:link w:val="CommentTextChar"/>
    <w:uiPriority w:val="99"/>
    <w:unhideWhenUsed/>
    <w:qFormat/>
    <w:rsid w:val="001952BB"/>
    <w:rPr>
      <w:sz w:val="20"/>
      <w:szCs w:val="20"/>
    </w:rPr>
  </w:style>
  <w:style w:type="character" w:customStyle="1" w:styleId="CommentTextChar">
    <w:name w:val="Comment Text Char"/>
    <w:aliases w:val="Comment Text Char Char Char Char,Comment Text Char Char Char1,- H19 Char,Commentaire Char,Comment Text Char1 Char Char Char,Comment Text Char Char1 Char"/>
    <w:basedOn w:val="DefaultParagraphFont"/>
    <w:link w:val="CommentText"/>
    <w:uiPriority w:val="99"/>
    <w:rsid w:val="001952BB"/>
    <w:rPr>
      <w:sz w:val="20"/>
      <w:szCs w:val="20"/>
    </w:rPr>
  </w:style>
  <w:style w:type="paragraph" w:customStyle="1" w:styleId="Guidelinescross-ref">
    <w:name w:val="Guidelines cross-ref"/>
    <w:basedOn w:val="Normal"/>
    <w:rsid w:val="001952BB"/>
    <w:pPr>
      <w:spacing w:before="240" w:after="240" w:line="259" w:lineRule="auto"/>
      <w:jc w:val="left"/>
    </w:pPr>
    <w:rPr>
      <w:rFonts w:ascii="Franklin Gothic Book" w:hAnsi="Franklin Gothic Book"/>
      <w:b/>
      <w:color w:val="0070C0"/>
    </w:rPr>
  </w:style>
  <w:style w:type="paragraph" w:customStyle="1" w:styleId="Instructionaltext0">
    <w:name w:val="Instructional text"/>
    <w:basedOn w:val="Normal"/>
    <w:link w:val="InstructionaltextChar0"/>
    <w:rsid w:val="001952BB"/>
    <w:pPr>
      <w:spacing w:line="259" w:lineRule="auto"/>
      <w:jc w:val="left"/>
    </w:pPr>
    <w:rPr>
      <w:rFonts w:ascii="Franklin Gothic Book" w:hAnsi="Franklin Gothic Book"/>
      <w:color w:val="258221"/>
      <w:sz w:val="22"/>
    </w:rPr>
  </w:style>
  <w:style w:type="character" w:customStyle="1" w:styleId="InstructionaltextChar0">
    <w:name w:val="Instructional text Char"/>
    <w:basedOn w:val="DefaultParagraphFont"/>
    <w:link w:val="Instructionaltext0"/>
    <w:rsid w:val="001952BB"/>
    <w:rPr>
      <w:rFonts w:ascii="Franklin Gothic Book" w:hAnsi="Franklin Gothic Book"/>
      <w:color w:val="258221"/>
    </w:rPr>
  </w:style>
  <w:style w:type="paragraph" w:customStyle="1" w:styleId="Instructionaltext-afterfiguretable">
    <w:name w:val="Instructional text - after figure/table"/>
    <w:basedOn w:val="Instructionaltext0"/>
    <w:rsid w:val="008A41CD"/>
    <w:pPr>
      <w:spacing w:before="360"/>
    </w:pPr>
  </w:style>
  <w:style w:type="paragraph" w:customStyle="1" w:styleId="Instructionaltext-bullet">
    <w:name w:val="Instructional text - bullet"/>
    <w:basedOn w:val="Instructionaltext0"/>
    <w:rsid w:val="00FD07C6"/>
    <w:pPr>
      <w:numPr>
        <w:numId w:val="18"/>
      </w:numPr>
      <w:spacing w:before="0" w:after="0"/>
      <w:ind w:left="714" w:hanging="357"/>
    </w:pPr>
  </w:style>
  <w:style w:type="paragraph" w:customStyle="1" w:styleId="TableFigureFooter">
    <w:name w:val="Table/Figure Footer"/>
    <w:basedOn w:val="Normal"/>
    <w:link w:val="TableFigureFooterChar"/>
    <w:qFormat/>
    <w:rsid w:val="00817447"/>
    <w:pPr>
      <w:tabs>
        <w:tab w:val="left" w:pos="284"/>
      </w:tabs>
      <w:spacing w:before="0" w:after="0"/>
      <w:jc w:val="left"/>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817447"/>
    <w:rPr>
      <w:rFonts w:ascii="Arial Narrow" w:eastAsia="Times New Roman" w:hAnsi="Arial Narrow" w:cs="Arial"/>
      <w:snapToGrid w:val="0"/>
      <w:sz w:val="18"/>
      <w:lang w:eastAsia="en-AU"/>
    </w:rPr>
  </w:style>
  <w:style w:type="paragraph" w:customStyle="1" w:styleId="Bullet">
    <w:name w:val="Bullet"/>
    <w:basedOn w:val="Normal"/>
    <w:qFormat/>
    <w:rsid w:val="00E44C0B"/>
    <w:pPr>
      <w:numPr>
        <w:numId w:val="23"/>
      </w:numPr>
      <w:spacing w:after="120"/>
      <w:jc w:val="left"/>
    </w:pPr>
    <w:rPr>
      <w:sz w:val="22"/>
    </w:rPr>
  </w:style>
  <w:style w:type="paragraph" w:customStyle="1" w:styleId="Summaryboxheading">
    <w:name w:val="Summary box heading"/>
    <w:basedOn w:val="Normal"/>
    <w:rsid w:val="00276C8F"/>
    <w:pPr>
      <w:spacing w:after="100" w:afterAutospacing="1" w:line="259" w:lineRule="auto"/>
    </w:pPr>
    <w:rPr>
      <w:rFonts w:ascii="Arial Narrow" w:eastAsia="Times New Roman" w:hAnsi="Arial Narrow" w:cs="Tahoma"/>
      <w:b/>
      <w:sz w:val="22"/>
      <w:lang w:eastAsia="en-AU"/>
    </w:rPr>
  </w:style>
  <w:style w:type="paragraph" w:customStyle="1" w:styleId="In-tableHeading">
    <w:name w:val="In-table Heading"/>
    <w:qFormat/>
    <w:rsid w:val="000239BE"/>
    <w:pPr>
      <w:keepNext/>
      <w:spacing w:after="0" w:line="240" w:lineRule="auto"/>
    </w:pPr>
    <w:rPr>
      <w:rFonts w:ascii="Arial Narrow" w:eastAsiaTheme="majorEastAsia" w:hAnsi="Arial Narrow" w:cs="Times New Roman"/>
      <w:b/>
      <w:sz w:val="20"/>
      <w:szCs w:val="24"/>
      <w:lang w:val="en-US" w:eastAsia="en-AU"/>
    </w:rPr>
  </w:style>
  <w:style w:type="paragraph" w:customStyle="1" w:styleId="Tabletext0">
    <w:name w:val="Table text"/>
    <w:basedOn w:val="Normal"/>
    <w:link w:val="TabletextChar0"/>
    <w:uiPriority w:val="99"/>
    <w:qFormat/>
    <w:rsid w:val="00F4445A"/>
    <w:pPr>
      <w:spacing w:before="0" w:after="0"/>
      <w:jc w:val="left"/>
    </w:pPr>
    <w:rPr>
      <w:rFonts w:ascii="Arial Narrow" w:eastAsia="Times New Roman" w:hAnsi="Arial Narrow" w:cs="Times New Roman"/>
      <w:snapToGrid w:val="0"/>
      <w:sz w:val="20"/>
      <w:szCs w:val="24"/>
      <w:lang w:eastAsia="en-AU"/>
    </w:rPr>
  </w:style>
  <w:style w:type="character" w:customStyle="1" w:styleId="TabletextChar0">
    <w:name w:val="Table text Char"/>
    <w:link w:val="Tabletext0"/>
    <w:uiPriority w:val="99"/>
    <w:rsid w:val="00F4445A"/>
    <w:rPr>
      <w:rFonts w:ascii="Arial Narrow" w:eastAsia="Times New Roman" w:hAnsi="Arial Narrow" w:cs="Times New Roman"/>
      <w:snapToGrid w:val="0"/>
      <w:sz w:val="20"/>
      <w:szCs w:val="24"/>
      <w:lang w:eastAsia="en-AU"/>
    </w:rPr>
  </w:style>
  <w:style w:type="paragraph" w:customStyle="1" w:styleId="TableFigureHeading">
    <w:name w:val="Table/Figure Heading"/>
    <w:next w:val="In-tableHeading"/>
    <w:link w:val="TableFigureHeadingChar"/>
    <w:qFormat/>
    <w:rsid w:val="00F4445A"/>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F4445A"/>
    <w:rPr>
      <w:rFonts w:ascii="Arial Narrow" w:eastAsiaTheme="majorEastAsia" w:hAnsi="Arial Narrow" w:cstheme="majorBidi"/>
      <w:b/>
      <w:bCs/>
      <w:sz w:val="20"/>
      <w:szCs w:val="24"/>
      <w:lang w:eastAsia="en-AU"/>
    </w:rPr>
  </w:style>
  <w:style w:type="table" w:customStyle="1" w:styleId="ASDTable1">
    <w:name w:val="ASD Table1"/>
    <w:basedOn w:val="TableNormal"/>
    <w:next w:val="TableGrid"/>
    <w:uiPriority w:val="39"/>
    <w:rsid w:val="00CD7A4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ListParagraph"/>
    <w:rsid w:val="00636D93"/>
    <w:pPr>
      <w:numPr>
        <w:numId w:val="24"/>
      </w:numPr>
      <w:spacing w:before="0"/>
      <w:contextualSpacing/>
    </w:pPr>
    <w:rPr>
      <w:rFonts w:eastAsia="Times New Roman" w:cs="Arial"/>
      <w:snapToGrid w:val="0"/>
      <w:color w:val="auto"/>
      <w:szCs w:val="24"/>
      <w:lang w:eastAsia="en-AU"/>
    </w:rPr>
  </w:style>
  <w:style w:type="paragraph" w:customStyle="1" w:styleId="Commentitalics">
    <w:name w:val="Comment (italics)"/>
    <w:basedOn w:val="Normal"/>
    <w:next w:val="Normal"/>
    <w:rsid w:val="00571D72"/>
    <w:pPr>
      <w:spacing w:before="0" w:after="0"/>
    </w:pPr>
    <w:rPr>
      <w:rFonts w:ascii="Calibri" w:eastAsia="Times New Roman" w:hAnsi="Calibri" w:cs="Arial"/>
      <w:i/>
      <w:szCs w:val="24"/>
      <w:lang w:eastAsia="en-AU"/>
    </w:rPr>
  </w:style>
  <w:style w:type="paragraph" w:customStyle="1" w:styleId="2-SectionHeading">
    <w:name w:val="2-Section Heading"/>
    <w:qFormat/>
    <w:rsid w:val="00571D72"/>
    <w:pPr>
      <w:keepNext/>
      <w:spacing w:before="240" w:after="120" w:line="240" w:lineRule="auto"/>
      <w:ind w:left="720" w:hanging="720"/>
      <w:outlineLvl w:val="0"/>
    </w:pPr>
    <w:rPr>
      <w:rFonts w:eastAsia="Times New Roman" w:cs="Arial"/>
      <w:b/>
      <w:snapToGrid w:val="0"/>
      <w:sz w:val="32"/>
      <w:szCs w:val="32"/>
      <w:lang w:eastAsia="en-AU"/>
    </w:rPr>
  </w:style>
  <w:style w:type="paragraph" w:customStyle="1" w:styleId="3-BodyText">
    <w:name w:val="3-Body Text"/>
    <w:basedOn w:val="ListParagraph"/>
    <w:link w:val="3-BodyTextChar"/>
    <w:qFormat/>
    <w:rsid w:val="00571D72"/>
    <w:pPr>
      <w:spacing w:before="0"/>
      <w:ind w:left="720" w:hanging="720"/>
    </w:pPr>
    <w:rPr>
      <w:rFonts w:eastAsia="Times New Roman" w:cs="Arial"/>
      <w:snapToGrid w:val="0"/>
      <w:color w:val="auto"/>
      <w:szCs w:val="24"/>
      <w:lang w:eastAsia="en-AU"/>
    </w:rPr>
  </w:style>
  <w:style w:type="character" w:customStyle="1" w:styleId="3-BodyTextChar">
    <w:name w:val="3-Body Text Char"/>
    <w:basedOn w:val="ListParagraphChar"/>
    <w:link w:val="3-BodyText"/>
    <w:rsid w:val="009E2636"/>
    <w:rPr>
      <w:rFonts w:eastAsia="Times New Roman" w:cs="Arial"/>
      <w:snapToGrid w:val="0"/>
      <w:color w:val="000000" w:themeColor="text1"/>
      <w:sz w:val="24"/>
      <w:szCs w:val="24"/>
      <w:lang w:eastAsia="en-AU"/>
    </w:rPr>
  </w:style>
  <w:style w:type="paragraph" w:customStyle="1" w:styleId="RegularText">
    <w:name w:val="Regular Text"/>
    <w:basedOn w:val="BodyText"/>
    <w:link w:val="RegularTextChar"/>
    <w:rsid w:val="009E2636"/>
    <w:pPr>
      <w:spacing w:before="0" w:after="0"/>
      <w:jc w:val="left"/>
    </w:pPr>
    <w:rPr>
      <w:rFonts w:ascii="Calibri" w:eastAsia="Times New Roman" w:hAnsi="Calibri" w:cs="Arial"/>
      <w:b/>
      <w:szCs w:val="24"/>
      <w:lang w:eastAsia="en-AU"/>
    </w:rPr>
  </w:style>
  <w:style w:type="character" w:customStyle="1" w:styleId="RegularTextChar">
    <w:name w:val="Regular Text Char"/>
    <w:basedOn w:val="BodyTextChar"/>
    <w:link w:val="RegularText"/>
    <w:rsid w:val="009E2636"/>
    <w:rPr>
      <w:rFonts w:ascii="Calibri" w:eastAsia="Times New Roman" w:hAnsi="Calibri" w:cs="Arial"/>
      <w:b/>
      <w:sz w:val="24"/>
      <w:szCs w:val="24"/>
      <w:lang w:eastAsia="en-AU"/>
    </w:rPr>
  </w:style>
  <w:style w:type="paragraph" w:styleId="BodyText">
    <w:name w:val="Body Text"/>
    <w:basedOn w:val="Normal"/>
    <w:link w:val="BodyTextChar"/>
    <w:uiPriority w:val="4"/>
    <w:semiHidden/>
    <w:unhideWhenUsed/>
    <w:rsid w:val="009E2636"/>
    <w:pPr>
      <w:spacing w:after="120"/>
    </w:pPr>
  </w:style>
  <w:style w:type="character" w:customStyle="1" w:styleId="BodyTextChar">
    <w:name w:val="Body Text Char"/>
    <w:basedOn w:val="DefaultParagraphFont"/>
    <w:link w:val="BodyText"/>
    <w:uiPriority w:val="4"/>
    <w:semiHidden/>
    <w:rsid w:val="009E2636"/>
    <w:rPr>
      <w:sz w:val="24"/>
    </w:rPr>
  </w:style>
  <w:style w:type="paragraph" w:customStyle="1" w:styleId="4-SubsectionHeading">
    <w:name w:val="4-Subsection Heading"/>
    <w:basedOn w:val="Heading2"/>
    <w:next w:val="3-BodyText"/>
    <w:link w:val="4-SubsectionHeadingChar"/>
    <w:qFormat/>
    <w:rsid w:val="00C15EDC"/>
    <w:pPr>
      <w:keepLines w:val="0"/>
      <w:numPr>
        <w:ilvl w:val="0"/>
        <w:numId w:val="0"/>
      </w:numPr>
      <w:spacing w:before="120"/>
      <w:jc w:val="both"/>
    </w:pPr>
    <w:rPr>
      <w:snapToGrid/>
      <w:spacing w:val="5"/>
      <w:kern w:val="28"/>
      <w:szCs w:val="36"/>
      <w:lang w:eastAsia="en-AU"/>
    </w:rPr>
  </w:style>
  <w:style w:type="character" w:customStyle="1" w:styleId="4-SubsectionHeadingChar">
    <w:name w:val="4-Subsection Heading Char"/>
    <w:basedOn w:val="Heading2Char"/>
    <w:link w:val="4-SubsectionHeading"/>
    <w:rsid w:val="00C15EDC"/>
    <w:rPr>
      <w:rFonts w:ascii="Arial" w:eastAsiaTheme="majorEastAsia" w:hAnsi="Arial" w:cstheme="majorBidi"/>
      <w:b/>
      <w:i/>
      <w:snapToGrid/>
      <w:spacing w:val="5"/>
      <w:kern w:val="28"/>
      <w:sz w:val="28"/>
      <w:szCs w:val="36"/>
      <w:lang w:eastAsia="en-AU"/>
    </w:rPr>
  </w:style>
  <w:style w:type="paragraph" w:customStyle="1" w:styleId="TableHeading">
    <w:name w:val="TableHeading"/>
    <w:basedOn w:val="Normal"/>
    <w:link w:val="TableHeadingChar"/>
    <w:rsid w:val="00082422"/>
    <w:pPr>
      <w:keepNext/>
      <w:spacing w:after="60"/>
      <w:jc w:val="left"/>
    </w:pPr>
    <w:rPr>
      <w:rFonts w:ascii="Arial Narrow" w:hAnsi="Arial Narrow"/>
      <w:b/>
      <w:sz w:val="20"/>
    </w:rPr>
  </w:style>
  <w:style w:type="character" w:customStyle="1" w:styleId="TableHeadingChar">
    <w:name w:val="TableHeading Char"/>
    <w:link w:val="TableHeading"/>
    <w:rsid w:val="00082422"/>
    <w:rPr>
      <w:rFonts w:ascii="Arial Narrow" w:hAnsi="Arial Narrow"/>
      <w:b/>
      <w:sz w:val="20"/>
    </w:rPr>
  </w:style>
  <w:style w:type="character" w:styleId="UnresolvedMention">
    <w:name w:val="Unresolved Mention"/>
    <w:basedOn w:val="DefaultParagraphFont"/>
    <w:uiPriority w:val="99"/>
    <w:unhideWhenUsed/>
    <w:rsid w:val="007C5313"/>
    <w:rPr>
      <w:color w:val="605E5C"/>
      <w:shd w:val="clear" w:color="auto" w:fill="E1DFDD"/>
    </w:rPr>
  </w:style>
  <w:style w:type="paragraph" w:customStyle="1" w:styleId="ExecSumBodyText">
    <w:name w:val="Exec Sum Body Text"/>
    <w:basedOn w:val="Normal"/>
    <w:link w:val="ExecSumBodyTextChar"/>
    <w:uiPriority w:val="99"/>
    <w:rsid w:val="000E0CF4"/>
    <w:pPr>
      <w:spacing w:before="0" w:after="120"/>
      <w:ind w:left="720" w:hanging="720"/>
    </w:pPr>
    <w:rPr>
      <w:rFonts w:eastAsia="Times New Roman" w:cs="Arial"/>
      <w:snapToGrid w:val="0"/>
      <w:szCs w:val="24"/>
      <w:lang w:eastAsia="en-AU"/>
    </w:rPr>
  </w:style>
  <w:style w:type="character" w:customStyle="1" w:styleId="ExecSumBodyTextChar">
    <w:name w:val="Exec Sum Body Text Char"/>
    <w:basedOn w:val="DefaultParagraphFont"/>
    <w:link w:val="ExecSumBodyText"/>
    <w:uiPriority w:val="99"/>
    <w:rsid w:val="000E0CF4"/>
    <w:rPr>
      <w:rFonts w:eastAsia="Times New Roman" w:cs="Arial"/>
      <w:snapToGrid w:val="0"/>
      <w:sz w:val="24"/>
      <w:szCs w:val="24"/>
      <w:lang w:eastAsia="en-AU"/>
    </w:rPr>
  </w:style>
  <w:style w:type="paragraph" w:customStyle="1" w:styleId="FooterTableFigure">
    <w:name w:val="Footer Table/Figure"/>
    <w:basedOn w:val="Normal"/>
    <w:link w:val="FooterTableFigureChar"/>
    <w:qFormat/>
    <w:rsid w:val="008E3239"/>
    <w:pPr>
      <w:spacing w:before="0" w:after="120"/>
      <w:contextualSpacing/>
    </w:pPr>
    <w:rPr>
      <w:rFonts w:ascii="Arial Narrow" w:eastAsia="Times New Roman" w:hAnsi="Arial Narrow" w:cs="Arial"/>
      <w:snapToGrid w:val="0"/>
      <w:sz w:val="18"/>
      <w:lang w:eastAsia="en-AU"/>
    </w:rPr>
  </w:style>
  <w:style w:type="character" w:customStyle="1" w:styleId="FooterTableFigureChar">
    <w:name w:val="Footer Table/Figure Char"/>
    <w:link w:val="FooterTableFigure"/>
    <w:rsid w:val="008E3239"/>
    <w:rPr>
      <w:rFonts w:ascii="Arial Narrow" w:eastAsia="Times New Roman" w:hAnsi="Arial Narrow" w:cs="Arial"/>
      <w:snapToGrid w:val="0"/>
      <w:sz w:val="18"/>
      <w:lang w:eastAsia="en-AU"/>
    </w:rPr>
  </w:style>
  <w:style w:type="paragraph" w:customStyle="1" w:styleId="Tablenotes">
    <w:name w:val="Tablenotes"/>
    <w:basedOn w:val="Normal"/>
    <w:link w:val="TablenotesChar"/>
    <w:qFormat/>
    <w:rsid w:val="00660A39"/>
    <w:pPr>
      <w:widowControl w:val="0"/>
      <w:spacing w:before="40" w:after="240"/>
      <w:contextualSpacing/>
    </w:pPr>
    <w:rPr>
      <w:rFonts w:ascii="Arial Narrow" w:eastAsia="Times New Roman" w:hAnsi="Arial Narrow" w:cs="Arial"/>
      <w:snapToGrid w:val="0"/>
      <w:color w:val="000000" w:themeColor="text1"/>
      <w:sz w:val="20"/>
    </w:rPr>
  </w:style>
  <w:style w:type="character" w:customStyle="1" w:styleId="TablenotesChar">
    <w:name w:val="Tablenotes Char"/>
    <w:basedOn w:val="DefaultParagraphFont"/>
    <w:link w:val="Tablenotes"/>
    <w:rsid w:val="00660A39"/>
    <w:rPr>
      <w:rFonts w:ascii="Arial Narrow" w:eastAsia="Times New Roman" w:hAnsi="Arial Narrow" w:cs="Arial"/>
      <w:snapToGrid w:val="0"/>
      <w:color w:val="000000" w:themeColor="text1"/>
      <w:sz w:val="20"/>
    </w:rPr>
  </w:style>
  <w:style w:type="table" w:styleId="TableSimple1">
    <w:name w:val="Table Simple 1"/>
    <w:basedOn w:val="TableNormal"/>
    <w:rsid w:val="008241B3"/>
    <w:pPr>
      <w:spacing w:after="0" w:line="240" w:lineRule="auto"/>
    </w:pPr>
    <w:rPr>
      <w:rFonts w:ascii="Arial Narrow" w:eastAsia="MS Mincho" w:hAnsi="Arial Narrow" w:cs="Times New Roman"/>
      <w:sz w:val="18"/>
      <w:szCs w:val="20"/>
      <w:lang w:eastAsia="en-AU"/>
    </w:rPr>
    <w:tblPr>
      <w:tblBorders>
        <w:top w:val="single" w:sz="4" w:space="0" w:color="auto"/>
        <w:bottom w:val="single" w:sz="4" w:space="0" w:color="auto"/>
        <w:insideH w:val="single" w:sz="4" w:space="0" w:color="auto"/>
      </w:tblBorders>
    </w:tblPr>
    <w:tcPr>
      <w:shd w:val="clear" w:color="auto" w:fill="auto"/>
    </w:tcPr>
    <w:tblStylePr w:type="firstRow">
      <w:tblPr/>
      <w:tcPr>
        <w:tcBorders>
          <w:bottom w:val="nil"/>
        </w:tcBorders>
        <w:shd w:val="clear" w:color="auto" w:fill="auto"/>
      </w:tcPr>
    </w:tblStylePr>
    <w:tblStylePr w:type="lastRow">
      <w:tblPr/>
      <w:tcPr>
        <w:tcBorders>
          <w:top w:val="single" w:sz="6" w:space="0" w:color="008000"/>
          <w:tl2br w:val="none" w:sz="0" w:space="0" w:color="auto"/>
          <w:tr2bl w:val="none" w:sz="0" w:space="0" w:color="auto"/>
        </w:tcBorders>
      </w:tcPr>
    </w:tblStylePr>
  </w:style>
  <w:style w:type="paragraph" w:styleId="ListNumber3">
    <w:name w:val="List Number 3"/>
    <w:aliases w:val="Char, Char"/>
    <w:basedOn w:val="Normal"/>
    <w:semiHidden/>
    <w:rsid w:val="00413FFE"/>
    <w:pPr>
      <w:numPr>
        <w:numId w:val="31"/>
      </w:numPr>
      <w:tabs>
        <w:tab w:val="clear" w:pos="926"/>
        <w:tab w:val="num" w:pos="1080"/>
      </w:tabs>
      <w:spacing w:before="0" w:after="240"/>
      <w:ind w:left="1080"/>
      <w:jc w:val="left"/>
    </w:pPr>
    <w:rPr>
      <w:sz w:val="20"/>
      <w:szCs w:val="20"/>
      <w:lang w:val="en-GB"/>
    </w:rPr>
  </w:style>
  <w:style w:type="character" w:styleId="Mention">
    <w:name w:val="Mention"/>
    <w:basedOn w:val="DefaultParagraphFont"/>
    <w:uiPriority w:val="99"/>
    <w:unhideWhenUsed/>
    <w:rsid w:val="008D1937"/>
    <w:rPr>
      <w:color w:val="2B579A"/>
      <w:shd w:val="clear" w:color="auto" w:fill="E1DFDD"/>
    </w:rPr>
  </w:style>
  <w:style w:type="paragraph" w:customStyle="1" w:styleId="whitespace-pre-wrap">
    <w:name w:val="whitespace-pre-wrap"/>
    <w:basedOn w:val="Normal"/>
    <w:rsid w:val="00D975DA"/>
    <w:pPr>
      <w:spacing w:before="100" w:beforeAutospacing="1" w:after="100" w:afterAutospacing="1"/>
      <w:jc w:val="left"/>
    </w:pPr>
    <w:rPr>
      <w:rFonts w:ascii="Times New Roman" w:eastAsia="Times New Roman" w:hAnsi="Times New Roman" w:cs="Times New Roman"/>
      <w:szCs w:val="24"/>
      <w:lang w:eastAsia="en-AU"/>
    </w:rPr>
  </w:style>
  <w:style w:type="paragraph" w:customStyle="1" w:styleId="paragraph">
    <w:name w:val="paragraph"/>
    <w:basedOn w:val="Normal"/>
    <w:rsid w:val="00B45184"/>
    <w:pPr>
      <w:spacing w:before="100" w:beforeAutospacing="1" w:after="100" w:afterAutospacing="1"/>
      <w:jc w:val="left"/>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B45184"/>
  </w:style>
  <w:style w:type="character" w:customStyle="1" w:styleId="eop">
    <w:name w:val="eop"/>
    <w:basedOn w:val="DefaultParagraphFont"/>
    <w:rsid w:val="00B45184"/>
  </w:style>
  <w:style w:type="paragraph" w:styleId="EndnoteText">
    <w:name w:val="endnote text"/>
    <w:basedOn w:val="Normal"/>
    <w:link w:val="EndnoteTextChar"/>
    <w:uiPriority w:val="99"/>
    <w:semiHidden/>
    <w:rsid w:val="00446F96"/>
    <w:pPr>
      <w:spacing w:before="0" w:after="0"/>
    </w:pPr>
    <w:rPr>
      <w:sz w:val="20"/>
      <w:szCs w:val="20"/>
    </w:rPr>
  </w:style>
  <w:style w:type="character" w:customStyle="1" w:styleId="EndnoteTextChar">
    <w:name w:val="Endnote Text Char"/>
    <w:basedOn w:val="DefaultParagraphFont"/>
    <w:link w:val="EndnoteText"/>
    <w:uiPriority w:val="99"/>
    <w:semiHidden/>
    <w:rsid w:val="00446F96"/>
    <w:rPr>
      <w:sz w:val="20"/>
      <w:szCs w:val="20"/>
    </w:rPr>
  </w:style>
  <w:style w:type="character" w:styleId="EndnoteReference">
    <w:name w:val="endnote reference"/>
    <w:basedOn w:val="DefaultParagraphFont"/>
    <w:uiPriority w:val="99"/>
    <w:semiHidden/>
    <w:rsid w:val="00446F96"/>
    <w:rPr>
      <w:vertAlign w:val="superscript"/>
    </w:rPr>
  </w:style>
  <w:style w:type="paragraph" w:customStyle="1" w:styleId="pf0">
    <w:name w:val="pf0"/>
    <w:basedOn w:val="Normal"/>
    <w:rsid w:val="00FA14BA"/>
    <w:pPr>
      <w:spacing w:before="100" w:beforeAutospacing="1" w:after="100" w:afterAutospacing="1"/>
      <w:jc w:val="left"/>
    </w:pPr>
    <w:rPr>
      <w:rFonts w:ascii="Times New Roman" w:eastAsia="Times New Roman" w:hAnsi="Times New Roman" w:cs="Times New Roman"/>
      <w:szCs w:val="24"/>
      <w:lang w:eastAsia="en-AU"/>
    </w:rPr>
  </w:style>
  <w:style w:type="character" w:customStyle="1" w:styleId="cf01">
    <w:name w:val="cf01"/>
    <w:basedOn w:val="DefaultParagraphFont"/>
    <w:rsid w:val="00FA14BA"/>
    <w:rPr>
      <w:rFonts w:ascii="Segoe UI" w:hAnsi="Segoe UI" w:cs="Segoe UI" w:hint="default"/>
      <w:sz w:val="18"/>
      <w:szCs w:val="18"/>
    </w:rPr>
  </w:style>
  <w:style w:type="character" w:customStyle="1" w:styleId="cf11">
    <w:name w:val="cf11"/>
    <w:basedOn w:val="DefaultParagraphFont"/>
    <w:rsid w:val="00FA14BA"/>
    <w:rPr>
      <w:rFonts w:ascii="Segoe UI" w:hAnsi="Segoe UI" w:cs="Segoe UI" w:hint="default"/>
      <w:i/>
      <w:iCs/>
      <w:sz w:val="18"/>
      <w:szCs w:val="18"/>
    </w:rPr>
  </w:style>
  <w:style w:type="paragraph" w:styleId="BodyText3">
    <w:name w:val="Body Text 3"/>
    <w:basedOn w:val="Normal"/>
    <w:link w:val="BodyText3Char"/>
    <w:uiPriority w:val="9"/>
    <w:semiHidden/>
    <w:unhideWhenUsed/>
    <w:rsid w:val="00F02CAD"/>
    <w:pPr>
      <w:spacing w:after="120"/>
    </w:pPr>
    <w:rPr>
      <w:sz w:val="16"/>
      <w:szCs w:val="16"/>
    </w:rPr>
  </w:style>
  <w:style w:type="character" w:customStyle="1" w:styleId="BodyText3Char">
    <w:name w:val="Body Text 3 Char"/>
    <w:basedOn w:val="DefaultParagraphFont"/>
    <w:link w:val="BodyText3"/>
    <w:uiPriority w:val="9"/>
    <w:semiHidden/>
    <w:rsid w:val="00F02CAD"/>
    <w:rPr>
      <w:sz w:val="16"/>
      <w:szCs w:val="16"/>
    </w:rPr>
  </w:style>
  <w:style w:type="paragraph" w:customStyle="1" w:styleId="3-SubsectionHeading">
    <w:name w:val="3-Subsection Heading"/>
    <w:basedOn w:val="Heading2"/>
    <w:next w:val="Normal"/>
    <w:link w:val="3-SubsectionHeadingChar"/>
    <w:qFormat/>
    <w:rsid w:val="00921B2E"/>
    <w:pPr>
      <w:keepLines w:val="0"/>
      <w:numPr>
        <w:ilvl w:val="0"/>
        <w:numId w:val="0"/>
      </w:numPr>
      <w:spacing w:before="120"/>
      <w:jc w:val="both"/>
      <w:outlineLvl w:val="9"/>
    </w:pPr>
    <w:rPr>
      <w:snapToGrid/>
      <w:spacing w:val="5"/>
      <w:kern w:val="28"/>
      <w:szCs w:val="36"/>
    </w:rPr>
  </w:style>
  <w:style w:type="character" w:customStyle="1" w:styleId="3-SubsectionHeadingChar">
    <w:name w:val="3-Subsection Heading Char"/>
    <w:basedOn w:val="Heading2Char"/>
    <w:link w:val="3-SubsectionHeading"/>
    <w:rsid w:val="00921B2E"/>
    <w:rPr>
      <w:rFonts w:ascii="Arial" w:eastAsiaTheme="majorEastAsia" w:hAnsi="Arial" w:cstheme="majorBidi"/>
      <w:b/>
      <w:i/>
      <w:snapToGrid/>
      <w:spacing w:val="5"/>
      <w:kern w:val="28"/>
      <w:sz w:val="28"/>
      <w:szCs w:val="36"/>
    </w:rPr>
  </w:style>
  <w:style w:type="paragraph" w:customStyle="1" w:styleId="null">
    <w:name w:val="null"/>
    <w:basedOn w:val="Normal"/>
    <w:rsid w:val="00C02418"/>
    <w:pPr>
      <w:spacing w:before="100" w:beforeAutospacing="1" w:after="100" w:afterAutospacing="1"/>
      <w:jc w:val="left"/>
    </w:pPr>
    <w:rPr>
      <w:rFonts w:ascii="Aptos" w:hAnsi="Aptos" w:cs="Aptos"/>
      <w:szCs w:val="24"/>
      <w:lang w:eastAsia="en-AU"/>
    </w:rPr>
  </w:style>
  <w:style w:type="character" w:customStyle="1" w:styleId="null1">
    <w:name w:val="null1"/>
    <w:basedOn w:val="DefaultParagraphFont"/>
    <w:rsid w:val="00C02418"/>
  </w:style>
  <w:style w:type="character" w:customStyle="1" w:styleId="apple-converted-space">
    <w:name w:val="apple-converted-space"/>
    <w:basedOn w:val="DefaultParagraphFont"/>
    <w:rsid w:val="00057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27">
      <w:bodyDiv w:val="1"/>
      <w:marLeft w:val="0"/>
      <w:marRight w:val="0"/>
      <w:marTop w:val="0"/>
      <w:marBottom w:val="0"/>
      <w:divBdr>
        <w:top w:val="none" w:sz="0" w:space="0" w:color="auto"/>
        <w:left w:val="none" w:sz="0" w:space="0" w:color="auto"/>
        <w:bottom w:val="none" w:sz="0" w:space="0" w:color="auto"/>
        <w:right w:val="none" w:sz="0" w:space="0" w:color="auto"/>
      </w:divBdr>
      <w:divsChild>
        <w:div w:id="257494508">
          <w:marLeft w:val="0"/>
          <w:marRight w:val="0"/>
          <w:marTop w:val="0"/>
          <w:marBottom w:val="240"/>
          <w:divBdr>
            <w:top w:val="none" w:sz="0" w:space="0" w:color="auto"/>
            <w:left w:val="none" w:sz="0" w:space="0" w:color="auto"/>
            <w:bottom w:val="none" w:sz="0" w:space="0" w:color="auto"/>
            <w:right w:val="none" w:sz="0" w:space="0" w:color="auto"/>
          </w:divBdr>
        </w:div>
      </w:divsChild>
    </w:div>
    <w:div w:id="7023532">
      <w:bodyDiv w:val="1"/>
      <w:marLeft w:val="0"/>
      <w:marRight w:val="0"/>
      <w:marTop w:val="0"/>
      <w:marBottom w:val="0"/>
      <w:divBdr>
        <w:top w:val="none" w:sz="0" w:space="0" w:color="auto"/>
        <w:left w:val="none" w:sz="0" w:space="0" w:color="auto"/>
        <w:bottom w:val="none" w:sz="0" w:space="0" w:color="auto"/>
        <w:right w:val="none" w:sz="0" w:space="0" w:color="auto"/>
      </w:divBdr>
    </w:div>
    <w:div w:id="22218924">
      <w:bodyDiv w:val="1"/>
      <w:marLeft w:val="0"/>
      <w:marRight w:val="0"/>
      <w:marTop w:val="0"/>
      <w:marBottom w:val="0"/>
      <w:divBdr>
        <w:top w:val="none" w:sz="0" w:space="0" w:color="auto"/>
        <w:left w:val="none" w:sz="0" w:space="0" w:color="auto"/>
        <w:bottom w:val="none" w:sz="0" w:space="0" w:color="auto"/>
        <w:right w:val="none" w:sz="0" w:space="0" w:color="auto"/>
      </w:divBdr>
    </w:div>
    <w:div w:id="49576912">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56386980">
      <w:bodyDiv w:val="1"/>
      <w:marLeft w:val="0"/>
      <w:marRight w:val="0"/>
      <w:marTop w:val="0"/>
      <w:marBottom w:val="0"/>
      <w:divBdr>
        <w:top w:val="none" w:sz="0" w:space="0" w:color="auto"/>
        <w:left w:val="none" w:sz="0" w:space="0" w:color="auto"/>
        <w:bottom w:val="none" w:sz="0" w:space="0" w:color="auto"/>
        <w:right w:val="none" w:sz="0" w:space="0" w:color="auto"/>
      </w:divBdr>
    </w:div>
    <w:div w:id="167868564">
      <w:bodyDiv w:val="1"/>
      <w:marLeft w:val="0"/>
      <w:marRight w:val="0"/>
      <w:marTop w:val="0"/>
      <w:marBottom w:val="0"/>
      <w:divBdr>
        <w:top w:val="none" w:sz="0" w:space="0" w:color="auto"/>
        <w:left w:val="none" w:sz="0" w:space="0" w:color="auto"/>
        <w:bottom w:val="none" w:sz="0" w:space="0" w:color="auto"/>
        <w:right w:val="none" w:sz="0" w:space="0" w:color="auto"/>
      </w:divBdr>
      <w:divsChild>
        <w:div w:id="971910858">
          <w:marLeft w:val="720"/>
          <w:marRight w:val="0"/>
          <w:marTop w:val="96"/>
          <w:marBottom w:val="0"/>
          <w:divBdr>
            <w:top w:val="none" w:sz="0" w:space="0" w:color="auto"/>
            <w:left w:val="none" w:sz="0" w:space="0" w:color="auto"/>
            <w:bottom w:val="none" w:sz="0" w:space="0" w:color="auto"/>
            <w:right w:val="none" w:sz="0" w:space="0" w:color="auto"/>
          </w:divBdr>
        </w:div>
      </w:divsChild>
    </w:div>
    <w:div w:id="169567324">
      <w:bodyDiv w:val="1"/>
      <w:marLeft w:val="0"/>
      <w:marRight w:val="0"/>
      <w:marTop w:val="0"/>
      <w:marBottom w:val="0"/>
      <w:divBdr>
        <w:top w:val="none" w:sz="0" w:space="0" w:color="auto"/>
        <w:left w:val="none" w:sz="0" w:space="0" w:color="auto"/>
        <w:bottom w:val="none" w:sz="0" w:space="0" w:color="auto"/>
        <w:right w:val="none" w:sz="0" w:space="0" w:color="auto"/>
      </w:divBdr>
    </w:div>
    <w:div w:id="181167567">
      <w:bodyDiv w:val="1"/>
      <w:marLeft w:val="0"/>
      <w:marRight w:val="0"/>
      <w:marTop w:val="0"/>
      <w:marBottom w:val="0"/>
      <w:divBdr>
        <w:top w:val="none" w:sz="0" w:space="0" w:color="auto"/>
        <w:left w:val="none" w:sz="0" w:space="0" w:color="auto"/>
        <w:bottom w:val="none" w:sz="0" w:space="0" w:color="auto"/>
        <w:right w:val="none" w:sz="0" w:space="0" w:color="auto"/>
      </w:divBdr>
    </w:div>
    <w:div w:id="198469197">
      <w:bodyDiv w:val="1"/>
      <w:marLeft w:val="0"/>
      <w:marRight w:val="0"/>
      <w:marTop w:val="0"/>
      <w:marBottom w:val="0"/>
      <w:divBdr>
        <w:top w:val="none" w:sz="0" w:space="0" w:color="auto"/>
        <w:left w:val="none" w:sz="0" w:space="0" w:color="auto"/>
        <w:bottom w:val="none" w:sz="0" w:space="0" w:color="auto"/>
        <w:right w:val="none" w:sz="0" w:space="0" w:color="auto"/>
      </w:divBdr>
      <w:divsChild>
        <w:div w:id="1378048610">
          <w:marLeft w:val="0"/>
          <w:marRight w:val="0"/>
          <w:marTop w:val="0"/>
          <w:marBottom w:val="0"/>
          <w:divBdr>
            <w:top w:val="none" w:sz="0" w:space="0" w:color="auto"/>
            <w:left w:val="none" w:sz="0" w:space="0" w:color="auto"/>
            <w:bottom w:val="none" w:sz="0" w:space="0" w:color="auto"/>
            <w:right w:val="none" w:sz="0" w:space="0" w:color="auto"/>
          </w:divBdr>
        </w:div>
      </w:divsChild>
    </w:div>
    <w:div w:id="203254904">
      <w:bodyDiv w:val="1"/>
      <w:marLeft w:val="0"/>
      <w:marRight w:val="0"/>
      <w:marTop w:val="0"/>
      <w:marBottom w:val="0"/>
      <w:divBdr>
        <w:top w:val="none" w:sz="0" w:space="0" w:color="auto"/>
        <w:left w:val="none" w:sz="0" w:space="0" w:color="auto"/>
        <w:bottom w:val="none" w:sz="0" w:space="0" w:color="auto"/>
        <w:right w:val="none" w:sz="0" w:space="0" w:color="auto"/>
      </w:divBdr>
      <w:divsChild>
        <w:div w:id="384335804">
          <w:marLeft w:val="0"/>
          <w:marRight w:val="0"/>
          <w:marTop w:val="0"/>
          <w:marBottom w:val="0"/>
          <w:divBdr>
            <w:top w:val="none" w:sz="0" w:space="0" w:color="auto"/>
            <w:left w:val="none" w:sz="0" w:space="0" w:color="auto"/>
            <w:bottom w:val="none" w:sz="0" w:space="0" w:color="auto"/>
            <w:right w:val="none" w:sz="0" w:space="0" w:color="auto"/>
          </w:divBdr>
          <w:divsChild>
            <w:div w:id="11189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7305">
      <w:bodyDiv w:val="1"/>
      <w:marLeft w:val="0"/>
      <w:marRight w:val="0"/>
      <w:marTop w:val="0"/>
      <w:marBottom w:val="0"/>
      <w:divBdr>
        <w:top w:val="none" w:sz="0" w:space="0" w:color="auto"/>
        <w:left w:val="none" w:sz="0" w:space="0" w:color="auto"/>
        <w:bottom w:val="none" w:sz="0" w:space="0" w:color="auto"/>
        <w:right w:val="none" w:sz="0" w:space="0" w:color="auto"/>
      </w:divBdr>
    </w:div>
    <w:div w:id="208152601">
      <w:bodyDiv w:val="1"/>
      <w:marLeft w:val="0"/>
      <w:marRight w:val="0"/>
      <w:marTop w:val="0"/>
      <w:marBottom w:val="0"/>
      <w:divBdr>
        <w:top w:val="none" w:sz="0" w:space="0" w:color="auto"/>
        <w:left w:val="none" w:sz="0" w:space="0" w:color="auto"/>
        <w:bottom w:val="none" w:sz="0" w:space="0" w:color="auto"/>
        <w:right w:val="none" w:sz="0" w:space="0" w:color="auto"/>
      </w:divBdr>
      <w:divsChild>
        <w:div w:id="1321422363">
          <w:marLeft w:val="0"/>
          <w:marRight w:val="0"/>
          <w:marTop w:val="0"/>
          <w:marBottom w:val="0"/>
          <w:divBdr>
            <w:top w:val="none" w:sz="0" w:space="0" w:color="auto"/>
            <w:left w:val="none" w:sz="0" w:space="0" w:color="auto"/>
            <w:bottom w:val="none" w:sz="0" w:space="0" w:color="auto"/>
            <w:right w:val="none" w:sz="0" w:space="0" w:color="auto"/>
          </w:divBdr>
          <w:divsChild>
            <w:div w:id="10466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4459">
      <w:bodyDiv w:val="1"/>
      <w:marLeft w:val="0"/>
      <w:marRight w:val="0"/>
      <w:marTop w:val="0"/>
      <w:marBottom w:val="0"/>
      <w:divBdr>
        <w:top w:val="none" w:sz="0" w:space="0" w:color="auto"/>
        <w:left w:val="none" w:sz="0" w:space="0" w:color="auto"/>
        <w:bottom w:val="none" w:sz="0" w:space="0" w:color="auto"/>
        <w:right w:val="none" w:sz="0" w:space="0" w:color="auto"/>
      </w:divBdr>
    </w:div>
    <w:div w:id="208416923">
      <w:bodyDiv w:val="1"/>
      <w:marLeft w:val="0"/>
      <w:marRight w:val="0"/>
      <w:marTop w:val="0"/>
      <w:marBottom w:val="0"/>
      <w:divBdr>
        <w:top w:val="none" w:sz="0" w:space="0" w:color="auto"/>
        <w:left w:val="none" w:sz="0" w:space="0" w:color="auto"/>
        <w:bottom w:val="none" w:sz="0" w:space="0" w:color="auto"/>
        <w:right w:val="none" w:sz="0" w:space="0" w:color="auto"/>
      </w:divBdr>
    </w:div>
    <w:div w:id="209272679">
      <w:bodyDiv w:val="1"/>
      <w:marLeft w:val="0"/>
      <w:marRight w:val="0"/>
      <w:marTop w:val="0"/>
      <w:marBottom w:val="0"/>
      <w:divBdr>
        <w:top w:val="none" w:sz="0" w:space="0" w:color="auto"/>
        <w:left w:val="none" w:sz="0" w:space="0" w:color="auto"/>
        <w:bottom w:val="none" w:sz="0" w:space="0" w:color="auto"/>
        <w:right w:val="none" w:sz="0" w:space="0" w:color="auto"/>
      </w:divBdr>
    </w:div>
    <w:div w:id="230040433">
      <w:bodyDiv w:val="1"/>
      <w:marLeft w:val="0"/>
      <w:marRight w:val="0"/>
      <w:marTop w:val="0"/>
      <w:marBottom w:val="0"/>
      <w:divBdr>
        <w:top w:val="none" w:sz="0" w:space="0" w:color="auto"/>
        <w:left w:val="none" w:sz="0" w:space="0" w:color="auto"/>
        <w:bottom w:val="none" w:sz="0" w:space="0" w:color="auto"/>
        <w:right w:val="none" w:sz="0" w:space="0" w:color="auto"/>
      </w:divBdr>
    </w:div>
    <w:div w:id="240725253">
      <w:bodyDiv w:val="1"/>
      <w:marLeft w:val="0"/>
      <w:marRight w:val="0"/>
      <w:marTop w:val="0"/>
      <w:marBottom w:val="0"/>
      <w:divBdr>
        <w:top w:val="none" w:sz="0" w:space="0" w:color="auto"/>
        <w:left w:val="none" w:sz="0" w:space="0" w:color="auto"/>
        <w:bottom w:val="none" w:sz="0" w:space="0" w:color="auto"/>
        <w:right w:val="none" w:sz="0" w:space="0" w:color="auto"/>
      </w:divBdr>
    </w:div>
    <w:div w:id="271207253">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281887671">
      <w:bodyDiv w:val="1"/>
      <w:marLeft w:val="0"/>
      <w:marRight w:val="0"/>
      <w:marTop w:val="0"/>
      <w:marBottom w:val="0"/>
      <w:divBdr>
        <w:top w:val="none" w:sz="0" w:space="0" w:color="auto"/>
        <w:left w:val="none" w:sz="0" w:space="0" w:color="auto"/>
        <w:bottom w:val="none" w:sz="0" w:space="0" w:color="auto"/>
        <w:right w:val="none" w:sz="0" w:space="0" w:color="auto"/>
      </w:divBdr>
    </w:div>
    <w:div w:id="307781953">
      <w:bodyDiv w:val="1"/>
      <w:marLeft w:val="0"/>
      <w:marRight w:val="0"/>
      <w:marTop w:val="0"/>
      <w:marBottom w:val="0"/>
      <w:divBdr>
        <w:top w:val="none" w:sz="0" w:space="0" w:color="auto"/>
        <w:left w:val="none" w:sz="0" w:space="0" w:color="auto"/>
        <w:bottom w:val="none" w:sz="0" w:space="0" w:color="auto"/>
        <w:right w:val="none" w:sz="0" w:space="0" w:color="auto"/>
      </w:divBdr>
    </w:div>
    <w:div w:id="311301884">
      <w:bodyDiv w:val="1"/>
      <w:marLeft w:val="0"/>
      <w:marRight w:val="0"/>
      <w:marTop w:val="0"/>
      <w:marBottom w:val="0"/>
      <w:divBdr>
        <w:top w:val="none" w:sz="0" w:space="0" w:color="auto"/>
        <w:left w:val="none" w:sz="0" w:space="0" w:color="auto"/>
        <w:bottom w:val="none" w:sz="0" w:space="0" w:color="auto"/>
        <w:right w:val="none" w:sz="0" w:space="0" w:color="auto"/>
      </w:divBdr>
    </w:div>
    <w:div w:id="317418844">
      <w:bodyDiv w:val="1"/>
      <w:marLeft w:val="0"/>
      <w:marRight w:val="0"/>
      <w:marTop w:val="0"/>
      <w:marBottom w:val="0"/>
      <w:divBdr>
        <w:top w:val="none" w:sz="0" w:space="0" w:color="auto"/>
        <w:left w:val="none" w:sz="0" w:space="0" w:color="auto"/>
        <w:bottom w:val="none" w:sz="0" w:space="0" w:color="auto"/>
        <w:right w:val="none" w:sz="0" w:space="0" w:color="auto"/>
      </w:divBdr>
    </w:div>
    <w:div w:id="351347813">
      <w:bodyDiv w:val="1"/>
      <w:marLeft w:val="0"/>
      <w:marRight w:val="0"/>
      <w:marTop w:val="0"/>
      <w:marBottom w:val="0"/>
      <w:divBdr>
        <w:top w:val="none" w:sz="0" w:space="0" w:color="auto"/>
        <w:left w:val="none" w:sz="0" w:space="0" w:color="auto"/>
        <w:bottom w:val="none" w:sz="0" w:space="0" w:color="auto"/>
        <w:right w:val="none" w:sz="0" w:space="0" w:color="auto"/>
      </w:divBdr>
    </w:div>
    <w:div w:id="353190770">
      <w:bodyDiv w:val="1"/>
      <w:marLeft w:val="0"/>
      <w:marRight w:val="0"/>
      <w:marTop w:val="0"/>
      <w:marBottom w:val="0"/>
      <w:divBdr>
        <w:top w:val="none" w:sz="0" w:space="0" w:color="auto"/>
        <w:left w:val="none" w:sz="0" w:space="0" w:color="auto"/>
        <w:bottom w:val="none" w:sz="0" w:space="0" w:color="auto"/>
        <w:right w:val="none" w:sz="0" w:space="0" w:color="auto"/>
      </w:divBdr>
    </w:div>
    <w:div w:id="362094487">
      <w:bodyDiv w:val="1"/>
      <w:marLeft w:val="0"/>
      <w:marRight w:val="0"/>
      <w:marTop w:val="0"/>
      <w:marBottom w:val="0"/>
      <w:divBdr>
        <w:top w:val="none" w:sz="0" w:space="0" w:color="auto"/>
        <w:left w:val="none" w:sz="0" w:space="0" w:color="auto"/>
        <w:bottom w:val="none" w:sz="0" w:space="0" w:color="auto"/>
        <w:right w:val="none" w:sz="0" w:space="0" w:color="auto"/>
      </w:divBdr>
      <w:divsChild>
        <w:div w:id="622926016">
          <w:marLeft w:val="0"/>
          <w:marRight w:val="0"/>
          <w:marTop w:val="0"/>
          <w:marBottom w:val="0"/>
          <w:divBdr>
            <w:top w:val="none" w:sz="0" w:space="0" w:color="auto"/>
            <w:left w:val="none" w:sz="0" w:space="0" w:color="auto"/>
            <w:bottom w:val="none" w:sz="0" w:space="0" w:color="auto"/>
            <w:right w:val="none" w:sz="0" w:space="0" w:color="auto"/>
          </w:divBdr>
          <w:divsChild>
            <w:div w:id="234052288">
              <w:marLeft w:val="0"/>
              <w:marRight w:val="0"/>
              <w:marTop w:val="0"/>
              <w:marBottom w:val="0"/>
              <w:divBdr>
                <w:top w:val="none" w:sz="0" w:space="0" w:color="auto"/>
                <w:left w:val="none" w:sz="0" w:space="0" w:color="auto"/>
                <w:bottom w:val="none" w:sz="0" w:space="0" w:color="auto"/>
                <w:right w:val="none" w:sz="0" w:space="0" w:color="auto"/>
              </w:divBdr>
              <w:divsChild>
                <w:div w:id="1661691101">
                  <w:marLeft w:val="0"/>
                  <w:marRight w:val="0"/>
                  <w:marTop w:val="0"/>
                  <w:marBottom w:val="0"/>
                  <w:divBdr>
                    <w:top w:val="none" w:sz="0" w:space="0" w:color="auto"/>
                    <w:left w:val="none" w:sz="0" w:space="0" w:color="auto"/>
                    <w:bottom w:val="none" w:sz="0" w:space="0" w:color="auto"/>
                    <w:right w:val="none" w:sz="0" w:space="0" w:color="auto"/>
                  </w:divBdr>
                  <w:divsChild>
                    <w:div w:id="1286886742">
                      <w:marLeft w:val="0"/>
                      <w:marRight w:val="0"/>
                      <w:marTop w:val="0"/>
                      <w:marBottom w:val="0"/>
                      <w:divBdr>
                        <w:top w:val="none" w:sz="0" w:space="0" w:color="auto"/>
                        <w:left w:val="none" w:sz="0" w:space="0" w:color="auto"/>
                        <w:bottom w:val="none" w:sz="0" w:space="0" w:color="auto"/>
                        <w:right w:val="none" w:sz="0" w:space="0" w:color="auto"/>
                      </w:divBdr>
                      <w:divsChild>
                        <w:div w:id="937173707">
                          <w:marLeft w:val="0"/>
                          <w:marRight w:val="0"/>
                          <w:marTop w:val="0"/>
                          <w:marBottom w:val="0"/>
                          <w:divBdr>
                            <w:top w:val="none" w:sz="0" w:space="0" w:color="auto"/>
                            <w:left w:val="none" w:sz="0" w:space="0" w:color="auto"/>
                            <w:bottom w:val="none" w:sz="0" w:space="0" w:color="auto"/>
                            <w:right w:val="none" w:sz="0" w:space="0" w:color="auto"/>
                          </w:divBdr>
                          <w:divsChild>
                            <w:div w:id="348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05036145">
      <w:bodyDiv w:val="1"/>
      <w:marLeft w:val="0"/>
      <w:marRight w:val="0"/>
      <w:marTop w:val="0"/>
      <w:marBottom w:val="0"/>
      <w:divBdr>
        <w:top w:val="none" w:sz="0" w:space="0" w:color="auto"/>
        <w:left w:val="none" w:sz="0" w:space="0" w:color="auto"/>
        <w:bottom w:val="none" w:sz="0" w:space="0" w:color="auto"/>
        <w:right w:val="none" w:sz="0" w:space="0" w:color="auto"/>
      </w:divBdr>
    </w:div>
    <w:div w:id="410081824">
      <w:bodyDiv w:val="1"/>
      <w:marLeft w:val="0"/>
      <w:marRight w:val="0"/>
      <w:marTop w:val="0"/>
      <w:marBottom w:val="0"/>
      <w:divBdr>
        <w:top w:val="none" w:sz="0" w:space="0" w:color="auto"/>
        <w:left w:val="none" w:sz="0" w:space="0" w:color="auto"/>
        <w:bottom w:val="none" w:sz="0" w:space="0" w:color="auto"/>
        <w:right w:val="none" w:sz="0" w:space="0" w:color="auto"/>
      </w:divBdr>
    </w:div>
    <w:div w:id="427426337">
      <w:bodyDiv w:val="1"/>
      <w:marLeft w:val="0"/>
      <w:marRight w:val="0"/>
      <w:marTop w:val="0"/>
      <w:marBottom w:val="0"/>
      <w:divBdr>
        <w:top w:val="none" w:sz="0" w:space="0" w:color="auto"/>
        <w:left w:val="none" w:sz="0" w:space="0" w:color="auto"/>
        <w:bottom w:val="none" w:sz="0" w:space="0" w:color="auto"/>
        <w:right w:val="none" w:sz="0" w:space="0" w:color="auto"/>
      </w:divBdr>
      <w:divsChild>
        <w:div w:id="857696978">
          <w:marLeft w:val="0"/>
          <w:marRight w:val="0"/>
          <w:marTop w:val="0"/>
          <w:marBottom w:val="0"/>
          <w:divBdr>
            <w:top w:val="none" w:sz="0" w:space="0" w:color="auto"/>
            <w:left w:val="none" w:sz="0" w:space="0" w:color="auto"/>
            <w:bottom w:val="none" w:sz="0" w:space="0" w:color="auto"/>
            <w:right w:val="none" w:sz="0" w:space="0" w:color="auto"/>
          </w:divBdr>
          <w:divsChild>
            <w:div w:id="1461535576">
              <w:marLeft w:val="0"/>
              <w:marRight w:val="0"/>
              <w:marTop w:val="0"/>
              <w:marBottom w:val="0"/>
              <w:divBdr>
                <w:top w:val="none" w:sz="0" w:space="0" w:color="auto"/>
                <w:left w:val="none" w:sz="0" w:space="0" w:color="auto"/>
                <w:bottom w:val="none" w:sz="0" w:space="0" w:color="auto"/>
                <w:right w:val="none" w:sz="0" w:space="0" w:color="auto"/>
              </w:divBdr>
              <w:divsChild>
                <w:div w:id="367150330">
                  <w:marLeft w:val="0"/>
                  <w:marRight w:val="0"/>
                  <w:marTop w:val="0"/>
                  <w:marBottom w:val="0"/>
                  <w:divBdr>
                    <w:top w:val="none" w:sz="0" w:space="0" w:color="auto"/>
                    <w:left w:val="none" w:sz="0" w:space="0" w:color="auto"/>
                    <w:bottom w:val="none" w:sz="0" w:space="0" w:color="auto"/>
                    <w:right w:val="none" w:sz="0" w:space="0" w:color="auto"/>
                  </w:divBdr>
                  <w:divsChild>
                    <w:div w:id="181214974">
                      <w:marLeft w:val="0"/>
                      <w:marRight w:val="0"/>
                      <w:marTop w:val="0"/>
                      <w:marBottom w:val="0"/>
                      <w:divBdr>
                        <w:top w:val="none" w:sz="0" w:space="0" w:color="auto"/>
                        <w:left w:val="none" w:sz="0" w:space="0" w:color="auto"/>
                        <w:bottom w:val="none" w:sz="0" w:space="0" w:color="auto"/>
                        <w:right w:val="none" w:sz="0" w:space="0" w:color="auto"/>
                      </w:divBdr>
                      <w:divsChild>
                        <w:div w:id="488057442">
                          <w:marLeft w:val="0"/>
                          <w:marRight w:val="0"/>
                          <w:marTop w:val="0"/>
                          <w:marBottom w:val="0"/>
                          <w:divBdr>
                            <w:top w:val="none" w:sz="0" w:space="0" w:color="auto"/>
                            <w:left w:val="none" w:sz="0" w:space="0" w:color="auto"/>
                            <w:bottom w:val="none" w:sz="0" w:space="0" w:color="auto"/>
                            <w:right w:val="none" w:sz="0" w:space="0" w:color="auto"/>
                          </w:divBdr>
                          <w:divsChild>
                            <w:div w:id="3403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285969">
      <w:bodyDiv w:val="1"/>
      <w:marLeft w:val="0"/>
      <w:marRight w:val="0"/>
      <w:marTop w:val="0"/>
      <w:marBottom w:val="0"/>
      <w:divBdr>
        <w:top w:val="none" w:sz="0" w:space="0" w:color="auto"/>
        <w:left w:val="none" w:sz="0" w:space="0" w:color="auto"/>
        <w:bottom w:val="none" w:sz="0" w:space="0" w:color="auto"/>
        <w:right w:val="none" w:sz="0" w:space="0" w:color="auto"/>
      </w:divBdr>
    </w:div>
    <w:div w:id="443892654">
      <w:bodyDiv w:val="1"/>
      <w:marLeft w:val="0"/>
      <w:marRight w:val="0"/>
      <w:marTop w:val="0"/>
      <w:marBottom w:val="0"/>
      <w:divBdr>
        <w:top w:val="none" w:sz="0" w:space="0" w:color="auto"/>
        <w:left w:val="none" w:sz="0" w:space="0" w:color="auto"/>
        <w:bottom w:val="none" w:sz="0" w:space="0" w:color="auto"/>
        <w:right w:val="none" w:sz="0" w:space="0" w:color="auto"/>
      </w:divBdr>
    </w:div>
    <w:div w:id="444471364">
      <w:bodyDiv w:val="1"/>
      <w:marLeft w:val="0"/>
      <w:marRight w:val="0"/>
      <w:marTop w:val="0"/>
      <w:marBottom w:val="0"/>
      <w:divBdr>
        <w:top w:val="none" w:sz="0" w:space="0" w:color="auto"/>
        <w:left w:val="none" w:sz="0" w:space="0" w:color="auto"/>
        <w:bottom w:val="none" w:sz="0" w:space="0" w:color="auto"/>
        <w:right w:val="none" w:sz="0" w:space="0" w:color="auto"/>
      </w:divBdr>
    </w:div>
    <w:div w:id="470487464">
      <w:bodyDiv w:val="1"/>
      <w:marLeft w:val="0"/>
      <w:marRight w:val="0"/>
      <w:marTop w:val="0"/>
      <w:marBottom w:val="0"/>
      <w:divBdr>
        <w:top w:val="none" w:sz="0" w:space="0" w:color="auto"/>
        <w:left w:val="none" w:sz="0" w:space="0" w:color="auto"/>
        <w:bottom w:val="none" w:sz="0" w:space="0" w:color="auto"/>
        <w:right w:val="none" w:sz="0" w:space="0" w:color="auto"/>
      </w:divBdr>
    </w:div>
    <w:div w:id="474418239">
      <w:bodyDiv w:val="1"/>
      <w:marLeft w:val="0"/>
      <w:marRight w:val="0"/>
      <w:marTop w:val="0"/>
      <w:marBottom w:val="0"/>
      <w:divBdr>
        <w:top w:val="none" w:sz="0" w:space="0" w:color="auto"/>
        <w:left w:val="none" w:sz="0" w:space="0" w:color="auto"/>
        <w:bottom w:val="none" w:sz="0" w:space="0" w:color="auto"/>
        <w:right w:val="none" w:sz="0" w:space="0" w:color="auto"/>
      </w:divBdr>
    </w:div>
    <w:div w:id="478154052">
      <w:bodyDiv w:val="1"/>
      <w:marLeft w:val="0"/>
      <w:marRight w:val="0"/>
      <w:marTop w:val="0"/>
      <w:marBottom w:val="0"/>
      <w:divBdr>
        <w:top w:val="none" w:sz="0" w:space="0" w:color="auto"/>
        <w:left w:val="none" w:sz="0" w:space="0" w:color="auto"/>
        <w:bottom w:val="none" w:sz="0" w:space="0" w:color="auto"/>
        <w:right w:val="none" w:sz="0" w:space="0" w:color="auto"/>
      </w:divBdr>
    </w:div>
    <w:div w:id="500661038">
      <w:bodyDiv w:val="1"/>
      <w:marLeft w:val="0"/>
      <w:marRight w:val="0"/>
      <w:marTop w:val="0"/>
      <w:marBottom w:val="0"/>
      <w:divBdr>
        <w:top w:val="none" w:sz="0" w:space="0" w:color="auto"/>
        <w:left w:val="none" w:sz="0" w:space="0" w:color="auto"/>
        <w:bottom w:val="none" w:sz="0" w:space="0" w:color="auto"/>
        <w:right w:val="none" w:sz="0" w:space="0" w:color="auto"/>
      </w:divBdr>
    </w:div>
    <w:div w:id="527917685">
      <w:bodyDiv w:val="1"/>
      <w:marLeft w:val="0"/>
      <w:marRight w:val="0"/>
      <w:marTop w:val="0"/>
      <w:marBottom w:val="0"/>
      <w:divBdr>
        <w:top w:val="none" w:sz="0" w:space="0" w:color="auto"/>
        <w:left w:val="none" w:sz="0" w:space="0" w:color="auto"/>
        <w:bottom w:val="none" w:sz="0" w:space="0" w:color="auto"/>
        <w:right w:val="none" w:sz="0" w:space="0" w:color="auto"/>
      </w:divBdr>
      <w:divsChild>
        <w:div w:id="629475426">
          <w:marLeft w:val="0"/>
          <w:marRight w:val="0"/>
          <w:marTop w:val="0"/>
          <w:marBottom w:val="0"/>
          <w:divBdr>
            <w:top w:val="none" w:sz="0" w:space="0" w:color="auto"/>
            <w:left w:val="none" w:sz="0" w:space="0" w:color="auto"/>
            <w:bottom w:val="none" w:sz="0" w:space="0" w:color="auto"/>
            <w:right w:val="none" w:sz="0" w:space="0" w:color="auto"/>
          </w:divBdr>
          <w:divsChild>
            <w:div w:id="3002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5357">
      <w:bodyDiv w:val="1"/>
      <w:marLeft w:val="0"/>
      <w:marRight w:val="0"/>
      <w:marTop w:val="0"/>
      <w:marBottom w:val="0"/>
      <w:divBdr>
        <w:top w:val="none" w:sz="0" w:space="0" w:color="auto"/>
        <w:left w:val="none" w:sz="0" w:space="0" w:color="auto"/>
        <w:bottom w:val="none" w:sz="0" w:space="0" w:color="auto"/>
        <w:right w:val="none" w:sz="0" w:space="0" w:color="auto"/>
      </w:divBdr>
      <w:divsChild>
        <w:div w:id="510920979">
          <w:marLeft w:val="0"/>
          <w:marRight w:val="0"/>
          <w:marTop w:val="0"/>
          <w:marBottom w:val="0"/>
          <w:divBdr>
            <w:top w:val="none" w:sz="0" w:space="0" w:color="auto"/>
            <w:left w:val="none" w:sz="0" w:space="0" w:color="auto"/>
            <w:bottom w:val="none" w:sz="0" w:space="0" w:color="auto"/>
            <w:right w:val="none" w:sz="0" w:space="0" w:color="auto"/>
          </w:divBdr>
          <w:divsChild>
            <w:div w:id="1919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12497">
      <w:bodyDiv w:val="1"/>
      <w:marLeft w:val="0"/>
      <w:marRight w:val="0"/>
      <w:marTop w:val="0"/>
      <w:marBottom w:val="0"/>
      <w:divBdr>
        <w:top w:val="none" w:sz="0" w:space="0" w:color="auto"/>
        <w:left w:val="none" w:sz="0" w:space="0" w:color="auto"/>
        <w:bottom w:val="none" w:sz="0" w:space="0" w:color="auto"/>
        <w:right w:val="none" w:sz="0" w:space="0" w:color="auto"/>
      </w:divBdr>
      <w:divsChild>
        <w:div w:id="703481381">
          <w:marLeft w:val="0"/>
          <w:marRight w:val="0"/>
          <w:marTop w:val="0"/>
          <w:marBottom w:val="0"/>
          <w:divBdr>
            <w:top w:val="none" w:sz="0" w:space="0" w:color="auto"/>
            <w:left w:val="none" w:sz="0" w:space="0" w:color="auto"/>
            <w:bottom w:val="none" w:sz="0" w:space="0" w:color="auto"/>
            <w:right w:val="none" w:sz="0" w:space="0" w:color="auto"/>
          </w:divBdr>
          <w:divsChild>
            <w:div w:id="1341732942">
              <w:marLeft w:val="0"/>
              <w:marRight w:val="0"/>
              <w:marTop w:val="0"/>
              <w:marBottom w:val="0"/>
              <w:divBdr>
                <w:top w:val="none" w:sz="0" w:space="0" w:color="auto"/>
                <w:left w:val="none" w:sz="0" w:space="0" w:color="auto"/>
                <w:bottom w:val="none" w:sz="0" w:space="0" w:color="auto"/>
                <w:right w:val="none" w:sz="0" w:space="0" w:color="auto"/>
              </w:divBdr>
              <w:divsChild>
                <w:div w:id="583997260">
                  <w:marLeft w:val="0"/>
                  <w:marRight w:val="0"/>
                  <w:marTop w:val="0"/>
                  <w:marBottom w:val="0"/>
                  <w:divBdr>
                    <w:top w:val="none" w:sz="0" w:space="0" w:color="auto"/>
                    <w:left w:val="none" w:sz="0" w:space="0" w:color="auto"/>
                    <w:bottom w:val="none" w:sz="0" w:space="0" w:color="auto"/>
                    <w:right w:val="none" w:sz="0" w:space="0" w:color="auto"/>
                  </w:divBdr>
                  <w:divsChild>
                    <w:div w:id="2089617850">
                      <w:marLeft w:val="0"/>
                      <w:marRight w:val="0"/>
                      <w:marTop w:val="0"/>
                      <w:marBottom w:val="0"/>
                      <w:divBdr>
                        <w:top w:val="none" w:sz="0" w:space="0" w:color="auto"/>
                        <w:left w:val="none" w:sz="0" w:space="0" w:color="auto"/>
                        <w:bottom w:val="none" w:sz="0" w:space="0" w:color="auto"/>
                        <w:right w:val="none" w:sz="0" w:space="0" w:color="auto"/>
                      </w:divBdr>
                      <w:divsChild>
                        <w:div w:id="1544168053">
                          <w:marLeft w:val="0"/>
                          <w:marRight w:val="0"/>
                          <w:marTop w:val="0"/>
                          <w:marBottom w:val="0"/>
                          <w:divBdr>
                            <w:top w:val="none" w:sz="0" w:space="0" w:color="auto"/>
                            <w:left w:val="none" w:sz="0" w:space="0" w:color="auto"/>
                            <w:bottom w:val="none" w:sz="0" w:space="0" w:color="auto"/>
                            <w:right w:val="none" w:sz="0" w:space="0" w:color="auto"/>
                          </w:divBdr>
                          <w:divsChild>
                            <w:div w:id="21039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529617">
      <w:bodyDiv w:val="1"/>
      <w:marLeft w:val="0"/>
      <w:marRight w:val="0"/>
      <w:marTop w:val="0"/>
      <w:marBottom w:val="0"/>
      <w:divBdr>
        <w:top w:val="none" w:sz="0" w:space="0" w:color="auto"/>
        <w:left w:val="none" w:sz="0" w:space="0" w:color="auto"/>
        <w:bottom w:val="none" w:sz="0" w:space="0" w:color="auto"/>
        <w:right w:val="none" w:sz="0" w:space="0" w:color="auto"/>
      </w:divBdr>
    </w:div>
    <w:div w:id="624577652">
      <w:bodyDiv w:val="1"/>
      <w:marLeft w:val="0"/>
      <w:marRight w:val="0"/>
      <w:marTop w:val="0"/>
      <w:marBottom w:val="0"/>
      <w:divBdr>
        <w:top w:val="none" w:sz="0" w:space="0" w:color="auto"/>
        <w:left w:val="none" w:sz="0" w:space="0" w:color="auto"/>
        <w:bottom w:val="none" w:sz="0" w:space="0" w:color="auto"/>
        <w:right w:val="none" w:sz="0" w:space="0" w:color="auto"/>
      </w:divBdr>
      <w:divsChild>
        <w:div w:id="944389295">
          <w:marLeft w:val="0"/>
          <w:marRight w:val="0"/>
          <w:marTop w:val="0"/>
          <w:marBottom w:val="0"/>
          <w:divBdr>
            <w:top w:val="none" w:sz="0" w:space="0" w:color="auto"/>
            <w:left w:val="none" w:sz="0" w:space="0" w:color="auto"/>
            <w:bottom w:val="none" w:sz="0" w:space="0" w:color="auto"/>
            <w:right w:val="none" w:sz="0" w:space="0" w:color="auto"/>
          </w:divBdr>
          <w:divsChild>
            <w:div w:id="14611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8097">
      <w:bodyDiv w:val="1"/>
      <w:marLeft w:val="0"/>
      <w:marRight w:val="0"/>
      <w:marTop w:val="0"/>
      <w:marBottom w:val="0"/>
      <w:divBdr>
        <w:top w:val="none" w:sz="0" w:space="0" w:color="auto"/>
        <w:left w:val="none" w:sz="0" w:space="0" w:color="auto"/>
        <w:bottom w:val="none" w:sz="0" w:space="0" w:color="auto"/>
        <w:right w:val="none" w:sz="0" w:space="0" w:color="auto"/>
      </w:divBdr>
    </w:div>
    <w:div w:id="658385345">
      <w:bodyDiv w:val="1"/>
      <w:marLeft w:val="0"/>
      <w:marRight w:val="0"/>
      <w:marTop w:val="0"/>
      <w:marBottom w:val="0"/>
      <w:divBdr>
        <w:top w:val="none" w:sz="0" w:space="0" w:color="auto"/>
        <w:left w:val="none" w:sz="0" w:space="0" w:color="auto"/>
        <w:bottom w:val="none" w:sz="0" w:space="0" w:color="auto"/>
        <w:right w:val="none" w:sz="0" w:space="0" w:color="auto"/>
      </w:divBdr>
    </w:div>
    <w:div w:id="669062949">
      <w:bodyDiv w:val="1"/>
      <w:marLeft w:val="0"/>
      <w:marRight w:val="0"/>
      <w:marTop w:val="0"/>
      <w:marBottom w:val="0"/>
      <w:divBdr>
        <w:top w:val="none" w:sz="0" w:space="0" w:color="auto"/>
        <w:left w:val="none" w:sz="0" w:space="0" w:color="auto"/>
        <w:bottom w:val="none" w:sz="0" w:space="0" w:color="auto"/>
        <w:right w:val="none" w:sz="0" w:space="0" w:color="auto"/>
      </w:divBdr>
      <w:divsChild>
        <w:div w:id="1460757152">
          <w:marLeft w:val="0"/>
          <w:marRight w:val="0"/>
          <w:marTop w:val="0"/>
          <w:marBottom w:val="0"/>
          <w:divBdr>
            <w:top w:val="none" w:sz="0" w:space="0" w:color="auto"/>
            <w:left w:val="none" w:sz="0" w:space="0" w:color="auto"/>
            <w:bottom w:val="none" w:sz="0" w:space="0" w:color="auto"/>
            <w:right w:val="none" w:sz="0" w:space="0" w:color="auto"/>
          </w:divBdr>
          <w:divsChild>
            <w:div w:id="1686244282">
              <w:marLeft w:val="0"/>
              <w:marRight w:val="0"/>
              <w:marTop w:val="0"/>
              <w:marBottom w:val="0"/>
              <w:divBdr>
                <w:top w:val="none" w:sz="0" w:space="0" w:color="auto"/>
                <w:left w:val="none" w:sz="0" w:space="0" w:color="auto"/>
                <w:bottom w:val="none" w:sz="0" w:space="0" w:color="auto"/>
                <w:right w:val="none" w:sz="0" w:space="0" w:color="auto"/>
              </w:divBdr>
              <w:divsChild>
                <w:div w:id="647900943">
                  <w:marLeft w:val="0"/>
                  <w:marRight w:val="0"/>
                  <w:marTop w:val="0"/>
                  <w:marBottom w:val="0"/>
                  <w:divBdr>
                    <w:top w:val="none" w:sz="0" w:space="0" w:color="auto"/>
                    <w:left w:val="none" w:sz="0" w:space="0" w:color="auto"/>
                    <w:bottom w:val="none" w:sz="0" w:space="0" w:color="auto"/>
                    <w:right w:val="none" w:sz="0" w:space="0" w:color="auto"/>
                  </w:divBdr>
                  <w:divsChild>
                    <w:div w:id="113328994">
                      <w:marLeft w:val="0"/>
                      <w:marRight w:val="0"/>
                      <w:marTop w:val="0"/>
                      <w:marBottom w:val="0"/>
                      <w:divBdr>
                        <w:top w:val="none" w:sz="0" w:space="0" w:color="auto"/>
                        <w:left w:val="none" w:sz="0" w:space="0" w:color="auto"/>
                        <w:bottom w:val="none" w:sz="0" w:space="0" w:color="auto"/>
                        <w:right w:val="none" w:sz="0" w:space="0" w:color="auto"/>
                      </w:divBdr>
                      <w:divsChild>
                        <w:div w:id="215357722">
                          <w:marLeft w:val="0"/>
                          <w:marRight w:val="0"/>
                          <w:marTop w:val="0"/>
                          <w:marBottom w:val="0"/>
                          <w:divBdr>
                            <w:top w:val="none" w:sz="0" w:space="0" w:color="auto"/>
                            <w:left w:val="none" w:sz="0" w:space="0" w:color="auto"/>
                            <w:bottom w:val="none" w:sz="0" w:space="0" w:color="auto"/>
                            <w:right w:val="none" w:sz="0" w:space="0" w:color="auto"/>
                          </w:divBdr>
                          <w:divsChild>
                            <w:div w:id="33026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311200">
      <w:bodyDiv w:val="1"/>
      <w:marLeft w:val="0"/>
      <w:marRight w:val="0"/>
      <w:marTop w:val="0"/>
      <w:marBottom w:val="0"/>
      <w:divBdr>
        <w:top w:val="none" w:sz="0" w:space="0" w:color="auto"/>
        <w:left w:val="none" w:sz="0" w:space="0" w:color="auto"/>
        <w:bottom w:val="none" w:sz="0" w:space="0" w:color="auto"/>
        <w:right w:val="none" w:sz="0" w:space="0" w:color="auto"/>
      </w:divBdr>
    </w:div>
    <w:div w:id="698169793">
      <w:bodyDiv w:val="1"/>
      <w:marLeft w:val="0"/>
      <w:marRight w:val="0"/>
      <w:marTop w:val="0"/>
      <w:marBottom w:val="0"/>
      <w:divBdr>
        <w:top w:val="none" w:sz="0" w:space="0" w:color="auto"/>
        <w:left w:val="none" w:sz="0" w:space="0" w:color="auto"/>
        <w:bottom w:val="none" w:sz="0" w:space="0" w:color="auto"/>
        <w:right w:val="none" w:sz="0" w:space="0" w:color="auto"/>
      </w:divBdr>
    </w:div>
    <w:div w:id="701636569">
      <w:bodyDiv w:val="1"/>
      <w:marLeft w:val="0"/>
      <w:marRight w:val="0"/>
      <w:marTop w:val="0"/>
      <w:marBottom w:val="0"/>
      <w:divBdr>
        <w:top w:val="none" w:sz="0" w:space="0" w:color="auto"/>
        <w:left w:val="none" w:sz="0" w:space="0" w:color="auto"/>
        <w:bottom w:val="none" w:sz="0" w:space="0" w:color="auto"/>
        <w:right w:val="none" w:sz="0" w:space="0" w:color="auto"/>
      </w:divBdr>
      <w:divsChild>
        <w:div w:id="1815175266">
          <w:marLeft w:val="0"/>
          <w:marRight w:val="0"/>
          <w:marTop w:val="0"/>
          <w:marBottom w:val="0"/>
          <w:divBdr>
            <w:top w:val="none" w:sz="0" w:space="0" w:color="auto"/>
            <w:left w:val="none" w:sz="0" w:space="0" w:color="auto"/>
            <w:bottom w:val="none" w:sz="0" w:space="0" w:color="auto"/>
            <w:right w:val="none" w:sz="0" w:space="0" w:color="auto"/>
          </w:divBdr>
          <w:divsChild>
            <w:div w:id="17454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93731">
      <w:bodyDiv w:val="1"/>
      <w:marLeft w:val="0"/>
      <w:marRight w:val="0"/>
      <w:marTop w:val="0"/>
      <w:marBottom w:val="0"/>
      <w:divBdr>
        <w:top w:val="none" w:sz="0" w:space="0" w:color="auto"/>
        <w:left w:val="none" w:sz="0" w:space="0" w:color="auto"/>
        <w:bottom w:val="none" w:sz="0" w:space="0" w:color="auto"/>
        <w:right w:val="none" w:sz="0" w:space="0" w:color="auto"/>
      </w:divBdr>
    </w:div>
    <w:div w:id="756753054">
      <w:bodyDiv w:val="1"/>
      <w:marLeft w:val="0"/>
      <w:marRight w:val="0"/>
      <w:marTop w:val="0"/>
      <w:marBottom w:val="0"/>
      <w:divBdr>
        <w:top w:val="none" w:sz="0" w:space="0" w:color="auto"/>
        <w:left w:val="none" w:sz="0" w:space="0" w:color="auto"/>
        <w:bottom w:val="none" w:sz="0" w:space="0" w:color="auto"/>
        <w:right w:val="none" w:sz="0" w:space="0" w:color="auto"/>
      </w:divBdr>
    </w:div>
    <w:div w:id="764226960">
      <w:bodyDiv w:val="1"/>
      <w:marLeft w:val="0"/>
      <w:marRight w:val="0"/>
      <w:marTop w:val="0"/>
      <w:marBottom w:val="0"/>
      <w:divBdr>
        <w:top w:val="none" w:sz="0" w:space="0" w:color="auto"/>
        <w:left w:val="none" w:sz="0" w:space="0" w:color="auto"/>
        <w:bottom w:val="none" w:sz="0" w:space="0" w:color="auto"/>
        <w:right w:val="none" w:sz="0" w:space="0" w:color="auto"/>
      </w:divBdr>
    </w:div>
    <w:div w:id="779229463">
      <w:bodyDiv w:val="1"/>
      <w:marLeft w:val="0"/>
      <w:marRight w:val="0"/>
      <w:marTop w:val="0"/>
      <w:marBottom w:val="0"/>
      <w:divBdr>
        <w:top w:val="none" w:sz="0" w:space="0" w:color="auto"/>
        <w:left w:val="none" w:sz="0" w:space="0" w:color="auto"/>
        <w:bottom w:val="none" w:sz="0" w:space="0" w:color="auto"/>
        <w:right w:val="none" w:sz="0" w:space="0" w:color="auto"/>
      </w:divBdr>
      <w:divsChild>
        <w:div w:id="116458938">
          <w:marLeft w:val="288"/>
          <w:marRight w:val="0"/>
          <w:marTop w:val="96"/>
          <w:marBottom w:val="0"/>
          <w:divBdr>
            <w:top w:val="none" w:sz="0" w:space="0" w:color="auto"/>
            <w:left w:val="none" w:sz="0" w:space="0" w:color="auto"/>
            <w:bottom w:val="none" w:sz="0" w:space="0" w:color="auto"/>
            <w:right w:val="none" w:sz="0" w:space="0" w:color="auto"/>
          </w:divBdr>
        </w:div>
        <w:div w:id="997074986">
          <w:marLeft w:val="288"/>
          <w:marRight w:val="0"/>
          <w:marTop w:val="96"/>
          <w:marBottom w:val="0"/>
          <w:divBdr>
            <w:top w:val="none" w:sz="0" w:space="0" w:color="auto"/>
            <w:left w:val="none" w:sz="0" w:space="0" w:color="auto"/>
            <w:bottom w:val="none" w:sz="0" w:space="0" w:color="auto"/>
            <w:right w:val="none" w:sz="0" w:space="0" w:color="auto"/>
          </w:divBdr>
        </w:div>
        <w:div w:id="1291401027">
          <w:marLeft w:val="288"/>
          <w:marRight w:val="0"/>
          <w:marTop w:val="96"/>
          <w:marBottom w:val="0"/>
          <w:divBdr>
            <w:top w:val="none" w:sz="0" w:space="0" w:color="auto"/>
            <w:left w:val="none" w:sz="0" w:space="0" w:color="auto"/>
            <w:bottom w:val="none" w:sz="0" w:space="0" w:color="auto"/>
            <w:right w:val="none" w:sz="0" w:space="0" w:color="auto"/>
          </w:divBdr>
        </w:div>
        <w:div w:id="1622489349">
          <w:marLeft w:val="288"/>
          <w:marRight w:val="0"/>
          <w:marTop w:val="96"/>
          <w:marBottom w:val="0"/>
          <w:divBdr>
            <w:top w:val="none" w:sz="0" w:space="0" w:color="auto"/>
            <w:left w:val="none" w:sz="0" w:space="0" w:color="auto"/>
            <w:bottom w:val="none" w:sz="0" w:space="0" w:color="auto"/>
            <w:right w:val="none" w:sz="0" w:space="0" w:color="auto"/>
          </w:divBdr>
        </w:div>
        <w:div w:id="1759403940">
          <w:marLeft w:val="288"/>
          <w:marRight w:val="0"/>
          <w:marTop w:val="96"/>
          <w:marBottom w:val="0"/>
          <w:divBdr>
            <w:top w:val="none" w:sz="0" w:space="0" w:color="auto"/>
            <w:left w:val="none" w:sz="0" w:space="0" w:color="auto"/>
            <w:bottom w:val="none" w:sz="0" w:space="0" w:color="auto"/>
            <w:right w:val="none" w:sz="0" w:space="0" w:color="auto"/>
          </w:divBdr>
        </w:div>
        <w:div w:id="1901330463">
          <w:marLeft w:val="288"/>
          <w:marRight w:val="0"/>
          <w:marTop w:val="96"/>
          <w:marBottom w:val="0"/>
          <w:divBdr>
            <w:top w:val="none" w:sz="0" w:space="0" w:color="auto"/>
            <w:left w:val="none" w:sz="0" w:space="0" w:color="auto"/>
            <w:bottom w:val="none" w:sz="0" w:space="0" w:color="auto"/>
            <w:right w:val="none" w:sz="0" w:space="0" w:color="auto"/>
          </w:divBdr>
        </w:div>
      </w:divsChild>
    </w:div>
    <w:div w:id="809514623">
      <w:bodyDiv w:val="1"/>
      <w:marLeft w:val="0"/>
      <w:marRight w:val="0"/>
      <w:marTop w:val="0"/>
      <w:marBottom w:val="0"/>
      <w:divBdr>
        <w:top w:val="none" w:sz="0" w:space="0" w:color="auto"/>
        <w:left w:val="none" w:sz="0" w:space="0" w:color="auto"/>
        <w:bottom w:val="none" w:sz="0" w:space="0" w:color="auto"/>
        <w:right w:val="none" w:sz="0" w:space="0" w:color="auto"/>
      </w:divBdr>
    </w:div>
    <w:div w:id="812452174">
      <w:bodyDiv w:val="1"/>
      <w:marLeft w:val="0"/>
      <w:marRight w:val="0"/>
      <w:marTop w:val="0"/>
      <w:marBottom w:val="0"/>
      <w:divBdr>
        <w:top w:val="none" w:sz="0" w:space="0" w:color="auto"/>
        <w:left w:val="none" w:sz="0" w:space="0" w:color="auto"/>
        <w:bottom w:val="none" w:sz="0" w:space="0" w:color="auto"/>
        <w:right w:val="none" w:sz="0" w:space="0" w:color="auto"/>
      </w:divBdr>
      <w:divsChild>
        <w:div w:id="1249458508">
          <w:marLeft w:val="288"/>
          <w:marRight w:val="0"/>
          <w:marTop w:val="96"/>
          <w:marBottom w:val="0"/>
          <w:divBdr>
            <w:top w:val="none" w:sz="0" w:space="0" w:color="auto"/>
            <w:left w:val="none" w:sz="0" w:space="0" w:color="auto"/>
            <w:bottom w:val="none" w:sz="0" w:space="0" w:color="auto"/>
            <w:right w:val="none" w:sz="0" w:space="0" w:color="auto"/>
          </w:divBdr>
        </w:div>
      </w:divsChild>
    </w:div>
    <w:div w:id="816190747">
      <w:bodyDiv w:val="1"/>
      <w:marLeft w:val="0"/>
      <w:marRight w:val="0"/>
      <w:marTop w:val="0"/>
      <w:marBottom w:val="0"/>
      <w:divBdr>
        <w:top w:val="none" w:sz="0" w:space="0" w:color="auto"/>
        <w:left w:val="none" w:sz="0" w:space="0" w:color="auto"/>
        <w:bottom w:val="none" w:sz="0" w:space="0" w:color="auto"/>
        <w:right w:val="none" w:sz="0" w:space="0" w:color="auto"/>
      </w:divBdr>
      <w:divsChild>
        <w:div w:id="51200916">
          <w:marLeft w:val="288"/>
          <w:marRight w:val="0"/>
          <w:marTop w:val="67"/>
          <w:marBottom w:val="0"/>
          <w:divBdr>
            <w:top w:val="none" w:sz="0" w:space="0" w:color="auto"/>
            <w:left w:val="none" w:sz="0" w:space="0" w:color="auto"/>
            <w:bottom w:val="none" w:sz="0" w:space="0" w:color="auto"/>
            <w:right w:val="none" w:sz="0" w:space="0" w:color="auto"/>
          </w:divBdr>
        </w:div>
        <w:div w:id="1350794958">
          <w:marLeft w:val="288"/>
          <w:marRight w:val="0"/>
          <w:marTop w:val="67"/>
          <w:marBottom w:val="0"/>
          <w:divBdr>
            <w:top w:val="none" w:sz="0" w:space="0" w:color="auto"/>
            <w:left w:val="none" w:sz="0" w:space="0" w:color="auto"/>
            <w:bottom w:val="none" w:sz="0" w:space="0" w:color="auto"/>
            <w:right w:val="none" w:sz="0" w:space="0" w:color="auto"/>
          </w:divBdr>
        </w:div>
        <w:div w:id="1666392858">
          <w:marLeft w:val="288"/>
          <w:marRight w:val="0"/>
          <w:marTop w:val="67"/>
          <w:marBottom w:val="0"/>
          <w:divBdr>
            <w:top w:val="none" w:sz="0" w:space="0" w:color="auto"/>
            <w:left w:val="none" w:sz="0" w:space="0" w:color="auto"/>
            <w:bottom w:val="none" w:sz="0" w:space="0" w:color="auto"/>
            <w:right w:val="none" w:sz="0" w:space="0" w:color="auto"/>
          </w:divBdr>
        </w:div>
      </w:divsChild>
    </w:div>
    <w:div w:id="834109038">
      <w:bodyDiv w:val="1"/>
      <w:marLeft w:val="0"/>
      <w:marRight w:val="0"/>
      <w:marTop w:val="0"/>
      <w:marBottom w:val="0"/>
      <w:divBdr>
        <w:top w:val="none" w:sz="0" w:space="0" w:color="auto"/>
        <w:left w:val="none" w:sz="0" w:space="0" w:color="auto"/>
        <w:bottom w:val="none" w:sz="0" w:space="0" w:color="auto"/>
        <w:right w:val="none" w:sz="0" w:space="0" w:color="auto"/>
      </w:divBdr>
    </w:div>
    <w:div w:id="844127300">
      <w:bodyDiv w:val="1"/>
      <w:marLeft w:val="0"/>
      <w:marRight w:val="0"/>
      <w:marTop w:val="0"/>
      <w:marBottom w:val="0"/>
      <w:divBdr>
        <w:top w:val="none" w:sz="0" w:space="0" w:color="auto"/>
        <w:left w:val="none" w:sz="0" w:space="0" w:color="auto"/>
        <w:bottom w:val="none" w:sz="0" w:space="0" w:color="auto"/>
        <w:right w:val="none" w:sz="0" w:space="0" w:color="auto"/>
      </w:divBdr>
    </w:div>
    <w:div w:id="872501082">
      <w:bodyDiv w:val="1"/>
      <w:marLeft w:val="0"/>
      <w:marRight w:val="0"/>
      <w:marTop w:val="0"/>
      <w:marBottom w:val="0"/>
      <w:divBdr>
        <w:top w:val="none" w:sz="0" w:space="0" w:color="auto"/>
        <w:left w:val="none" w:sz="0" w:space="0" w:color="auto"/>
        <w:bottom w:val="none" w:sz="0" w:space="0" w:color="auto"/>
        <w:right w:val="none" w:sz="0" w:space="0" w:color="auto"/>
      </w:divBdr>
    </w:div>
    <w:div w:id="879512144">
      <w:bodyDiv w:val="1"/>
      <w:marLeft w:val="0"/>
      <w:marRight w:val="0"/>
      <w:marTop w:val="0"/>
      <w:marBottom w:val="0"/>
      <w:divBdr>
        <w:top w:val="none" w:sz="0" w:space="0" w:color="auto"/>
        <w:left w:val="none" w:sz="0" w:space="0" w:color="auto"/>
        <w:bottom w:val="none" w:sz="0" w:space="0" w:color="auto"/>
        <w:right w:val="none" w:sz="0" w:space="0" w:color="auto"/>
      </w:divBdr>
      <w:divsChild>
        <w:div w:id="1862695836">
          <w:marLeft w:val="0"/>
          <w:marRight w:val="0"/>
          <w:marTop w:val="0"/>
          <w:marBottom w:val="0"/>
          <w:divBdr>
            <w:top w:val="none" w:sz="0" w:space="0" w:color="auto"/>
            <w:left w:val="none" w:sz="0" w:space="0" w:color="auto"/>
            <w:bottom w:val="none" w:sz="0" w:space="0" w:color="auto"/>
            <w:right w:val="none" w:sz="0" w:space="0" w:color="auto"/>
          </w:divBdr>
          <w:divsChild>
            <w:div w:id="142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1577">
      <w:bodyDiv w:val="1"/>
      <w:marLeft w:val="0"/>
      <w:marRight w:val="0"/>
      <w:marTop w:val="0"/>
      <w:marBottom w:val="0"/>
      <w:divBdr>
        <w:top w:val="none" w:sz="0" w:space="0" w:color="auto"/>
        <w:left w:val="none" w:sz="0" w:space="0" w:color="auto"/>
        <w:bottom w:val="none" w:sz="0" w:space="0" w:color="auto"/>
        <w:right w:val="none" w:sz="0" w:space="0" w:color="auto"/>
      </w:divBdr>
    </w:div>
    <w:div w:id="899171112">
      <w:bodyDiv w:val="1"/>
      <w:marLeft w:val="0"/>
      <w:marRight w:val="0"/>
      <w:marTop w:val="0"/>
      <w:marBottom w:val="0"/>
      <w:divBdr>
        <w:top w:val="none" w:sz="0" w:space="0" w:color="auto"/>
        <w:left w:val="none" w:sz="0" w:space="0" w:color="auto"/>
        <w:bottom w:val="none" w:sz="0" w:space="0" w:color="auto"/>
        <w:right w:val="none" w:sz="0" w:space="0" w:color="auto"/>
      </w:divBdr>
    </w:div>
    <w:div w:id="901479688">
      <w:bodyDiv w:val="1"/>
      <w:marLeft w:val="0"/>
      <w:marRight w:val="0"/>
      <w:marTop w:val="0"/>
      <w:marBottom w:val="0"/>
      <w:divBdr>
        <w:top w:val="none" w:sz="0" w:space="0" w:color="auto"/>
        <w:left w:val="none" w:sz="0" w:space="0" w:color="auto"/>
        <w:bottom w:val="none" w:sz="0" w:space="0" w:color="auto"/>
        <w:right w:val="none" w:sz="0" w:space="0" w:color="auto"/>
      </w:divBdr>
    </w:div>
    <w:div w:id="917522720">
      <w:bodyDiv w:val="1"/>
      <w:marLeft w:val="0"/>
      <w:marRight w:val="0"/>
      <w:marTop w:val="0"/>
      <w:marBottom w:val="0"/>
      <w:divBdr>
        <w:top w:val="none" w:sz="0" w:space="0" w:color="auto"/>
        <w:left w:val="none" w:sz="0" w:space="0" w:color="auto"/>
        <w:bottom w:val="none" w:sz="0" w:space="0" w:color="auto"/>
        <w:right w:val="none" w:sz="0" w:space="0" w:color="auto"/>
      </w:divBdr>
    </w:div>
    <w:div w:id="950353706">
      <w:bodyDiv w:val="1"/>
      <w:marLeft w:val="0"/>
      <w:marRight w:val="0"/>
      <w:marTop w:val="0"/>
      <w:marBottom w:val="0"/>
      <w:divBdr>
        <w:top w:val="none" w:sz="0" w:space="0" w:color="auto"/>
        <w:left w:val="none" w:sz="0" w:space="0" w:color="auto"/>
        <w:bottom w:val="none" w:sz="0" w:space="0" w:color="auto"/>
        <w:right w:val="none" w:sz="0" w:space="0" w:color="auto"/>
      </w:divBdr>
    </w:div>
    <w:div w:id="975331122">
      <w:bodyDiv w:val="1"/>
      <w:marLeft w:val="0"/>
      <w:marRight w:val="0"/>
      <w:marTop w:val="0"/>
      <w:marBottom w:val="0"/>
      <w:divBdr>
        <w:top w:val="none" w:sz="0" w:space="0" w:color="auto"/>
        <w:left w:val="none" w:sz="0" w:space="0" w:color="auto"/>
        <w:bottom w:val="none" w:sz="0" w:space="0" w:color="auto"/>
        <w:right w:val="none" w:sz="0" w:space="0" w:color="auto"/>
      </w:divBdr>
    </w:div>
    <w:div w:id="992369173">
      <w:bodyDiv w:val="1"/>
      <w:marLeft w:val="0"/>
      <w:marRight w:val="0"/>
      <w:marTop w:val="0"/>
      <w:marBottom w:val="0"/>
      <w:divBdr>
        <w:top w:val="none" w:sz="0" w:space="0" w:color="auto"/>
        <w:left w:val="none" w:sz="0" w:space="0" w:color="auto"/>
        <w:bottom w:val="none" w:sz="0" w:space="0" w:color="auto"/>
        <w:right w:val="none" w:sz="0" w:space="0" w:color="auto"/>
      </w:divBdr>
    </w:div>
    <w:div w:id="994797719">
      <w:bodyDiv w:val="1"/>
      <w:marLeft w:val="0"/>
      <w:marRight w:val="0"/>
      <w:marTop w:val="0"/>
      <w:marBottom w:val="0"/>
      <w:divBdr>
        <w:top w:val="none" w:sz="0" w:space="0" w:color="auto"/>
        <w:left w:val="none" w:sz="0" w:space="0" w:color="auto"/>
        <w:bottom w:val="none" w:sz="0" w:space="0" w:color="auto"/>
        <w:right w:val="none" w:sz="0" w:space="0" w:color="auto"/>
      </w:divBdr>
    </w:div>
    <w:div w:id="1003320280">
      <w:bodyDiv w:val="1"/>
      <w:marLeft w:val="0"/>
      <w:marRight w:val="0"/>
      <w:marTop w:val="0"/>
      <w:marBottom w:val="0"/>
      <w:divBdr>
        <w:top w:val="none" w:sz="0" w:space="0" w:color="auto"/>
        <w:left w:val="none" w:sz="0" w:space="0" w:color="auto"/>
        <w:bottom w:val="none" w:sz="0" w:space="0" w:color="auto"/>
        <w:right w:val="none" w:sz="0" w:space="0" w:color="auto"/>
      </w:divBdr>
      <w:divsChild>
        <w:div w:id="1860461069">
          <w:marLeft w:val="0"/>
          <w:marRight w:val="0"/>
          <w:marTop w:val="0"/>
          <w:marBottom w:val="0"/>
          <w:divBdr>
            <w:top w:val="none" w:sz="0" w:space="0" w:color="auto"/>
            <w:left w:val="none" w:sz="0" w:space="0" w:color="auto"/>
            <w:bottom w:val="none" w:sz="0" w:space="0" w:color="auto"/>
            <w:right w:val="none" w:sz="0" w:space="0" w:color="auto"/>
          </w:divBdr>
          <w:divsChild>
            <w:div w:id="84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6443">
      <w:bodyDiv w:val="1"/>
      <w:marLeft w:val="0"/>
      <w:marRight w:val="0"/>
      <w:marTop w:val="0"/>
      <w:marBottom w:val="0"/>
      <w:divBdr>
        <w:top w:val="none" w:sz="0" w:space="0" w:color="auto"/>
        <w:left w:val="none" w:sz="0" w:space="0" w:color="auto"/>
        <w:bottom w:val="none" w:sz="0" w:space="0" w:color="auto"/>
        <w:right w:val="none" w:sz="0" w:space="0" w:color="auto"/>
      </w:divBdr>
      <w:divsChild>
        <w:div w:id="938678232">
          <w:marLeft w:val="0"/>
          <w:marRight w:val="0"/>
          <w:marTop w:val="0"/>
          <w:marBottom w:val="0"/>
          <w:divBdr>
            <w:top w:val="none" w:sz="0" w:space="0" w:color="auto"/>
            <w:left w:val="none" w:sz="0" w:space="0" w:color="auto"/>
            <w:bottom w:val="none" w:sz="0" w:space="0" w:color="auto"/>
            <w:right w:val="none" w:sz="0" w:space="0" w:color="auto"/>
          </w:divBdr>
          <w:divsChild>
            <w:div w:id="880439516">
              <w:marLeft w:val="0"/>
              <w:marRight w:val="0"/>
              <w:marTop w:val="0"/>
              <w:marBottom w:val="0"/>
              <w:divBdr>
                <w:top w:val="none" w:sz="0" w:space="0" w:color="auto"/>
                <w:left w:val="none" w:sz="0" w:space="0" w:color="auto"/>
                <w:bottom w:val="none" w:sz="0" w:space="0" w:color="auto"/>
                <w:right w:val="none" w:sz="0" w:space="0" w:color="auto"/>
              </w:divBdr>
            </w:div>
            <w:div w:id="15023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2000">
      <w:bodyDiv w:val="1"/>
      <w:marLeft w:val="0"/>
      <w:marRight w:val="0"/>
      <w:marTop w:val="0"/>
      <w:marBottom w:val="0"/>
      <w:divBdr>
        <w:top w:val="none" w:sz="0" w:space="0" w:color="auto"/>
        <w:left w:val="none" w:sz="0" w:space="0" w:color="auto"/>
        <w:bottom w:val="none" w:sz="0" w:space="0" w:color="auto"/>
        <w:right w:val="none" w:sz="0" w:space="0" w:color="auto"/>
      </w:divBdr>
      <w:divsChild>
        <w:div w:id="980503959">
          <w:marLeft w:val="0"/>
          <w:marRight w:val="0"/>
          <w:marTop w:val="0"/>
          <w:marBottom w:val="0"/>
          <w:divBdr>
            <w:top w:val="none" w:sz="0" w:space="0" w:color="auto"/>
            <w:left w:val="none" w:sz="0" w:space="0" w:color="auto"/>
            <w:bottom w:val="none" w:sz="0" w:space="0" w:color="auto"/>
            <w:right w:val="none" w:sz="0" w:space="0" w:color="auto"/>
          </w:divBdr>
          <w:divsChild>
            <w:div w:id="371851863">
              <w:marLeft w:val="0"/>
              <w:marRight w:val="0"/>
              <w:marTop w:val="0"/>
              <w:marBottom w:val="0"/>
              <w:divBdr>
                <w:top w:val="none" w:sz="0" w:space="0" w:color="auto"/>
                <w:left w:val="none" w:sz="0" w:space="0" w:color="auto"/>
                <w:bottom w:val="none" w:sz="0" w:space="0" w:color="auto"/>
                <w:right w:val="none" w:sz="0" w:space="0" w:color="auto"/>
              </w:divBdr>
              <w:divsChild>
                <w:div w:id="381055171">
                  <w:marLeft w:val="0"/>
                  <w:marRight w:val="0"/>
                  <w:marTop w:val="0"/>
                  <w:marBottom w:val="0"/>
                  <w:divBdr>
                    <w:top w:val="none" w:sz="0" w:space="0" w:color="auto"/>
                    <w:left w:val="none" w:sz="0" w:space="0" w:color="auto"/>
                    <w:bottom w:val="none" w:sz="0" w:space="0" w:color="auto"/>
                    <w:right w:val="none" w:sz="0" w:space="0" w:color="auto"/>
                  </w:divBdr>
                  <w:divsChild>
                    <w:div w:id="671760953">
                      <w:marLeft w:val="0"/>
                      <w:marRight w:val="0"/>
                      <w:marTop w:val="0"/>
                      <w:marBottom w:val="0"/>
                      <w:divBdr>
                        <w:top w:val="none" w:sz="0" w:space="0" w:color="auto"/>
                        <w:left w:val="none" w:sz="0" w:space="0" w:color="auto"/>
                        <w:bottom w:val="none" w:sz="0" w:space="0" w:color="auto"/>
                        <w:right w:val="none" w:sz="0" w:space="0" w:color="auto"/>
                      </w:divBdr>
                      <w:divsChild>
                        <w:div w:id="757406813">
                          <w:marLeft w:val="0"/>
                          <w:marRight w:val="0"/>
                          <w:marTop w:val="0"/>
                          <w:marBottom w:val="0"/>
                          <w:divBdr>
                            <w:top w:val="none" w:sz="0" w:space="0" w:color="auto"/>
                            <w:left w:val="none" w:sz="0" w:space="0" w:color="auto"/>
                            <w:bottom w:val="none" w:sz="0" w:space="0" w:color="auto"/>
                            <w:right w:val="none" w:sz="0" w:space="0" w:color="auto"/>
                          </w:divBdr>
                          <w:divsChild>
                            <w:div w:id="107165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996307">
      <w:bodyDiv w:val="1"/>
      <w:marLeft w:val="0"/>
      <w:marRight w:val="0"/>
      <w:marTop w:val="0"/>
      <w:marBottom w:val="0"/>
      <w:divBdr>
        <w:top w:val="none" w:sz="0" w:space="0" w:color="auto"/>
        <w:left w:val="none" w:sz="0" w:space="0" w:color="auto"/>
        <w:bottom w:val="none" w:sz="0" w:space="0" w:color="auto"/>
        <w:right w:val="none" w:sz="0" w:space="0" w:color="auto"/>
      </w:divBdr>
      <w:divsChild>
        <w:div w:id="1631740992">
          <w:marLeft w:val="720"/>
          <w:marRight w:val="0"/>
          <w:marTop w:val="120"/>
          <w:marBottom w:val="0"/>
          <w:divBdr>
            <w:top w:val="none" w:sz="0" w:space="0" w:color="auto"/>
            <w:left w:val="none" w:sz="0" w:space="0" w:color="auto"/>
            <w:bottom w:val="none" w:sz="0" w:space="0" w:color="auto"/>
            <w:right w:val="none" w:sz="0" w:space="0" w:color="auto"/>
          </w:divBdr>
        </w:div>
        <w:div w:id="2054426743">
          <w:marLeft w:val="720"/>
          <w:marRight w:val="0"/>
          <w:marTop w:val="120"/>
          <w:marBottom w:val="0"/>
          <w:divBdr>
            <w:top w:val="none" w:sz="0" w:space="0" w:color="auto"/>
            <w:left w:val="none" w:sz="0" w:space="0" w:color="auto"/>
            <w:bottom w:val="none" w:sz="0" w:space="0" w:color="auto"/>
            <w:right w:val="none" w:sz="0" w:space="0" w:color="auto"/>
          </w:divBdr>
        </w:div>
      </w:divsChild>
    </w:div>
    <w:div w:id="1045446570">
      <w:bodyDiv w:val="1"/>
      <w:marLeft w:val="0"/>
      <w:marRight w:val="0"/>
      <w:marTop w:val="0"/>
      <w:marBottom w:val="0"/>
      <w:divBdr>
        <w:top w:val="none" w:sz="0" w:space="0" w:color="auto"/>
        <w:left w:val="none" w:sz="0" w:space="0" w:color="auto"/>
        <w:bottom w:val="none" w:sz="0" w:space="0" w:color="auto"/>
        <w:right w:val="none" w:sz="0" w:space="0" w:color="auto"/>
      </w:divBdr>
      <w:divsChild>
        <w:div w:id="593589531">
          <w:marLeft w:val="0"/>
          <w:marRight w:val="0"/>
          <w:marTop w:val="0"/>
          <w:marBottom w:val="0"/>
          <w:divBdr>
            <w:top w:val="none" w:sz="0" w:space="0" w:color="auto"/>
            <w:left w:val="none" w:sz="0" w:space="0" w:color="auto"/>
            <w:bottom w:val="none" w:sz="0" w:space="0" w:color="auto"/>
            <w:right w:val="none" w:sz="0" w:space="0" w:color="auto"/>
          </w:divBdr>
          <w:divsChild>
            <w:div w:id="1764840635">
              <w:marLeft w:val="0"/>
              <w:marRight w:val="0"/>
              <w:marTop w:val="0"/>
              <w:marBottom w:val="0"/>
              <w:divBdr>
                <w:top w:val="none" w:sz="0" w:space="0" w:color="auto"/>
                <w:left w:val="none" w:sz="0" w:space="0" w:color="auto"/>
                <w:bottom w:val="none" w:sz="0" w:space="0" w:color="auto"/>
                <w:right w:val="none" w:sz="0" w:space="0" w:color="auto"/>
              </w:divBdr>
              <w:divsChild>
                <w:div w:id="1966694529">
                  <w:marLeft w:val="0"/>
                  <w:marRight w:val="0"/>
                  <w:marTop w:val="0"/>
                  <w:marBottom w:val="0"/>
                  <w:divBdr>
                    <w:top w:val="none" w:sz="0" w:space="0" w:color="auto"/>
                    <w:left w:val="none" w:sz="0" w:space="0" w:color="auto"/>
                    <w:bottom w:val="none" w:sz="0" w:space="0" w:color="auto"/>
                    <w:right w:val="none" w:sz="0" w:space="0" w:color="auto"/>
                  </w:divBdr>
                  <w:divsChild>
                    <w:div w:id="313028916">
                      <w:marLeft w:val="0"/>
                      <w:marRight w:val="0"/>
                      <w:marTop w:val="0"/>
                      <w:marBottom w:val="0"/>
                      <w:divBdr>
                        <w:top w:val="none" w:sz="0" w:space="0" w:color="auto"/>
                        <w:left w:val="none" w:sz="0" w:space="0" w:color="auto"/>
                        <w:bottom w:val="none" w:sz="0" w:space="0" w:color="auto"/>
                        <w:right w:val="none" w:sz="0" w:space="0" w:color="auto"/>
                      </w:divBdr>
                      <w:divsChild>
                        <w:div w:id="1174345373">
                          <w:marLeft w:val="0"/>
                          <w:marRight w:val="0"/>
                          <w:marTop w:val="0"/>
                          <w:marBottom w:val="0"/>
                          <w:divBdr>
                            <w:top w:val="none" w:sz="0" w:space="0" w:color="auto"/>
                            <w:left w:val="none" w:sz="0" w:space="0" w:color="auto"/>
                            <w:bottom w:val="none" w:sz="0" w:space="0" w:color="auto"/>
                            <w:right w:val="none" w:sz="0" w:space="0" w:color="auto"/>
                          </w:divBdr>
                          <w:divsChild>
                            <w:div w:id="3581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598648">
      <w:bodyDiv w:val="1"/>
      <w:marLeft w:val="0"/>
      <w:marRight w:val="0"/>
      <w:marTop w:val="0"/>
      <w:marBottom w:val="0"/>
      <w:divBdr>
        <w:top w:val="none" w:sz="0" w:space="0" w:color="auto"/>
        <w:left w:val="none" w:sz="0" w:space="0" w:color="auto"/>
        <w:bottom w:val="none" w:sz="0" w:space="0" w:color="auto"/>
        <w:right w:val="none" w:sz="0" w:space="0" w:color="auto"/>
      </w:divBdr>
    </w:div>
    <w:div w:id="1129207373">
      <w:bodyDiv w:val="1"/>
      <w:marLeft w:val="0"/>
      <w:marRight w:val="0"/>
      <w:marTop w:val="0"/>
      <w:marBottom w:val="0"/>
      <w:divBdr>
        <w:top w:val="none" w:sz="0" w:space="0" w:color="auto"/>
        <w:left w:val="none" w:sz="0" w:space="0" w:color="auto"/>
        <w:bottom w:val="none" w:sz="0" w:space="0" w:color="auto"/>
        <w:right w:val="none" w:sz="0" w:space="0" w:color="auto"/>
      </w:divBdr>
      <w:divsChild>
        <w:div w:id="2014606556">
          <w:marLeft w:val="0"/>
          <w:marRight w:val="0"/>
          <w:marTop w:val="0"/>
          <w:marBottom w:val="0"/>
          <w:divBdr>
            <w:top w:val="none" w:sz="0" w:space="0" w:color="auto"/>
            <w:left w:val="none" w:sz="0" w:space="0" w:color="auto"/>
            <w:bottom w:val="none" w:sz="0" w:space="0" w:color="auto"/>
            <w:right w:val="none" w:sz="0" w:space="0" w:color="auto"/>
          </w:divBdr>
          <w:divsChild>
            <w:div w:id="2004969579">
              <w:marLeft w:val="0"/>
              <w:marRight w:val="0"/>
              <w:marTop w:val="0"/>
              <w:marBottom w:val="0"/>
              <w:divBdr>
                <w:top w:val="none" w:sz="0" w:space="0" w:color="auto"/>
                <w:left w:val="none" w:sz="0" w:space="0" w:color="auto"/>
                <w:bottom w:val="none" w:sz="0" w:space="0" w:color="auto"/>
                <w:right w:val="none" w:sz="0" w:space="0" w:color="auto"/>
              </w:divBdr>
              <w:divsChild>
                <w:div w:id="1326514689">
                  <w:marLeft w:val="0"/>
                  <w:marRight w:val="0"/>
                  <w:marTop w:val="0"/>
                  <w:marBottom w:val="0"/>
                  <w:divBdr>
                    <w:top w:val="none" w:sz="0" w:space="0" w:color="auto"/>
                    <w:left w:val="none" w:sz="0" w:space="0" w:color="auto"/>
                    <w:bottom w:val="none" w:sz="0" w:space="0" w:color="auto"/>
                    <w:right w:val="none" w:sz="0" w:space="0" w:color="auto"/>
                  </w:divBdr>
                  <w:divsChild>
                    <w:div w:id="1470056945">
                      <w:marLeft w:val="0"/>
                      <w:marRight w:val="0"/>
                      <w:marTop w:val="0"/>
                      <w:marBottom w:val="0"/>
                      <w:divBdr>
                        <w:top w:val="none" w:sz="0" w:space="0" w:color="auto"/>
                        <w:left w:val="none" w:sz="0" w:space="0" w:color="auto"/>
                        <w:bottom w:val="none" w:sz="0" w:space="0" w:color="auto"/>
                        <w:right w:val="none" w:sz="0" w:space="0" w:color="auto"/>
                      </w:divBdr>
                      <w:divsChild>
                        <w:div w:id="1777290878">
                          <w:marLeft w:val="0"/>
                          <w:marRight w:val="0"/>
                          <w:marTop w:val="0"/>
                          <w:marBottom w:val="0"/>
                          <w:divBdr>
                            <w:top w:val="none" w:sz="0" w:space="0" w:color="auto"/>
                            <w:left w:val="none" w:sz="0" w:space="0" w:color="auto"/>
                            <w:bottom w:val="none" w:sz="0" w:space="0" w:color="auto"/>
                            <w:right w:val="none" w:sz="0" w:space="0" w:color="auto"/>
                          </w:divBdr>
                          <w:divsChild>
                            <w:div w:id="20529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597820">
      <w:bodyDiv w:val="1"/>
      <w:marLeft w:val="0"/>
      <w:marRight w:val="0"/>
      <w:marTop w:val="0"/>
      <w:marBottom w:val="0"/>
      <w:divBdr>
        <w:top w:val="none" w:sz="0" w:space="0" w:color="auto"/>
        <w:left w:val="none" w:sz="0" w:space="0" w:color="auto"/>
        <w:bottom w:val="none" w:sz="0" w:space="0" w:color="auto"/>
        <w:right w:val="none" w:sz="0" w:space="0" w:color="auto"/>
      </w:divBdr>
    </w:div>
    <w:div w:id="1149054913">
      <w:bodyDiv w:val="1"/>
      <w:marLeft w:val="0"/>
      <w:marRight w:val="0"/>
      <w:marTop w:val="0"/>
      <w:marBottom w:val="0"/>
      <w:divBdr>
        <w:top w:val="none" w:sz="0" w:space="0" w:color="auto"/>
        <w:left w:val="none" w:sz="0" w:space="0" w:color="auto"/>
        <w:bottom w:val="none" w:sz="0" w:space="0" w:color="auto"/>
        <w:right w:val="none" w:sz="0" w:space="0" w:color="auto"/>
      </w:divBdr>
      <w:divsChild>
        <w:div w:id="1295790639">
          <w:marLeft w:val="360"/>
          <w:marRight w:val="0"/>
          <w:marTop w:val="200"/>
          <w:marBottom w:val="0"/>
          <w:divBdr>
            <w:top w:val="none" w:sz="0" w:space="0" w:color="auto"/>
            <w:left w:val="none" w:sz="0" w:space="0" w:color="auto"/>
            <w:bottom w:val="none" w:sz="0" w:space="0" w:color="auto"/>
            <w:right w:val="none" w:sz="0" w:space="0" w:color="auto"/>
          </w:divBdr>
        </w:div>
      </w:divsChild>
    </w:div>
    <w:div w:id="1180507010">
      <w:bodyDiv w:val="1"/>
      <w:marLeft w:val="0"/>
      <w:marRight w:val="0"/>
      <w:marTop w:val="0"/>
      <w:marBottom w:val="0"/>
      <w:divBdr>
        <w:top w:val="none" w:sz="0" w:space="0" w:color="auto"/>
        <w:left w:val="none" w:sz="0" w:space="0" w:color="auto"/>
        <w:bottom w:val="none" w:sz="0" w:space="0" w:color="auto"/>
        <w:right w:val="none" w:sz="0" w:space="0" w:color="auto"/>
      </w:divBdr>
      <w:divsChild>
        <w:div w:id="336202374">
          <w:marLeft w:val="0"/>
          <w:marRight w:val="0"/>
          <w:marTop w:val="0"/>
          <w:marBottom w:val="0"/>
          <w:divBdr>
            <w:top w:val="none" w:sz="0" w:space="0" w:color="auto"/>
            <w:left w:val="none" w:sz="0" w:space="0" w:color="auto"/>
            <w:bottom w:val="none" w:sz="0" w:space="0" w:color="auto"/>
            <w:right w:val="none" w:sz="0" w:space="0" w:color="auto"/>
          </w:divBdr>
        </w:div>
      </w:divsChild>
    </w:div>
    <w:div w:id="1194532851">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
    <w:div w:id="1201162926">
      <w:bodyDiv w:val="1"/>
      <w:marLeft w:val="0"/>
      <w:marRight w:val="0"/>
      <w:marTop w:val="0"/>
      <w:marBottom w:val="0"/>
      <w:divBdr>
        <w:top w:val="none" w:sz="0" w:space="0" w:color="auto"/>
        <w:left w:val="none" w:sz="0" w:space="0" w:color="auto"/>
        <w:bottom w:val="none" w:sz="0" w:space="0" w:color="auto"/>
        <w:right w:val="none" w:sz="0" w:space="0" w:color="auto"/>
      </w:divBdr>
    </w:div>
    <w:div w:id="1203635752">
      <w:bodyDiv w:val="1"/>
      <w:marLeft w:val="0"/>
      <w:marRight w:val="0"/>
      <w:marTop w:val="0"/>
      <w:marBottom w:val="0"/>
      <w:divBdr>
        <w:top w:val="none" w:sz="0" w:space="0" w:color="auto"/>
        <w:left w:val="none" w:sz="0" w:space="0" w:color="auto"/>
        <w:bottom w:val="none" w:sz="0" w:space="0" w:color="auto"/>
        <w:right w:val="none" w:sz="0" w:space="0" w:color="auto"/>
      </w:divBdr>
    </w:div>
    <w:div w:id="1210915088">
      <w:bodyDiv w:val="1"/>
      <w:marLeft w:val="0"/>
      <w:marRight w:val="0"/>
      <w:marTop w:val="0"/>
      <w:marBottom w:val="0"/>
      <w:divBdr>
        <w:top w:val="none" w:sz="0" w:space="0" w:color="auto"/>
        <w:left w:val="none" w:sz="0" w:space="0" w:color="auto"/>
        <w:bottom w:val="none" w:sz="0" w:space="0" w:color="auto"/>
        <w:right w:val="none" w:sz="0" w:space="0" w:color="auto"/>
      </w:divBdr>
    </w:div>
    <w:div w:id="1230269585">
      <w:bodyDiv w:val="1"/>
      <w:marLeft w:val="0"/>
      <w:marRight w:val="0"/>
      <w:marTop w:val="0"/>
      <w:marBottom w:val="0"/>
      <w:divBdr>
        <w:top w:val="none" w:sz="0" w:space="0" w:color="auto"/>
        <w:left w:val="none" w:sz="0" w:space="0" w:color="auto"/>
        <w:bottom w:val="none" w:sz="0" w:space="0" w:color="auto"/>
        <w:right w:val="none" w:sz="0" w:space="0" w:color="auto"/>
      </w:divBdr>
    </w:div>
    <w:div w:id="1233807795">
      <w:bodyDiv w:val="1"/>
      <w:marLeft w:val="0"/>
      <w:marRight w:val="0"/>
      <w:marTop w:val="0"/>
      <w:marBottom w:val="0"/>
      <w:divBdr>
        <w:top w:val="none" w:sz="0" w:space="0" w:color="auto"/>
        <w:left w:val="none" w:sz="0" w:space="0" w:color="auto"/>
        <w:bottom w:val="none" w:sz="0" w:space="0" w:color="auto"/>
        <w:right w:val="none" w:sz="0" w:space="0" w:color="auto"/>
      </w:divBdr>
    </w:div>
    <w:div w:id="1240556994">
      <w:bodyDiv w:val="1"/>
      <w:marLeft w:val="0"/>
      <w:marRight w:val="0"/>
      <w:marTop w:val="0"/>
      <w:marBottom w:val="0"/>
      <w:divBdr>
        <w:top w:val="none" w:sz="0" w:space="0" w:color="auto"/>
        <w:left w:val="none" w:sz="0" w:space="0" w:color="auto"/>
        <w:bottom w:val="none" w:sz="0" w:space="0" w:color="auto"/>
        <w:right w:val="none" w:sz="0" w:space="0" w:color="auto"/>
      </w:divBdr>
    </w:div>
    <w:div w:id="1250046798">
      <w:bodyDiv w:val="1"/>
      <w:marLeft w:val="0"/>
      <w:marRight w:val="0"/>
      <w:marTop w:val="0"/>
      <w:marBottom w:val="0"/>
      <w:divBdr>
        <w:top w:val="none" w:sz="0" w:space="0" w:color="auto"/>
        <w:left w:val="none" w:sz="0" w:space="0" w:color="auto"/>
        <w:bottom w:val="none" w:sz="0" w:space="0" w:color="auto"/>
        <w:right w:val="none" w:sz="0" w:space="0" w:color="auto"/>
      </w:divBdr>
    </w:div>
    <w:div w:id="1250307813">
      <w:bodyDiv w:val="1"/>
      <w:marLeft w:val="0"/>
      <w:marRight w:val="0"/>
      <w:marTop w:val="0"/>
      <w:marBottom w:val="0"/>
      <w:divBdr>
        <w:top w:val="none" w:sz="0" w:space="0" w:color="auto"/>
        <w:left w:val="none" w:sz="0" w:space="0" w:color="auto"/>
        <w:bottom w:val="none" w:sz="0" w:space="0" w:color="auto"/>
        <w:right w:val="none" w:sz="0" w:space="0" w:color="auto"/>
      </w:divBdr>
    </w:div>
    <w:div w:id="1251041256">
      <w:bodyDiv w:val="1"/>
      <w:marLeft w:val="0"/>
      <w:marRight w:val="0"/>
      <w:marTop w:val="0"/>
      <w:marBottom w:val="0"/>
      <w:divBdr>
        <w:top w:val="none" w:sz="0" w:space="0" w:color="auto"/>
        <w:left w:val="none" w:sz="0" w:space="0" w:color="auto"/>
        <w:bottom w:val="none" w:sz="0" w:space="0" w:color="auto"/>
        <w:right w:val="none" w:sz="0" w:space="0" w:color="auto"/>
      </w:divBdr>
    </w:div>
    <w:div w:id="1262492688">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85234985">
      <w:bodyDiv w:val="1"/>
      <w:marLeft w:val="0"/>
      <w:marRight w:val="0"/>
      <w:marTop w:val="0"/>
      <w:marBottom w:val="0"/>
      <w:divBdr>
        <w:top w:val="none" w:sz="0" w:space="0" w:color="auto"/>
        <w:left w:val="none" w:sz="0" w:space="0" w:color="auto"/>
        <w:bottom w:val="none" w:sz="0" w:space="0" w:color="auto"/>
        <w:right w:val="none" w:sz="0" w:space="0" w:color="auto"/>
      </w:divBdr>
    </w:div>
    <w:div w:id="1294948841">
      <w:bodyDiv w:val="1"/>
      <w:marLeft w:val="0"/>
      <w:marRight w:val="0"/>
      <w:marTop w:val="0"/>
      <w:marBottom w:val="0"/>
      <w:divBdr>
        <w:top w:val="none" w:sz="0" w:space="0" w:color="auto"/>
        <w:left w:val="none" w:sz="0" w:space="0" w:color="auto"/>
        <w:bottom w:val="none" w:sz="0" w:space="0" w:color="auto"/>
        <w:right w:val="none" w:sz="0" w:space="0" w:color="auto"/>
      </w:divBdr>
    </w:div>
    <w:div w:id="1295984154">
      <w:bodyDiv w:val="1"/>
      <w:marLeft w:val="0"/>
      <w:marRight w:val="0"/>
      <w:marTop w:val="0"/>
      <w:marBottom w:val="0"/>
      <w:divBdr>
        <w:top w:val="none" w:sz="0" w:space="0" w:color="auto"/>
        <w:left w:val="none" w:sz="0" w:space="0" w:color="auto"/>
        <w:bottom w:val="none" w:sz="0" w:space="0" w:color="auto"/>
        <w:right w:val="none" w:sz="0" w:space="0" w:color="auto"/>
      </w:divBdr>
      <w:divsChild>
        <w:div w:id="2051301858">
          <w:marLeft w:val="0"/>
          <w:marRight w:val="0"/>
          <w:marTop w:val="0"/>
          <w:marBottom w:val="0"/>
          <w:divBdr>
            <w:top w:val="none" w:sz="0" w:space="0" w:color="auto"/>
            <w:left w:val="none" w:sz="0" w:space="0" w:color="auto"/>
            <w:bottom w:val="none" w:sz="0" w:space="0" w:color="auto"/>
            <w:right w:val="none" w:sz="0" w:space="0" w:color="auto"/>
          </w:divBdr>
          <w:divsChild>
            <w:div w:id="1450200593">
              <w:marLeft w:val="0"/>
              <w:marRight w:val="0"/>
              <w:marTop w:val="0"/>
              <w:marBottom w:val="0"/>
              <w:divBdr>
                <w:top w:val="none" w:sz="0" w:space="0" w:color="auto"/>
                <w:left w:val="none" w:sz="0" w:space="0" w:color="auto"/>
                <w:bottom w:val="none" w:sz="0" w:space="0" w:color="auto"/>
                <w:right w:val="none" w:sz="0" w:space="0" w:color="auto"/>
              </w:divBdr>
              <w:divsChild>
                <w:div w:id="2094550551">
                  <w:marLeft w:val="0"/>
                  <w:marRight w:val="0"/>
                  <w:marTop w:val="0"/>
                  <w:marBottom w:val="0"/>
                  <w:divBdr>
                    <w:top w:val="none" w:sz="0" w:space="0" w:color="auto"/>
                    <w:left w:val="none" w:sz="0" w:space="0" w:color="auto"/>
                    <w:bottom w:val="none" w:sz="0" w:space="0" w:color="auto"/>
                    <w:right w:val="none" w:sz="0" w:space="0" w:color="auto"/>
                  </w:divBdr>
                  <w:divsChild>
                    <w:div w:id="1261524197">
                      <w:marLeft w:val="0"/>
                      <w:marRight w:val="0"/>
                      <w:marTop w:val="0"/>
                      <w:marBottom w:val="0"/>
                      <w:divBdr>
                        <w:top w:val="none" w:sz="0" w:space="0" w:color="auto"/>
                        <w:left w:val="none" w:sz="0" w:space="0" w:color="auto"/>
                        <w:bottom w:val="none" w:sz="0" w:space="0" w:color="auto"/>
                        <w:right w:val="none" w:sz="0" w:space="0" w:color="auto"/>
                      </w:divBdr>
                      <w:divsChild>
                        <w:div w:id="554584284">
                          <w:marLeft w:val="0"/>
                          <w:marRight w:val="0"/>
                          <w:marTop w:val="0"/>
                          <w:marBottom w:val="0"/>
                          <w:divBdr>
                            <w:top w:val="none" w:sz="0" w:space="0" w:color="auto"/>
                            <w:left w:val="none" w:sz="0" w:space="0" w:color="auto"/>
                            <w:bottom w:val="none" w:sz="0" w:space="0" w:color="auto"/>
                            <w:right w:val="none" w:sz="0" w:space="0" w:color="auto"/>
                          </w:divBdr>
                          <w:divsChild>
                            <w:div w:id="171025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308226">
      <w:bodyDiv w:val="1"/>
      <w:marLeft w:val="0"/>
      <w:marRight w:val="0"/>
      <w:marTop w:val="0"/>
      <w:marBottom w:val="0"/>
      <w:divBdr>
        <w:top w:val="none" w:sz="0" w:space="0" w:color="auto"/>
        <w:left w:val="none" w:sz="0" w:space="0" w:color="auto"/>
        <w:bottom w:val="none" w:sz="0" w:space="0" w:color="auto"/>
        <w:right w:val="none" w:sz="0" w:space="0" w:color="auto"/>
      </w:divBdr>
    </w:div>
    <w:div w:id="1337150391">
      <w:bodyDiv w:val="1"/>
      <w:marLeft w:val="0"/>
      <w:marRight w:val="0"/>
      <w:marTop w:val="0"/>
      <w:marBottom w:val="0"/>
      <w:divBdr>
        <w:top w:val="none" w:sz="0" w:space="0" w:color="auto"/>
        <w:left w:val="none" w:sz="0" w:space="0" w:color="auto"/>
        <w:bottom w:val="none" w:sz="0" w:space="0" w:color="auto"/>
        <w:right w:val="none" w:sz="0" w:space="0" w:color="auto"/>
      </w:divBdr>
    </w:div>
    <w:div w:id="1341931408">
      <w:bodyDiv w:val="1"/>
      <w:marLeft w:val="0"/>
      <w:marRight w:val="0"/>
      <w:marTop w:val="0"/>
      <w:marBottom w:val="0"/>
      <w:divBdr>
        <w:top w:val="none" w:sz="0" w:space="0" w:color="auto"/>
        <w:left w:val="none" w:sz="0" w:space="0" w:color="auto"/>
        <w:bottom w:val="none" w:sz="0" w:space="0" w:color="auto"/>
        <w:right w:val="none" w:sz="0" w:space="0" w:color="auto"/>
      </w:divBdr>
    </w:div>
    <w:div w:id="1346051125">
      <w:bodyDiv w:val="1"/>
      <w:marLeft w:val="0"/>
      <w:marRight w:val="0"/>
      <w:marTop w:val="0"/>
      <w:marBottom w:val="0"/>
      <w:divBdr>
        <w:top w:val="none" w:sz="0" w:space="0" w:color="auto"/>
        <w:left w:val="none" w:sz="0" w:space="0" w:color="auto"/>
        <w:bottom w:val="none" w:sz="0" w:space="0" w:color="auto"/>
        <w:right w:val="none" w:sz="0" w:space="0" w:color="auto"/>
      </w:divBdr>
    </w:div>
    <w:div w:id="1365977804">
      <w:bodyDiv w:val="1"/>
      <w:marLeft w:val="0"/>
      <w:marRight w:val="0"/>
      <w:marTop w:val="0"/>
      <w:marBottom w:val="0"/>
      <w:divBdr>
        <w:top w:val="none" w:sz="0" w:space="0" w:color="auto"/>
        <w:left w:val="none" w:sz="0" w:space="0" w:color="auto"/>
        <w:bottom w:val="none" w:sz="0" w:space="0" w:color="auto"/>
        <w:right w:val="none" w:sz="0" w:space="0" w:color="auto"/>
      </w:divBdr>
    </w:div>
    <w:div w:id="1379469477">
      <w:bodyDiv w:val="1"/>
      <w:marLeft w:val="0"/>
      <w:marRight w:val="0"/>
      <w:marTop w:val="0"/>
      <w:marBottom w:val="0"/>
      <w:divBdr>
        <w:top w:val="none" w:sz="0" w:space="0" w:color="auto"/>
        <w:left w:val="none" w:sz="0" w:space="0" w:color="auto"/>
        <w:bottom w:val="none" w:sz="0" w:space="0" w:color="auto"/>
        <w:right w:val="none" w:sz="0" w:space="0" w:color="auto"/>
      </w:divBdr>
    </w:div>
    <w:div w:id="1384672754">
      <w:bodyDiv w:val="1"/>
      <w:marLeft w:val="0"/>
      <w:marRight w:val="0"/>
      <w:marTop w:val="0"/>
      <w:marBottom w:val="0"/>
      <w:divBdr>
        <w:top w:val="none" w:sz="0" w:space="0" w:color="auto"/>
        <w:left w:val="none" w:sz="0" w:space="0" w:color="auto"/>
        <w:bottom w:val="none" w:sz="0" w:space="0" w:color="auto"/>
        <w:right w:val="none" w:sz="0" w:space="0" w:color="auto"/>
      </w:divBdr>
    </w:div>
    <w:div w:id="1387725168">
      <w:bodyDiv w:val="1"/>
      <w:marLeft w:val="0"/>
      <w:marRight w:val="0"/>
      <w:marTop w:val="0"/>
      <w:marBottom w:val="0"/>
      <w:divBdr>
        <w:top w:val="none" w:sz="0" w:space="0" w:color="auto"/>
        <w:left w:val="none" w:sz="0" w:space="0" w:color="auto"/>
        <w:bottom w:val="none" w:sz="0" w:space="0" w:color="auto"/>
        <w:right w:val="none" w:sz="0" w:space="0" w:color="auto"/>
      </w:divBdr>
    </w:div>
    <w:div w:id="1406562358">
      <w:bodyDiv w:val="1"/>
      <w:marLeft w:val="0"/>
      <w:marRight w:val="0"/>
      <w:marTop w:val="0"/>
      <w:marBottom w:val="0"/>
      <w:divBdr>
        <w:top w:val="none" w:sz="0" w:space="0" w:color="auto"/>
        <w:left w:val="none" w:sz="0" w:space="0" w:color="auto"/>
        <w:bottom w:val="none" w:sz="0" w:space="0" w:color="auto"/>
        <w:right w:val="none" w:sz="0" w:space="0" w:color="auto"/>
      </w:divBdr>
    </w:div>
    <w:div w:id="1409427046">
      <w:bodyDiv w:val="1"/>
      <w:marLeft w:val="0"/>
      <w:marRight w:val="0"/>
      <w:marTop w:val="0"/>
      <w:marBottom w:val="0"/>
      <w:divBdr>
        <w:top w:val="none" w:sz="0" w:space="0" w:color="auto"/>
        <w:left w:val="none" w:sz="0" w:space="0" w:color="auto"/>
        <w:bottom w:val="none" w:sz="0" w:space="0" w:color="auto"/>
        <w:right w:val="none" w:sz="0" w:space="0" w:color="auto"/>
      </w:divBdr>
      <w:divsChild>
        <w:div w:id="1793211859">
          <w:marLeft w:val="0"/>
          <w:marRight w:val="0"/>
          <w:marTop w:val="0"/>
          <w:marBottom w:val="240"/>
          <w:divBdr>
            <w:top w:val="none" w:sz="0" w:space="0" w:color="auto"/>
            <w:left w:val="none" w:sz="0" w:space="0" w:color="auto"/>
            <w:bottom w:val="none" w:sz="0" w:space="0" w:color="auto"/>
            <w:right w:val="none" w:sz="0" w:space="0" w:color="auto"/>
          </w:divBdr>
        </w:div>
      </w:divsChild>
    </w:div>
    <w:div w:id="1413892503">
      <w:bodyDiv w:val="1"/>
      <w:marLeft w:val="0"/>
      <w:marRight w:val="0"/>
      <w:marTop w:val="0"/>
      <w:marBottom w:val="0"/>
      <w:divBdr>
        <w:top w:val="none" w:sz="0" w:space="0" w:color="auto"/>
        <w:left w:val="none" w:sz="0" w:space="0" w:color="auto"/>
        <w:bottom w:val="none" w:sz="0" w:space="0" w:color="auto"/>
        <w:right w:val="none" w:sz="0" w:space="0" w:color="auto"/>
      </w:divBdr>
    </w:div>
    <w:div w:id="1416437287">
      <w:bodyDiv w:val="1"/>
      <w:marLeft w:val="0"/>
      <w:marRight w:val="0"/>
      <w:marTop w:val="0"/>
      <w:marBottom w:val="0"/>
      <w:divBdr>
        <w:top w:val="none" w:sz="0" w:space="0" w:color="auto"/>
        <w:left w:val="none" w:sz="0" w:space="0" w:color="auto"/>
        <w:bottom w:val="none" w:sz="0" w:space="0" w:color="auto"/>
        <w:right w:val="none" w:sz="0" w:space="0" w:color="auto"/>
      </w:divBdr>
    </w:div>
    <w:div w:id="1423794363">
      <w:bodyDiv w:val="1"/>
      <w:marLeft w:val="0"/>
      <w:marRight w:val="0"/>
      <w:marTop w:val="0"/>
      <w:marBottom w:val="0"/>
      <w:divBdr>
        <w:top w:val="none" w:sz="0" w:space="0" w:color="auto"/>
        <w:left w:val="none" w:sz="0" w:space="0" w:color="auto"/>
        <w:bottom w:val="none" w:sz="0" w:space="0" w:color="auto"/>
        <w:right w:val="none" w:sz="0" w:space="0" w:color="auto"/>
      </w:divBdr>
    </w:div>
    <w:div w:id="1439329483">
      <w:bodyDiv w:val="1"/>
      <w:marLeft w:val="0"/>
      <w:marRight w:val="0"/>
      <w:marTop w:val="0"/>
      <w:marBottom w:val="0"/>
      <w:divBdr>
        <w:top w:val="none" w:sz="0" w:space="0" w:color="auto"/>
        <w:left w:val="none" w:sz="0" w:space="0" w:color="auto"/>
        <w:bottom w:val="none" w:sz="0" w:space="0" w:color="auto"/>
        <w:right w:val="none" w:sz="0" w:space="0" w:color="auto"/>
      </w:divBdr>
    </w:div>
    <w:div w:id="1458916901">
      <w:bodyDiv w:val="1"/>
      <w:marLeft w:val="0"/>
      <w:marRight w:val="0"/>
      <w:marTop w:val="0"/>
      <w:marBottom w:val="0"/>
      <w:divBdr>
        <w:top w:val="none" w:sz="0" w:space="0" w:color="auto"/>
        <w:left w:val="none" w:sz="0" w:space="0" w:color="auto"/>
        <w:bottom w:val="none" w:sz="0" w:space="0" w:color="auto"/>
        <w:right w:val="none" w:sz="0" w:space="0" w:color="auto"/>
      </w:divBdr>
      <w:divsChild>
        <w:div w:id="1034768061">
          <w:marLeft w:val="288"/>
          <w:marRight w:val="0"/>
          <w:marTop w:val="67"/>
          <w:marBottom w:val="0"/>
          <w:divBdr>
            <w:top w:val="none" w:sz="0" w:space="0" w:color="auto"/>
            <w:left w:val="none" w:sz="0" w:space="0" w:color="auto"/>
            <w:bottom w:val="none" w:sz="0" w:space="0" w:color="auto"/>
            <w:right w:val="none" w:sz="0" w:space="0" w:color="auto"/>
          </w:divBdr>
        </w:div>
        <w:div w:id="1144588689">
          <w:marLeft w:val="288"/>
          <w:marRight w:val="0"/>
          <w:marTop w:val="67"/>
          <w:marBottom w:val="0"/>
          <w:divBdr>
            <w:top w:val="none" w:sz="0" w:space="0" w:color="auto"/>
            <w:left w:val="none" w:sz="0" w:space="0" w:color="auto"/>
            <w:bottom w:val="none" w:sz="0" w:space="0" w:color="auto"/>
            <w:right w:val="none" w:sz="0" w:space="0" w:color="auto"/>
          </w:divBdr>
        </w:div>
        <w:div w:id="1926525161">
          <w:marLeft w:val="288"/>
          <w:marRight w:val="0"/>
          <w:marTop w:val="67"/>
          <w:marBottom w:val="0"/>
          <w:divBdr>
            <w:top w:val="none" w:sz="0" w:space="0" w:color="auto"/>
            <w:left w:val="none" w:sz="0" w:space="0" w:color="auto"/>
            <w:bottom w:val="none" w:sz="0" w:space="0" w:color="auto"/>
            <w:right w:val="none" w:sz="0" w:space="0" w:color="auto"/>
          </w:divBdr>
        </w:div>
      </w:divsChild>
    </w:div>
    <w:div w:id="1460416132">
      <w:bodyDiv w:val="1"/>
      <w:marLeft w:val="0"/>
      <w:marRight w:val="0"/>
      <w:marTop w:val="0"/>
      <w:marBottom w:val="0"/>
      <w:divBdr>
        <w:top w:val="none" w:sz="0" w:space="0" w:color="auto"/>
        <w:left w:val="none" w:sz="0" w:space="0" w:color="auto"/>
        <w:bottom w:val="none" w:sz="0" w:space="0" w:color="auto"/>
        <w:right w:val="none" w:sz="0" w:space="0" w:color="auto"/>
      </w:divBdr>
      <w:divsChild>
        <w:div w:id="1651061018">
          <w:marLeft w:val="0"/>
          <w:marRight w:val="0"/>
          <w:marTop w:val="0"/>
          <w:marBottom w:val="0"/>
          <w:divBdr>
            <w:top w:val="none" w:sz="0" w:space="0" w:color="auto"/>
            <w:left w:val="none" w:sz="0" w:space="0" w:color="auto"/>
            <w:bottom w:val="none" w:sz="0" w:space="0" w:color="auto"/>
            <w:right w:val="none" w:sz="0" w:space="0" w:color="auto"/>
          </w:divBdr>
          <w:divsChild>
            <w:div w:id="882014823">
              <w:marLeft w:val="0"/>
              <w:marRight w:val="0"/>
              <w:marTop w:val="0"/>
              <w:marBottom w:val="0"/>
              <w:divBdr>
                <w:top w:val="none" w:sz="0" w:space="0" w:color="auto"/>
                <w:left w:val="none" w:sz="0" w:space="0" w:color="auto"/>
                <w:bottom w:val="none" w:sz="0" w:space="0" w:color="auto"/>
                <w:right w:val="none" w:sz="0" w:space="0" w:color="auto"/>
              </w:divBdr>
              <w:divsChild>
                <w:div w:id="715929362">
                  <w:marLeft w:val="0"/>
                  <w:marRight w:val="0"/>
                  <w:marTop w:val="0"/>
                  <w:marBottom w:val="0"/>
                  <w:divBdr>
                    <w:top w:val="none" w:sz="0" w:space="0" w:color="auto"/>
                    <w:left w:val="none" w:sz="0" w:space="0" w:color="auto"/>
                    <w:bottom w:val="none" w:sz="0" w:space="0" w:color="auto"/>
                    <w:right w:val="none" w:sz="0" w:space="0" w:color="auto"/>
                  </w:divBdr>
                  <w:divsChild>
                    <w:div w:id="2066173935">
                      <w:marLeft w:val="0"/>
                      <w:marRight w:val="0"/>
                      <w:marTop w:val="0"/>
                      <w:marBottom w:val="0"/>
                      <w:divBdr>
                        <w:top w:val="none" w:sz="0" w:space="0" w:color="auto"/>
                        <w:left w:val="none" w:sz="0" w:space="0" w:color="auto"/>
                        <w:bottom w:val="none" w:sz="0" w:space="0" w:color="auto"/>
                        <w:right w:val="none" w:sz="0" w:space="0" w:color="auto"/>
                      </w:divBdr>
                      <w:divsChild>
                        <w:div w:id="134764523">
                          <w:marLeft w:val="0"/>
                          <w:marRight w:val="0"/>
                          <w:marTop w:val="0"/>
                          <w:marBottom w:val="0"/>
                          <w:divBdr>
                            <w:top w:val="none" w:sz="0" w:space="0" w:color="auto"/>
                            <w:left w:val="none" w:sz="0" w:space="0" w:color="auto"/>
                            <w:bottom w:val="none" w:sz="0" w:space="0" w:color="auto"/>
                            <w:right w:val="none" w:sz="0" w:space="0" w:color="auto"/>
                          </w:divBdr>
                          <w:divsChild>
                            <w:div w:id="75289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42414">
      <w:bodyDiv w:val="1"/>
      <w:marLeft w:val="0"/>
      <w:marRight w:val="0"/>
      <w:marTop w:val="0"/>
      <w:marBottom w:val="0"/>
      <w:divBdr>
        <w:top w:val="none" w:sz="0" w:space="0" w:color="auto"/>
        <w:left w:val="none" w:sz="0" w:space="0" w:color="auto"/>
        <w:bottom w:val="none" w:sz="0" w:space="0" w:color="auto"/>
        <w:right w:val="none" w:sz="0" w:space="0" w:color="auto"/>
      </w:divBdr>
    </w:div>
    <w:div w:id="1486164747">
      <w:bodyDiv w:val="1"/>
      <w:marLeft w:val="0"/>
      <w:marRight w:val="0"/>
      <w:marTop w:val="0"/>
      <w:marBottom w:val="0"/>
      <w:divBdr>
        <w:top w:val="none" w:sz="0" w:space="0" w:color="auto"/>
        <w:left w:val="none" w:sz="0" w:space="0" w:color="auto"/>
        <w:bottom w:val="none" w:sz="0" w:space="0" w:color="auto"/>
        <w:right w:val="none" w:sz="0" w:space="0" w:color="auto"/>
      </w:divBdr>
    </w:div>
    <w:div w:id="1520587170">
      <w:bodyDiv w:val="1"/>
      <w:marLeft w:val="0"/>
      <w:marRight w:val="0"/>
      <w:marTop w:val="0"/>
      <w:marBottom w:val="0"/>
      <w:divBdr>
        <w:top w:val="none" w:sz="0" w:space="0" w:color="auto"/>
        <w:left w:val="none" w:sz="0" w:space="0" w:color="auto"/>
        <w:bottom w:val="none" w:sz="0" w:space="0" w:color="auto"/>
        <w:right w:val="none" w:sz="0" w:space="0" w:color="auto"/>
      </w:divBdr>
    </w:div>
    <w:div w:id="1540817863">
      <w:bodyDiv w:val="1"/>
      <w:marLeft w:val="0"/>
      <w:marRight w:val="0"/>
      <w:marTop w:val="0"/>
      <w:marBottom w:val="0"/>
      <w:divBdr>
        <w:top w:val="none" w:sz="0" w:space="0" w:color="auto"/>
        <w:left w:val="none" w:sz="0" w:space="0" w:color="auto"/>
        <w:bottom w:val="none" w:sz="0" w:space="0" w:color="auto"/>
        <w:right w:val="none" w:sz="0" w:space="0" w:color="auto"/>
      </w:divBdr>
    </w:div>
    <w:div w:id="1563443721">
      <w:bodyDiv w:val="1"/>
      <w:marLeft w:val="0"/>
      <w:marRight w:val="0"/>
      <w:marTop w:val="0"/>
      <w:marBottom w:val="0"/>
      <w:divBdr>
        <w:top w:val="none" w:sz="0" w:space="0" w:color="auto"/>
        <w:left w:val="none" w:sz="0" w:space="0" w:color="auto"/>
        <w:bottom w:val="none" w:sz="0" w:space="0" w:color="auto"/>
        <w:right w:val="none" w:sz="0" w:space="0" w:color="auto"/>
      </w:divBdr>
      <w:divsChild>
        <w:div w:id="686449423">
          <w:marLeft w:val="0"/>
          <w:marRight w:val="0"/>
          <w:marTop w:val="0"/>
          <w:marBottom w:val="0"/>
          <w:divBdr>
            <w:top w:val="none" w:sz="0" w:space="0" w:color="auto"/>
            <w:left w:val="none" w:sz="0" w:space="0" w:color="auto"/>
            <w:bottom w:val="none" w:sz="0" w:space="0" w:color="auto"/>
            <w:right w:val="none" w:sz="0" w:space="0" w:color="auto"/>
          </w:divBdr>
          <w:divsChild>
            <w:div w:id="1266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6679">
      <w:bodyDiv w:val="1"/>
      <w:marLeft w:val="0"/>
      <w:marRight w:val="0"/>
      <w:marTop w:val="0"/>
      <w:marBottom w:val="0"/>
      <w:divBdr>
        <w:top w:val="none" w:sz="0" w:space="0" w:color="auto"/>
        <w:left w:val="none" w:sz="0" w:space="0" w:color="auto"/>
        <w:bottom w:val="none" w:sz="0" w:space="0" w:color="auto"/>
        <w:right w:val="none" w:sz="0" w:space="0" w:color="auto"/>
      </w:divBdr>
    </w:div>
    <w:div w:id="1593854289">
      <w:bodyDiv w:val="1"/>
      <w:marLeft w:val="0"/>
      <w:marRight w:val="0"/>
      <w:marTop w:val="0"/>
      <w:marBottom w:val="0"/>
      <w:divBdr>
        <w:top w:val="none" w:sz="0" w:space="0" w:color="auto"/>
        <w:left w:val="none" w:sz="0" w:space="0" w:color="auto"/>
        <w:bottom w:val="none" w:sz="0" w:space="0" w:color="auto"/>
        <w:right w:val="none" w:sz="0" w:space="0" w:color="auto"/>
      </w:divBdr>
    </w:div>
    <w:div w:id="1602178841">
      <w:bodyDiv w:val="1"/>
      <w:marLeft w:val="0"/>
      <w:marRight w:val="0"/>
      <w:marTop w:val="0"/>
      <w:marBottom w:val="0"/>
      <w:divBdr>
        <w:top w:val="none" w:sz="0" w:space="0" w:color="auto"/>
        <w:left w:val="none" w:sz="0" w:space="0" w:color="auto"/>
        <w:bottom w:val="none" w:sz="0" w:space="0" w:color="auto"/>
        <w:right w:val="none" w:sz="0" w:space="0" w:color="auto"/>
      </w:divBdr>
    </w:div>
    <w:div w:id="1607495924">
      <w:bodyDiv w:val="1"/>
      <w:marLeft w:val="0"/>
      <w:marRight w:val="0"/>
      <w:marTop w:val="0"/>
      <w:marBottom w:val="0"/>
      <w:divBdr>
        <w:top w:val="none" w:sz="0" w:space="0" w:color="auto"/>
        <w:left w:val="none" w:sz="0" w:space="0" w:color="auto"/>
        <w:bottom w:val="none" w:sz="0" w:space="0" w:color="auto"/>
        <w:right w:val="none" w:sz="0" w:space="0" w:color="auto"/>
      </w:divBdr>
    </w:div>
    <w:div w:id="1607957980">
      <w:bodyDiv w:val="1"/>
      <w:marLeft w:val="0"/>
      <w:marRight w:val="0"/>
      <w:marTop w:val="0"/>
      <w:marBottom w:val="0"/>
      <w:divBdr>
        <w:top w:val="none" w:sz="0" w:space="0" w:color="auto"/>
        <w:left w:val="none" w:sz="0" w:space="0" w:color="auto"/>
        <w:bottom w:val="none" w:sz="0" w:space="0" w:color="auto"/>
        <w:right w:val="none" w:sz="0" w:space="0" w:color="auto"/>
      </w:divBdr>
    </w:div>
    <w:div w:id="1626034192">
      <w:bodyDiv w:val="1"/>
      <w:marLeft w:val="0"/>
      <w:marRight w:val="0"/>
      <w:marTop w:val="0"/>
      <w:marBottom w:val="0"/>
      <w:divBdr>
        <w:top w:val="none" w:sz="0" w:space="0" w:color="auto"/>
        <w:left w:val="none" w:sz="0" w:space="0" w:color="auto"/>
        <w:bottom w:val="none" w:sz="0" w:space="0" w:color="auto"/>
        <w:right w:val="none" w:sz="0" w:space="0" w:color="auto"/>
      </w:divBdr>
    </w:div>
    <w:div w:id="1628507856">
      <w:bodyDiv w:val="1"/>
      <w:marLeft w:val="0"/>
      <w:marRight w:val="0"/>
      <w:marTop w:val="0"/>
      <w:marBottom w:val="0"/>
      <w:divBdr>
        <w:top w:val="none" w:sz="0" w:space="0" w:color="auto"/>
        <w:left w:val="none" w:sz="0" w:space="0" w:color="auto"/>
        <w:bottom w:val="none" w:sz="0" w:space="0" w:color="auto"/>
        <w:right w:val="none" w:sz="0" w:space="0" w:color="auto"/>
      </w:divBdr>
    </w:div>
    <w:div w:id="1641031969">
      <w:bodyDiv w:val="1"/>
      <w:marLeft w:val="0"/>
      <w:marRight w:val="0"/>
      <w:marTop w:val="0"/>
      <w:marBottom w:val="0"/>
      <w:divBdr>
        <w:top w:val="none" w:sz="0" w:space="0" w:color="auto"/>
        <w:left w:val="none" w:sz="0" w:space="0" w:color="auto"/>
        <w:bottom w:val="none" w:sz="0" w:space="0" w:color="auto"/>
        <w:right w:val="none" w:sz="0" w:space="0" w:color="auto"/>
      </w:divBdr>
    </w:div>
    <w:div w:id="1643273698">
      <w:bodyDiv w:val="1"/>
      <w:marLeft w:val="0"/>
      <w:marRight w:val="0"/>
      <w:marTop w:val="0"/>
      <w:marBottom w:val="0"/>
      <w:divBdr>
        <w:top w:val="none" w:sz="0" w:space="0" w:color="auto"/>
        <w:left w:val="none" w:sz="0" w:space="0" w:color="auto"/>
        <w:bottom w:val="none" w:sz="0" w:space="0" w:color="auto"/>
        <w:right w:val="none" w:sz="0" w:space="0" w:color="auto"/>
      </w:divBdr>
    </w:div>
    <w:div w:id="1651866572">
      <w:bodyDiv w:val="1"/>
      <w:marLeft w:val="0"/>
      <w:marRight w:val="0"/>
      <w:marTop w:val="0"/>
      <w:marBottom w:val="0"/>
      <w:divBdr>
        <w:top w:val="none" w:sz="0" w:space="0" w:color="auto"/>
        <w:left w:val="none" w:sz="0" w:space="0" w:color="auto"/>
        <w:bottom w:val="none" w:sz="0" w:space="0" w:color="auto"/>
        <w:right w:val="none" w:sz="0" w:space="0" w:color="auto"/>
      </w:divBdr>
    </w:div>
    <w:div w:id="1667513830">
      <w:bodyDiv w:val="1"/>
      <w:marLeft w:val="0"/>
      <w:marRight w:val="0"/>
      <w:marTop w:val="0"/>
      <w:marBottom w:val="0"/>
      <w:divBdr>
        <w:top w:val="none" w:sz="0" w:space="0" w:color="auto"/>
        <w:left w:val="none" w:sz="0" w:space="0" w:color="auto"/>
        <w:bottom w:val="none" w:sz="0" w:space="0" w:color="auto"/>
        <w:right w:val="none" w:sz="0" w:space="0" w:color="auto"/>
      </w:divBdr>
    </w:div>
    <w:div w:id="1674065997">
      <w:bodyDiv w:val="1"/>
      <w:marLeft w:val="0"/>
      <w:marRight w:val="0"/>
      <w:marTop w:val="0"/>
      <w:marBottom w:val="0"/>
      <w:divBdr>
        <w:top w:val="none" w:sz="0" w:space="0" w:color="auto"/>
        <w:left w:val="none" w:sz="0" w:space="0" w:color="auto"/>
        <w:bottom w:val="none" w:sz="0" w:space="0" w:color="auto"/>
        <w:right w:val="none" w:sz="0" w:space="0" w:color="auto"/>
      </w:divBdr>
    </w:div>
    <w:div w:id="1693802508">
      <w:bodyDiv w:val="1"/>
      <w:marLeft w:val="0"/>
      <w:marRight w:val="0"/>
      <w:marTop w:val="0"/>
      <w:marBottom w:val="0"/>
      <w:divBdr>
        <w:top w:val="none" w:sz="0" w:space="0" w:color="auto"/>
        <w:left w:val="none" w:sz="0" w:space="0" w:color="auto"/>
        <w:bottom w:val="none" w:sz="0" w:space="0" w:color="auto"/>
        <w:right w:val="none" w:sz="0" w:space="0" w:color="auto"/>
      </w:divBdr>
    </w:div>
    <w:div w:id="1702315569">
      <w:bodyDiv w:val="1"/>
      <w:marLeft w:val="0"/>
      <w:marRight w:val="0"/>
      <w:marTop w:val="0"/>
      <w:marBottom w:val="0"/>
      <w:divBdr>
        <w:top w:val="none" w:sz="0" w:space="0" w:color="auto"/>
        <w:left w:val="none" w:sz="0" w:space="0" w:color="auto"/>
        <w:bottom w:val="none" w:sz="0" w:space="0" w:color="auto"/>
        <w:right w:val="none" w:sz="0" w:space="0" w:color="auto"/>
      </w:divBdr>
    </w:div>
    <w:div w:id="1704164142">
      <w:bodyDiv w:val="1"/>
      <w:marLeft w:val="0"/>
      <w:marRight w:val="0"/>
      <w:marTop w:val="0"/>
      <w:marBottom w:val="0"/>
      <w:divBdr>
        <w:top w:val="none" w:sz="0" w:space="0" w:color="auto"/>
        <w:left w:val="none" w:sz="0" w:space="0" w:color="auto"/>
        <w:bottom w:val="none" w:sz="0" w:space="0" w:color="auto"/>
        <w:right w:val="none" w:sz="0" w:space="0" w:color="auto"/>
      </w:divBdr>
    </w:div>
    <w:div w:id="1750694054">
      <w:bodyDiv w:val="1"/>
      <w:marLeft w:val="0"/>
      <w:marRight w:val="0"/>
      <w:marTop w:val="0"/>
      <w:marBottom w:val="0"/>
      <w:divBdr>
        <w:top w:val="none" w:sz="0" w:space="0" w:color="auto"/>
        <w:left w:val="none" w:sz="0" w:space="0" w:color="auto"/>
        <w:bottom w:val="none" w:sz="0" w:space="0" w:color="auto"/>
        <w:right w:val="none" w:sz="0" w:space="0" w:color="auto"/>
      </w:divBdr>
    </w:div>
    <w:div w:id="1765035094">
      <w:bodyDiv w:val="1"/>
      <w:marLeft w:val="0"/>
      <w:marRight w:val="0"/>
      <w:marTop w:val="0"/>
      <w:marBottom w:val="0"/>
      <w:divBdr>
        <w:top w:val="none" w:sz="0" w:space="0" w:color="auto"/>
        <w:left w:val="none" w:sz="0" w:space="0" w:color="auto"/>
        <w:bottom w:val="none" w:sz="0" w:space="0" w:color="auto"/>
        <w:right w:val="none" w:sz="0" w:space="0" w:color="auto"/>
      </w:divBdr>
    </w:div>
    <w:div w:id="1820346978">
      <w:bodyDiv w:val="1"/>
      <w:marLeft w:val="0"/>
      <w:marRight w:val="0"/>
      <w:marTop w:val="0"/>
      <w:marBottom w:val="0"/>
      <w:divBdr>
        <w:top w:val="none" w:sz="0" w:space="0" w:color="auto"/>
        <w:left w:val="none" w:sz="0" w:space="0" w:color="auto"/>
        <w:bottom w:val="none" w:sz="0" w:space="0" w:color="auto"/>
        <w:right w:val="none" w:sz="0" w:space="0" w:color="auto"/>
      </w:divBdr>
      <w:divsChild>
        <w:div w:id="1003313231">
          <w:marLeft w:val="0"/>
          <w:marRight w:val="0"/>
          <w:marTop w:val="0"/>
          <w:marBottom w:val="0"/>
          <w:divBdr>
            <w:top w:val="none" w:sz="0" w:space="0" w:color="auto"/>
            <w:left w:val="none" w:sz="0" w:space="0" w:color="auto"/>
            <w:bottom w:val="none" w:sz="0" w:space="0" w:color="auto"/>
            <w:right w:val="none" w:sz="0" w:space="0" w:color="auto"/>
          </w:divBdr>
          <w:divsChild>
            <w:div w:id="583346510">
              <w:marLeft w:val="0"/>
              <w:marRight w:val="0"/>
              <w:marTop w:val="0"/>
              <w:marBottom w:val="0"/>
              <w:divBdr>
                <w:top w:val="none" w:sz="0" w:space="0" w:color="auto"/>
                <w:left w:val="none" w:sz="0" w:space="0" w:color="auto"/>
                <w:bottom w:val="none" w:sz="0" w:space="0" w:color="auto"/>
                <w:right w:val="none" w:sz="0" w:space="0" w:color="auto"/>
              </w:divBdr>
            </w:div>
            <w:div w:id="9274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27277">
      <w:bodyDiv w:val="1"/>
      <w:marLeft w:val="0"/>
      <w:marRight w:val="0"/>
      <w:marTop w:val="0"/>
      <w:marBottom w:val="0"/>
      <w:divBdr>
        <w:top w:val="none" w:sz="0" w:space="0" w:color="auto"/>
        <w:left w:val="none" w:sz="0" w:space="0" w:color="auto"/>
        <w:bottom w:val="none" w:sz="0" w:space="0" w:color="auto"/>
        <w:right w:val="none" w:sz="0" w:space="0" w:color="auto"/>
      </w:divBdr>
    </w:div>
    <w:div w:id="1842044916">
      <w:bodyDiv w:val="1"/>
      <w:marLeft w:val="0"/>
      <w:marRight w:val="0"/>
      <w:marTop w:val="0"/>
      <w:marBottom w:val="0"/>
      <w:divBdr>
        <w:top w:val="none" w:sz="0" w:space="0" w:color="auto"/>
        <w:left w:val="none" w:sz="0" w:space="0" w:color="auto"/>
        <w:bottom w:val="none" w:sz="0" w:space="0" w:color="auto"/>
        <w:right w:val="none" w:sz="0" w:space="0" w:color="auto"/>
      </w:divBdr>
    </w:div>
    <w:div w:id="1855993451">
      <w:bodyDiv w:val="1"/>
      <w:marLeft w:val="0"/>
      <w:marRight w:val="0"/>
      <w:marTop w:val="0"/>
      <w:marBottom w:val="0"/>
      <w:divBdr>
        <w:top w:val="none" w:sz="0" w:space="0" w:color="auto"/>
        <w:left w:val="none" w:sz="0" w:space="0" w:color="auto"/>
        <w:bottom w:val="none" w:sz="0" w:space="0" w:color="auto"/>
        <w:right w:val="none" w:sz="0" w:space="0" w:color="auto"/>
      </w:divBdr>
    </w:div>
    <w:div w:id="1887066797">
      <w:bodyDiv w:val="1"/>
      <w:marLeft w:val="0"/>
      <w:marRight w:val="0"/>
      <w:marTop w:val="0"/>
      <w:marBottom w:val="0"/>
      <w:divBdr>
        <w:top w:val="none" w:sz="0" w:space="0" w:color="auto"/>
        <w:left w:val="none" w:sz="0" w:space="0" w:color="auto"/>
        <w:bottom w:val="none" w:sz="0" w:space="0" w:color="auto"/>
        <w:right w:val="none" w:sz="0" w:space="0" w:color="auto"/>
      </w:divBdr>
    </w:div>
    <w:div w:id="1936358579">
      <w:bodyDiv w:val="1"/>
      <w:marLeft w:val="0"/>
      <w:marRight w:val="0"/>
      <w:marTop w:val="0"/>
      <w:marBottom w:val="0"/>
      <w:divBdr>
        <w:top w:val="none" w:sz="0" w:space="0" w:color="auto"/>
        <w:left w:val="none" w:sz="0" w:space="0" w:color="auto"/>
        <w:bottom w:val="none" w:sz="0" w:space="0" w:color="auto"/>
        <w:right w:val="none" w:sz="0" w:space="0" w:color="auto"/>
      </w:divBdr>
      <w:divsChild>
        <w:div w:id="681132036">
          <w:marLeft w:val="0"/>
          <w:marRight w:val="0"/>
          <w:marTop w:val="0"/>
          <w:marBottom w:val="0"/>
          <w:divBdr>
            <w:top w:val="none" w:sz="0" w:space="0" w:color="auto"/>
            <w:left w:val="none" w:sz="0" w:space="0" w:color="auto"/>
            <w:bottom w:val="none" w:sz="0" w:space="0" w:color="auto"/>
            <w:right w:val="none" w:sz="0" w:space="0" w:color="auto"/>
          </w:divBdr>
          <w:divsChild>
            <w:div w:id="1549873335">
              <w:marLeft w:val="0"/>
              <w:marRight w:val="0"/>
              <w:marTop w:val="0"/>
              <w:marBottom w:val="0"/>
              <w:divBdr>
                <w:top w:val="none" w:sz="0" w:space="0" w:color="auto"/>
                <w:left w:val="none" w:sz="0" w:space="0" w:color="auto"/>
                <w:bottom w:val="none" w:sz="0" w:space="0" w:color="auto"/>
                <w:right w:val="none" w:sz="0" w:space="0" w:color="auto"/>
              </w:divBdr>
            </w:div>
            <w:div w:id="1861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05936">
      <w:bodyDiv w:val="1"/>
      <w:marLeft w:val="0"/>
      <w:marRight w:val="0"/>
      <w:marTop w:val="0"/>
      <w:marBottom w:val="0"/>
      <w:divBdr>
        <w:top w:val="none" w:sz="0" w:space="0" w:color="auto"/>
        <w:left w:val="none" w:sz="0" w:space="0" w:color="auto"/>
        <w:bottom w:val="none" w:sz="0" w:space="0" w:color="auto"/>
        <w:right w:val="none" w:sz="0" w:space="0" w:color="auto"/>
      </w:divBdr>
    </w:div>
    <w:div w:id="1978997756">
      <w:bodyDiv w:val="1"/>
      <w:marLeft w:val="0"/>
      <w:marRight w:val="0"/>
      <w:marTop w:val="0"/>
      <w:marBottom w:val="0"/>
      <w:divBdr>
        <w:top w:val="none" w:sz="0" w:space="0" w:color="auto"/>
        <w:left w:val="none" w:sz="0" w:space="0" w:color="auto"/>
        <w:bottom w:val="none" w:sz="0" w:space="0" w:color="auto"/>
        <w:right w:val="none" w:sz="0" w:space="0" w:color="auto"/>
      </w:divBdr>
      <w:divsChild>
        <w:div w:id="573666472">
          <w:marLeft w:val="288"/>
          <w:marRight w:val="0"/>
          <w:marTop w:val="77"/>
          <w:marBottom w:val="0"/>
          <w:divBdr>
            <w:top w:val="none" w:sz="0" w:space="0" w:color="auto"/>
            <w:left w:val="none" w:sz="0" w:space="0" w:color="auto"/>
            <w:bottom w:val="none" w:sz="0" w:space="0" w:color="auto"/>
            <w:right w:val="none" w:sz="0" w:space="0" w:color="auto"/>
          </w:divBdr>
        </w:div>
      </w:divsChild>
    </w:div>
    <w:div w:id="1994333629">
      <w:bodyDiv w:val="1"/>
      <w:marLeft w:val="0"/>
      <w:marRight w:val="0"/>
      <w:marTop w:val="0"/>
      <w:marBottom w:val="0"/>
      <w:divBdr>
        <w:top w:val="none" w:sz="0" w:space="0" w:color="auto"/>
        <w:left w:val="none" w:sz="0" w:space="0" w:color="auto"/>
        <w:bottom w:val="none" w:sz="0" w:space="0" w:color="auto"/>
        <w:right w:val="none" w:sz="0" w:space="0" w:color="auto"/>
      </w:divBdr>
    </w:div>
    <w:div w:id="2029484208">
      <w:bodyDiv w:val="1"/>
      <w:marLeft w:val="0"/>
      <w:marRight w:val="0"/>
      <w:marTop w:val="0"/>
      <w:marBottom w:val="0"/>
      <w:divBdr>
        <w:top w:val="none" w:sz="0" w:space="0" w:color="auto"/>
        <w:left w:val="none" w:sz="0" w:space="0" w:color="auto"/>
        <w:bottom w:val="none" w:sz="0" w:space="0" w:color="auto"/>
        <w:right w:val="none" w:sz="0" w:space="0" w:color="auto"/>
      </w:divBdr>
    </w:div>
    <w:div w:id="2041933685">
      <w:bodyDiv w:val="1"/>
      <w:marLeft w:val="0"/>
      <w:marRight w:val="0"/>
      <w:marTop w:val="0"/>
      <w:marBottom w:val="0"/>
      <w:divBdr>
        <w:top w:val="none" w:sz="0" w:space="0" w:color="auto"/>
        <w:left w:val="none" w:sz="0" w:space="0" w:color="auto"/>
        <w:bottom w:val="none" w:sz="0" w:space="0" w:color="auto"/>
        <w:right w:val="none" w:sz="0" w:space="0" w:color="auto"/>
      </w:divBdr>
    </w:div>
    <w:div w:id="2043356934">
      <w:bodyDiv w:val="1"/>
      <w:marLeft w:val="0"/>
      <w:marRight w:val="0"/>
      <w:marTop w:val="0"/>
      <w:marBottom w:val="0"/>
      <w:divBdr>
        <w:top w:val="none" w:sz="0" w:space="0" w:color="auto"/>
        <w:left w:val="none" w:sz="0" w:space="0" w:color="auto"/>
        <w:bottom w:val="none" w:sz="0" w:space="0" w:color="auto"/>
        <w:right w:val="none" w:sz="0" w:space="0" w:color="auto"/>
      </w:divBdr>
    </w:div>
    <w:div w:id="2044095081">
      <w:bodyDiv w:val="1"/>
      <w:marLeft w:val="0"/>
      <w:marRight w:val="0"/>
      <w:marTop w:val="0"/>
      <w:marBottom w:val="0"/>
      <w:divBdr>
        <w:top w:val="none" w:sz="0" w:space="0" w:color="auto"/>
        <w:left w:val="none" w:sz="0" w:space="0" w:color="auto"/>
        <w:bottom w:val="none" w:sz="0" w:space="0" w:color="auto"/>
        <w:right w:val="none" w:sz="0" w:space="0" w:color="auto"/>
      </w:divBdr>
    </w:div>
    <w:div w:id="2045517137">
      <w:bodyDiv w:val="1"/>
      <w:marLeft w:val="0"/>
      <w:marRight w:val="0"/>
      <w:marTop w:val="0"/>
      <w:marBottom w:val="0"/>
      <w:divBdr>
        <w:top w:val="none" w:sz="0" w:space="0" w:color="auto"/>
        <w:left w:val="none" w:sz="0" w:space="0" w:color="auto"/>
        <w:bottom w:val="none" w:sz="0" w:space="0" w:color="auto"/>
        <w:right w:val="none" w:sz="0" w:space="0" w:color="auto"/>
      </w:divBdr>
    </w:div>
    <w:div w:id="2047750647">
      <w:bodyDiv w:val="1"/>
      <w:marLeft w:val="0"/>
      <w:marRight w:val="0"/>
      <w:marTop w:val="0"/>
      <w:marBottom w:val="0"/>
      <w:divBdr>
        <w:top w:val="none" w:sz="0" w:space="0" w:color="auto"/>
        <w:left w:val="none" w:sz="0" w:space="0" w:color="auto"/>
        <w:bottom w:val="none" w:sz="0" w:space="0" w:color="auto"/>
        <w:right w:val="none" w:sz="0" w:space="0" w:color="auto"/>
      </w:divBdr>
    </w:div>
    <w:div w:id="2062097578">
      <w:bodyDiv w:val="1"/>
      <w:marLeft w:val="0"/>
      <w:marRight w:val="0"/>
      <w:marTop w:val="0"/>
      <w:marBottom w:val="0"/>
      <w:divBdr>
        <w:top w:val="none" w:sz="0" w:space="0" w:color="auto"/>
        <w:left w:val="none" w:sz="0" w:space="0" w:color="auto"/>
        <w:bottom w:val="none" w:sz="0" w:space="0" w:color="auto"/>
        <w:right w:val="none" w:sz="0" w:space="0" w:color="auto"/>
      </w:divBdr>
      <w:divsChild>
        <w:div w:id="342905336">
          <w:marLeft w:val="547"/>
          <w:marRight w:val="0"/>
          <w:marTop w:val="0"/>
          <w:marBottom w:val="240"/>
          <w:divBdr>
            <w:top w:val="none" w:sz="0" w:space="0" w:color="auto"/>
            <w:left w:val="none" w:sz="0" w:space="0" w:color="auto"/>
            <w:bottom w:val="none" w:sz="0" w:space="0" w:color="auto"/>
            <w:right w:val="none" w:sz="0" w:space="0" w:color="auto"/>
          </w:divBdr>
        </w:div>
        <w:div w:id="751857361">
          <w:marLeft w:val="547"/>
          <w:marRight w:val="0"/>
          <w:marTop w:val="0"/>
          <w:marBottom w:val="240"/>
          <w:divBdr>
            <w:top w:val="none" w:sz="0" w:space="0" w:color="auto"/>
            <w:left w:val="none" w:sz="0" w:space="0" w:color="auto"/>
            <w:bottom w:val="none" w:sz="0" w:space="0" w:color="auto"/>
            <w:right w:val="none" w:sz="0" w:space="0" w:color="auto"/>
          </w:divBdr>
        </w:div>
        <w:div w:id="920213762">
          <w:marLeft w:val="547"/>
          <w:marRight w:val="0"/>
          <w:marTop w:val="0"/>
          <w:marBottom w:val="240"/>
          <w:divBdr>
            <w:top w:val="none" w:sz="0" w:space="0" w:color="auto"/>
            <w:left w:val="none" w:sz="0" w:space="0" w:color="auto"/>
            <w:bottom w:val="none" w:sz="0" w:space="0" w:color="auto"/>
            <w:right w:val="none" w:sz="0" w:space="0" w:color="auto"/>
          </w:divBdr>
        </w:div>
        <w:div w:id="994182077">
          <w:marLeft w:val="547"/>
          <w:marRight w:val="0"/>
          <w:marTop w:val="0"/>
          <w:marBottom w:val="240"/>
          <w:divBdr>
            <w:top w:val="none" w:sz="0" w:space="0" w:color="auto"/>
            <w:left w:val="none" w:sz="0" w:space="0" w:color="auto"/>
            <w:bottom w:val="none" w:sz="0" w:space="0" w:color="auto"/>
            <w:right w:val="none" w:sz="0" w:space="0" w:color="auto"/>
          </w:divBdr>
        </w:div>
        <w:div w:id="1057896347">
          <w:marLeft w:val="547"/>
          <w:marRight w:val="0"/>
          <w:marTop w:val="0"/>
          <w:marBottom w:val="240"/>
          <w:divBdr>
            <w:top w:val="none" w:sz="0" w:space="0" w:color="auto"/>
            <w:left w:val="none" w:sz="0" w:space="0" w:color="auto"/>
            <w:bottom w:val="none" w:sz="0" w:space="0" w:color="auto"/>
            <w:right w:val="none" w:sz="0" w:space="0" w:color="auto"/>
          </w:divBdr>
        </w:div>
        <w:div w:id="1155219994">
          <w:marLeft w:val="547"/>
          <w:marRight w:val="0"/>
          <w:marTop w:val="0"/>
          <w:marBottom w:val="240"/>
          <w:divBdr>
            <w:top w:val="none" w:sz="0" w:space="0" w:color="auto"/>
            <w:left w:val="none" w:sz="0" w:space="0" w:color="auto"/>
            <w:bottom w:val="none" w:sz="0" w:space="0" w:color="auto"/>
            <w:right w:val="none" w:sz="0" w:space="0" w:color="auto"/>
          </w:divBdr>
        </w:div>
      </w:divsChild>
    </w:div>
    <w:div w:id="2070613285">
      <w:bodyDiv w:val="1"/>
      <w:marLeft w:val="0"/>
      <w:marRight w:val="0"/>
      <w:marTop w:val="0"/>
      <w:marBottom w:val="0"/>
      <w:divBdr>
        <w:top w:val="none" w:sz="0" w:space="0" w:color="auto"/>
        <w:left w:val="none" w:sz="0" w:space="0" w:color="auto"/>
        <w:bottom w:val="none" w:sz="0" w:space="0" w:color="auto"/>
        <w:right w:val="none" w:sz="0" w:space="0" w:color="auto"/>
      </w:divBdr>
    </w:div>
    <w:div w:id="2116318141">
      <w:bodyDiv w:val="1"/>
      <w:marLeft w:val="0"/>
      <w:marRight w:val="0"/>
      <w:marTop w:val="0"/>
      <w:marBottom w:val="0"/>
      <w:divBdr>
        <w:top w:val="none" w:sz="0" w:space="0" w:color="auto"/>
        <w:left w:val="none" w:sz="0" w:space="0" w:color="auto"/>
        <w:bottom w:val="none" w:sz="0" w:space="0" w:color="auto"/>
        <w:right w:val="none" w:sz="0" w:space="0" w:color="auto"/>
      </w:divBdr>
    </w:div>
    <w:div w:id="2122796017">
      <w:bodyDiv w:val="1"/>
      <w:marLeft w:val="0"/>
      <w:marRight w:val="0"/>
      <w:marTop w:val="0"/>
      <w:marBottom w:val="0"/>
      <w:divBdr>
        <w:top w:val="none" w:sz="0" w:space="0" w:color="auto"/>
        <w:left w:val="none" w:sz="0" w:space="0" w:color="auto"/>
        <w:bottom w:val="none" w:sz="0" w:space="0" w:color="auto"/>
        <w:right w:val="none" w:sz="0" w:space="0" w:color="auto"/>
      </w:divBdr>
    </w:div>
    <w:div w:id="2134710484">
      <w:bodyDiv w:val="1"/>
      <w:marLeft w:val="0"/>
      <w:marRight w:val="0"/>
      <w:marTop w:val="0"/>
      <w:marBottom w:val="0"/>
      <w:divBdr>
        <w:top w:val="none" w:sz="0" w:space="0" w:color="auto"/>
        <w:left w:val="none" w:sz="0" w:space="0" w:color="auto"/>
        <w:bottom w:val="none" w:sz="0" w:space="0" w:color="auto"/>
        <w:right w:val="none" w:sz="0" w:space="0" w:color="auto"/>
      </w:divBdr>
      <w:divsChild>
        <w:div w:id="1829052258">
          <w:marLeft w:val="288"/>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journals.sagepub.com/doi/10.1177/17588359241231253" TargetMode="External"/><Relationship Id="rId3" Type="http://schemas.openxmlformats.org/officeDocument/2006/relationships/hyperlink" Target="https://www.nccn.org/professionals/physician_gls/pdf/gastric.pdf" TargetMode="External"/><Relationship Id="rId7" Type="http://schemas.openxmlformats.org/officeDocument/2006/relationships/hyperlink" Target="https://www.sciencedirect.com/science/article/pii/S1040842823002858?via%3Dihub" TargetMode="External"/><Relationship Id="rId2" Type="http://schemas.openxmlformats.org/officeDocument/2006/relationships/hyperlink" Target="https://www.canceraustralia.gov.au/cancer-types/stomach-cancer/statistics" TargetMode="External"/><Relationship Id="rId1" Type="http://schemas.openxmlformats.org/officeDocument/2006/relationships/hyperlink" Target="https://www.ema.europa.eu/en/documents/product-information/vyloy-epar-product-information_en.pdf" TargetMode="External"/><Relationship Id="rId6" Type="http://schemas.openxmlformats.org/officeDocument/2006/relationships/hyperlink" Target="https://pubmed.ncbi.nlm.nih.gov/37524953/" TargetMode="External"/><Relationship Id="rId5" Type="http://schemas.openxmlformats.org/officeDocument/2006/relationships/hyperlink" Target="https://www.nice.org.uk/guidance/gid-ta11316/documents/committee-papers" TargetMode="External"/><Relationship Id="rId4" Type="http://schemas.openxmlformats.org/officeDocument/2006/relationships/hyperlink" Target="https://www.pbs.gov.au/industry/listing/elements/pbac-meetings/agenda/pdf/2024/PBAC-meeting-agenda-November-2024-v6.PDF" TargetMode="External"/><Relationship Id="rId9" Type="http://schemas.openxmlformats.org/officeDocument/2006/relationships/hyperlink" Target="https://doi.org/10.1007/s00520-004-060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4" ma:contentTypeDescription="Create a new document." ma:contentTypeScope="" ma:versionID="0ca6119bb704a039e30cded50d496155">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d4a3fedec6abdf427e3bd28fcb8874fa"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60C75-06DE-4895-A7FE-47A55A9835E3}">
  <ds:schemaRefs>
    <ds:schemaRef ds:uri="http://schemas.microsoft.com/office/2006/documentManagement/types"/>
    <ds:schemaRef ds:uri="72f95629-adac-4ec1-8738-e1cec852b92b"/>
    <ds:schemaRef ds:uri="http://purl.org/dc/elements/1.1/"/>
    <ds:schemaRef ds:uri="http://schemas.microsoft.com/office/2006/metadata/properties"/>
    <ds:schemaRef ds:uri="http://purl.org/dc/dcmitype/"/>
    <ds:schemaRef ds:uri="http://purl.org/dc/terms/"/>
    <ds:schemaRef ds:uri="7f856f8d-13b3-495a-9a4b-41f8182eda4c"/>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49C239F-1674-44D9-9079-07753DDDE27E}">
  <ds:schemaRefs>
    <ds:schemaRef ds:uri="http://schemas.openxmlformats.org/officeDocument/2006/bibliography"/>
  </ds:schemaRefs>
</ds:datastoreItem>
</file>

<file path=customXml/itemProps3.xml><?xml version="1.0" encoding="utf-8"?>
<ds:datastoreItem xmlns:ds="http://schemas.openxmlformats.org/officeDocument/2006/customXml" ds:itemID="{51900B85-DF2C-4D7D-8436-126E200DE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DC84F-3DB2-4019-8CAC-074808451E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20462</Words>
  <Characters>119802</Characters>
  <Application>Microsoft Office Word</Application>
  <DocSecurity>0</DocSecurity>
  <Lines>3523</Lines>
  <Paragraphs>2093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138171</CharactersWithSpaces>
  <SharedDoc>false</SharedDoc>
  <HLinks>
    <vt:vector size="54" baseType="variant">
      <vt:variant>
        <vt:i4>983068</vt:i4>
      </vt:variant>
      <vt:variant>
        <vt:i4>24</vt:i4>
      </vt:variant>
      <vt:variant>
        <vt:i4>0</vt:i4>
      </vt:variant>
      <vt:variant>
        <vt:i4>5</vt:i4>
      </vt:variant>
      <vt:variant>
        <vt:lpwstr>https://doi.org/10.1007/s00520-004-0606-5</vt:lpwstr>
      </vt:variant>
      <vt:variant>
        <vt:lpwstr/>
      </vt:variant>
      <vt:variant>
        <vt:i4>3801138</vt:i4>
      </vt:variant>
      <vt:variant>
        <vt:i4>21</vt:i4>
      </vt:variant>
      <vt:variant>
        <vt:i4>0</vt:i4>
      </vt:variant>
      <vt:variant>
        <vt:i4>5</vt:i4>
      </vt:variant>
      <vt:variant>
        <vt:lpwstr>https://journals.sagepub.com/doi/10.1177/17588359241231253</vt:lpwstr>
      </vt:variant>
      <vt:variant>
        <vt:lpwstr/>
      </vt:variant>
      <vt:variant>
        <vt:i4>7667832</vt:i4>
      </vt:variant>
      <vt:variant>
        <vt:i4>18</vt:i4>
      </vt:variant>
      <vt:variant>
        <vt:i4>0</vt:i4>
      </vt:variant>
      <vt:variant>
        <vt:i4>5</vt:i4>
      </vt:variant>
      <vt:variant>
        <vt:lpwstr>https://www.sciencedirect.com/science/article/pii/S1040842823002858?via%3Dihub</vt:lpwstr>
      </vt:variant>
      <vt:variant>
        <vt:lpwstr/>
      </vt:variant>
      <vt:variant>
        <vt:i4>327680</vt:i4>
      </vt:variant>
      <vt:variant>
        <vt:i4>15</vt:i4>
      </vt:variant>
      <vt:variant>
        <vt:i4>0</vt:i4>
      </vt:variant>
      <vt:variant>
        <vt:i4>5</vt:i4>
      </vt:variant>
      <vt:variant>
        <vt:lpwstr>https://pubmed.ncbi.nlm.nih.gov/37524953/</vt:lpwstr>
      </vt:variant>
      <vt:variant>
        <vt:lpwstr/>
      </vt:variant>
      <vt:variant>
        <vt:i4>3932259</vt:i4>
      </vt:variant>
      <vt:variant>
        <vt:i4>12</vt:i4>
      </vt:variant>
      <vt:variant>
        <vt:i4>0</vt:i4>
      </vt:variant>
      <vt:variant>
        <vt:i4>5</vt:i4>
      </vt:variant>
      <vt:variant>
        <vt:lpwstr>https://www.nice.org.uk/guidance/gid-ta11316/documents/committee-papers</vt:lpwstr>
      </vt:variant>
      <vt:variant>
        <vt:lpwstr/>
      </vt:variant>
      <vt:variant>
        <vt:i4>6291559</vt:i4>
      </vt:variant>
      <vt:variant>
        <vt:i4>9</vt:i4>
      </vt:variant>
      <vt:variant>
        <vt:i4>0</vt:i4>
      </vt:variant>
      <vt:variant>
        <vt:i4>5</vt:i4>
      </vt:variant>
      <vt:variant>
        <vt:lpwstr>https://www.pbs.gov.au/industry/listing/elements/pbac-meetings/agenda/pdf/2024/PBAC-meeting-agenda-November-2024-v6.PDF</vt:lpwstr>
      </vt:variant>
      <vt:variant>
        <vt:lpwstr/>
      </vt:variant>
      <vt:variant>
        <vt:i4>5177445</vt:i4>
      </vt:variant>
      <vt:variant>
        <vt:i4>6</vt:i4>
      </vt:variant>
      <vt:variant>
        <vt:i4>0</vt:i4>
      </vt:variant>
      <vt:variant>
        <vt:i4>5</vt:i4>
      </vt:variant>
      <vt:variant>
        <vt:lpwstr>https://www.nccn.org/professionals/physician_gls/pdf/gastric.pdf</vt:lpwstr>
      </vt:variant>
      <vt:variant>
        <vt:lpwstr/>
      </vt:variant>
      <vt:variant>
        <vt:i4>1441877</vt:i4>
      </vt:variant>
      <vt:variant>
        <vt:i4>3</vt:i4>
      </vt:variant>
      <vt:variant>
        <vt:i4>0</vt:i4>
      </vt:variant>
      <vt:variant>
        <vt:i4>5</vt:i4>
      </vt:variant>
      <vt:variant>
        <vt:lpwstr>https://www.canceraustralia.gov.au/cancer-types/stomach-cancer/statistics</vt:lpwstr>
      </vt:variant>
      <vt:variant>
        <vt:lpwstr/>
      </vt:variant>
      <vt:variant>
        <vt:i4>6553605</vt:i4>
      </vt:variant>
      <vt:variant>
        <vt:i4>0</vt:i4>
      </vt:variant>
      <vt:variant>
        <vt:i4>0</vt:i4>
      </vt:variant>
      <vt:variant>
        <vt:i4>5</vt:i4>
      </vt:variant>
      <vt:variant>
        <vt:lpwstr>https://www.ema.europa.eu/en/documents/product-information/vyloy-epar-product-information_en.pdf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2025-12-22T04:16:00Z</dcterms:created>
  <dcterms:modified xsi:type="dcterms:W3CDTF">2025-12-22T05:37:00Z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76eb1e,af61805,6e0c5742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401184bb,2283c6a3,1f86a1e7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2025-12-22T04:16:38Z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c425a3e7-756c-4b46-8588-b73de5ea13b4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ies>
</file>