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AB84" w14:textId="63C8694B" w:rsidR="00F14FD0" w:rsidRPr="00B162C2" w:rsidRDefault="005E242A" w:rsidP="00E55FD2">
      <w:pPr>
        <w:pStyle w:val="COMH1-non-numbered"/>
      </w:pPr>
      <w:bookmarkStart w:id="0" w:name="_Toc188274671"/>
      <w:r>
        <w:t>7.11</w:t>
      </w:r>
      <w:r w:rsidR="00163F66" w:rsidRPr="00BB59B1">
        <w:tab/>
      </w:r>
      <w:r w:rsidR="00F14FD0" w:rsidRPr="00244E7D">
        <w:t>ZILUCOPLAN</w:t>
      </w:r>
      <w:r w:rsidR="00F14FD0" w:rsidRPr="00B162C2">
        <w:t>,</w:t>
      </w:r>
      <w:r w:rsidR="00F14FD0" w:rsidRPr="00B162C2">
        <w:br/>
        <w:t xml:space="preserve">Solution for injection 16.6 mg in 0.416 mL (as tetrasodium) pre-filled syringe, </w:t>
      </w:r>
      <w:r w:rsidR="00F14FD0" w:rsidRPr="00B162C2">
        <w:br/>
        <w:t xml:space="preserve">Solution for injection 23 mg in 0.574 mL (as tetrasodium) pre-filled syringe, </w:t>
      </w:r>
      <w:r w:rsidR="00F14FD0" w:rsidRPr="00B162C2">
        <w:br/>
        <w:t>Solution for injection 32.4 mg in 0.810 mL (as tetrasodium) pre-filled syringe,</w:t>
      </w:r>
      <w:r w:rsidR="00F14FD0" w:rsidRPr="00B162C2">
        <w:br/>
      </w:r>
      <w:proofErr w:type="spellStart"/>
      <w:r w:rsidR="00F14FD0" w:rsidRPr="00B162C2">
        <w:t>Zilbrysq</w:t>
      </w:r>
      <w:proofErr w:type="spellEnd"/>
      <w:r w:rsidR="00F14FD0" w:rsidRPr="00B162C2">
        <w:rPr>
          <w:vertAlign w:val="superscript"/>
        </w:rPr>
        <w:t>®</w:t>
      </w:r>
      <w:r w:rsidR="00F14FD0" w:rsidRPr="00B162C2">
        <w:t>,</w:t>
      </w:r>
      <w:r w:rsidR="00F14FD0" w:rsidRPr="00B162C2">
        <w:br/>
        <w:t>UCB AUSTRALIA PTY L</w:t>
      </w:r>
      <w:r w:rsidR="00787772">
        <w:t>T</w:t>
      </w:r>
      <w:r w:rsidR="00F14FD0" w:rsidRPr="00B162C2">
        <w:t>D</w:t>
      </w:r>
      <w:bookmarkEnd w:id="0"/>
      <w:r w:rsidR="00F14FD0" w:rsidRPr="00B162C2">
        <w:t xml:space="preserve"> </w:t>
      </w:r>
    </w:p>
    <w:p w14:paraId="11C00795" w14:textId="3DFB6D23" w:rsidR="00B50DB8" w:rsidRPr="00BB59B1" w:rsidRDefault="00B50DB8" w:rsidP="00E55FD2">
      <w:pPr>
        <w:pStyle w:val="COMH1-numbered"/>
      </w:pPr>
      <w:bookmarkStart w:id="1" w:name="_Toc188274673"/>
      <w:r w:rsidRPr="00BB59B1">
        <w:t xml:space="preserve">Purpose of </w:t>
      </w:r>
      <w:r w:rsidR="00CD7193" w:rsidRPr="00BB59B1">
        <w:t>s</w:t>
      </w:r>
      <w:r w:rsidR="00BB3A45" w:rsidRPr="00BB59B1">
        <w:t>ubmission</w:t>
      </w:r>
      <w:bookmarkEnd w:id="1"/>
    </w:p>
    <w:p w14:paraId="01F026F5" w14:textId="77777777" w:rsidR="00010FF3" w:rsidRPr="004020C7" w:rsidRDefault="00010FF3" w:rsidP="00E55FD2">
      <w:pPr>
        <w:pStyle w:val="COMexecsummnumbered"/>
      </w:pPr>
      <w:r w:rsidRPr="004020C7">
        <w:t xml:space="preserve">The standard re-entry submission requested a Section 100 (Highly Specialised Drugs Program) Authority Required (Written) listing for treatment with </w:t>
      </w:r>
      <w:proofErr w:type="spellStart"/>
      <w:r w:rsidRPr="004020C7">
        <w:t>zilucoplan</w:t>
      </w:r>
      <w:proofErr w:type="spellEnd"/>
      <w:r w:rsidRPr="004020C7">
        <w:t xml:space="preserve"> in adult patients with anti-acetylcholine receptor antibody (</w:t>
      </w:r>
      <w:proofErr w:type="spellStart"/>
      <w:r w:rsidRPr="004020C7">
        <w:t>AChR</w:t>
      </w:r>
      <w:proofErr w:type="spellEnd"/>
      <w:r w:rsidRPr="004020C7">
        <w:t>) positive generalised myasthenia gravis who are refractory to conventional immunotherapies.</w:t>
      </w:r>
    </w:p>
    <w:p w14:paraId="751326DE" w14:textId="16AAEF2D" w:rsidR="00010FF3" w:rsidRPr="004020C7" w:rsidRDefault="00010FF3" w:rsidP="00E55FD2">
      <w:pPr>
        <w:pStyle w:val="COMexecsummnumbered"/>
      </w:pPr>
      <w:r w:rsidRPr="004020C7">
        <w:t>The</w:t>
      </w:r>
      <w:r w:rsidRPr="004020C7">
        <w:rPr>
          <w:rFonts w:hint="eastAsia"/>
        </w:rPr>
        <w:t xml:space="preserve"> </w:t>
      </w:r>
      <w:r w:rsidRPr="004020C7">
        <w:t xml:space="preserve">resubmission claimed that there is an unmet clinical need for patients with </w:t>
      </w:r>
      <w:r w:rsidR="00B1420A">
        <w:t>treatment refractory</w:t>
      </w:r>
      <w:r w:rsidRPr="004020C7">
        <w:t xml:space="preserve"> generalised myasthenia gravis</w:t>
      </w:r>
      <w:r w:rsidRPr="004020C7">
        <w:rPr>
          <w:rFonts w:hint="eastAsia"/>
        </w:rPr>
        <w:t xml:space="preserve"> as </w:t>
      </w:r>
      <w:r w:rsidRPr="004020C7">
        <w:t xml:space="preserve">access to chronic intravenous immunoglobulin (IVIg) and chronic plasma exchange (PLEX) can be difficult </w:t>
      </w:r>
      <w:r w:rsidRPr="004020C7">
        <w:rPr>
          <w:rFonts w:hint="eastAsia"/>
        </w:rPr>
        <w:t xml:space="preserve">for </w:t>
      </w:r>
      <w:r w:rsidRPr="004020C7">
        <w:t>those who would otherwise be treated with these therapies</w:t>
      </w:r>
      <w:r w:rsidRPr="004020C7">
        <w:rPr>
          <w:rFonts w:hint="eastAsia"/>
        </w:rPr>
        <w:t>.</w:t>
      </w:r>
    </w:p>
    <w:p w14:paraId="7AC716BF" w14:textId="3C329BF2" w:rsidR="00010FF3" w:rsidRPr="004020C7" w:rsidRDefault="7888E295" w:rsidP="00E55FD2">
      <w:pPr>
        <w:pStyle w:val="COMexecsummnumbered"/>
      </w:pPr>
      <w:r w:rsidRPr="7FB99A72">
        <w:t xml:space="preserve">Listing was requested </w:t>
      </w:r>
      <w:proofErr w:type="gramStart"/>
      <w:r w:rsidRPr="7FB99A72">
        <w:t>on the basis of</w:t>
      </w:r>
      <w:proofErr w:type="gramEnd"/>
      <w:r w:rsidRPr="7FB99A72">
        <w:t xml:space="preserve"> a cost-effectiveness analysis versus placebo.</w:t>
      </w:r>
      <w:r w:rsidR="0077631D">
        <w:t xml:space="preserve"> </w:t>
      </w:r>
    </w:p>
    <w:p w14:paraId="0421EFB7" w14:textId="6BC9F667" w:rsidR="007A114A" w:rsidRPr="00FB79E9" w:rsidRDefault="007A114A" w:rsidP="00E55FD2">
      <w:pPr>
        <w:pStyle w:val="COMTableheadingrow"/>
        <w:rPr>
          <w:lang w:val="en-AU"/>
        </w:rPr>
      </w:pPr>
      <w:bookmarkStart w:id="2" w:name="_Ref175745379"/>
      <w:r w:rsidRPr="00FB79E9">
        <w:t xml:space="preserve">Table </w:t>
      </w:r>
      <w:r w:rsidRPr="00FB79E9">
        <w:fldChar w:fldCharType="begin"/>
      </w:r>
      <w:r w:rsidRPr="00FB79E9">
        <w:instrText xml:space="preserve"> SEQ Table \* ARABIC </w:instrText>
      </w:r>
      <w:r w:rsidRPr="00FB79E9">
        <w:fldChar w:fldCharType="separate"/>
      </w:r>
      <w:r w:rsidR="00271F88">
        <w:rPr>
          <w:noProof/>
        </w:rPr>
        <w:t>1</w:t>
      </w:r>
      <w:r w:rsidRPr="00FB79E9">
        <w:rPr>
          <w:noProof/>
        </w:rPr>
        <w:fldChar w:fldCharType="end"/>
      </w:r>
      <w:bookmarkEnd w:id="2"/>
      <w:r w:rsidRPr="00FB79E9">
        <w:t>: Key components of the clinical issue addressed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555"/>
        <w:gridCol w:w="7601"/>
      </w:tblGrid>
      <w:tr w:rsidR="007A114A" w:rsidRPr="0076762E" w14:paraId="18B391FD" w14:textId="77777777" w:rsidTr="7FB99A72">
        <w:tc>
          <w:tcPr>
            <w:tcW w:w="1555" w:type="dxa"/>
            <w:vAlign w:val="center"/>
          </w:tcPr>
          <w:p w14:paraId="24F5F1C2" w14:textId="77777777" w:rsidR="007A114A" w:rsidRPr="0076762E" w:rsidRDefault="007A114A" w:rsidP="00E55FD2">
            <w:pPr>
              <w:pStyle w:val="COMTableheadingrow"/>
              <w:rPr>
                <w:lang w:val="en-AU"/>
              </w:rPr>
            </w:pPr>
            <w:r w:rsidRPr="0076762E">
              <w:rPr>
                <w:lang w:val="en-AU"/>
              </w:rPr>
              <w:t>Component</w:t>
            </w:r>
          </w:p>
        </w:tc>
        <w:tc>
          <w:tcPr>
            <w:tcW w:w="7601" w:type="dxa"/>
            <w:vAlign w:val="center"/>
          </w:tcPr>
          <w:p w14:paraId="0A4874C0" w14:textId="77777777" w:rsidR="007A114A" w:rsidRPr="0076762E" w:rsidRDefault="007A114A" w:rsidP="00E55FD2">
            <w:pPr>
              <w:pStyle w:val="COMTableheadingrow"/>
              <w:rPr>
                <w:lang w:val="en-AU"/>
              </w:rPr>
            </w:pPr>
            <w:r w:rsidRPr="0076762E">
              <w:rPr>
                <w:lang w:val="en-AU"/>
              </w:rPr>
              <w:t>Description</w:t>
            </w:r>
          </w:p>
        </w:tc>
      </w:tr>
      <w:tr w:rsidR="007A114A" w:rsidRPr="0076762E" w14:paraId="049B9F52" w14:textId="77777777" w:rsidTr="7FB99A72">
        <w:tc>
          <w:tcPr>
            <w:tcW w:w="1555" w:type="dxa"/>
            <w:vAlign w:val="center"/>
          </w:tcPr>
          <w:p w14:paraId="3BF45F24" w14:textId="77777777" w:rsidR="007A114A" w:rsidRPr="0076762E" w:rsidRDefault="007A114A" w:rsidP="00E55FD2">
            <w:pPr>
              <w:pStyle w:val="COMTabletext"/>
            </w:pPr>
            <w:r w:rsidRPr="0076762E">
              <w:t>Population</w:t>
            </w:r>
          </w:p>
        </w:tc>
        <w:tc>
          <w:tcPr>
            <w:tcW w:w="7601" w:type="dxa"/>
            <w:vAlign w:val="center"/>
          </w:tcPr>
          <w:p w14:paraId="28F2C5D1" w14:textId="77777777" w:rsidR="007A114A" w:rsidRPr="000169C0" w:rsidRDefault="18AD3FA6" w:rsidP="00E55FD2">
            <w:pPr>
              <w:pStyle w:val="COMTabletext"/>
              <w:rPr>
                <w:rFonts w:eastAsia="SimSun"/>
                <w:lang w:eastAsia="zh-CN"/>
              </w:rPr>
            </w:pPr>
            <w:r w:rsidRPr="7FB99A72">
              <w:t>Adult patients with symptomatic</w:t>
            </w:r>
            <w:r w:rsidRPr="7FB99A72">
              <w:rPr>
                <w:rFonts w:eastAsia="SimSun"/>
                <w:lang w:eastAsia="zh-CN"/>
              </w:rPr>
              <w:t xml:space="preserve"> </w:t>
            </w:r>
            <w:r w:rsidRPr="7FB99A72">
              <w:t xml:space="preserve">generalised myasthenia gravis who are </w:t>
            </w:r>
            <w:proofErr w:type="spellStart"/>
            <w:r w:rsidRPr="7FB99A72">
              <w:t>AChR</w:t>
            </w:r>
            <w:proofErr w:type="spellEnd"/>
            <w:r w:rsidRPr="7FB99A72">
              <w:t xml:space="preserve">-positive </w:t>
            </w:r>
            <w:r w:rsidRPr="7FB99A72">
              <w:rPr>
                <w:u w:val="single"/>
              </w:rPr>
              <w:t xml:space="preserve">and refractory to conventional </w:t>
            </w:r>
            <w:proofErr w:type="spellStart"/>
            <w:r w:rsidRPr="7FB99A72">
              <w:rPr>
                <w:u w:val="single"/>
              </w:rPr>
              <w:t>immunotherapies</w:t>
            </w:r>
            <w:r w:rsidRPr="7FB99A72">
              <w:rPr>
                <w:vertAlign w:val="superscript"/>
              </w:rPr>
              <w:t>a</w:t>
            </w:r>
            <w:proofErr w:type="spellEnd"/>
            <w:r w:rsidRPr="7FB99A72">
              <w:t>.</w:t>
            </w:r>
          </w:p>
        </w:tc>
      </w:tr>
      <w:tr w:rsidR="007A114A" w:rsidRPr="0076762E" w14:paraId="4E15EBBE" w14:textId="77777777" w:rsidTr="7FB99A72">
        <w:tc>
          <w:tcPr>
            <w:tcW w:w="1555" w:type="dxa"/>
            <w:vAlign w:val="center"/>
          </w:tcPr>
          <w:p w14:paraId="613BCFB3" w14:textId="77777777" w:rsidR="007A114A" w:rsidRPr="0076762E" w:rsidRDefault="007A114A" w:rsidP="00E55FD2">
            <w:pPr>
              <w:pStyle w:val="COMTabletext"/>
            </w:pPr>
            <w:r w:rsidRPr="0076762E">
              <w:t>Intervention</w:t>
            </w:r>
          </w:p>
        </w:tc>
        <w:tc>
          <w:tcPr>
            <w:tcW w:w="7601" w:type="dxa"/>
            <w:vAlign w:val="center"/>
          </w:tcPr>
          <w:p w14:paraId="4E9BE7BC" w14:textId="77777777" w:rsidR="007A114A" w:rsidRPr="000169C0" w:rsidRDefault="007A114A" w:rsidP="00E55FD2">
            <w:pPr>
              <w:pStyle w:val="COMTabletext"/>
              <w:rPr>
                <w:rFonts w:eastAsia="SimSun"/>
                <w:lang w:eastAsia="zh-CN"/>
              </w:rPr>
            </w:pPr>
            <w:proofErr w:type="spellStart"/>
            <w:r w:rsidRPr="5669A5A1">
              <w:t>Zilucoplan</w:t>
            </w:r>
            <w:proofErr w:type="spellEnd"/>
            <w:r w:rsidRPr="5669A5A1">
              <w:t xml:space="preserve"> subcutaneous injection daily (weight-based dosing 16.6-32.4 mg); in combination with standard therapy (including anticholinesterases, corticosteroids and other immunosuppressive agents such as mycophenolate mofetil, azathioprine, methotrexate, tacrolimus, ciclosporin).</w:t>
            </w:r>
          </w:p>
        </w:tc>
      </w:tr>
      <w:tr w:rsidR="007A114A" w:rsidRPr="0076762E" w14:paraId="7760BAAE" w14:textId="77777777" w:rsidTr="7FB99A72">
        <w:tc>
          <w:tcPr>
            <w:tcW w:w="1555" w:type="dxa"/>
            <w:vAlign w:val="center"/>
          </w:tcPr>
          <w:p w14:paraId="3A01A6B3" w14:textId="77777777" w:rsidR="007A114A" w:rsidRPr="00E94DFC" w:rsidRDefault="007A114A" w:rsidP="00E55FD2">
            <w:pPr>
              <w:pStyle w:val="COMTabletext"/>
            </w:pPr>
            <w:r w:rsidRPr="00E94DFC">
              <w:t>Comparator</w:t>
            </w:r>
          </w:p>
        </w:tc>
        <w:tc>
          <w:tcPr>
            <w:tcW w:w="7601" w:type="dxa"/>
            <w:vAlign w:val="center"/>
          </w:tcPr>
          <w:p w14:paraId="6C64F039" w14:textId="77777777" w:rsidR="007A114A" w:rsidRPr="0049588D" w:rsidRDefault="007A114A" w:rsidP="00E55FD2">
            <w:pPr>
              <w:pStyle w:val="COMTabletext"/>
              <w:rPr>
                <w:rFonts w:eastAsia="SimSun"/>
                <w:u w:val="single"/>
                <w:lang w:eastAsia="zh-CN"/>
              </w:rPr>
            </w:pPr>
            <w:r w:rsidRPr="000169C0">
              <w:t>Placebo</w:t>
            </w:r>
            <w:r>
              <w:rPr>
                <w:rFonts w:eastAsia="SimSun" w:hint="eastAsia"/>
                <w:lang w:eastAsia="zh-CN"/>
              </w:rPr>
              <w:t xml:space="preserve"> </w:t>
            </w:r>
            <w:r>
              <w:t xml:space="preserve">as add on therapy to </w:t>
            </w:r>
            <w:r>
              <w:rPr>
                <w:rFonts w:eastAsia="SimSun" w:hint="eastAsia"/>
                <w:lang w:eastAsia="zh-CN"/>
              </w:rPr>
              <w:t>standard therapy</w:t>
            </w:r>
            <w:r>
              <w:rPr>
                <w:rFonts w:eastAsia="SimSun"/>
                <w:lang w:eastAsia="zh-CN"/>
              </w:rPr>
              <w:t>.</w:t>
            </w:r>
            <w:r w:rsidRPr="000169C0">
              <w:t xml:space="preserve"> </w:t>
            </w:r>
          </w:p>
        </w:tc>
      </w:tr>
      <w:tr w:rsidR="007A114A" w:rsidRPr="0076762E" w14:paraId="2D3FD96A" w14:textId="77777777" w:rsidTr="7FB99A72">
        <w:tc>
          <w:tcPr>
            <w:tcW w:w="1555" w:type="dxa"/>
            <w:vAlign w:val="center"/>
          </w:tcPr>
          <w:p w14:paraId="54E6AEB4" w14:textId="77777777" w:rsidR="007A114A" w:rsidRPr="0076762E" w:rsidRDefault="007A114A" w:rsidP="00E55FD2">
            <w:pPr>
              <w:pStyle w:val="COMTabletext"/>
            </w:pPr>
            <w:r w:rsidRPr="0076762E">
              <w:t>Outcomes</w:t>
            </w:r>
          </w:p>
        </w:tc>
        <w:tc>
          <w:tcPr>
            <w:tcW w:w="7601" w:type="dxa"/>
            <w:vAlign w:val="center"/>
          </w:tcPr>
          <w:p w14:paraId="30C91538" w14:textId="77777777" w:rsidR="007A114A" w:rsidRPr="0010058E" w:rsidRDefault="007A114A" w:rsidP="00E55FD2">
            <w:pPr>
              <w:pStyle w:val="COMTabletext"/>
              <w:rPr>
                <w:rFonts w:eastAsia="SimSun"/>
                <w:lang w:eastAsia="zh-CN"/>
              </w:rPr>
            </w:pPr>
            <w:r w:rsidRPr="00B162C2">
              <w:t>Reduction in functional impairments, reduction in clinical exacerbations and myasthenic crisis events, improvements in quality of life.</w:t>
            </w:r>
          </w:p>
        </w:tc>
      </w:tr>
      <w:tr w:rsidR="007A114A" w:rsidRPr="0076762E" w14:paraId="48922FE8" w14:textId="77777777" w:rsidTr="7FB99A72">
        <w:tc>
          <w:tcPr>
            <w:tcW w:w="1555" w:type="dxa"/>
            <w:vAlign w:val="center"/>
          </w:tcPr>
          <w:p w14:paraId="058489B5" w14:textId="77777777" w:rsidR="007A114A" w:rsidRPr="0076762E" w:rsidRDefault="007A114A" w:rsidP="00E55FD2">
            <w:pPr>
              <w:pStyle w:val="COMTabletext"/>
            </w:pPr>
            <w:r w:rsidRPr="0076762E">
              <w:t>Clinical claim</w:t>
            </w:r>
          </w:p>
        </w:tc>
        <w:tc>
          <w:tcPr>
            <w:tcW w:w="7601" w:type="dxa"/>
            <w:vAlign w:val="center"/>
          </w:tcPr>
          <w:p w14:paraId="48A3A232" w14:textId="77777777" w:rsidR="007A114A" w:rsidRPr="00735C38" w:rsidRDefault="007A114A" w:rsidP="00E55FD2">
            <w:pPr>
              <w:pStyle w:val="COMTabletext"/>
              <w:rPr>
                <w:rFonts w:eastAsia="SimSun"/>
                <w:u w:val="single"/>
                <w:lang w:eastAsia="zh-CN"/>
              </w:rPr>
            </w:pPr>
            <w:proofErr w:type="spellStart"/>
            <w:r w:rsidRPr="000169C0">
              <w:t>Zilucoplan</w:t>
            </w:r>
            <w:proofErr w:type="spellEnd"/>
            <w:r w:rsidRPr="000169C0">
              <w:t xml:space="preserve"> in combination with standard therapy is superior in terms of efficacy and non-inferior in terms of safety compared to placebo in combination with standard therapy.</w:t>
            </w:r>
          </w:p>
        </w:tc>
      </w:tr>
    </w:tbl>
    <w:p w14:paraId="2B44A5A8" w14:textId="77777777" w:rsidR="007A114A" w:rsidRPr="0076762E" w:rsidRDefault="007A114A" w:rsidP="00E55FD2">
      <w:pPr>
        <w:pStyle w:val="COMTablefooter"/>
      </w:pPr>
      <w:r w:rsidRPr="0076762E">
        <w:t>Source: Table 1.</w:t>
      </w:r>
      <w:r>
        <w:rPr>
          <w:rFonts w:hint="eastAsia"/>
          <w:lang w:eastAsia="zh-CN"/>
        </w:rPr>
        <w:t>1</w:t>
      </w:r>
      <w:r w:rsidRPr="0076762E">
        <w:t>-1, p</w:t>
      </w:r>
      <w:r>
        <w:rPr>
          <w:rFonts w:hint="eastAsia"/>
          <w:lang w:eastAsia="zh-CN"/>
        </w:rPr>
        <w:t>4</w:t>
      </w:r>
      <w:r w:rsidRPr="0076762E">
        <w:t xml:space="preserve"> of the resubmission</w:t>
      </w:r>
    </w:p>
    <w:p w14:paraId="0393F7B9" w14:textId="77777777" w:rsidR="007A114A" w:rsidRPr="0076762E" w:rsidRDefault="007A114A" w:rsidP="00E55FD2">
      <w:pPr>
        <w:pStyle w:val="COMTablefooter"/>
        <w:rPr>
          <w:lang w:eastAsia="zh-CN"/>
        </w:rPr>
      </w:pPr>
      <w:r w:rsidRPr="0076762E">
        <w:t xml:space="preserve">Abbreviations: </w:t>
      </w:r>
      <w:proofErr w:type="spellStart"/>
      <w:r>
        <w:rPr>
          <w:rFonts w:hint="eastAsia"/>
          <w:lang w:eastAsia="zh-CN"/>
        </w:rPr>
        <w:t>A</w:t>
      </w:r>
      <w:r>
        <w:rPr>
          <w:lang w:eastAsia="zh-CN"/>
        </w:rPr>
        <w:t>C</w:t>
      </w:r>
      <w:r>
        <w:rPr>
          <w:rFonts w:hint="eastAsia"/>
          <w:lang w:eastAsia="zh-CN"/>
        </w:rPr>
        <w:t>hR</w:t>
      </w:r>
      <w:proofErr w:type="spellEnd"/>
      <w:r w:rsidRPr="0076762E">
        <w:t xml:space="preserve">, </w:t>
      </w:r>
      <w:r w:rsidRPr="00AA754A">
        <w:t>anti-acetylcholine receptor</w:t>
      </w:r>
      <w:r>
        <w:rPr>
          <w:rFonts w:hint="eastAsia"/>
          <w:lang w:eastAsia="zh-CN"/>
        </w:rPr>
        <w:t xml:space="preserve"> </w:t>
      </w:r>
    </w:p>
    <w:p w14:paraId="5E9337F1" w14:textId="30C006F4" w:rsidR="007A114A" w:rsidRPr="00614397" w:rsidRDefault="18AD3FA6" w:rsidP="00E55FD2">
      <w:pPr>
        <w:pStyle w:val="COMTablefooter"/>
      </w:pPr>
      <w:proofErr w:type="spellStart"/>
      <w:r w:rsidRPr="7FB99A72">
        <w:rPr>
          <w:vertAlign w:val="superscript"/>
        </w:rPr>
        <w:t>a</w:t>
      </w:r>
      <w:proofErr w:type="spellEnd"/>
      <w:r w:rsidRPr="7FB99A72">
        <w:rPr>
          <w:lang w:eastAsia="zh-CN"/>
        </w:rPr>
        <w:t xml:space="preserve"> The criteria for patients who were considered to be refractory to conventional immunotherapies are as follows: (1) treatment for at least 1 year with 2 or more of the following therapies: prednisone, azathioprine, mycophenolate, c</w:t>
      </w:r>
      <w:r w:rsidR="37E226ED" w:rsidRPr="7FB99A72">
        <w:rPr>
          <w:lang w:eastAsia="zh-CN"/>
        </w:rPr>
        <w:t>i</w:t>
      </w:r>
      <w:r w:rsidRPr="7FB99A72">
        <w:rPr>
          <w:lang w:eastAsia="zh-CN"/>
        </w:rPr>
        <w:t>closporin, cyclophosphamide, methotrexate, tacrolimus, rituximab, eculizumab, other corticosteroids for generalised myasthenia gravis, other immunosuppressant therapy, or (2) the history</w:t>
      </w:r>
      <w:r w:rsidRPr="7FB99A72">
        <w:rPr>
          <w:snapToGrid/>
        </w:rPr>
        <w:t xml:space="preserve"> of treatment with at least 1 of these therapies for 1 year or more and required chronic plasma exchange, </w:t>
      </w:r>
      <w:r w:rsidRPr="7FB99A72">
        <w:rPr>
          <w:snapToGrid/>
          <w:lang w:eastAsia="zh-CN"/>
        </w:rPr>
        <w:t>i</w:t>
      </w:r>
      <w:r w:rsidRPr="7FB99A72">
        <w:rPr>
          <w:snapToGrid/>
        </w:rPr>
        <w:t xml:space="preserve">ntravenous </w:t>
      </w:r>
      <w:r w:rsidRPr="7FB99A72">
        <w:rPr>
          <w:snapToGrid/>
          <w:lang w:eastAsia="zh-CN"/>
        </w:rPr>
        <w:t>i</w:t>
      </w:r>
      <w:r w:rsidRPr="7FB99A72">
        <w:rPr>
          <w:snapToGrid/>
        </w:rPr>
        <w:t>mmunoglobulin, or subcutaneous immunoglobulin at least every 3 months for the 12 months prior to enrolment.</w:t>
      </w:r>
    </w:p>
    <w:p w14:paraId="6B4AB6C2" w14:textId="7F01D731" w:rsidR="005C25FF" w:rsidRPr="00BB59B1" w:rsidRDefault="005C25FF" w:rsidP="00E55FD2">
      <w:pPr>
        <w:pStyle w:val="COMH1-numbered"/>
      </w:pPr>
      <w:bookmarkStart w:id="3" w:name="_Toc188274674"/>
      <w:r w:rsidRPr="00BB59B1">
        <w:lastRenderedPageBreak/>
        <w:t>Background</w:t>
      </w:r>
      <w:bookmarkEnd w:id="3"/>
    </w:p>
    <w:p w14:paraId="2C521D6D" w14:textId="78CF03EE" w:rsidR="005C25FF" w:rsidRPr="00BB59B1" w:rsidRDefault="005C25FF" w:rsidP="00E55FD2">
      <w:pPr>
        <w:pStyle w:val="COMH2-non-numbered"/>
      </w:pPr>
      <w:bookmarkStart w:id="4" w:name="_Toc22897638"/>
      <w:bookmarkStart w:id="5" w:name="_Toc188274675"/>
      <w:r w:rsidRPr="00BB59B1">
        <w:t>Registration status</w:t>
      </w:r>
      <w:bookmarkEnd w:id="4"/>
      <w:bookmarkEnd w:id="5"/>
    </w:p>
    <w:p w14:paraId="1631AC51" w14:textId="0B297D69" w:rsidR="001722E0" w:rsidRPr="004020C7" w:rsidRDefault="007585C2" w:rsidP="00E55FD2">
      <w:pPr>
        <w:pStyle w:val="COMexecsummnumbered"/>
      </w:pPr>
      <w:proofErr w:type="spellStart"/>
      <w:r w:rsidRPr="7FB99A72">
        <w:t>Zilucoplan</w:t>
      </w:r>
      <w:proofErr w:type="spellEnd"/>
      <w:r w:rsidRPr="7FB99A72">
        <w:t xml:space="preserve"> was approved by the TGA and registered on the ARTG on 20 August 2024. The approved TGA indication is:</w:t>
      </w:r>
      <w:r w:rsidR="0077631D">
        <w:t xml:space="preserve"> </w:t>
      </w:r>
    </w:p>
    <w:p w14:paraId="0AAC5587" w14:textId="77777777" w:rsidR="001722E0" w:rsidRDefault="001722E0" w:rsidP="00E55FD2">
      <w:pPr>
        <w:ind w:left="1134"/>
      </w:pPr>
      <w:r w:rsidRPr="006056A3">
        <w:t>For the treatment of generalised myasthenia gravis (gMG) in adult patients who are anti-acetylcholine receptor (</w:t>
      </w:r>
      <w:proofErr w:type="spellStart"/>
      <w:r w:rsidRPr="006056A3">
        <w:t>AChR</w:t>
      </w:r>
      <w:proofErr w:type="spellEnd"/>
      <w:r w:rsidRPr="006056A3">
        <w:t>) antibody positive. </w:t>
      </w:r>
    </w:p>
    <w:p w14:paraId="1059D511" w14:textId="77777777" w:rsidR="001722E0" w:rsidRPr="004020C7" w:rsidRDefault="007585C2" w:rsidP="00E55FD2">
      <w:pPr>
        <w:pStyle w:val="COMexecsummnumbered"/>
      </w:pPr>
      <w:r w:rsidRPr="7FB99A72">
        <w:t xml:space="preserve">The product information includes a black box warning on the risks of serious meningococcal infection associated with </w:t>
      </w:r>
      <w:proofErr w:type="spellStart"/>
      <w:r w:rsidRPr="7FB99A72">
        <w:t>zilucoplan</w:t>
      </w:r>
      <w:proofErr w:type="spellEnd"/>
      <w:r w:rsidRPr="7FB99A72">
        <w:t xml:space="preserve"> treatment and physicians should provide patients with an alert card that explains the symptoms of meningococcal infection and when to seek immediate medical care. The product information states that all patients must be vaccinated against meningococcal infection at least 2 weeks prior to receiving </w:t>
      </w:r>
      <w:proofErr w:type="spellStart"/>
      <w:r w:rsidRPr="7FB99A72">
        <w:t>zilucoplan</w:t>
      </w:r>
      <w:proofErr w:type="spellEnd"/>
      <w:r w:rsidRPr="7FB99A72">
        <w:t>. However, the product information notes that vaccination may not be sufficient to prevent meningococcal infection and the ongoing use of prophylactic antibacterials may also have a potential role.</w:t>
      </w:r>
    </w:p>
    <w:p w14:paraId="614FA96B" w14:textId="77777777" w:rsidR="001722E0" w:rsidRPr="004020C7" w:rsidRDefault="007585C2" w:rsidP="00E55FD2">
      <w:pPr>
        <w:pStyle w:val="COMexecsummnumbered"/>
      </w:pPr>
      <w:proofErr w:type="spellStart"/>
      <w:r w:rsidRPr="7FB99A72">
        <w:t>Zilucoplan</w:t>
      </w:r>
      <w:proofErr w:type="spellEnd"/>
      <w:r w:rsidRPr="7FB99A72">
        <w:t xml:space="preserve"> is subject to additional monitoring in Australia under the Black Triangle Scheme.</w:t>
      </w:r>
    </w:p>
    <w:p w14:paraId="3E2A6EAB" w14:textId="469C8C0C" w:rsidR="005C25FF" w:rsidRPr="00BB59B1" w:rsidRDefault="464E48C7" w:rsidP="00E55FD2">
      <w:pPr>
        <w:pStyle w:val="COMH2-non-numbered"/>
      </w:pPr>
      <w:bookmarkStart w:id="6" w:name="_Toc22897639"/>
      <w:bookmarkStart w:id="7" w:name="_Toc188274676"/>
      <w:r w:rsidRPr="7FB99A72">
        <w:t>Previous PBAC consideration</w:t>
      </w:r>
      <w:bookmarkEnd w:id="6"/>
      <w:bookmarkEnd w:id="7"/>
    </w:p>
    <w:p w14:paraId="5E7E548B" w14:textId="28437DD0" w:rsidR="002D4D0E" w:rsidRPr="004020C7" w:rsidRDefault="002D4D0E" w:rsidP="00E55FD2">
      <w:pPr>
        <w:pStyle w:val="COMexecsummnumbered"/>
      </w:pPr>
      <w:r w:rsidRPr="004020C7">
        <w:t xml:space="preserve">The sponsor presented a Category </w:t>
      </w:r>
      <w:r w:rsidRPr="004020C7">
        <w:rPr>
          <w:rFonts w:hint="eastAsia"/>
        </w:rPr>
        <w:t>1</w:t>
      </w:r>
      <w:r w:rsidRPr="004020C7">
        <w:t xml:space="preserve"> submission to the July 202</w:t>
      </w:r>
      <w:r w:rsidRPr="004020C7">
        <w:rPr>
          <w:rFonts w:hint="eastAsia"/>
        </w:rPr>
        <w:t>4</w:t>
      </w:r>
      <w:r w:rsidRPr="004020C7">
        <w:t xml:space="preserve"> PBAC meeting requesting a Section 100 (Highly Specialised Drugs Program) Authority Required (Written) listing for treatment initiation and a Section 85 Authority Required (Written) listing for treatment continuation </w:t>
      </w:r>
      <w:r w:rsidR="00EB5298">
        <w:t xml:space="preserve">with </w:t>
      </w:r>
      <w:proofErr w:type="spellStart"/>
      <w:r w:rsidR="00EB5298">
        <w:t>zilucoplan</w:t>
      </w:r>
      <w:proofErr w:type="spellEnd"/>
      <w:r w:rsidR="00EB5298">
        <w:t xml:space="preserve"> </w:t>
      </w:r>
      <w:r w:rsidRPr="004020C7">
        <w:t xml:space="preserve">in adult patients with </w:t>
      </w:r>
      <w:proofErr w:type="spellStart"/>
      <w:r w:rsidRPr="004020C7">
        <w:t>AChR</w:t>
      </w:r>
      <w:proofErr w:type="spellEnd"/>
      <w:r w:rsidRPr="004020C7">
        <w:t>-positive generalised myasthenia gravis.</w:t>
      </w:r>
    </w:p>
    <w:p w14:paraId="46B75579" w14:textId="00F9606A" w:rsidR="002D4D0E" w:rsidRPr="004020C7" w:rsidRDefault="003E7984" w:rsidP="00E55FD2">
      <w:pPr>
        <w:pStyle w:val="COMexecsummnumbered"/>
      </w:pPr>
      <w:r>
        <w:t xml:space="preserve">The PBAC did not recommend </w:t>
      </w:r>
      <w:proofErr w:type="spellStart"/>
      <w:r>
        <w:t>zilucoplan</w:t>
      </w:r>
      <w:proofErr w:type="spellEnd"/>
      <w:r>
        <w:t xml:space="preserve"> for the requested listing with the primary reason being the limitations of the economic evaluation.</w:t>
      </w:r>
      <w:r w:rsidRPr="004020C7">
        <w:t xml:space="preserve"> </w:t>
      </w:r>
    </w:p>
    <w:p w14:paraId="0256E4BE" w14:textId="7E8D02EC" w:rsidR="002D4D0E" w:rsidRPr="004020C7" w:rsidRDefault="002D4D0E" w:rsidP="00E55FD2">
      <w:pPr>
        <w:pStyle w:val="COMexecsummnumbered"/>
      </w:pPr>
      <w:r w:rsidRPr="004020C7">
        <w:t xml:space="preserve">The key matters of concern from the July 2024 PBAC meeting are summarised in </w:t>
      </w:r>
      <w:r w:rsidRPr="004020C7">
        <w:fldChar w:fldCharType="begin"/>
      </w:r>
      <w:r w:rsidRPr="004020C7">
        <w:instrText xml:space="preserve"> REF _Ref185104346 \h  \* MERGEFORMAT </w:instrText>
      </w:r>
      <w:r w:rsidRPr="004020C7">
        <w:fldChar w:fldCharType="separate"/>
      </w:r>
      <w:r w:rsidR="00271F88" w:rsidRPr="00817FE5">
        <w:t xml:space="preserve">Table </w:t>
      </w:r>
      <w:r w:rsidR="00271F88">
        <w:t>2</w:t>
      </w:r>
      <w:r w:rsidRPr="004020C7">
        <w:fldChar w:fldCharType="end"/>
      </w:r>
      <w:r w:rsidRPr="004020C7">
        <w:t xml:space="preserve">. </w:t>
      </w:r>
    </w:p>
    <w:p w14:paraId="546442EE" w14:textId="449CA88E" w:rsidR="009E2839" w:rsidRDefault="009E2839" w:rsidP="00E55FD2">
      <w:pPr>
        <w:pStyle w:val="COMTableheadingrow"/>
        <w:keepLines/>
      </w:pPr>
      <w:bookmarkStart w:id="8" w:name="_Ref185104346"/>
      <w:r w:rsidRPr="00817FE5">
        <w:lastRenderedPageBreak/>
        <w:t xml:space="preserve">Table </w:t>
      </w:r>
      <w:r>
        <w:fldChar w:fldCharType="begin"/>
      </w:r>
      <w:r>
        <w:instrText xml:space="preserve"> SEQ Table \* ARABIC </w:instrText>
      </w:r>
      <w:r>
        <w:fldChar w:fldCharType="separate"/>
      </w:r>
      <w:r w:rsidR="00271F88">
        <w:rPr>
          <w:noProof/>
        </w:rPr>
        <w:t>2</w:t>
      </w:r>
      <w:r>
        <w:fldChar w:fldCharType="end"/>
      </w:r>
      <w:bookmarkEnd w:id="8"/>
      <w:r w:rsidRPr="00817FE5">
        <w:t>: Summary of key matters of concern </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key matters of concern "/>
      </w:tblPr>
      <w:tblGrid>
        <w:gridCol w:w="4528"/>
        <w:gridCol w:w="4489"/>
      </w:tblGrid>
      <w:tr w:rsidR="009E2839" w:rsidRPr="00A94042" w14:paraId="6EB50A73" w14:textId="77777777" w:rsidTr="006A3253">
        <w:trPr>
          <w:cantSplit/>
          <w:tblHeader/>
        </w:trPr>
        <w:tc>
          <w:tcPr>
            <w:tcW w:w="4528" w:type="dxa"/>
            <w:shd w:val="clear" w:color="auto" w:fill="auto"/>
            <w:vAlign w:val="center"/>
            <w:hideMark/>
          </w:tcPr>
          <w:p w14:paraId="25689169" w14:textId="77777777" w:rsidR="009E2839" w:rsidRPr="00A94042" w:rsidRDefault="009E2839" w:rsidP="00E55FD2">
            <w:pPr>
              <w:keepNext/>
              <w:keepLines/>
              <w:spacing w:after="120"/>
              <w:contextualSpacing/>
              <w:jc w:val="left"/>
              <w:rPr>
                <w:rFonts w:ascii="Arial Narrow" w:eastAsia="MS Gothic" w:hAnsi="Arial Narrow" w:cs="Times New Roman"/>
                <w:b/>
                <w:bCs/>
                <w:snapToGrid w:val="0"/>
                <w:sz w:val="20"/>
                <w:szCs w:val="22"/>
              </w:rPr>
            </w:pPr>
            <w:r w:rsidRPr="00A94042">
              <w:rPr>
                <w:rFonts w:ascii="Arial Narrow" w:eastAsia="MS Gothic" w:hAnsi="Arial Narrow" w:cs="Times New Roman"/>
                <w:b/>
                <w:bCs/>
                <w:snapToGrid w:val="0"/>
                <w:sz w:val="20"/>
                <w:szCs w:val="22"/>
                <w:lang w:val="en-US"/>
              </w:rPr>
              <w:t>Matter of concern</w:t>
            </w:r>
            <w:r w:rsidRPr="00A94042">
              <w:rPr>
                <w:rFonts w:ascii="Arial Narrow" w:eastAsia="MS Gothic" w:hAnsi="Arial Narrow" w:cs="Times New Roman"/>
                <w:b/>
                <w:bCs/>
                <w:snapToGrid w:val="0"/>
                <w:sz w:val="20"/>
                <w:szCs w:val="22"/>
              </w:rPr>
              <w:t> </w:t>
            </w:r>
          </w:p>
        </w:tc>
        <w:tc>
          <w:tcPr>
            <w:tcW w:w="4489" w:type="dxa"/>
            <w:shd w:val="clear" w:color="auto" w:fill="auto"/>
            <w:vAlign w:val="center"/>
            <w:hideMark/>
          </w:tcPr>
          <w:p w14:paraId="379F20AB" w14:textId="77777777" w:rsidR="009E2839" w:rsidRPr="00A94042" w:rsidRDefault="009E2839" w:rsidP="00E55FD2">
            <w:pPr>
              <w:keepNext/>
              <w:keepLines/>
              <w:spacing w:after="120"/>
              <w:contextualSpacing/>
              <w:jc w:val="left"/>
              <w:rPr>
                <w:rFonts w:ascii="Arial Narrow" w:eastAsia="MS Gothic" w:hAnsi="Arial Narrow" w:cs="Times New Roman"/>
                <w:b/>
                <w:bCs/>
                <w:snapToGrid w:val="0"/>
                <w:sz w:val="20"/>
                <w:szCs w:val="22"/>
              </w:rPr>
            </w:pPr>
            <w:r w:rsidRPr="00A94042">
              <w:rPr>
                <w:rFonts w:ascii="Arial Narrow" w:eastAsia="MS Gothic" w:hAnsi="Arial Narrow" w:cs="Times New Roman"/>
                <w:b/>
                <w:bCs/>
                <w:snapToGrid w:val="0"/>
                <w:sz w:val="20"/>
                <w:szCs w:val="22"/>
                <w:lang w:val="en-US"/>
              </w:rPr>
              <w:t>How the resubmission addresses it</w:t>
            </w:r>
            <w:r w:rsidRPr="00A94042">
              <w:rPr>
                <w:rFonts w:ascii="Arial Narrow" w:eastAsia="MS Gothic" w:hAnsi="Arial Narrow" w:cs="Times New Roman"/>
                <w:b/>
                <w:bCs/>
                <w:snapToGrid w:val="0"/>
                <w:sz w:val="20"/>
                <w:szCs w:val="22"/>
              </w:rPr>
              <w:t> </w:t>
            </w:r>
          </w:p>
        </w:tc>
      </w:tr>
      <w:tr w:rsidR="009E2839" w:rsidRPr="00A94042" w14:paraId="77CAEDBA" w14:textId="77777777" w:rsidTr="78882673">
        <w:trPr>
          <w:cantSplit/>
        </w:trPr>
        <w:tc>
          <w:tcPr>
            <w:tcW w:w="9017" w:type="dxa"/>
            <w:gridSpan w:val="2"/>
            <w:shd w:val="clear" w:color="auto" w:fill="auto"/>
            <w:vAlign w:val="center"/>
          </w:tcPr>
          <w:p w14:paraId="325EBED0" w14:textId="44D13B19" w:rsidR="009E2839" w:rsidRPr="00A94042" w:rsidRDefault="005D6769" w:rsidP="00E55FD2">
            <w:pPr>
              <w:keepNext/>
              <w:keepLines/>
              <w:spacing w:after="120"/>
              <w:contextualSpacing/>
              <w:jc w:val="left"/>
              <w:rPr>
                <w:rFonts w:ascii="Arial Narrow" w:eastAsia="MS Gothic" w:hAnsi="Arial Narrow" w:cs="Times New Roman"/>
                <w:b/>
                <w:bCs/>
                <w:snapToGrid w:val="0"/>
                <w:sz w:val="20"/>
                <w:szCs w:val="22"/>
                <w:lang w:val="en-US"/>
              </w:rPr>
            </w:pPr>
            <w:r>
              <w:rPr>
                <w:rFonts w:ascii="Arial Narrow" w:eastAsia="MS Gothic" w:hAnsi="Arial Narrow" w:cs="Times New Roman"/>
                <w:b/>
                <w:bCs/>
                <w:snapToGrid w:val="0"/>
                <w:sz w:val="20"/>
                <w:szCs w:val="22"/>
                <w:lang w:val="en-US"/>
              </w:rPr>
              <w:t>Restriction</w:t>
            </w:r>
          </w:p>
        </w:tc>
      </w:tr>
      <w:tr w:rsidR="00184CBD" w:rsidRPr="00A94042" w14:paraId="1FF03407" w14:textId="77777777" w:rsidTr="006A3253">
        <w:trPr>
          <w:cantSplit/>
        </w:trPr>
        <w:tc>
          <w:tcPr>
            <w:tcW w:w="4528" w:type="dxa"/>
            <w:shd w:val="clear" w:color="auto" w:fill="auto"/>
            <w:vAlign w:val="center"/>
          </w:tcPr>
          <w:p w14:paraId="6B48E34E" w14:textId="77777777" w:rsidR="009466AB" w:rsidRDefault="009466AB" w:rsidP="00E55FD2">
            <w:pPr>
              <w:keepNext/>
              <w:keepLines/>
              <w:spacing w:after="120"/>
              <w:contextualSpacing/>
              <w:jc w:val="left"/>
              <w:rPr>
                <w:rFonts w:ascii="Arial Narrow" w:eastAsia="MS Gothic" w:hAnsi="Arial Narrow" w:cs="Times New Roman"/>
                <w:snapToGrid w:val="0"/>
                <w:sz w:val="20"/>
                <w:szCs w:val="22"/>
              </w:rPr>
            </w:pPr>
            <w:r w:rsidRPr="009466AB">
              <w:rPr>
                <w:rFonts w:ascii="Arial Narrow" w:eastAsia="MS Gothic" w:hAnsi="Arial Narrow" w:cs="Times New Roman"/>
                <w:snapToGrid w:val="0"/>
                <w:sz w:val="20"/>
                <w:szCs w:val="22"/>
              </w:rPr>
              <w:t>The PBAC expressed a preference for listing the new therapies in a broad patient population</w:t>
            </w:r>
            <w:r>
              <w:rPr>
                <w:rFonts w:ascii="Arial Narrow" w:eastAsia="MS Gothic" w:hAnsi="Arial Narrow" w:cs="Times New Roman"/>
                <w:snapToGrid w:val="0"/>
                <w:sz w:val="20"/>
                <w:szCs w:val="22"/>
              </w:rPr>
              <w:t>.</w:t>
            </w:r>
          </w:p>
          <w:p w14:paraId="071FE7C0" w14:textId="1366D6BE" w:rsidR="00184CBD" w:rsidRDefault="00184CBD" w:rsidP="00E55FD2">
            <w:pPr>
              <w:keepNext/>
              <w:keepLines/>
              <w:spacing w:after="120"/>
              <w:contextualSpacing/>
              <w:jc w:val="left"/>
              <w:rPr>
                <w:rFonts w:ascii="Arial Narrow" w:hAnsi="Arial Narrow" w:cs="Times New Roman"/>
                <w:snapToGrid w:val="0"/>
                <w:sz w:val="20"/>
                <w:szCs w:val="22"/>
                <w:lang w:eastAsia="zh-CN"/>
              </w:rPr>
            </w:pPr>
            <w:r>
              <w:rPr>
                <w:rFonts w:ascii="Arial Narrow" w:eastAsia="MS Gothic" w:hAnsi="Arial Narrow" w:cs="Times New Roman"/>
                <w:snapToGrid w:val="0"/>
                <w:sz w:val="20"/>
                <w:szCs w:val="22"/>
              </w:rPr>
              <w:t>The PBAC considered that a resubmission should identify how treatment criteria may differ for refractory and non-refractory patients; and that a resubmission should give further consideration to the place in therapy, as it was noted that access to chronic IVIg/PLEX can be difficult and there is a higher clinical need to effective therapies in patients who would otherwise be treated with IVIg/PLEX</w:t>
            </w:r>
            <w:r>
              <w:rPr>
                <w:rFonts w:ascii="Arial Narrow" w:hAnsi="Arial Narrow" w:cs="Times New Roman"/>
                <w:snapToGrid w:val="0"/>
                <w:sz w:val="20"/>
                <w:szCs w:val="22"/>
              </w:rPr>
              <w:t xml:space="preserve"> </w:t>
            </w:r>
            <w:r w:rsidRPr="00A94042">
              <w:rPr>
                <w:rFonts w:ascii="Arial Narrow" w:eastAsia="MS Gothic" w:hAnsi="Arial Narrow" w:cs="Times New Roman" w:hint="eastAsia"/>
                <w:snapToGrid w:val="0"/>
                <w:sz w:val="20"/>
                <w:szCs w:val="22"/>
              </w:rPr>
              <w:t>(</w:t>
            </w:r>
            <w:r w:rsidRPr="00A94042">
              <w:rPr>
                <w:rFonts w:ascii="Arial Narrow" w:eastAsia="MS Gothic" w:hAnsi="Arial Narrow" w:cs="Times New Roman"/>
                <w:snapToGrid w:val="0"/>
                <w:sz w:val="20"/>
                <w:szCs w:val="22"/>
              </w:rPr>
              <w:t xml:space="preserve">para </w:t>
            </w:r>
            <w:r>
              <w:rPr>
                <w:rFonts w:ascii="Arial Narrow" w:eastAsia="MS Gothic" w:hAnsi="Arial Narrow" w:cs="Times New Roman"/>
                <w:snapToGrid w:val="0"/>
                <w:sz w:val="20"/>
                <w:szCs w:val="22"/>
              </w:rPr>
              <w:t>7.8</w:t>
            </w:r>
            <w:r w:rsidRPr="00A94042">
              <w:rPr>
                <w:rFonts w:ascii="Arial Narrow" w:eastAsia="MS Gothic" w:hAnsi="Arial Narrow" w:cs="Times New Roman" w:hint="eastAsia"/>
                <w:snapToGrid w:val="0"/>
                <w:sz w:val="20"/>
                <w:szCs w:val="22"/>
              </w:rPr>
              <w:t>)</w:t>
            </w:r>
            <w:r w:rsidRPr="005D1CF5">
              <w:rPr>
                <w:rFonts w:ascii="Arial Narrow" w:hAnsi="Arial Narrow" w:cs="Times New Roman"/>
                <w:snapToGrid w:val="0"/>
                <w:sz w:val="20"/>
                <w:szCs w:val="22"/>
              </w:rPr>
              <w:t>.</w:t>
            </w:r>
          </w:p>
        </w:tc>
        <w:tc>
          <w:tcPr>
            <w:tcW w:w="4489" w:type="dxa"/>
            <w:shd w:val="clear" w:color="auto" w:fill="auto"/>
            <w:vAlign w:val="center"/>
          </w:tcPr>
          <w:p w14:paraId="6E0A65CC" w14:textId="0E673CE2" w:rsidR="00184CBD" w:rsidRPr="00A94042" w:rsidRDefault="00184CBD" w:rsidP="00E55FD2">
            <w:pPr>
              <w:keepNext/>
              <w:keepLines/>
              <w:spacing w:after="120"/>
              <w:contextualSpacing/>
              <w:jc w:val="left"/>
              <w:rPr>
                <w:rFonts w:ascii="Arial Narrow" w:hAnsi="Arial Narrow" w:cs="Times New Roman"/>
                <w:snapToGrid w:val="0"/>
                <w:sz w:val="20"/>
                <w:szCs w:val="22"/>
              </w:rPr>
            </w:pPr>
            <w:r>
              <w:rPr>
                <w:rFonts w:ascii="Arial Narrow" w:hAnsi="Arial Narrow" w:cs="Times New Roman" w:hint="eastAsia"/>
                <w:snapToGrid w:val="0"/>
                <w:sz w:val="20"/>
                <w:szCs w:val="22"/>
                <w:lang w:eastAsia="zh-CN"/>
              </w:rPr>
              <w:t>The r</w:t>
            </w:r>
            <w:r w:rsidRPr="005D1CF5">
              <w:rPr>
                <w:rFonts w:ascii="Arial Narrow" w:hAnsi="Arial Narrow" w:cs="Times New Roman" w:hint="eastAsia"/>
                <w:snapToGrid w:val="0"/>
                <w:sz w:val="20"/>
                <w:szCs w:val="22"/>
              </w:rPr>
              <w:t>esubmission restricted us</w:t>
            </w:r>
            <w:r>
              <w:rPr>
                <w:rFonts w:ascii="Arial Narrow" w:hAnsi="Arial Narrow" w:cs="Times New Roman"/>
                <w:snapToGrid w:val="0"/>
                <w:sz w:val="20"/>
                <w:szCs w:val="22"/>
              </w:rPr>
              <w:t>e of</w:t>
            </w:r>
            <w:r w:rsidRPr="005D1CF5">
              <w:rPr>
                <w:rFonts w:ascii="Arial Narrow" w:hAnsi="Arial Narrow" w:cs="Times New Roman" w:hint="eastAsia"/>
                <w:snapToGrid w:val="0"/>
                <w:sz w:val="20"/>
                <w:szCs w:val="22"/>
              </w:rPr>
              <w:t xml:space="preserve"> </w:t>
            </w:r>
            <w:proofErr w:type="spellStart"/>
            <w:r w:rsidRPr="005D1CF5">
              <w:rPr>
                <w:rFonts w:ascii="Arial Narrow" w:hAnsi="Arial Narrow" w:cs="Times New Roman"/>
                <w:snapToGrid w:val="0"/>
                <w:sz w:val="20"/>
                <w:szCs w:val="22"/>
              </w:rPr>
              <w:t>zilucoplan</w:t>
            </w:r>
            <w:proofErr w:type="spellEnd"/>
            <w:r w:rsidRPr="005D1CF5">
              <w:rPr>
                <w:rFonts w:ascii="Arial Narrow" w:hAnsi="Arial Narrow" w:cs="Times New Roman" w:hint="eastAsia"/>
                <w:snapToGrid w:val="0"/>
                <w:sz w:val="20"/>
                <w:szCs w:val="22"/>
              </w:rPr>
              <w:t xml:space="preserve"> </w:t>
            </w:r>
            <w:r>
              <w:rPr>
                <w:rFonts w:ascii="Arial Narrow" w:hAnsi="Arial Narrow" w:cs="Times New Roman"/>
                <w:snapToGrid w:val="0"/>
                <w:sz w:val="20"/>
                <w:szCs w:val="22"/>
              </w:rPr>
              <w:t>to</w:t>
            </w:r>
            <w:r w:rsidRPr="005D1CF5">
              <w:rPr>
                <w:rFonts w:ascii="Arial Narrow" w:hAnsi="Arial Narrow" w:cs="Times New Roman"/>
                <w:snapToGrid w:val="0"/>
                <w:sz w:val="20"/>
                <w:szCs w:val="22"/>
              </w:rPr>
              <w:t xml:space="preserve"> </w:t>
            </w:r>
            <w:r>
              <w:rPr>
                <w:rFonts w:ascii="Arial Narrow" w:hAnsi="Arial Narrow" w:cs="Times New Roman"/>
                <w:snapToGrid w:val="0"/>
                <w:sz w:val="20"/>
                <w:szCs w:val="22"/>
              </w:rPr>
              <w:t>treatment refractory</w:t>
            </w:r>
            <w:r w:rsidRPr="00686F51">
              <w:rPr>
                <w:rFonts w:ascii="Arial Narrow" w:hAnsi="Arial Narrow" w:cs="Times New Roman"/>
                <w:snapToGrid w:val="0"/>
                <w:sz w:val="20"/>
                <w:szCs w:val="22"/>
              </w:rPr>
              <w:t xml:space="preserve"> </w:t>
            </w:r>
            <w:proofErr w:type="spellStart"/>
            <w:r>
              <w:rPr>
                <w:rFonts w:ascii="Arial Narrow" w:hAnsi="Arial Narrow" w:cs="Times New Roman"/>
                <w:snapToGrid w:val="0"/>
                <w:sz w:val="20"/>
                <w:szCs w:val="22"/>
              </w:rPr>
              <w:t>AChR</w:t>
            </w:r>
            <w:proofErr w:type="spellEnd"/>
            <w:r>
              <w:rPr>
                <w:rFonts w:ascii="Arial Narrow" w:hAnsi="Arial Narrow" w:cs="Times New Roman"/>
                <w:snapToGrid w:val="0"/>
                <w:sz w:val="20"/>
                <w:szCs w:val="22"/>
              </w:rPr>
              <w:t xml:space="preserve">-positive </w:t>
            </w:r>
            <w:r w:rsidRPr="00686F51">
              <w:rPr>
                <w:rFonts w:ascii="Arial Narrow" w:hAnsi="Arial Narrow" w:cs="Times New Roman"/>
                <w:snapToGrid w:val="0"/>
                <w:sz w:val="20"/>
                <w:szCs w:val="22"/>
              </w:rPr>
              <w:t>g</w:t>
            </w:r>
            <w:r>
              <w:rPr>
                <w:rFonts w:ascii="Arial Narrow" w:hAnsi="Arial Narrow" w:cs="Times New Roman"/>
                <w:snapToGrid w:val="0"/>
                <w:sz w:val="20"/>
                <w:szCs w:val="22"/>
              </w:rPr>
              <w:t>eneralised myasthenia gravis pa</w:t>
            </w:r>
            <w:r w:rsidRPr="005D1CF5">
              <w:rPr>
                <w:rFonts w:ascii="Arial Narrow" w:hAnsi="Arial Narrow" w:cs="Times New Roman"/>
                <w:snapToGrid w:val="0"/>
                <w:sz w:val="20"/>
                <w:szCs w:val="22"/>
              </w:rPr>
              <w:t>tients</w:t>
            </w:r>
            <w:r w:rsidR="00702F60">
              <w:rPr>
                <w:rFonts w:ascii="Arial Narrow" w:hAnsi="Arial Narrow" w:cs="Times New Roman"/>
                <w:snapToGrid w:val="0"/>
                <w:sz w:val="20"/>
                <w:szCs w:val="22"/>
              </w:rPr>
              <w:t xml:space="preserve"> who would otherwise be treated with IVIg/PLEX</w:t>
            </w:r>
            <w:r>
              <w:rPr>
                <w:rFonts w:ascii="Arial Narrow" w:hAnsi="Arial Narrow" w:cs="Times New Roman" w:hint="eastAsia"/>
                <w:snapToGrid w:val="0"/>
                <w:sz w:val="20"/>
                <w:szCs w:val="22"/>
                <w:lang w:eastAsia="zh-CN"/>
              </w:rPr>
              <w:t>.</w:t>
            </w:r>
          </w:p>
        </w:tc>
      </w:tr>
      <w:tr w:rsidR="00184CBD" w:rsidRPr="00A94042" w14:paraId="081B53B1" w14:textId="77777777" w:rsidTr="006A3253">
        <w:trPr>
          <w:cantSplit/>
        </w:trPr>
        <w:tc>
          <w:tcPr>
            <w:tcW w:w="4528" w:type="dxa"/>
            <w:shd w:val="clear" w:color="auto" w:fill="auto"/>
            <w:vAlign w:val="center"/>
          </w:tcPr>
          <w:p w14:paraId="5EA2811D" w14:textId="30130CD2" w:rsidR="00184CBD" w:rsidRDefault="00702F60" w:rsidP="00E55FD2">
            <w:pPr>
              <w:spacing w:after="120"/>
              <w:contextualSpacing/>
              <w:jc w:val="left"/>
              <w:rPr>
                <w:rFonts w:ascii="Arial Narrow" w:hAnsi="Arial Narrow" w:cs="Times New Roman"/>
                <w:snapToGrid w:val="0"/>
                <w:sz w:val="20"/>
                <w:szCs w:val="20"/>
                <w:lang w:eastAsia="zh-CN"/>
              </w:rPr>
            </w:pPr>
            <w:r>
              <w:rPr>
                <w:rFonts w:ascii="Arial Narrow" w:eastAsia="MS Gothic" w:hAnsi="Arial Narrow" w:cs="Times New Roman"/>
                <w:snapToGrid w:val="0"/>
                <w:sz w:val="20"/>
                <w:szCs w:val="20"/>
              </w:rPr>
              <w:t>T</w:t>
            </w:r>
            <w:r w:rsidR="00184CBD" w:rsidRPr="00184CBD">
              <w:rPr>
                <w:rFonts w:ascii="Arial Narrow" w:eastAsia="MS Gothic" w:hAnsi="Arial Narrow" w:cs="Times New Roman"/>
                <w:snapToGrid w:val="0"/>
                <w:sz w:val="20"/>
                <w:szCs w:val="20"/>
              </w:rPr>
              <w:t xml:space="preserve">he PBAC noted </w:t>
            </w:r>
            <w:r>
              <w:rPr>
                <w:rFonts w:ascii="Arial Narrow" w:eastAsia="MS Gothic" w:hAnsi="Arial Narrow" w:cs="Times New Roman"/>
                <w:snapToGrid w:val="0"/>
                <w:sz w:val="20"/>
                <w:szCs w:val="20"/>
              </w:rPr>
              <w:t xml:space="preserve">that the restriction was </w:t>
            </w:r>
            <w:r w:rsidR="00D26B81">
              <w:rPr>
                <w:rFonts w:ascii="Arial Narrow" w:eastAsia="MS Gothic" w:hAnsi="Arial Narrow" w:cs="Times New Roman"/>
                <w:snapToGrid w:val="0"/>
                <w:sz w:val="20"/>
                <w:szCs w:val="20"/>
              </w:rPr>
              <w:t>broad</w:t>
            </w:r>
            <w:r>
              <w:rPr>
                <w:rFonts w:ascii="Arial Narrow" w:eastAsia="MS Gothic" w:hAnsi="Arial Narrow" w:cs="Times New Roman"/>
                <w:snapToGrid w:val="0"/>
                <w:sz w:val="20"/>
                <w:szCs w:val="20"/>
              </w:rPr>
              <w:t xml:space="preserve"> </w:t>
            </w:r>
            <w:r w:rsidR="00184CBD" w:rsidRPr="00184CBD">
              <w:rPr>
                <w:rFonts w:ascii="Arial Narrow" w:eastAsia="MS Gothic" w:hAnsi="Arial Narrow" w:cs="Times New Roman"/>
                <w:snapToGrid w:val="0"/>
                <w:sz w:val="20"/>
                <w:szCs w:val="20"/>
              </w:rPr>
              <w:t xml:space="preserve">given it did not: require the </w:t>
            </w:r>
            <w:r w:rsidR="00184CBD">
              <w:rPr>
                <w:rFonts w:ascii="Arial Narrow" w:eastAsia="MS Gothic" w:hAnsi="Arial Narrow" w:cs="Times New Roman"/>
                <w:snapToGrid w:val="0"/>
                <w:sz w:val="20"/>
                <w:szCs w:val="20"/>
              </w:rPr>
              <w:t>c</w:t>
            </w:r>
            <w:r w:rsidR="00184CBD" w:rsidRPr="00184CBD">
              <w:rPr>
                <w:rFonts w:ascii="Arial Narrow" w:eastAsia="MS Gothic" w:hAnsi="Arial Narrow" w:cs="Times New Roman"/>
                <w:snapToGrid w:val="0"/>
                <w:sz w:val="20"/>
                <w:szCs w:val="20"/>
              </w:rPr>
              <w:t>orticosteroid/immunosuppressive</w:t>
            </w:r>
            <w:r w:rsidR="00184CBD">
              <w:rPr>
                <w:rFonts w:ascii="Arial Narrow" w:eastAsia="MS Gothic" w:hAnsi="Arial Narrow" w:cs="Times New Roman"/>
                <w:snapToGrid w:val="0"/>
                <w:sz w:val="20"/>
                <w:szCs w:val="20"/>
              </w:rPr>
              <w:t xml:space="preserve"> </w:t>
            </w:r>
            <w:r w:rsidR="00184CBD" w:rsidRPr="00184CBD">
              <w:rPr>
                <w:rFonts w:ascii="Arial Narrow" w:eastAsia="MS Gothic" w:hAnsi="Arial Narrow" w:cs="Times New Roman"/>
                <w:snapToGrid w:val="0"/>
                <w:sz w:val="20"/>
                <w:szCs w:val="20"/>
              </w:rPr>
              <w:t xml:space="preserve">therapy to have been optimised; require combination corticosteroid plus non-steroid immunosuppressive therapy to have been trialled; nor specify a timeframe for assessing response prior to commencing </w:t>
            </w:r>
            <w:proofErr w:type="spellStart"/>
            <w:r w:rsidR="00184CBD" w:rsidRPr="00184CBD">
              <w:rPr>
                <w:rFonts w:ascii="Arial Narrow" w:eastAsia="MS Gothic" w:hAnsi="Arial Narrow" w:cs="Times New Roman"/>
                <w:snapToGrid w:val="0"/>
                <w:sz w:val="20"/>
                <w:szCs w:val="20"/>
              </w:rPr>
              <w:t>zilucoplan</w:t>
            </w:r>
            <w:proofErr w:type="spellEnd"/>
            <w:r w:rsidR="00184CBD">
              <w:rPr>
                <w:rFonts w:ascii="Arial Narrow" w:eastAsia="MS Gothic" w:hAnsi="Arial Narrow" w:cs="Times New Roman"/>
                <w:snapToGrid w:val="0"/>
                <w:sz w:val="20"/>
                <w:szCs w:val="20"/>
              </w:rPr>
              <w:t xml:space="preserve"> (para 7.4)</w:t>
            </w:r>
            <w:r w:rsidR="00184CBD" w:rsidRPr="00184CBD">
              <w:rPr>
                <w:rFonts w:ascii="Arial Narrow" w:eastAsia="MS Gothic" w:hAnsi="Arial Narrow" w:cs="Times New Roman"/>
                <w:snapToGrid w:val="0"/>
                <w:sz w:val="20"/>
                <w:szCs w:val="20"/>
              </w:rPr>
              <w:t>.</w:t>
            </w:r>
          </w:p>
        </w:tc>
        <w:tc>
          <w:tcPr>
            <w:tcW w:w="4489" w:type="dxa"/>
            <w:shd w:val="clear" w:color="auto" w:fill="auto"/>
            <w:vAlign w:val="center"/>
          </w:tcPr>
          <w:p w14:paraId="1B402D6C" w14:textId="585A0BD7" w:rsidR="0083146B" w:rsidRDefault="00CF475A" w:rsidP="00E55FD2">
            <w:pPr>
              <w:spacing w:after="120"/>
              <w:jc w:val="left"/>
              <w:rPr>
                <w:rFonts w:ascii="Arial Narrow" w:hAnsi="Arial Narrow" w:cs="Times New Roman"/>
                <w:snapToGrid w:val="0"/>
                <w:sz w:val="20"/>
                <w:szCs w:val="20"/>
                <w:lang w:eastAsia="zh-CN"/>
              </w:rPr>
            </w:pPr>
            <w:r>
              <w:rPr>
                <w:rFonts w:ascii="Arial Narrow" w:hAnsi="Arial Narrow" w:cs="Times New Roman"/>
                <w:snapToGrid w:val="0"/>
                <w:sz w:val="20"/>
                <w:szCs w:val="20"/>
                <w:lang w:eastAsia="zh-CN"/>
              </w:rPr>
              <w:t>The proposed restriction includes criteria specifying</w:t>
            </w:r>
            <w:r w:rsidR="00DC1512">
              <w:rPr>
                <w:rFonts w:ascii="Arial Narrow" w:hAnsi="Arial Narrow" w:cs="Times New Roman"/>
                <w:snapToGrid w:val="0"/>
                <w:sz w:val="20"/>
                <w:szCs w:val="20"/>
                <w:lang w:eastAsia="zh-CN"/>
              </w:rPr>
              <w:t xml:space="preserve"> the type and timeframe of prior therapies but did require treatment optimisation, prior use of combination therapies or a timeframe for assessing response prior to initiating </w:t>
            </w:r>
            <w:proofErr w:type="spellStart"/>
            <w:r w:rsidR="00DC1512">
              <w:rPr>
                <w:rFonts w:ascii="Arial Narrow" w:hAnsi="Arial Narrow" w:cs="Times New Roman"/>
                <w:snapToGrid w:val="0"/>
                <w:sz w:val="20"/>
                <w:szCs w:val="20"/>
                <w:lang w:eastAsia="zh-CN"/>
              </w:rPr>
              <w:t>zilucoplan</w:t>
            </w:r>
            <w:proofErr w:type="spellEnd"/>
            <w:r w:rsidR="00D26B81">
              <w:rPr>
                <w:rFonts w:ascii="Arial Narrow" w:hAnsi="Arial Narrow" w:cs="Times New Roman"/>
                <w:snapToGrid w:val="0"/>
                <w:sz w:val="20"/>
                <w:szCs w:val="20"/>
                <w:lang w:eastAsia="zh-CN"/>
              </w:rPr>
              <w:t>.</w:t>
            </w:r>
          </w:p>
        </w:tc>
      </w:tr>
      <w:tr w:rsidR="002A4382" w:rsidRPr="00A94042" w14:paraId="0B19A7F5" w14:textId="77777777" w:rsidTr="006A3253">
        <w:trPr>
          <w:cantSplit/>
        </w:trPr>
        <w:tc>
          <w:tcPr>
            <w:tcW w:w="4528" w:type="dxa"/>
            <w:shd w:val="clear" w:color="auto" w:fill="auto"/>
            <w:vAlign w:val="center"/>
          </w:tcPr>
          <w:p w14:paraId="5C0AC5DE" w14:textId="2F4930B6" w:rsidR="002A4382" w:rsidRPr="00ED1C76" w:rsidRDefault="00702F60" w:rsidP="00E55FD2">
            <w:pPr>
              <w:spacing w:after="120"/>
              <w:contextualSpacing/>
              <w:jc w:val="left"/>
              <w:rPr>
                <w:rFonts w:ascii="Arial Narrow" w:hAnsi="Arial Narrow" w:cs="Times New Roman"/>
                <w:snapToGrid w:val="0"/>
                <w:color w:val="000000" w:themeColor="text1"/>
                <w:sz w:val="20"/>
                <w:szCs w:val="22"/>
                <w:lang w:eastAsia="zh-CN"/>
              </w:rPr>
            </w:pPr>
            <w:r>
              <w:rPr>
                <w:rFonts w:ascii="Arial Narrow" w:hAnsi="Arial Narrow" w:cs="Times New Roman"/>
                <w:snapToGrid w:val="0"/>
                <w:color w:val="000000" w:themeColor="text1"/>
                <w:sz w:val="20"/>
                <w:szCs w:val="22"/>
                <w:lang w:eastAsia="zh-CN"/>
              </w:rPr>
              <w:t xml:space="preserve">The PBAC </w:t>
            </w:r>
            <w:r w:rsidR="00FD7E01">
              <w:rPr>
                <w:rFonts w:ascii="Arial Narrow" w:hAnsi="Arial Narrow" w:cs="Times New Roman"/>
                <w:snapToGrid w:val="0"/>
                <w:color w:val="000000" w:themeColor="text1"/>
                <w:sz w:val="20"/>
                <w:szCs w:val="22"/>
                <w:lang w:eastAsia="zh-CN"/>
              </w:rPr>
              <w:t>considered that the continuation criterion proposed in the pre-PBAC response (a 3-point reduction in MG-ADL from baseline)</w:t>
            </w:r>
            <w:r w:rsidR="00BB4C61">
              <w:rPr>
                <w:rFonts w:ascii="Arial Narrow" w:hAnsi="Arial Narrow" w:cs="Times New Roman"/>
                <w:snapToGrid w:val="0"/>
                <w:color w:val="000000" w:themeColor="text1"/>
                <w:sz w:val="20"/>
                <w:szCs w:val="22"/>
                <w:lang w:eastAsia="zh-CN"/>
              </w:rPr>
              <w:t xml:space="preserve"> required further consideration as it would mean that almost half of </w:t>
            </w:r>
            <w:r w:rsidR="006B22AC">
              <w:rPr>
                <w:rFonts w:ascii="Arial Narrow" w:hAnsi="Arial Narrow" w:cs="Times New Roman"/>
                <w:snapToGrid w:val="0"/>
                <w:color w:val="000000" w:themeColor="text1"/>
                <w:sz w:val="20"/>
                <w:szCs w:val="22"/>
                <w:lang w:eastAsia="zh-CN"/>
              </w:rPr>
              <w:t>the treated population would be continuing based on the placebo effect alone (</w:t>
            </w:r>
            <w:r w:rsidRPr="00644607">
              <w:rPr>
                <w:rFonts w:ascii="Arial Narrow" w:hAnsi="Arial Narrow" w:cs="Times New Roman"/>
                <w:snapToGrid w:val="0"/>
                <w:color w:val="000000" w:themeColor="text1"/>
                <w:sz w:val="20"/>
                <w:szCs w:val="22"/>
                <w:lang w:eastAsia="zh-CN"/>
              </w:rPr>
              <w:t>46.1% of patients in the placebo arm achieved this response level in the RAISE trial</w:t>
            </w:r>
            <w:r>
              <w:rPr>
                <w:rFonts w:ascii="Arial Narrow" w:hAnsi="Arial Narrow" w:cs="Times New Roman"/>
                <w:snapToGrid w:val="0"/>
                <w:color w:val="000000" w:themeColor="text1"/>
                <w:sz w:val="20"/>
                <w:szCs w:val="22"/>
                <w:lang w:eastAsia="zh-CN"/>
              </w:rPr>
              <w:t>)</w:t>
            </w:r>
            <w:r w:rsidR="00D26B81">
              <w:rPr>
                <w:rFonts w:ascii="Arial Narrow" w:hAnsi="Arial Narrow" w:cs="Times New Roman"/>
                <w:snapToGrid w:val="0"/>
                <w:color w:val="000000" w:themeColor="text1"/>
                <w:sz w:val="20"/>
                <w:szCs w:val="22"/>
                <w:lang w:eastAsia="zh-CN"/>
              </w:rPr>
              <w:t>.</w:t>
            </w:r>
          </w:p>
        </w:tc>
        <w:tc>
          <w:tcPr>
            <w:tcW w:w="4489" w:type="dxa"/>
            <w:shd w:val="clear" w:color="auto" w:fill="auto"/>
            <w:vAlign w:val="center"/>
          </w:tcPr>
          <w:p w14:paraId="2455D002" w14:textId="03454365" w:rsidR="002A4382" w:rsidRPr="00ED1C76" w:rsidRDefault="006B22AC" w:rsidP="00E55FD2">
            <w:pPr>
              <w:spacing w:after="120"/>
              <w:contextualSpacing/>
              <w:jc w:val="left"/>
              <w:rPr>
                <w:rFonts w:ascii="Arial Narrow" w:hAnsi="Arial Narrow" w:cs="Times New Roman"/>
                <w:snapToGrid w:val="0"/>
                <w:color w:val="000000" w:themeColor="text1"/>
                <w:sz w:val="20"/>
                <w:szCs w:val="22"/>
                <w:lang w:eastAsia="zh-CN"/>
              </w:rPr>
            </w:pPr>
            <w:r>
              <w:rPr>
                <w:rFonts w:ascii="Arial Narrow" w:hAnsi="Arial Narrow" w:cs="Times New Roman"/>
                <w:snapToGrid w:val="0"/>
                <w:color w:val="000000" w:themeColor="text1"/>
                <w:sz w:val="20"/>
                <w:szCs w:val="22"/>
                <w:lang w:eastAsia="zh-CN"/>
              </w:rPr>
              <w:t xml:space="preserve">This issue was not addressed. The same continuation criterion was proposed in the resubmission. </w:t>
            </w:r>
          </w:p>
        </w:tc>
      </w:tr>
      <w:tr w:rsidR="002A4382" w:rsidRPr="00A94042" w14:paraId="500AAFB5" w14:textId="77777777" w:rsidTr="006A3253">
        <w:trPr>
          <w:cantSplit/>
        </w:trPr>
        <w:tc>
          <w:tcPr>
            <w:tcW w:w="4528" w:type="dxa"/>
            <w:shd w:val="clear" w:color="auto" w:fill="auto"/>
            <w:vAlign w:val="center"/>
          </w:tcPr>
          <w:p w14:paraId="43F0A0FA" w14:textId="77F781CE" w:rsidR="002A4382" w:rsidRPr="000B1325" w:rsidRDefault="000B1325" w:rsidP="00E55FD2">
            <w:pPr>
              <w:autoSpaceDE w:val="0"/>
              <w:autoSpaceDN w:val="0"/>
              <w:adjustRightInd w:val="0"/>
              <w:jc w:val="left"/>
              <w:rPr>
                <w:rFonts w:ascii="Arial Narrow" w:hAnsi="Arial Narrow" w:cs="Calibri"/>
                <w:color w:val="000000"/>
                <w:sz w:val="20"/>
                <w:szCs w:val="20"/>
              </w:rPr>
            </w:pPr>
            <w:r w:rsidRPr="000B1325">
              <w:rPr>
                <w:rFonts w:ascii="Arial Narrow" w:hAnsi="Arial Narrow" w:cs="Calibri"/>
                <w:color w:val="000000"/>
                <w:sz w:val="20"/>
                <w:szCs w:val="20"/>
              </w:rPr>
              <w:t>T</w:t>
            </w:r>
            <w:r w:rsidR="002A4382" w:rsidRPr="002A4382">
              <w:rPr>
                <w:rFonts w:ascii="Arial Narrow" w:hAnsi="Arial Narrow" w:cs="Calibri"/>
                <w:color w:val="000000"/>
                <w:sz w:val="20"/>
                <w:szCs w:val="20"/>
              </w:rPr>
              <w:t>he PBAC noted th</w:t>
            </w:r>
            <w:r w:rsidR="002A4382" w:rsidRPr="000B1325">
              <w:rPr>
                <w:rFonts w:ascii="Arial Narrow" w:hAnsi="Arial Narrow" w:cs="Calibri"/>
                <w:color w:val="000000"/>
                <w:sz w:val="20"/>
                <w:szCs w:val="20"/>
              </w:rPr>
              <w:t xml:space="preserve">at </w:t>
            </w:r>
            <w:r w:rsidRPr="000B1325">
              <w:rPr>
                <w:rFonts w:ascii="Arial Narrow" w:hAnsi="Arial Narrow" w:cs="Calibri"/>
                <w:color w:val="000000"/>
                <w:sz w:val="20"/>
                <w:szCs w:val="20"/>
              </w:rPr>
              <w:t>th</w:t>
            </w:r>
            <w:r w:rsidR="002A4382" w:rsidRPr="002A4382">
              <w:rPr>
                <w:rFonts w:ascii="Arial Narrow" w:hAnsi="Arial Narrow" w:cs="Calibri"/>
                <w:color w:val="000000"/>
                <w:sz w:val="20"/>
                <w:szCs w:val="20"/>
              </w:rPr>
              <w:t xml:space="preserve">e submission did not </w:t>
            </w:r>
            <w:r w:rsidRPr="000B1325">
              <w:rPr>
                <w:rFonts w:ascii="Arial Narrow" w:hAnsi="Arial Narrow" w:cs="Calibri"/>
                <w:color w:val="000000"/>
                <w:sz w:val="20"/>
                <w:szCs w:val="20"/>
              </w:rPr>
              <w:t xml:space="preserve">include </w:t>
            </w:r>
            <w:r w:rsidR="002A4382" w:rsidRPr="002A4382">
              <w:rPr>
                <w:rFonts w:ascii="Arial Narrow" w:hAnsi="Arial Narrow" w:cs="Calibri"/>
                <w:color w:val="000000"/>
                <w:sz w:val="20"/>
                <w:szCs w:val="20"/>
              </w:rPr>
              <w:t xml:space="preserve">a stopping rule </w:t>
            </w:r>
            <w:r w:rsidRPr="000B1325">
              <w:rPr>
                <w:rFonts w:ascii="Arial Narrow" w:hAnsi="Arial Narrow" w:cs="Calibri"/>
                <w:color w:val="000000"/>
                <w:sz w:val="20"/>
                <w:szCs w:val="20"/>
              </w:rPr>
              <w:t>in the proposed restriction</w:t>
            </w:r>
            <w:r w:rsidR="002A4382" w:rsidRPr="002A4382">
              <w:rPr>
                <w:rFonts w:ascii="Arial Narrow" w:hAnsi="Arial Narrow" w:cs="Calibri"/>
                <w:color w:val="000000"/>
                <w:sz w:val="20"/>
                <w:szCs w:val="20"/>
              </w:rPr>
              <w:t>.</w:t>
            </w:r>
            <w:r w:rsidR="00CD2636">
              <w:rPr>
                <w:rFonts w:ascii="Arial Narrow" w:hAnsi="Arial Narrow" w:cs="Calibri"/>
                <w:color w:val="000000"/>
                <w:sz w:val="20"/>
                <w:szCs w:val="20"/>
              </w:rPr>
              <w:t xml:space="preserve"> T</w:t>
            </w:r>
            <w:r w:rsidR="002A4382" w:rsidRPr="002A4382">
              <w:rPr>
                <w:rFonts w:ascii="Arial Narrow" w:hAnsi="Arial Narrow" w:cs="Calibri"/>
                <w:color w:val="000000"/>
                <w:sz w:val="20"/>
                <w:szCs w:val="20"/>
              </w:rPr>
              <w:t>he PBAC agreed with the clinicians present at the stakeholder meeting that there should be robust stopping rules to prevent ongoing use, noting that it would be harder to cease treatment in patients whose condition is refractory</w:t>
            </w:r>
            <w:r w:rsidR="00644607">
              <w:rPr>
                <w:rFonts w:ascii="Arial Narrow" w:hAnsi="Arial Narrow" w:cs="Calibri"/>
                <w:color w:val="000000"/>
                <w:sz w:val="20"/>
                <w:szCs w:val="20"/>
              </w:rPr>
              <w:t xml:space="preserve"> (para 7.6)</w:t>
            </w:r>
            <w:r w:rsidR="002A4382" w:rsidRPr="002A4382">
              <w:rPr>
                <w:rFonts w:ascii="Arial Narrow" w:hAnsi="Arial Narrow" w:cs="Calibri"/>
                <w:color w:val="000000"/>
                <w:sz w:val="20"/>
                <w:szCs w:val="20"/>
              </w:rPr>
              <w:t>.</w:t>
            </w:r>
          </w:p>
        </w:tc>
        <w:tc>
          <w:tcPr>
            <w:tcW w:w="4489" w:type="dxa"/>
            <w:shd w:val="clear" w:color="auto" w:fill="auto"/>
            <w:vAlign w:val="center"/>
          </w:tcPr>
          <w:p w14:paraId="015C613A" w14:textId="7C3856AA" w:rsidR="002A4382" w:rsidRPr="00B5740F" w:rsidRDefault="00AA52E4" w:rsidP="00E55FD2">
            <w:pPr>
              <w:autoSpaceDE w:val="0"/>
              <w:autoSpaceDN w:val="0"/>
              <w:adjustRightInd w:val="0"/>
              <w:jc w:val="left"/>
              <w:rPr>
                <w:rFonts w:ascii="Arial Narrow" w:hAnsi="Arial Narrow" w:cs="Calibri"/>
                <w:color w:val="000000"/>
                <w:sz w:val="20"/>
                <w:szCs w:val="20"/>
              </w:rPr>
            </w:pPr>
            <w:r w:rsidRPr="00644607">
              <w:rPr>
                <w:rFonts w:ascii="Arial Narrow" w:hAnsi="Arial Narrow" w:cs="Calibri"/>
                <w:color w:val="000000"/>
                <w:sz w:val="20"/>
                <w:szCs w:val="20"/>
              </w:rPr>
              <w:t>The resubmission did not propose any stopping rules, consistent with advice from the stakeholder meeting which did not suggest a stopping rule in treatment refractory populations.</w:t>
            </w:r>
          </w:p>
        </w:tc>
      </w:tr>
      <w:tr w:rsidR="00184CBD" w:rsidRPr="00A94042" w14:paraId="04BE3896" w14:textId="77777777" w:rsidTr="78882673">
        <w:trPr>
          <w:cantSplit/>
        </w:trPr>
        <w:tc>
          <w:tcPr>
            <w:tcW w:w="9017" w:type="dxa"/>
            <w:gridSpan w:val="2"/>
            <w:shd w:val="clear" w:color="auto" w:fill="auto"/>
            <w:vAlign w:val="center"/>
          </w:tcPr>
          <w:p w14:paraId="2CD86598" w14:textId="54CF1D6F" w:rsidR="00184CBD" w:rsidRPr="00ED1C76" w:rsidRDefault="00184CBD" w:rsidP="00E55FD2">
            <w:pPr>
              <w:keepNext/>
              <w:adjustRightInd w:val="0"/>
              <w:snapToGrid w:val="0"/>
              <w:jc w:val="left"/>
              <w:rPr>
                <w:rFonts w:ascii="Arial Narrow" w:hAnsi="Arial Narrow" w:cs="Times New Roman"/>
                <w:b/>
                <w:bCs/>
                <w:snapToGrid w:val="0"/>
                <w:color w:val="000000" w:themeColor="text1"/>
                <w:sz w:val="20"/>
                <w:szCs w:val="22"/>
                <w:lang w:val="en-GB"/>
              </w:rPr>
            </w:pPr>
            <w:r w:rsidRPr="00ED1C76">
              <w:rPr>
                <w:rFonts w:ascii="Arial Narrow" w:hAnsi="Arial Narrow" w:cs="Times New Roman"/>
                <w:b/>
                <w:bCs/>
                <w:snapToGrid w:val="0"/>
                <w:color w:val="000000" w:themeColor="text1"/>
                <w:sz w:val="20"/>
                <w:szCs w:val="22"/>
                <w:lang w:val="en-GB"/>
              </w:rPr>
              <w:t>Comparator</w:t>
            </w:r>
            <w:r w:rsidR="0077631D">
              <w:rPr>
                <w:rFonts w:ascii="Arial Narrow" w:hAnsi="Arial Narrow" w:cs="Times New Roman"/>
                <w:b/>
                <w:bCs/>
                <w:snapToGrid w:val="0"/>
                <w:color w:val="000000" w:themeColor="text1"/>
                <w:sz w:val="20"/>
                <w:szCs w:val="22"/>
                <w:lang w:val="en-GB"/>
              </w:rPr>
              <w:t xml:space="preserve"> </w:t>
            </w:r>
          </w:p>
        </w:tc>
      </w:tr>
      <w:tr w:rsidR="00184CBD" w:rsidRPr="00A94042" w14:paraId="130308F5" w14:textId="77777777" w:rsidTr="006A3253">
        <w:trPr>
          <w:cantSplit/>
        </w:trPr>
        <w:tc>
          <w:tcPr>
            <w:tcW w:w="4528" w:type="dxa"/>
            <w:shd w:val="clear" w:color="auto" w:fill="auto"/>
            <w:vAlign w:val="center"/>
          </w:tcPr>
          <w:p w14:paraId="108D8718" w14:textId="4C7B04BB" w:rsidR="00803C81" w:rsidRPr="00ED1C76" w:rsidRDefault="00803C81" w:rsidP="00E55FD2">
            <w:pPr>
              <w:adjustRightInd w:val="0"/>
              <w:snapToGrid w:val="0"/>
              <w:jc w:val="left"/>
              <w:rPr>
                <w:rFonts w:ascii="Arial Narrow" w:hAnsi="Arial Narrow" w:cs="Times New Roman"/>
                <w:snapToGrid w:val="0"/>
                <w:color w:val="000000" w:themeColor="text1"/>
                <w:sz w:val="20"/>
                <w:szCs w:val="22"/>
                <w:lang w:val="en-GB"/>
              </w:rPr>
            </w:pPr>
            <w:r w:rsidRPr="00803C81">
              <w:rPr>
                <w:rFonts w:ascii="Arial Narrow" w:hAnsi="Arial Narrow" w:cs="Times New Roman"/>
                <w:snapToGrid w:val="0"/>
                <w:color w:val="000000" w:themeColor="text1"/>
                <w:sz w:val="20"/>
                <w:szCs w:val="22"/>
                <w:lang w:val="en-GB"/>
              </w:rPr>
              <w:t xml:space="preserve">The PBAC noted that the submission nominated placebo (standard therapy alone) as the main comparator and chronic IVIg and PLEX as secondary comparators. For refractory patients and those who are unable to use or not responding to existing therapies, the PBAC acknowledged that there are variations in access to IVIg/PLEX, and that any clinical comparisons may be limited by the lack of evidence for IVIg/PLEX. As such, the PBAC considered that placebo may be a reasonable comparator in this group. However, the PBAC considered that chronic IVIg/PLEX remained a relevant comparator for providing a frame of reference for interpreting the cost per patient of </w:t>
            </w:r>
            <w:proofErr w:type="spellStart"/>
            <w:r w:rsidRPr="00803C81">
              <w:rPr>
                <w:rFonts w:ascii="Arial Narrow" w:hAnsi="Arial Narrow" w:cs="Times New Roman"/>
                <w:snapToGrid w:val="0"/>
                <w:color w:val="000000" w:themeColor="text1"/>
                <w:sz w:val="20"/>
                <w:szCs w:val="22"/>
                <w:lang w:val="en-GB"/>
              </w:rPr>
              <w:t>zilucoplan</w:t>
            </w:r>
            <w:proofErr w:type="spellEnd"/>
            <w:r w:rsidRPr="00803C81">
              <w:rPr>
                <w:rFonts w:ascii="Arial Narrow" w:hAnsi="Arial Narrow" w:cs="Times New Roman"/>
                <w:snapToGrid w:val="0"/>
                <w:color w:val="000000" w:themeColor="text1"/>
                <w:sz w:val="20"/>
                <w:szCs w:val="22"/>
                <w:lang w:val="en-GB"/>
              </w:rPr>
              <w:t xml:space="preserve"> in the refractory setting</w:t>
            </w:r>
            <w:r w:rsidR="00A955AA">
              <w:rPr>
                <w:rFonts w:ascii="Arial Narrow" w:hAnsi="Arial Narrow" w:cs="Times New Roman"/>
                <w:snapToGrid w:val="0"/>
                <w:color w:val="000000" w:themeColor="text1"/>
                <w:sz w:val="20"/>
                <w:szCs w:val="22"/>
                <w:lang w:val="en-GB"/>
              </w:rPr>
              <w:t xml:space="preserve"> (para 7.9</w:t>
            </w:r>
            <w:r w:rsidR="00507225">
              <w:rPr>
                <w:rFonts w:ascii="Arial Narrow" w:hAnsi="Arial Narrow" w:cs="Times New Roman"/>
                <w:snapToGrid w:val="0"/>
                <w:color w:val="000000" w:themeColor="text1"/>
                <w:sz w:val="20"/>
                <w:szCs w:val="22"/>
                <w:lang w:val="en-GB"/>
              </w:rPr>
              <w:t>, 7.21</w:t>
            </w:r>
            <w:r w:rsidR="00A955AA">
              <w:rPr>
                <w:rFonts w:ascii="Arial Narrow" w:hAnsi="Arial Narrow" w:cs="Times New Roman"/>
                <w:snapToGrid w:val="0"/>
                <w:color w:val="000000" w:themeColor="text1"/>
                <w:sz w:val="20"/>
                <w:szCs w:val="22"/>
                <w:lang w:val="en-GB"/>
              </w:rPr>
              <w:t>)</w:t>
            </w:r>
            <w:r w:rsidRPr="00803C81">
              <w:rPr>
                <w:rFonts w:ascii="Arial Narrow" w:hAnsi="Arial Narrow" w:cs="Times New Roman"/>
                <w:snapToGrid w:val="0"/>
                <w:color w:val="000000" w:themeColor="text1"/>
                <w:sz w:val="20"/>
                <w:szCs w:val="22"/>
                <w:lang w:val="en-GB"/>
              </w:rPr>
              <w:t>.</w:t>
            </w:r>
          </w:p>
        </w:tc>
        <w:tc>
          <w:tcPr>
            <w:tcW w:w="4489" w:type="dxa"/>
            <w:shd w:val="clear" w:color="auto" w:fill="auto"/>
            <w:vAlign w:val="center"/>
          </w:tcPr>
          <w:p w14:paraId="69FE3545" w14:textId="45885ECE" w:rsidR="00A955AA" w:rsidRDefault="003432B2" w:rsidP="00E55FD2">
            <w:pPr>
              <w:adjustRightInd w:val="0"/>
              <w:snapToGrid w:val="0"/>
              <w:spacing w:after="120"/>
              <w:jc w:val="left"/>
              <w:rPr>
                <w:rFonts w:ascii="Arial Narrow" w:hAnsi="Arial Narrow" w:cs="Times New Roman"/>
                <w:snapToGrid w:val="0"/>
                <w:color w:val="000000" w:themeColor="text1"/>
                <w:sz w:val="20"/>
                <w:szCs w:val="22"/>
                <w:lang w:val="en-GB"/>
              </w:rPr>
            </w:pPr>
            <w:r>
              <w:rPr>
                <w:rFonts w:ascii="Arial Narrow" w:hAnsi="Arial Narrow" w:cs="Times New Roman"/>
                <w:snapToGrid w:val="0"/>
                <w:color w:val="000000" w:themeColor="text1"/>
                <w:sz w:val="20"/>
                <w:szCs w:val="22"/>
                <w:lang w:val="en-GB"/>
              </w:rPr>
              <w:t xml:space="preserve">Placebo was the </w:t>
            </w:r>
            <w:r w:rsidR="00A955AA">
              <w:rPr>
                <w:rFonts w:ascii="Arial Narrow" w:hAnsi="Arial Narrow" w:cs="Times New Roman"/>
                <w:snapToGrid w:val="0"/>
                <w:color w:val="000000" w:themeColor="text1"/>
                <w:sz w:val="20"/>
                <w:szCs w:val="22"/>
                <w:lang w:val="en-GB"/>
              </w:rPr>
              <w:t>nominated comparator</w:t>
            </w:r>
            <w:r>
              <w:rPr>
                <w:rFonts w:ascii="Arial Narrow" w:hAnsi="Arial Narrow" w:cs="Times New Roman"/>
                <w:snapToGrid w:val="0"/>
                <w:color w:val="000000" w:themeColor="text1"/>
                <w:sz w:val="20"/>
                <w:szCs w:val="22"/>
                <w:lang w:val="en-GB"/>
              </w:rPr>
              <w:t xml:space="preserve"> in the resubmission</w:t>
            </w:r>
            <w:r w:rsidR="00A955AA">
              <w:rPr>
                <w:rFonts w:ascii="Arial Narrow" w:hAnsi="Arial Narrow" w:cs="Times New Roman"/>
                <w:snapToGrid w:val="0"/>
                <w:color w:val="000000" w:themeColor="text1"/>
                <w:sz w:val="20"/>
                <w:szCs w:val="22"/>
                <w:lang w:val="en-GB"/>
              </w:rPr>
              <w:t xml:space="preserve">. </w:t>
            </w:r>
          </w:p>
          <w:p w14:paraId="49AEEF58" w14:textId="74E84CAA" w:rsidR="00507225" w:rsidRDefault="00507225" w:rsidP="00E55FD2">
            <w:pPr>
              <w:adjustRightInd w:val="0"/>
              <w:snapToGrid w:val="0"/>
              <w:spacing w:after="120"/>
              <w:jc w:val="left"/>
              <w:rPr>
                <w:rFonts w:ascii="Arial Narrow" w:hAnsi="Arial Narrow" w:cs="Times New Roman"/>
                <w:snapToGrid w:val="0"/>
                <w:color w:val="000000" w:themeColor="text1"/>
                <w:sz w:val="20"/>
                <w:szCs w:val="22"/>
                <w:lang w:val="en-GB"/>
              </w:rPr>
            </w:pPr>
            <w:r w:rsidRPr="002D452C">
              <w:rPr>
                <w:rFonts w:ascii="Arial Narrow" w:hAnsi="Arial Narrow" w:cs="Times New Roman"/>
                <w:snapToGrid w:val="0"/>
                <w:sz w:val="20"/>
                <w:szCs w:val="22"/>
                <w:lang w:val="en-GB"/>
              </w:rPr>
              <w:t xml:space="preserve">The resubmission did not use the cost of IVIg/PLEX as a frame of reference for the cost per patient of </w:t>
            </w:r>
            <w:proofErr w:type="spellStart"/>
            <w:r w:rsidRPr="002D452C">
              <w:rPr>
                <w:rFonts w:ascii="Arial Narrow" w:hAnsi="Arial Narrow" w:cs="Times New Roman"/>
                <w:snapToGrid w:val="0"/>
                <w:sz w:val="20"/>
                <w:szCs w:val="22"/>
                <w:lang w:val="en-GB"/>
              </w:rPr>
              <w:t>zilucoplan</w:t>
            </w:r>
            <w:proofErr w:type="spellEnd"/>
            <w:r w:rsidRPr="002D452C">
              <w:rPr>
                <w:rFonts w:ascii="Arial Narrow" w:hAnsi="Arial Narrow" w:cs="Times New Roman"/>
                <w:snapToGrid w:val="0"/>
                <w:sz w:val="20"/>
                <w:szCs w:val="22"/>
                <w:lang w:val="en-GB"/>
              </w:rPr>
              <w:t xml:space="preserve">. A comparison of costs per patient per year is </w:t>
            </w:r>
            <w:r>
              <w:rPr>
                <w:rFonts w:ascii="Arial Narrow" w:hAnsi="Arial Narrow" w:cs="Times New Roman"/>
                <w:snapToGrid w:val="0"/>
                <w:sz w:val="20"/>
                <w:szCs w:val="22"/>
                <w:lang w:val="en-GB"/>
              </w:rPr>
              <w:t>presented</w:t>
            </w:r>
            <w:r w:rsidRPr="002D452C">
              <w:rPr>
                <w:rFonts w:ascii="Arial Narrow" w:hAnsi="Arial Narrow" w:cs="Times New Roman"/>
                <w:snapToGrid w:val="0"/>
                <w:sz w:val="20"/>
                <w:szCs w:val="22"/>
                <w:lang w:val="en-GB"/>
              </w:rPr>
              <w:t xml:space="preserve"> </w:t>
            </w:r>
            <w:r>
              <w:rPr>
                <w:rFonts w:ascii="Arial Narrow" w:hAnsi="Arial Narrow" w:cs="Times New Roman"/>
                <w:snapToGrid w:val="0"/>
                <w:sz w:val="20"/>
                <w:szCs w:val="22"/>
                <w:lang w:val="en-GB"/>
              </w:rPr>
              <w:t xml:space="preserve">in </w:t>
            </w:r>
            <w:hyperlink w:anchor="Drug_cost" w:history="1">
              <w:r w:rsidRPr="0024092E">
                <w:rPr>
                  <w:rStyle w:val="Hyperlink"/>
                  <w:rFonts w:ascii="Arial Narrow" w:hAnsi="Arial Narrow" w:cs="Times New Roman"/>
                  <w:snapToGrid w:val="0"/>
                  <w:sz w:val="20"/>
                  <w:szCs w:val="22"/>
                  <w:lang w:val="en-GB"/>
                </w:rPr>
                <w:t>Drug cost/patient/year</w:t>
              </w:r>
            </w:hyperlink>
            <w:r w:rsidRPr="002D452C">
              <w:rPr>
                <w:rFonts w:ascii="Arial Narrow" w:hAnsi="Arial Narrow" w:cs="Times New Roman"/>
                <w:snapToGrid w:val="0"/>
                <w:sz w:val="20"/>
                <w:szCs w:val="22"/>
                <w:lang w:val="en-GB"/>
              </w:rPr>
              <w:t>.</w:t>
            </w:r>
          </w:p>
          <w:p w14:paraId="20846AD4" w14:textId="412EE5CD" w:rsidR="00184CBD" w:rsidRPr="00ED1C76" w:rsidRDefault="00184CBD" w:rsidP="00E55FD2">
            <w:pPr>
              <w:adjustRightInd w:val="0"/>
              <w:snapToGrid w:val="0"/>
              <w:jc w:val="left"/>
              <w:rPr>
                <w:rFonts w:ascii="Arial Narrow" w:hAnsi="Arial Narrow" w:cs="Times New Roman"/>
                <w:snapToGrid w:val="0"/>
                <w:color w:val="000000" w:themeColor="text1"/>
                <w:sz w:val="20"/>
                <w:szCs w:val="22"/>
                <w:lang w:val="en-GB"/>
              </w:rPr>
            </w:pPr>
          </w:p>
        </w:tc>
      </w:tr>
      <w:tr w:rsidR="00184CBD" w:rsidRPr="00A94042" w14:paraId="733214B3" w14:textId="77777777" w:rsidTr="78882673">
        <w:trPr>
          <w:cantSplit/>
        </w:trPr>
        <w:tc>
          <w:tcPr>
            <w:tcW w:w="9017" w:type="dxa"/>
            <w:gridSpan w:val="2"/>
            <w:shd w:val="clear" w:color="auto" w:fill="auto"/>
            <w:vAlign w:val="center"/>
          </w:tcPr>
          <w:p w14:paraId="767B4C7B" w14:textId="77777777" w:rsidR="00184CBD" w:rsidRPr="00ED1C76" w:rsidRDefault="00184CBD" w:rsidP="00E55FD2">
            <w:pPr>
              <w:keepNext/>
              <w:adjustRightInd w:val="0"/>
              <w:snapToGrid w:val="0"/>
              <w:jc w:val="left"/>
              <w:rPr>
                <w:rFonts w:ascii="Arial Narrow" w:hAnsi="Arial Narrow" w:cs="Times New Roman"/>
                <w:b/>
                <w:bCs/>
                <w:snapToGrid w:val="0"/>
                <w:color w:val="000000" w:themeColor="text1"/>
                <w:sz w:val="20"/>
                <w:szCs w:val="22"/>
                <w:lang w:val="en-GB"/>
              </w:rPr>
            </w:pPr>
            <w:r w:rsidRPr="00ED1C76">
              <w:rPr>
                <w:rFonts w:ascii="Arial Narrow" w:hAnsi="Arial Narrow" w:cs="Times New Roman"/>
                <w:b/>
                <w:bCs/>
                <w:snapToGrid w:val="0"/>
                <w:color w:val="000000" w:themeColor="text1"/>
                <w:sz w:val="20"/>
                <w:szCs w:val="22"/>
                <w:lang w:val="en-GB"/>
              </w:rPr>
              <w:t>Clinical evaluation</w:t>
            </w:r>
          </w:p>
        </w:tc>
      </w:tr>
      <w:tr w:rsidR="00184CBD" w:rsidRPr="00A94042" w14:paraId="585E883F" w14:textId="77777777" w:rsidTr="006A3253">
        <w:trPr>
          <w:cantSplit/>
        </w:trPr>
        <w:tc>
          <w:tcPr>
            <w:tcW w:w="4528" w:type="dxa"/>
            <w:shd w:val="clear" w:color="auto" w:fill="auto"/>
            <w:vAlign w:val="center"/>
          </w:tcPr>
          <w:p w14:paraId="63510758" w14:textId="40BDB181" w:rsidR="00184CBD" w:rsidRPr="00ED1C76" w:rsidRDefault="00014824" w:rsidP="00E55FD2">
            <w:pPr>
              <w:adjustRightInd w:val="0"/>
              <w:snapToGrid w:val="0"/>
              <w:jc w:val="left"/>
              <w:rPr>
                <w:rFonts w:ascii="Arial Narrow" w:hAnsi="Arial Narrow" w:cs="Times New Roman"/>
                <w:snapToGrid w:val="0"/>
                <w:color w:val="000000" w:themeColor="text1"/>
                <w:sz w:val="20"/>
                <w:szCs w:val="22"/>
                <w:lang w:val="en-GB"/>
              </w:rPr>
            </w:pPr>
            <w:r>
              <w:rPr>
                <w:rFonts w:ascii="Arial Narrow" w:hAnsi="Arial Narrow" w:cs="Times New Roman"/>
                <w:snapToGrid w:val="0"/>
                <w:color w:val="000000" w:themeColor="text1"/>
                <w:sz w:val="20"/>
                <w:szCs w:val="22"/>
                <w:lang w:val="en-GB"/>
              </w:rPr>
              <w:t>T</w:t>
            </w:r>
            <w:r w:rsidRPr="00014824">
              <w:rPr>
                <w:rFonts w:ascii="Arial Narrow" w:hAnsi="Arial Narrow" w:cs="Times New Roman"/>
                <w:snapToGrid w:val="0"/>
                <w:color w:val="000000" w:themeColor="text1"/>
                <w:sz w:val="20"/>
                <w:szCs w:val="22"/>
                <w:lang w:val="en-GB"/>
              </w:rPr>
              <w:t>he PBAC considered that the outcomes for the refractory and non-refractory subgroups were difficult to interpret based on the information provided, but the high placebo response rates presented in the responder analyses indicated that standard therapies are effective for many patients, particularly those in the non-refractory group</w:t>
            </w:r>
            <w:r w:rsidR="001410A1">
              <w:rPr>
                <w:rFonts w:ascii="Arial Narrow" w:hAnsi="Arial Narrow" w:cs="Times New Roman"/>
                <w:snapToGrid w:val="0"/>
                <w:color w:val="000000" w:themeColor="text1"/>
                <w:sz w:val="20"/>
                <w:szCs w:val="22"/>
                <w:lang w:val="en-GB"/>
              </w:rPr>
              <w:t xml:space="preserve"> (para 7.13)</w:t>
            </w:r>
            <w:r w:rsidRPr="00014824">
              <w:rPr>
                <w:rFonts w:ascii="Arial Narrow" w:hAnsi="Arial Narrow" w:cs="Times New Roman"/>
                <w:snapToGrid w:val="0"/>
                <w:color w:val="000000" w:themeColor="text1"/>
                <w:sz w:val="20"/>
                <w:szCs w:val="22"/>
                <w:lang w:val="en-GB"/>
              </w:rPr>
              <w:t>.</w:t>
            </w:r>
          </w:p>
        </w:tc>
        <w:tc>
          <w:tcPr>
            <w:tcW w:w="4489" w:type="dxa"/>
            <w:shd w:val="clear" w:color="auto" w:fill="auto"/>
            <w:vAlign w:val="center"/>
          </w:tcPr>
          <w:p w14:paraId="36939F99" w14:textId="1E9AA56B" w:rsidR="00184CBD" w:rsidRPr="00ED1C76" w:rsidRDefault="001410A1" w:rsidP="00E55FD2">
            <w:pPr>
              <w:adjustRightInd w:val="0"/>
              <w:snapToGrid w:val="0"/>
              <w:jc w:val="left"/>
              <w:rPr>
                <w:rFonts w:ascii="Arial Narrow" w:hAnsi="Arial Narrow" w:cs="Times New Roman"/>
                <w:snapToGrid w:val="0"/>
                <w:color w:val="000000" w:themeColor="text1"/>
                <w:sz w:val="20"/>
                <w:szCs w:val="22"/>
                <w:lang w:val="en-GB"/>
              </w:rPr>
            </w:pPr>
            <w:r>
              <w:rPr>
                <w:rFonts w:ascii="Arial Narrow" w:hAnsi="Arial Narrow" w:cs="Times New Roman"/>
                <w:snapToGrid w:val="0"/>
                <w:color w:val="000000" w:themeColor="text1"/>
                <w:sz w:val="20"/>
                <w:szCs w:val="22"/>
                <w:lang w:val="en-GB"/>
              </w:rPr>
              <w:t>There were n</w:t>
            </w:r>
            <w:r w:rsidR="00563B4E" w:rsidRPr="00563B4E">
              <w:rPr>
                <w:rFonts w:ascii="Arial Narrow" w:hAnsi="Arial Narrow" w:cs="Times New Roman"/>
                <w:snapToGrid w:val="0"/>
                <w:color w:val="000000" w:themeColor="text1"/>
                <w:sz w:val="20"/>
                <w:szCs w:val="22"/>
                <w:lang w:val="en-GB"/>
              </w:rPr>
              <w:t xml:space="preserve">o substantial updates to the clinical data presented in the </w:t>
            </w:r>
            <w:r w:rsidR="00563B4E">
              <w:rPr>
                <w:rFonts w:ascii="Arial Narrow" w:hAnsi="Arial Narrow" w:cs="Times New Roman"/>
                <w:snapToGrid w:val="0"/>
                <w:color w:val="000000" w:themeColor="text1"/>
                <w:sz w:val="20"/>
                <w:szCs w:val="22"/>
                <w:lang w:val="en-GB"/>
              </w:rPr>
              <w:t xml:space="preserve">previous </w:t>
            </w:r>
            <w:r w:rsidR="00563B4E" w:rsidRPr="00563B4E">
              <w:rPr>
                <w:rFonts w:ascii="Arial Narrow" w:hAnsi="Arial Narrow" w:cs="Times New Roman"/>
                <w:snapToGrid w:val="0"/>
                <w:color w:val="000000" w:themeColor="text1"/>
                <w:sz w:val="20"/>
                <w:szCs w:val="22"/>
                <w:lang w:val="en-GB"/>
              </w:rPr>
              <w:t>submission.</w:t>
            </w:r>
          </w:p>
        </w:tc>
      </w:tr>
      <w:tr w:rsidR="00184CBD" w:rsidRPr="00A94042" w14:paraId="338939D5" w14:textId="77777777" w:rsidTr="006A3253">
        <w:trPr>
          <w:cantSplit/>
        </w:trPr>
        <w:tc>
          <w:tcPr>
            <w:tcW w:w="4528" w:type="dxa"/>
            <w:shd w:val="clear" w:color="auto" w:fill="auto"/>
            <w:vAlign w:val="center"/>
          </w:tcPr>
          <w:p w14:paraId="3D9DC6A8" w14:textId="7EAB64B0" w:rsidR="00184CBD" w:rsidRPr="00ED1C76" w:rsidRDefault="00184CBD" w:rsidP="00E55FD2">
            <w:pPr>
              <w:tabs>
                <w:tab w:val="left" w:pos="950"/>
              </w:tabs>
              <w:contextualSpacing/>
              <w:jc w:val="left"/>
              <w:rPr>
                <w:rFonts w:ascii="Arial Narrow" w:hAnsi="Arial Narrow" w:cs="Times New Roman"/>
                <w:snapToGrid w:val="0"/>
                <w:color w:val="000000" w:themeColor="text1"/>
                <w:sz w:val="20"/>
                <w:szCs w:val="22"/>
                <w:lang w:val="en-GB"/>
              </w:rPr>
            </w:pPr>
            <w:r w:rsidRPr="00ED1C76">
              <w:rPr>
                <w:rFonts w:ascii="Arial Narrow" w:hAnsi="Arial Narrow" w:cs="Times New Roman"/>
                <w:snapToGrid w:val="0"/>
                <w:color w:val="000000" w:themeColor="text1"/>
                <w:sz w:val="20"/>
                <w:szCs w:val="22"/>
                <w:lang w:val="en-GB"/>
              </w:rPr>
              <w:lastRenderedPageBreak/>
              <w:t xml:space="preserve">The PBAC </w:t>
            </w:r>
            <w:r w:rsidR="00B5740F">
              <w:rPr>
                <w:rFonts w:ascii="Arial Narrow" w:hAnsi="Arial Narrow" w:cs="Times New Roman"/>
                <w:snapToGrid w:val="0"/>
                <w:color w:val="000000" w:themeColor="text1"/>
                <w:sz w:val="20"/>
                <w:szCs w:val="22"/>
                <w:lang w:val="en-GB"/>
              </w:rPr>
              <w:t>considered that</w:t>
            </w:r>
            <w:r w:rsidRPr="00ED1C76">
              <w:rPr>
                <w:rFonts w:ascii="Arial Narrow" w:hAnsi="Arial Narrow" w:cs="Times New Roman"/>
                <w:snapToGrid w:val="0"/>
                <w:color w:val="000000" w:themeColor="text1"/>
                <w:sz w:val="20"/>
                <w:szCs w:val="22"/>
                <w:lang w:val="en-GB"/>
              </w:rPr>
              <w:t xml:space="preserve"> the claim of non-inferior comparative safety versus placebo was not adequately supported given the limited safety data and the requirement for patients to receive meningococcal vaccinations</w:t>
            </w:r>
            <w:r w:rsidRPr="00ED1C76">
              <w:rPr>
                <w:rFonts w:ascii="Arial Narrow" w:hAnsi="Arial Narrow" w:cs="Times New Roman" w:hint="eastAsia"/>
                <w:snapToGrid w:val="0"/>
                <w:color w:val="000000" w:themeColor="text1"/>
                <w:sz w:val="20"/>
                <w:szCs w:val="22"/>
                <w:lang w:val="en-GB"/>
              </w:rPr>
              <w:t xml:space="preserve"> </w:t>
            </w:r>
            <w:r w:rsidRPr="00ED1C76">
              <w:rPr>
                <w:rFonts w:ascii="Arial Narrow" w:hAnsi="Arial Narrow" w:cs="Times New Roman" w:hint="eastAsia"/>
                <w:snapToGrid w:val="0"/>
                <w:color w:val="000000" w:themeColor="text1"/>
                <w:sz w:val="20"/>
                <w:szCs w:val="22"/>
                <w:lang w:val="en-GB" w:eastAsia="zh-CN"/>
              </w:rPr>
              <w:t>(</w:t>
            </w:r>
            <w:r w:rsidRPr="00ED1C76">
              <w:rPr>
                <w:rFonts w:ascii="Arial Narrow" w:hAnsi="Arial Narrow" w:cs="Times New Roman"/>
                <w:snapToGrid w:val="0"/>
                <w:color w:val="000000" w:themeColor="text1"/>
                <w:sz w:val="20"/>
                <w:szCs w:val="22"/>
                <w:lang w:val="en-GB" w:eastAsia="zh-CN"/>
              </w:rPr>
              <w:t xml:space="preserve">para </w:t>
            </w:r>
            <w:r w:rsidRPr="00ED1C76">
              <w:rPr>
                <w:rFonts w:ascii="Arial Narrow" w:hAnsi="Arial Narrow" w:cs="Times New Roman" w:hint="eastAsia"/>
                <w:snapToGrid w:val="0"/>
                <w:color w:val="000000" w:themeColor="text1"/>
                <w:sz w:val="20"/>
                <w:szCs w:val="22"/>
                <w:lang w:val="en-GB"/>
              </w:rPr>
              <w:t>7.14</w:t>
            </w:r>
            <w:r w:rsidRPr="00ED1C76">
              <w:rPr>
                <w:rFonts w:ascii="Arial Narrow" w:hAnsi="Arial Narrow" w:cs="Times New Roman" w:hint="eastAsia"/>
                <w:snapToGrid w:val="0"/>
                <w:color w:val="000000" w:themeColor="text1"/>
                <w:sz w:val="20"/>
                <w:szCs w:val="22"/>
                <w:lang w:val="en-GB" w:eastAsia="zh-CN"/>
              </w:rPr>
              <w:t>).</w:t>
            </w:r>
          </w:p>
        </w:tc>
        <w:tc>
          <w:tcPr>
            <w:tcW w:w="4489" w:type="dxa"/>
            <w:shd w:val="clear" w:color="auto" w:fill="auto"/>
            <w:vAlign w:val="center"/>
          </w:tcPr>
          <w:p w14:paraId="68DAF8D7" w14:textId="7AFDCD40" w:rsidR="00184CBD" w:rsidRPr="00ED1C76" w:rsidRDefault="00507225" w:rsidP="00E55FD2">
            <w:pPr>
              <w:jc w:val="left"/>
              <w:rPr>
                <w:rFonts w:ascii="Arial Narrow" w:hAnsi="Arial Narrow" w:cs="Times New Roman"/>
                <w:snapToGrid w:val="0"/>
                <w:color w:val="000000" w:themeColor="text1"/>
                <w:sz w:val="20"/>
                <w:szCs w:val="22"/>
                <w:lang w:val="en-GB" w:eastAsia="zh-CN"/>
              </w:rPr>
            </w:pPr>
            <w:r>
              <w:rPr>
                <w:rFonts w:ascii="Arial Narrow" w:hAnsi="Arial Narrow" w:cs="Times New Roman"/>
                <w:snapToGrid w:val="0"/>
                <w:color w:val="000000" w:themeColor="text1"/>
                <w:sz w:val="20"/>
                <w:szCs w:val="22"/>
                <w:lang w:val="en-GB" w:eastAsia="zh-CN"/>
              </w:rPr>
              <w:t xml:space="preserve">The resubmission presented an updated PSUR which did not identify any new safety concerns. </w:t>
            </w:r>
            <w:r w:rsidR="002A2F7B">
              <w:rPr>
                <w:rFonts w:ascii="Arial Narrow" w:hAnsi="Arial Narrow" w:cs="Times New Roman"/>
                <w:snapToGrid w:val="0"/>
                <w:color w:val="000000" w:themeColor="text1"/>
                <w:sz w:val="20"/>
                <w:szCs w:val="22"/>
                <w:lang w:val="en-GB" w:eastAsia="zh-CN"/>
              </w:rPr>
              <w:t>The resubmission maintained a safety claim of non-inferiority versus placebo.</w:t>
            </w:r>
          </w:p>
        </w:tc>
      </w:tr>
      <w:tr w:rsidR="00184CBD" w:rsidRPr="00A94042" w14:paraId="685BD6B3" w14:textId="77777777" w:rsidTr="78882673">
        <w:trPr>
          <w:cantSplit/>
        </w:trPr>
        <w:tc>
          <w:tcPr>
            <w:tcW w:w="9017" w:type="dxa"/>
            <w:gridSpan w:val="2"/>
            <w:shd w:val="clear" w:color="auto" w:fill="auto"/>
            <w:vAlign w:val="center"/>
          </w:tcPr>
          <w:p w14:paraId="327C5F2C" w14:textId="77777777" w:rsidR="00184CBD" w:rsidRPr="00FE15A0" w:rsidRDefault="00184CBD" w:rsidP="00E55FD2">
            <w:pPr>
              <w:jc w:val="left"/>
              <w:rPr>
                <w:rFonts w:ascii="Arial Narrow" w:hAnsi="Arial Narrow" w:cs="Times New Roman"/>
                <w:b/>
                <w:bCs/>
                <w:snapToGrid w:val="0"/>
                <w:sz w:val="20"/>
                <w:szCs w:val="22"/>
                <w:lang w:val="en-GB" w:eastAsia="zh-CN"/>
              </w:rPr>
            </w:pPr>
            <w:r w:rsidRPr="00FE15A0">
              <w:rPr>
                <w:rFonts w:ascii="Arial Narrow" w:hAnsi="Arial Narrow" w:cs="Times New Roman"/>
                <w:b/>
                <w:bCs/>
                <w:snapToGrid w:val="0"/>
                <w:sz w:val="20"/>
                <w:szCs w:val="22"/>
                <w:lang w:val="en-GB"/>
              </w:rPr>
              <w:t>Economic evaluation</w:t>
            </w:r>
          </w:p>
        </w:tc>
      </w:tr>
      <w:tr w:rsidR="00184CBD" w:rsidRPr="00A94042" w14:paraId="1FEAD4A1" w14:textId="77777777" w:rsidTr="006A3253">
        <w:trPr>
          <w:cantSplit/>
        </w:trPr>
        <w:tc>
          <w:tcPr>
            <w:tcW w:w="4528" w:type="dxa"/>
            <w:shd w:val="clear" w:color="auto" w:fill="auto"/>
            <w:vAlign w:val="center"/>
          </w:tcPr>
          <w:p w14:paraId="4C1D7FF4" w14:textId="77777777"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2D452C">
              <w:rPr>
                <w:rFonts w:ascii="Arial Narrow" w:hAnsi="Arial Narrow" w:cs="Times New Roman"/>
                <w:snapToGrid w:val="0"/>
                <w:sz w:val="20"/>
                <w:szCs w:val="22"/>
                <w:lang w:val="en-GB"/>
              </w:rPr>
              <w:t xml:space="preserve">Responders in the </w:t>
            </w:r>
            <w:proofErr w:type="spellStart"/>
            <w:r w:rsidRPr="002D452C">
              <w:rPr>
                <w:rFonts w:ascii="Arial Narrow" w:hAnsi="Arial Narrow" w:cs="Times New Roman"/>
                <w:snapToGrid w:val="0"/>
                <w:sz w:val="20"/>
                <w:szCs w:val="22"/>
                <w:lang w:val="en-GB"/>
              </w:rPr>
              <w:t>zilucoplan</w:t>
            </w:r>
            <w:proofErr w:type="spellEnd"/>
            <w:r w:rsidRPr="002D452C">
              <w:rPr>
                <w:rFonts w:ascii="Arial Narrow" w:hAnsi="Arial Narrow" w:cs="Times New Roman"/>
                <w:snapToGrid w:val="0"/>
                <w:sz w:val="20"/>
                <w:szCs w:val="22"/>
                <w:lang w:val="en-GB"/>
              </w:rPr>
              <w:t xml:space="preserve"> arm have larger improvements in MG-ADL scores than responders in the placebo arm which was inconsistent with the clinical trial data (para 7.15). </w:t>
            </w:r>
          </w:p>
        </w:tc>
        <w:tc>
          <w:tcPr>
            <w:tcW w:w="4489" w:type="dxa"/>
            <w:shd w:val="clear" w:color="auto" w:fill="auto"/>
            <w:vAlign w:val="center"/>
          </w:tcPr>
          <w:p w14:paraId="22C2A2C3" w14:textId="77777777" w:rsidR="00184CBD" w:rsidRPr="00D975EB" w:rsidRDefault="00184CBD" w:rsidP="00E55FD2">
            <w:pPr>
              <w:jc w:val="left"/>
              <w:rPr>
                <w:rFonts w:ascii="Arial Narrow" w:hAnsi="Arial Narrow" w:cs="Times New Roman"/>
                <w:snapToGrid w:val="0"/>
                <w:sz w:val="20"/>
                <w:szCs w:val="22"/>
                <w:lang w:val="en-GB"/>
              </w:rPr>
            </w:pPr>
            <w:r w:rsidRPr="002D452C">
              <w:rPr>
                <w:rFonts w:ascii="Arial Narrow" w:hAnsi="Arial Narrow" w:cs="Times New Roman"/>
                <w:snapToGrid w:val="0"/>
                <w:sz w:val="20"/>
                <w:szCs w:val="22"/>
                <w:lang w:val="en-GB"/>
              </w:rPr>
              <w:t>Assumptions regarding changes in MG-ADL scores for treatment responders were revised resulting in minor differences between treatment arms up to Week 12, and no differences between treatment arms beyond Week 12.</w:t>
            </w:r>
          </w:p>
        </w:tc>
      </w:tr>
      <w:tr w:rsidR="00184CBD" w:rsidRPr="00A94042" w14:paraId="176539EA" w14:textId="77777777" w:rsidTr="006A3253">
        <w:trPr>
          <w:cantSplit/>
        </w:trPr>
        <w:tc>
          <w:tcPr>
            <w:tcW w:w="4528" w:type="dxa"/>
            <w:shd w:val="clear" w:color="auto" w:fill="auto"/>
            <w:vAlign w:val="center"/>
          </w:tcPr>
          <w:p w14:paraId="0EEBEA66" w14:textId="67EBE6E8"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2D452C">
              <w:rPr>
                <w:rFonts w:ascii="Arial Narrow" w:hAnsi="Arial Narrow" w:cs="Times New Roman"/>
                <w:snapToGrid w:val="0"/>
                <w:sz w:val="20"/>
                <w:szCs w:val="22"/>
                <w:lang w:val="en-GB"/>
              </w:rPr>
              <w:t xml:space="preserve">Non-responders in the </w:t>
            </w:r>
            <w:r>
              <w:rPr>
                <w:rFonts w:ascii="Arial Narrow" w:hAnsi="Arial Narrow" w:cs="Times New Roman"/>
                <w:snapToGrid w:val="0"/>
                <w:sz w:val="20"/>
                <w:szCs w:val="22"/>
                <w:lang w:val="en-GB"/>
              </w:rPr>
              <w:t>treatment refractory</w:t>
            </w:r>
            <w:r w:rsidRPr="002D452C">
              <w:rPr>
                <w:rFonts w:ascii="Arial Narrow" w:hAnsi="Arial Narrow" w:cs="Times New Roman"/>
                <w:snapToGrid w:val="0"/>
                <w:sz w:val="20"/>
                <w:szCs w:val="22"/>
                <w:lang w:val="en-GB"/>
              </w:rPr>
              <w:t xml:space="preserve"> setting switch to chronic IVIg/PLEX and escalated standard therapies and remain fully adherent for the remainder of the model, despite gaining no improvement in clinical outcomes with treatment (para 7.15).</w:t>
            </w:r>
          </w:p>
        </w:tc>
        <w:tc>
          <w:tcPr>
            <w:tcW w:w="4489" w:type="dxa"/>
            <w:shd w:val="clear" w:color="auto" w:fill="auto"/>
            <w:vAlign w:val="center"/>
          </w:tcPr>
          <w:p w14:paraId="0B8C1097" w14:textId="77777777" w:rsidR="00184CBD" w:rsidRPr="00D975EB" w:rsidRDefault="00184CBD" w:rsidP="00E55FD2">
            <w:pPr>
              <w:jc w:val="left"/>
              <w:rPr>
                <w:rFonts w:ascii="Arial Narrow" w:hAnsi="Arial Narrow" w:cs="Times New Roman"/>
                <w:snapToGrid w:val="0"/>
                <w:sz w:val="20"/>
                <w:szCs w:val="22"/>
                <w:lang w:val="en-GB"/>
              </w:rPr>
            </w:pPr>
            <w:r w:rsidRPr="00410E2D">
              <w:rPr>
                <w:rFonts w:ascii="Arial Narrow" w:hAnsi="Arial Narrow" w:cs="Times New Roman"/>
                <w:snapToGrid w:val="0"/>
                <w:sz w:val="20"/>
                <w:szCs w:val="22"/>
                <w:lang w:val="en-GB"/>
              </w:rPr>
              <w:t xml:space="preserve">The proportion of </w:t>
            </w:r>
            <w:proofErr w:type="spellStart"/>
            <w:r w:rsidRPr="00410E2D">
              <w:rPr>
                <w:rFonts w:ascii="Arial Narrow" w:hAnsi="Arial Narrow" w:cs="Times New Roman"/>
                <w:snapToGrid w:val="0"/>
                <w:sz w:val="20"/>
                <w:szCs w:val="22"/>
                <w:lang w:val="en-GB"/>
              </w:rPr>
              <w:t>zilucoplan</w:t>
            </w:r>
            <w:proofErr w:type="spellEnd"/>
            <w:r w:rsidRPr="00410E2D">
              <w:rPr>
                <w:rFonts w:ascii="Arial Narrow" w:hAnsi="Arial Narrow" w:cs="Times New Roman"/>
                <w:snapToGrid w:val="0"/>
                <w:sz w:val="20"/>
                <w:szCs w:val="22"/>
                <w:lang w:val="en-GB"/>
              </w:rPr>
              <w:t xml:space="preserve"> and placebo non-responders who receive IVIg/PLEX was revised (from 100% to 20%; with IVIg/PLEX patients receiving concomitant standard therapy), and a treatment effect associated with IVIg/PLEX therapy included (70%; previously 0%); with patients able to discontinue therapy due to non-response, non-persistence, following a clinical event, or death.</w:t>
            </w:r>
          </w:p>
        </w:tc>
      </w:tr>
      <w:tr w:rsidR="00184CBD" w:rsidRPr="00A94042" w14:paraId="0D97755E" w14:textId="77777777" w:rsidTr="006A3253">
        <w:trPr>
          <w:cantSplit/>
        </w:trPr>
        <w:tc>
          <w:tcPr>
            <w:tcW w:w="4528" w:type="dxa"/>
            <w:shd w:val="clear" w:color="auto" w:fill="auto"/>
            <w:vAlign w:val="center"/>
          </w:tcPr>
          <w:p w14:paraId="216B7D4F" w14:textId="77777777"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2D452C">
              <w:rPr>
                <w:rFonts w:ascii="Arial Narrow" w:hAnsi="Arial Narrow" w:cs="Times New Roman"/>
                <w:snapToGrid w:val="0"/>
                <w:sz w:val="20"/>
                <w:szCs w:val="22"/>
                <w:lang w:val="en-GB"/>
              </w:rPr>
              <w:t xml:space="preserve">Patients experiencing an exacerbation or myasthenic crisis discontinue therapy with </w:t>
            </w:r>
            <w:proofErr w:type="spellStart"/>
            <w:r w:rsidRPr="002D452C">
              <w:rPr>
                <w:rFonts w:ascii="Arial Narrow" w:hAnsi="Arial Narrow" w:cs="Times New Roman"/>
                <w:snapToGrid w:val="0"/>
                <w:sz w:val="20"/>
                <w:szCs w:val="22"/>
                <w:lang w:val="en-GB"/>
              </w:rPr>
              <w:t>zilucoplan</w:t>
            </w:r>
            <w:proofErr w:type="spellEnd"/>
            <w:r w:rsidRPr="002D452C">
              <w:rPr>
                <w:rFonts w:ascii="Arial Narrow" w:hAnsi="Arial Narrow" w:cs="Times New Roman"/>
                <w:snapToGrid w:val="0"/>
                <w:sz w:val="20"/>
                <w:szCs w:val="22"/>
                <w:lang w:val="en-GB"/>
              </w:rPr>
              <w:t xml:space="preserve"> and placebo despite no clear clinical rationale for this assumption. The calculation of event rates was poorly justified and was likely to have substantially overestimated the risk of events (para 7.15).</w:t>
            </w:r>
          </w:p>
        </w:tc>
        <w:tc>
          <w:tcPr>
            <w:tcW w:w="4489" w:type="dxa"/>
            <w:shd w:val="clear" w:color="auto" w:fill="auto"/>
            <w:vAlign w:val="center"/>
          </w:tcPr>
          <w:p w14:paraId="1352FF55" w14:textId="53398317" w:rsidR="00507225" w:rsidRDefault="00184CBD" w:rsidP="00E55FD2">
            <w:pPr>
              <w:jc w:val="left"/>
              <w:rPr>
                <w:rFonts w:ascii="Arial Narrow" w:hAnsi="Arial Narrow" w:cs="Times New Roman"/>
                <w:snapToGrid w:val="0"/>
                <w:sz w:val="20"/>
                <w:szCs w:val="22"/>
                <w:lang w:val="en-GB"/>
              </w:rPr>
            </w:pPr>
            <w:r w:rsidRPr="002D452C">
              <w:rPr>
                <w:rFonts w:ascii="Arial Narrow" w:hAnsi="Arial Narrow" w:cs="Times New Roman"/>
                <w:snapToGrid w:val="0"/>
                <w:sz w:val="20"/>
                <w:szCs w:val="22"/>
                <w:lang w:val="en-GB"/>
              </w:rPr>
              <w:t>Clinical event rates were revised, based on hospitalised events in a retrospective analysis of a US claims database (Parthan 2024). The revised event rates were generally higher than those used in the July 2024 submission.</w:t>
            </w:r>
          </w:p>
          <w:p w14:paraId="737293A7" w14:textId="682B298F" w:rsidR="00507225" w:rsidRPr="00D975EB" w:rsidRDefault="00507225" w:rsidP="00E55FD2">
            <w:pPr>
              <w:jc w:val="left"/>
              <w:rPr>
                <w:rFonts w:ascii="Arial Narrow" w:hAnsi="Arial Narrow" w:cs="Times New Roman"/>
                <w:snapToGrid w:val="0"/>
                <w:sz w:val="20"/>
                <w:szCs w:val="22"/>
                <w:lang w:val="en-GB"/>
              </w:rPr>
            </w:pPr>
            <w:r w:rsidRPr="007A27B1">
              <w:rPr>
                <w:rFonts w:ascii="Arial Narrow" w:hAnsi="Arial Narrow" w:cs="Times New Roman"/>
                <w:snapToGrid w:val="0"/>
                <w:sz w:val="20"/>
                <w:szCs w:val="22"/>
                <w:lang w:val="en-GB"/>
              </w:rPr>
              <w:t>Risks of treatment discontinuation following an exacerbation event were revised</w:t>
            </w:r>
            <w:r w:rsidR="00B731E7">
              <w:rPr>
                <w:rFonts w:ascii="Arial Narrow" w:hAnsi="Arial Narrow" w:cs="Times New Roman"/>
                <w:snapToGrid w:val="0"/>
                <w:sz w:val="20"/>
                <w:szCs w:val="22"/>
                <w:lang w:val="en-GB"/>
              </w:rPr>
              <w:t>.</w:t>
            </w:r>
            <w:r w:rsidRPr="007A27B1">
              <w:rPr>
                <w:rFonts w:ascii="Arial Narrow" w:hAnsi="Arial Narrow" w:cs="Times New Roman"/>
                <w:snapToGrid w:val="0"/>
                <w:sz w:val="20"/>
                <w:szCs w:val="22"/>
                <w:lang w:val="en-GB"/>
              </w:rPr>
              <w:t xml:space="preserve"> </w:t>
            </w:r>
          </w:p>
        </w:tc>
      </w:tr>
      <w:tr w:rsidR="00184CBD" w:rsidRPr="00A94042" w14:paraId="53AA2BDC" w14:textId="77777777" w:rsidTr="006A3253">
        <w:trPr>
          <w:cantSplit/>
        </w:trPr>
        <w:tc>
          <w:tcPr>
            <w:tcW w:w="4528" w:type="dxa"/>
            <w:shd w:val="clear" w:color="auto" w:fill="auto"/>
            <w:vAlign w:val="center"/>
          </w:tcPr>
          <w:p w14:paraId="067E48D4" w14:textId="7AA744CD"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2D452C">
              <w:rPr>
                <w:rFonts w:ascii="Arial Narrow" w:hAnsi="Arial Narrow" w:cs="Times New Roman"/>
                <w:snapToGrid w:val="0"/>
                <w:sz w:val="20"/>
                <w:szCs w:val="22"/>
                <w:lang w:val="en-GB"/>
              </w:rPr>
              <w:t xml:space="preserve">The assumption that corticosteroid users who respond to treatment no longer require </w:t>
            </w:r>
            <w:r>
              <w:rPr>
                <w:rFonts w:ascii="Arial Narrow" w:hAnsi="Arial Narrow" w:cs="Times New Roman"/>
                <w:snapToGrid w:val="0"/>
                <w:sz w:val="20"/>
                <w:szCs w:val="22"/>
                <w:lang w:val="en-GB"/>
              </w:rPr>
              <w:t>high-dose</w:t>
            </w:r>
            <w:r w:rsidRPr="002D452C">
              <w:rPr>
                <w:rFonts w:ascii="Arial Narrow" w:hAnsi="Arial Narrow" w:cs="Times New Roman"/>
                <w:snapToGrid w:val="0"/>
                <w:sz w:val="20"/>
                <w:szCs w:val="22"/>
                <w:lang w:val="en-GB"/>
              </w:rPr>
              <w:t xml:space="preserve"> corticosteroids, while corticosteroid users who fail to achieve a response require </w:t>
            </w:r>
            <w:r>
              <w:rPr>
                <w:rFonts w:ascii="Arial Narrow" w:hAnsi="Arial Narrow" w:cs="Times New Roman"/>
                <w:snapToGrid w:val="0"/>
                <w:sz w:val="20"/>
                <w:szCs w:val="22"/>
                <w:lang w:val="en-GB"/>
              </w:rPr>
              <w:t>high-dose</w:t>
            </w:r>
            <w:r w:rsidRPr="002D452C">
              <w:rPr>
                <w:rFonts w:ascii="Arial Narrow" w:hAnsi="Arial Narrow" w:cs="Times New Roman"/>
                <w:snapToGrid w:val="0"/>
                <w:sz w:val="20"/>
                <w:szCs w:val="22"/>
                <w:lang w:val="en-GB"/>
              </w:rPr>
              <w:t xml:space="preserve"> corticosteroids was not adequately supported by the available clinical data. Additionally, the disutility applied for </w:t>
            </w:r>
            <w:r>
              <w:rPr>
                <w:rFonts w:ascii="Arial Narrow" w:hAnsi="Arial Narrow" w:cs="Times New Roman"/>
                <w:snapToGrid w:val="0"/>
                <w:sz w:val="20"/>
                <w:szCs w:val="22"/>
                <w:lang w:val="en-GB"/>
              </w:rPr>
              <w:t>high-dose</w:t>
            </w:r>
            <w:r w:rsidRPr="002D452C">
              <w:rPr>
                <w:rFonts w:ascii="Arial Narrow" w:hAnsi="Arial Narrow" w:cs="Times New Roman"/>
                <w:snapToGrid w:val="0"/>
                <w:sz w:val="20"/>
                <w:szCs w:val="22"/>
                <w:lang w:val="en-GB"/>
              </w:rPr>
              <w:t xml:space="preserve"> corticosteroids was likely to have substantially overestimated the disutility attributable to corticosteroid use (para 7.15).</w:t>
            </w:r>
          </w:p>
        </w:tc>
        <w:tc>
          <w:tcPr>
            <w:tcW w:w="4489" w:type="dxa"/>
            <w:shd w:val="clear" w:color="auto" w:fill="auto"/>
            <w:vAlign w:val="center"/>
          </w:tcPr>
          <w:p w14:paraId="35BCB0E7" w14:textId="77777777" w:rsidR="00184CBD" w:rsidRPr="007A27B1" w:rsidRDefault="00184CBD" w:rsidP="00E55FD2">
            <w:pPr>
              <w:spacing w:after="120"/>
              <w:jc w:val="left"/>
              <w:rPr>
                <w:rFonts w:ascii="Arial Narrow" w:hAnsi="Arial Narrow" w:cs="Times New Roman"/>
                <w:snapToGrid w:val="0"/>
                <w:sz w:val="20"/>
                <w:szCs w:val="22"/>
                <w:lang w:val="en-GB"/>
              </w:rPr>
            </w:pPr>
            <w:r w:rsidRPr="007A27B1">
              <w:rPr>
                <w:rFonts w:ascii="Arial Narrow" w:hAnsi="Arial Narrow" w:cs="Times New Roman"/>
                <w:snapToGrid w:val="0"/>
                <w:sz w:val="20"/>
                <w:szCs w:val="22"/>
                <w:lang w:val="en-GB"/>
              </w:rPr>
              <w:t>The proportion of treatment responders receiving high-</w:t>
            </w:r>
            <w:r w:rsidRPr="006A3253">
              <w:rPr>
                <w:rFonts w:ascii="Arial Narrow" w:hAnsi="Arial Narrow" w:cs="Times New Roman"/>
                <w:snapToGrid w:val="0"/>
                <w:sz w:val="20"/>
                <w:szCs w:val="22"/>
                <w:lang w:val="en-GB"/>
              </w:rPr>
              <w:t>dose corticosteroids was revised from 0% to 6.9% (derived from baseline use in the RAISE trial). The proportion of non-responders receiving escalated standard therapy who receive high-dose corticosteroids was also increased from 63.8% to 100%.</w:t>
            </w:r>
          </w:p>
          <w:p w14:paraId="22DB5720" w14:textId="77777777" w:rsidR="00184CBD" w:rsidRPr="00D975EB" w:rsidRDefault="00184CBD" w:rsidP="00E55FD2">
            <w:pPr>
              <w:jc w:val="left"/>
              <w:rPr>
                <w:rFonts w:ascii="Arial Narrow" w:hAnsi="Arial Narrow" w:cs="Times New Roman"/>
                <w:snapToGrid w:val="0"/>
                <w:sz w:val="20"/>
                <w:szCs w:val="22"/>
                <w:lang w:val="en-GB"/>
              </w:rPr>
            </w:pPr>
            <w:r w:rsidRPr="002D452C">
              <w:rPr>
                <w:rFonts w:ascii="Arial Narrow" w:hAnsi="Arial Narrow" w:cs="Times New Roman"/>
                <w:snapToGrid w:val="0"/>
                <w:sz w:val="20"/>
                <w:szCs w:val="22"/>
                <w:lang w:val="en-GB"/>
              </w:rPr>
              <w:t>A smaller disutility associated with high-dose corticosteroids was used.</w:t>
            </w:r>
          </w:p>
        </w:tc>
      </w:tr>
      <w:tr w:rsidR="00184CBD" w:rsidRPr="00A94042" w14:paraId="69756E50" w14:textId="77777777" w:rsidTr="006A3253">
        <w:trPr>
          <w:cantSplit/>
        </w:trPr>
        <w:tc>
          <w:tcPr>
            <w:tcW w:w="4528" w:type="dxa"/>
            <w:shd w:val="clear" w:color="auto" w:fill="auto"/>
            <w:vAlign w:val="center"/>
          </w:tcPr>
          <w:p w14:paraId="41DB7660" w14:textId="77777777"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2D452C">
              <w:rPr>
                <w:rFonts w:ascii="Arial Narrow" w:hAnsi="Arial Narrow" w:cs="Times New Roman"/>
                <w:snapToGrid w:val="0"/>
                <w:sz w:val="20"/>
                <w:szCs w:val="22"/>
                <w:lang w:val="en-GB"/>
              </w:rPr>
              <w:t>The PBAC noted that the proposed price was very high and was a driver of the ICER/QALY gained, and thus a substantial price reduction would be required to achieve an acceptable ICER (para 7.20).</w:t>
            </w:r>
          </w:p>
        </w:tc>
        <w:tc>
          <w:tcPr>
            <w:tcW w:w="4489" w:type="dxa"/>
            <w:shd w:val="clear" w:color="auto" w:fill="auto"/>
            <w:vAlign w:val="center"/>
          </w:tcPr>
          <w:p w14:paraId="1B5927E7" w14:textId="5FAB996A" w:rsidR="00184CBD" w:rsidRPr="007A27B1" w:rsidRDefault="00184CBD" w:rsidP="00E55FD2">
            <w:pPr>
              <w:spacing w:after="120"/>
              <w:jc w:val="left"/>
              <w:rPr>
                <w:rFonts w:ascii="Arial Narrow" w:hAnsi="Arial Narrow" w:cs="Times New Roman"/>
                <w:snapToGrid w:val="0"/>
                <w:sz w:val="20"/>
                <w:szCs w:val="22"/>
                <w:lang w:val="en-GB"/>
              </w:rPr>
            </w:pPr>
            <w:r w:rsidRPr="007A27B1">
              <w:rPr>
                <w:rFonts w:ascii="Arial Narrow" w:hAnsi="Arial Narrow" w:cs="Times New Roman"/>
                <w:snapToGrid w:val="0"/>
                <w:sz w:val="20"/>
                <w:szCs w:val="22"/>
                <w:lang w:val="en-GB"/>
              </w:rPr>
              <w:t>The resubmission proposed an AEMP per mg of $</w:t>
            </w:r>
            <w:r w:rsidR="007510F8" w:rsidRPr="007510F8">
              <w:rPr>
                <w:rFonts w:ascii="Arial Narrow" w:hAnsi="Arial Narrow" w:cs="Times New Roman"/>
                <w:snapToGrid w:val="0"/>
                <w:color w:val="000000"/>
                <w:spacing w:val="50"/>
                <w:w w:val="96"/>
                <w:sz w:val="20"/>
                <w:szCs w:val="22"/>
                <w:shd w:val="solid" w:color="000000" w:fill="000000"/>
                <w:fitText w:val="322" w:id="-691334912"/>
                <w:lang w:val="en-GB"/>
                <w14:textFill>
                  <w14:solidFill>
                    <w14:srgbClr w14:val="000000">
                      <w14:alpha w14:val="100000"/>
                    </w14:srgbClr>
                  </w14:solidFill>
                </w14:textFill>
              </w:rPr>
              <w:t>|||</w:t>
            </w:r>
            <w:r w:rsidR="007510F8" w:rsidRPr="007510F8">
              <w:rPr>
                <w:rFonts w:ascii="Arial Narrow" w:hAnsi="Arial Narrow" w:cs="Times New Roman"/>
                <w:snapToGrid w:val="0"/>
                <w:color w:val="000000"/>
                <w:spacing w:val="13"/>
                <w:w w:val="96"/>
                <w:sz w:val="20"/>
                <w:szCs w:val="22"/>
                <w:shd w:val="solid" w:color="000000" w:fill="000000"/>
                <w:fitText w:val="322" w:id="-691334912"/>
                <w:lang w:val="en-GB"/>
                <w14:textFill>
                  <w14:solidFill>
                    <w14:srgbClr w14:val="000000">
                      <w14:alpha w14:val="100000"/>
                    </w14:srgbClr>
                  </w14:solidFill>
                </w14:textFill>
              </w:rPr>
              <w:t>|</w:t>
            </w:r>
            <w:r w:rsidRPr="007A27B1">
              <w:rPr>
                <w:rFonts w:ascii="Arial Narrow" w:hAnsi="Arial Narrow" w:cs="Times New Roman"/>
                <w:snapToGrid w:val="0"/>
                <w:sz w:val="20"/>
                <w:szCs w:val="22"/>
                <w:lang w:val="en-GB"/>
              </w:rPr>
              <w:t xml:space="preserve"> for </w:t>
            </w:r>
            <w:proofErr w:type="spellStart"/>
            <w:r w:rsidRPr="007A27B1">
              <w:rPr>
                <w:rFonts w:ascii="Arial Narrow" w:hAnsi="Arial Narrow" w:cs="Times New Roman"/>
                <w:snapToGrid w:val="0"/>
                <w:sz w:val="20"/>
                <w:szCs w:val="22"/>
                <w:lang w:val="en-GB"/>
              </w:rPr>
              <w:t>zilucoplan</w:t>
            </w:r>
            <w:proofErr w:type="spellEnd"/>
            <w:r w:rsidRPr="007A27B1">
              <w:rPr>
                <w:rFonts w:ascii="Arial Narrow" w:hAnsi="Arial Narrow" w:cs="Times New Roman"/>
                <w:snapToGrid w:val="0"/>
                <w:sz w:val="20"/>
                <w:szCs w:val="22"/>
                <w:lang w:val="en-GB"/>
              </w:rPr>
              <w:t>, a</w:t>
            </w:r>
            <w:r w:rsidR="00E243EB">
              <w:rPr>
                <w:rFonts w:ascii="Arial Narrow" w:hAnsi="Arial Narrow" w:cs="Times New Roman"/>
                <w:snapToGrid w:val="0"/>
                <w:sz w:val="20"/>
                <w:szCs w:val="22"/>
                <w:lang w:val="en-GB"/>
              </w:rPr>
              <w:t>n</w:t>
            </w:r>
            <w:r w:rsidRPr="007A27B1">
              <w:rPr>
                <w:rFonts w:ascii="Arial Narrow" w:hAnsi="Arial Narrow" w:cs="Times New Roman"/>
                <w:snapToGrid w:val="0"/>
                <w:sz w:val="20"/>
                <w:szCs w:val="22"/>
                <w:lang w:val="en-GB"/>
              </w:rPr>
              <w:t xml:space="preserve"> </w:t>
            </w:r>
            <w:r w:rsidR="007510F8" w:rsidRPr="007510F8">
              <w:rPr>
                <w:rFonts w:ascii="Arial Narrow" w:hAnsi="Arial Narrow" w:cs="Times New Roman"/>
                <w:snapToGrid w:val="0"/>
                <w:color w:val="000000"/>
                <w:spacing w:val="50"/>
                <w:w w:val="96"/>
                <w:sz w:val="20"/>
                <w:szCs w:val="22"/>
                <w:shd w:val="solid" w:color="000000" w:fill="000000"/>
                <w:fitText w:val="322" w:id="-691334911"/>
                <w:lang w:val="en-GB"/>
                <w14:textFill>
                  <w14:solidFill>
                    <w14:srgbClr w14:val="000000">
                      <w14:alpha w14:val="100000"/>
                    </w14:srgbClr>
                  </w14:solidFill>
                </w14:textFill>
              </w:rPr>
              <w:t>|||</w:t>
            </w:r>
            <w:r w:rsidR="007510F8" w:rsidRPr="007510F8">
              <w:rPr>
                <w:rFonts w:ascii="Arial Narrow" w:hAnsi="Arial Narrow" w:cs="Times New Roman"/>
                <w:snapToGrid w:val="0"/>
                <w:color w:val="000000"/>
                <w:spacing w:val="13"/>
                <w:w w:val="96"/>
                <w:sz w:val="20"/>
                <w:szCs w:val="22"/>
                <w:shd w:val="solid" w:color="000000" w:fill="000000"/>
                <w:fitText w:val="322" w:id="-691334911"/>
                <w:lang w:val="en-GB"/>
                <w14:textFill>
                  <w14:solidFill>
                    <w14:srgbClr w14:val="000000">
                      <w14:alpha w14:val="100000"/>
                    </w14:srgbClr>
                  </w14:solidFill>
                </w14:textFill>
              </w:rPr>
              <w:t>|</w:t>
            </w:r>
            <w:r w:rsidRPr="007A27B1">
              <w:rPr>
                <w:rFonts w:ascii="Arial Narrow" w:hAnsi="Arial Narrow" w:cs="Times New Roman"/>
                <w:snapToGrid w:val="0"/>
                <w:sz w:val="20"/>
                <w:szCs w:val="22"/>
                <w:lang w:val="en-GB"/>
              </w:rPr>
              <w:t>% increase on the proposed AEMP per mg of $</w:t>
            </w:r>
            <w:r w:rsidR="007510F8" w:rsidRPr="007510F8">
              <w:rPr>
                <w:rFonts w:ascii="Arial Narrow" w:hAnsi="Arial Narrow" w:cs="Times New Roman"/>
                <w:snapToGrid w:val="0"/>
                <w:color w:val="000000"/>
                <w:spacing w:val="50"/>
                <w:w w:val="96"/>
                <w:sz w:val="20"/>
                <w:szCs w:val="22"/>
                <w:shd w:val="solid" w:color="000000" w:fill="000000"/>
                <w:fitText w:val="333" w:id="-691334910"/>
                <w:lang w:val="en-GB"/>
                <w14:textFill>
                  <w14:solidFill>
                    <w14:srgbClr w14:val="000000">
                      <w14:alpha w14:val="100000"/>
                    </w14:srgbClr>
                  </w14:solidFill>
                </w14:textFill>
              </w:rPr>
              <w:t>|||</w:t>
            </w:r>
            <w:r w:rsidR="007510F8" w:rsidRPr="007510F8">
              <w:rPr>
                <w:rFonts w:ascii="Arial Narrow" w:hAnsi="Arial Narrow" w:cs="Times New Roman"/>
                <w:snapToGrid w:val="0"/>
                <w:color w:val="000000"/>
                <w:spacing w:val="25"/>
                <w:w w:val="96"/>
                <w:sz w:val="20"/>
                <w:szCs w:val="22"/>
                <w:shd w:val="solid" w:color="000000" w:fill="000000"/>
                <w:fitText w:val="333" w:id="-691334910"/>
                <w:lang w:val="en-GB"/>
                <w14:textFill>
                  <w14:solidFill>
                    <w14:srgbClr w14:val="000000">
                      <w14:alpha w14:val="100000"/>
                    </w14:srgbClr>
                  </w14:solidFill>
                </w14:textFill>
              </w:rPr>
              <w:t>|</w:t>
            </w:r>
            <w:r w:rsidRPr="007A27B1">
              <w:rPr>
                <w:rFonts w:ascii="Arial Narrow" w:hAnsi="Arial Narrow" w:cs="Times New Roman"/>
                <w:snapToGrid w:val="0"/>
                <w:sz w:val="20"/>
                <w:szCs w:val="22"/>
                <w:lang w:val="en-GB"/>
              </w:rPr>
              <w:t xml:space="preserve"> in the July 2024 submission.</w:t>
            </w:r>
          </w:p>
          <w:p w14:paraId="465C9964" w14:textId="573A0704" w:rsidR="00184CBD" w:rsidRPr="00D975EB" w:rsidRDefault="00184CBD" w:rsidP="00E55FD2">
            <w:pPr>
              <w:jc w:val="left"/>
              <w:rPr>
                <w:rFonts w:ascii="Arial Narrow" w:hAnsi="Arial Narrow" w:cs="Times New Roman"/>
                <w:snapToGrid w:val="0"/>
                <w:sz w:val="20"/>
                <w:szCs w:val="22"/>
                <w:lang w:val="en-GB"/>
              </w:rPr>
            </w:pPr>
            <w:r w:rsidRPr="002D452C">
              <w:rPr>
                <w:rFonts w:ascii="Arial Narrow" w:hAnsi="Arial Narrow" w:cs="Times New Roman"/>
                <w:snapToGrid w:val="0"/>
                <w:sz w:val="20"/>
                <w:szCs w:val="22"/>
                <w:lang w:val="en-GB"/>
              </w:rPr>
              <w:t>The estimated ICER of $</w:t>
            </w:r>
            <w:r w:rsidR="007510F8" w:rsidRPr="007510F8">
              <w:rPr>
                <w:rFonts w:ascii="Arial Narrow" w:hAnsi="Arial Narrow" w:cs="Times New Roman"/>
                <w:snapToGrid w:val="0"/>
                <w:color w:val="000000"/>
                <w:spacing w:val="50"/>
                <w:w w:val="96"/>
                <w:sz w:val="20"/>
                <w:szCs w:val="22"/>
                <w:shd w:val="solid" w:color="000000" w:fill="000000"/>
                <w:fitText w:val="333" w:id="-691334909"/>
                <w:lang w:val="en-GB"/>
                <w14:textFill>
                  <w14:solidFill>
                    <w14:srgbClr w14:val="000000">
                      <w14:alpha w14:val="100000"/>
                    </w14:srgbClr>
                  </w14:solidFill>
                </w14:textFill>
              </w:rPr>
              <w:t>|||</w:t>
            </w:r>
            <w:r w:rsidR="007510F8" w:rsidRPr="007510F8">
              <w:rPr>
                <w:rFonts w:ascii="Arial Narrow" w:hAnsi="Arial Narrow" w:cs="Times New Roman"/>
                <w:snapToGrid w:val="0"/>
                <w:color w:val="000000"/>
                <w:spacing w:val="25"/>
                <w:w w:val="96"/>
                <w:sz w:val="20"/>
                <w:szCs w:val="22"/>
                <w:shd w:val="solid" w:color="000000" w:fill="000000"/>
                <w:fitText w:val="333" w:id="-691334909"/>
                <w:lang w:val="en-GB"/>
                <w14:textFill>
                  <w14:solidFill>
                    <w14:srgbClr w14:val="000000">
                      <w14:alpha w14:val="100000"/>
                    </w14:srgbClr>
                  </w14:solidFill>
                </w14:textFill>
              </w:rPr>
              <w:t>|</w:t>
            </w:r>
            <w:r w:rsidR="00DB6C4A" w:rsidRPr="00DB6C4A">
              <w:rPr>
                <w:rFonts w:ascii="Arial Narrow" w:hAnsi="Arial Narrow" w:cs="Times New Roman"/>
                <w:snapToGrid w:val="0"/>
                <w:sz w:val="20"/>
                <w:szCs w:val="22"/>
                <w:vertAlign w:val="superscript"/>
                <w:lang w:val="en-GB"/>
              </w:rPr>
              <w:t>1</w:t>
            </w:r>
            <w:r w:rsidRPr="002D452C">
              <w:rPr>
                <w:rFonts w:ascii="Arial Narrow" w:hAnsi="Arial Narrow" w:cs="Times New Roman"/>
                <w:snapToGrid w:val="0"/>
                <w:sz w:val="20"/>
                <w:szCs w:val="22"/>
                <w:lang w:val="en-GB"/>
              </w:rPr>
              <w:t xml:space="preserve"> per QALY gained, was a </w:t>
            </w:r>
            <w:r w:rsidR="007510F8" w:rsidRPr="007510F8">
              <w:rPr>
                <w:rFonts w:ascii="Arial Narrow" w:hAnsi="Arial Narrow" w:cs="Times New Roman"/>
                <w:snapToGrid w:val="0"/>
                <w:color w:val="000000"/>
                <w:spacing w:val="50"/>
                <w:w w:val="96"/>
                <w:sz w:val="20"/>
                <w:szCs w:val="22"/>
                <w:shd w:val="solid" w:color="000000" w:fill="000000"/>
                <w:fitText w:val="333" w:id="-691334908"/>
                <w:lang w:val="en-GB"/>
                <w14:textFill>
                  <w14:solidFill>
                    <w14:srgbClr w14:val="000000">
                      <w14:alpha w14:val="100000"/>
                    </w14:srgbClr>
                  </w14:solidFill>
                </w14:textFill>
              </w:rPr>
              <w:t>|||</w:t>
            </w:r>
            <w:r w:rsidR="007510F8" w:rsidRPr="007510F8">
              <w:rPr>
                <w:rFonts w:ascii="Arial Narrow" w:hAnsi="Arial Narrow" w:cs="Times New Roman"/>
                <w:snapToGrid w:val="0"/>
                <w:color w:val="000000"/>
                <w:spacing w:val="25"/>
                <w:w w:val="96"/>
                <w:sz w:val="20"/>
                <w:szCs w:val="22"/>
                <w:shd w:val="solid" w:color="000000" w:fill="000000"/>
                <w:fitText w:val="333" w:id="-691334908"/>
                <w:lang w:val="en-GB"/>
                <w14:textFill>
                  <w14:solidFill>
                    <w14:srgbClr w14:val="000000">
                      <w14:alpha w14:val="100000"/>
                    </w14:srgbClr>
                  </w14:solidFill>
                </w14:textFill>
              </w:rPr>
              <w:t>|</w:t>
            </w:r>
            <w:r w:rsidRPr="005D08CC">
              <w:rPr>
                <w:rFonts w:ascii="Arial Narrow" w:hAnsi="Arial Narrow" w:cs="Times New Roman"/>
                <w:snapToGrid w:val="0"/>
                <w:sz w:val="20"/>
                <w:szCs w:val="22"/>
                <w:lang w:val="en-GB"/>
              </w:rPr>
              <w:t>%</w:t>
            </w:r>
            <w:r w:rsidRPr="002D452C">
              <w:rPr>
                <w:rFonts w:ascii="Arial Narrow" w:hAnsi="Arial Narrow" w:cs="Times New Roman"/>
                <w:snapToGrid w:val="0"/>
                <w:sz w:val="20"/>
                <w:szCs w:val="22"/>
                <w:lang w:val="en-GB"/>
              </w:rPr>
              <w:t xml:space="preserve"> increase on the ICER estimated in the July 2024 submission ($</w:t>
            </w:r>
            <w:r w:rsidR="007510F8">
              <w:rPr>
                <w:rFonts w:ascii="Arial Narrow" w:hAnsi="Arial Narrow" w:cs="Times New Roman"/>
                <w:snapToGrid w:val="0"/>
                <w:color w:val="000000"/>
                <w:spacing w:val="53"/>
                <w:sz w:val="20"/>
                <w:szCs w:val="22"/>
                <w:shd w:val="solid" w:color="000000" w:fill="000000"/>
                <w:fitText w:val="333" w:id="-691334907"/>
                <w:lang w:val="en-GB"/>
                <w14:textFill>
                  <w14:solidFill>
                    <w14:srgbClr w14:val="000000">
                      <w14:alpha w14:val="100000"/>
                    </w14:srgbClr>
                  </w14:solidFill>
                </w14:textFill>
              </w:rPr>
              <w:t>|||</w:t>
            </w:r>
            <w:r w:rsidR="007510F8">
              <w:rPr>
                <w:rFonts w:ascii="Arial Narrow" w:hAnsi="Arial Narrow" w:cs="Times New Roman"/>
                <w:snapToGrid w:val="0"/>
                <w:color w:val="000000"/>
                <w:spacing w:val="2"/>
                <w:sz w:val="20"/>
                <w:szCs w:val="22"/>
                <w:shd w:val="solid" w:color="000000" w:fill="000000"/>
                <w:fitText w:val="333" w:id="-691334907"/>
                <w:lang w:val="en-GB"/>
                <w14:textFill>
                  <w14:solidFill>
                    <w14:srgbClr w14:val="000000">
                      <w14:alpha w14:val="100000"/>
                    </w14:srgbClr>
                  </w14:solidFill>
                </w14:textFill>
              </w:rPr>
              <w:t>|</w:t>
            </w:r>
            <w:r w:rsidRPr="002D452C">
              <w:rPr>
                <w:rFonts w:ascii="Arial Narrow" w:hAnsi="Arial Narrow" w:cs="Times New Roman"/>
                <w:snapToGrid w:val="0"/>
                <w:sz w:val="20"/>
                <w:szCs w:val="22"/>
                <w:lang w:val="en-GB"/>
              </w:rPr>
              <w:t xml:space="preserve"> </w:t>
            </w:r>
            <w:r w:rsidR="00DB6C4A" w:rsidRPr="00DB6C4A">
              <w:rPr>
                <w:rFonts w:ascii="Arial Narrow" w:hAnsi="Arial Narrow" w:cs="Times New Roman"/>
                <w:snapToGrid w:val="0"/>
                <w:sz w:val="20"/>
                <w:szCs w:val="22"/>
                <w:vertAlign w:val="superscript"/>
                <w:lang w:val="en-GB"/>
              </w:rPr>
              <w:t>2</w:t>
            </w:r>
            <w:r w:rsidR="00DB6C4A">
              <w:rPr>
                <w:rFonts w:ascii="Arial Narrow" w:hAnsi="Arial Narrow" w:cs="Times New Roman"/>
                <w:snapToGrid w:val="0"/>
                <w:sz w:val="20"/>
                <w:szCs w:val="22"/>
                <w:lang w:val="en-GB"/>
              </w:rPr>
              <w:t xml:space="preserve"> </w:t>
            </w:r>
            <w:r w:rsidRPr="002D452C">
              <w:rPr>
                <w:rFonts w:ascii="Arial Narrow" w:hAnsi="Arial Narrow" w:cs="Times New Roman"/>
                <w:snapToGrid w:val="0"/>
                <w:sz w:val="20"/>
                <w:szCs w:val="22"/>
                <w:lang w:val="en-GB"/>
              </w:rPr>
              <w:t>per QALY gained)</w:t>
            </w:r>
            <w:r w:rsidR="00DF7A79">
              <w:rPr>
                <w:rFonts w:ascii="Arial Narrow" w:hAnsi="Arial Narrow" w:cs="Times New Roman"/>
                <w:snapToGrid w:val="0"/>
                <w:sz w:val="20"/>
                <w:szCs w:val="22"/>
                <w:lang w:val="en-GB"/>
              </w:rPr>
              <w:t>.</w:t>
            </w:r>
          </w:p>
        </w:tc>
      </w:tr>
      <w:tr w:rsidR="00184CBD" w:rsidRPr="00A94042" w14:paraId="4B412D5E" w14:textId="77777777" w:rsidTr="78882673">
        <w:trPr>
          <w:cantSplit/>
        </w:trPr>
        <w:tc>
          <w:tcPr>
            <w:tcW w:w="9017" w:type="dxa"/>
            <w:gridSpan w:val="2"/>
            <w:shd w:val="clear" w:color="auto" w:fill="auto"/>
            <w:vAlign w:val="center"/>
          </w:tcPr>
          <w:p w14:paraId="24402110" w14:textId="77777777" w:rsidR="00184CBD" w:rsidRPr="00FE15A0" w:rsidRDefault="00184CBD" w:rsidP="00E55FD2">
            <w:pPr>
              <w:snapToGrid w:val="0"/>
              <w:jc w:val="left"/>
              <w:rPr>
                <w:rFonts w:ascii="Arial Narrow" w:hAnsi="Arial Narrow" w:cs="Times New Roman"/>
                <w:b/>
                <w:bCs/>
                <w:snapToGrid w:val="0"/>
                <w:sz w:val="20"/>
                <w:szCs w:val="22"/>
                <w:lang w:val="en-GB" w:eastAsia="zh-CN"/>
              </w:rPr>
            </w:pPr>
            <w:r w:rsidRPr="00FE15A0">
              <w:rPr>
                <w:rFonts w:ascii="Arial Narrow" w:hAnsi="Arial Narrow" w:cs="Times New Roman"/>
                <w:b/>
                <w:bCs/>
                <w:snapToGrid w:val="0"/>
                <w:sz w:val="20"/>
                <w:szCs w:val="22"/>
                <w:lang w:val="en-GB"/>
              </w:rPr>
              <w:t>Utilisation and financial impact of listing</w:t>
            </w:r>
          </w:p>
        </w:tc>
      </w:tr>
      <w:tr w:rsidR="00184CBD" w:rsidRPr="00A94042" w14:paraId="76AAF97F" w14:textId="77777777" w:rsidTr="006A3253">
        <w:trPr>
          <w:cantSplit/>
        </w:trPr>
        <w:tc>
          <w:tcPr>
            <w:tcW w:w="4528" w:type="dxa"/>
            <w:shd w:val="clear" w:color="auto" w:fill="auto"/>
            <w:vAlign w:val="center"/>
          </w:tcPr>
          <w:p w14:paraId="1E763EBA" w14:textId="77777777"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The prevalence of myasthenia gravis was likely underestimated (para 7.19).</w:t>
            </w:r>
          </w:p>
        </w:tc>
        <w:tc>
          <w:tcPr>
            <w:tcW w:w="4489" w:type="dxa"/>
            <w:shd w:val="clear" w:color="auto" w:fill="auto"/>
            <w:vAlign w:val="center"/>
          </w:tcPr>
          <w:p w14:paraId="3951154D" w14:textId="77777777" w:rsidR="00184CBD" w:rsidRPr="00D975EB" w:rsidRDefault="00184CBD" w:rsidP="00E55FD2">
            <w:pPr>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The prevalence of myasthenia gravis was increased from 11.77 to 22.4 per 100,000 persons.</w:t>
            </w:r>
          </w:p>
        </w:tc>
      </w:tr>
      <w:tr w:rsidR="00184CBD" w:rsidRPr="00A94042" w14:paraId="08B664EB" w14:textId="77777777" w:rsidTr="006A3253">
        <w:trPr>
          <w:cantSplit/>
        </w:trPr>
        <w:tc>
          <w:tcPr>
            <w:tcW w:w="4528" w:type="dxa"/>
            <w:shd w:val="clear" w:color="auto" w:fill="auto"/>
            <w:vAlign w:val="center"/>
          </w:tcPr>
          <w:p w14:paraId="183264C4" w14:textId="77777777"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 xml:space="preserve">The expected uptake of </w:t>
            </w:r>
            <w:proofErr w:type="spellStart"/>
            <w:r w:rsidRPr="004C64DB">
              <w:rPr>
                <w:rFonts w:ascii="Arial Narrow" w:hAnsi="Arial Narrow" w:cs="Times New Roman"/>
                <w:snapToGrid w:val="0"/>
                <w:sz w:val="20"/>
                <w:szCs w:val="22"/>
                <w:lang w:val="en-GB"/>
              </w:rPr>
              <w:t>zilucoplan</w:t>
            </w:r>
            <w:proofErr w:type="spellEnd"/>
            <w:r w:rsidRPr="004C64DB">
              <w:rPr>
                <w:rFonts w:ascii="Arial Narrow" w:hAnsi="Arial Narrow" w:cs="Times New Roman"/>
                <w:snapToGrid w:val="0"/>
                <w:sz w:val="20"/>
                <w:szCs w:val="22"/>
                <w:lang w:val="en-GB"/>
              </w:rPr>
              <w:t xml:space="preserve"> was potentially overestimated (para 7.19).</w:t>
            </w:r>
          </w:p>
        </w:tc>
        <w:tc>
          <w:tcPr>
            <w:tcW w:w="4489" w:type="dxa"/>
            <w:shd w:val="clear" w:color="auto" w:fill="auto"/>
            <w:vAlign w:val="center"/>
          </w:tcPr>
          <w:p w14:paraId="60506EC5" w14:textId="77777777" w:rsidR="00184CBD" w:rsidRPr="00D975EB" w:rsidRDefault="00184CBD" w:rsidP="00E55FD2">
            <w:pPr>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Uptake rates were unchanged.</w:t>
            </w:r>
          </w:p>
        </w:tc>
      </w:tr>
      <w:tr w:rsidR="00184CBD" w:rsidRPr="00A94042" w14:paraId="63E3009A" w14:textId="77777777" w:rsidTr="006A3253">
        <w:trPr>
          <w:cantSplit/>
        </w:trPr>
        <w:tc>
          <w:tcPr>
            <w:tcW w:w="4528" w:type="dxa"/>
            <w:shd w:val="clear" w:color="auto" w:fill="auto"/>
            <w:vAlign w:val="center"/>
          </w:tcPr>
          <w:p w14:paraId="584A4DAE" w14:textId="77777777"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 xml:space="preserve">There was uncertainty regarding the likely duration of </w:t>
            </w:r>
            <w:proofErr w:type="spellStart"/>
            <w:r w:rsidRPr="004C64DB">
              <w:rPr>
                <w:rFonts w:ascii="Arial Narrow" w:hAnsi="Arial Narrow" w:cs="Times New Roman"/>
                <w:snapToGrid w:val="0"/>
                <w:sz w:val="20"/>
                <w:szCs w:val="22"/>
                <w:lang w:val="en-GB"/>
              </w:rPr>
              <w:t>zilucoplan</w:t>
            </w:r>
            <w:proofErr w:type="spellEnd"/>
            <w:r w:rsidRPr="004C64DB">
              <w:rPr>
                <w:rFonts w:ascii="Arial Narrow" w:hAnsi="Arial Narrow" w:cs="Times New Roman"/>
                <w:snapToGrid w:val="0"/>
                <w:sz w:val="20"/>
                <w:szCs w:val="22"/>
                <w:lang w:val="en-GB"/>
              </w:rPr>
              <w:t xml:space="preserve"> treatment (as the impact of a stopping rule needs to be accounted for) (para 7.19).</w:t>
            </w:r>
          </w:p>
        </w:tc>
        <w:tc>
          <w:tcPr>
            <w:tcW w:w="4489" w:type="dxa"/>
            <w:shd w:val="clear" w:color="auto" w:fill="auto"/>
            <w:vAlign w:val="center"/>
          </w:tcPr>
          <w:p w14:paraId="359302E6" w14:textId="77777777" w:rsidR="00184CBD" w:rsidRPr="00D975EB" w:rsidRDefault="00184CBD" w:rsidP="00E55FD2">
            <w:pPr>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A stopping rule was not proposed for the treatment refractory population.</w:t>
            </w:r>
          </w:p>
        </w:tc>
      </w:tr>
      <w:tr w:rsidR="00184CBD" w:rsidRPr="00A94042" w14:paraId="6FD53F5F" w14:textId="77777777" w:rsidTr="006A3253">
        <w:trPr>
          <w:cantSplit/>
        </w:trPr>
        <w:tc>
          <w:tcPr>
            <w:tcW w:w="4528" w:type="dxa"/>
            <w:shd w:val="clear" w:color="auto" w:fill="auto"/>
            <w:vAlign w:val="center"/>
          </w:tcPr>
          <w:p w14:paraId="169B05FD" w14:textId="2D3FC415"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 xml:space="preserve">The PBAC advised the estimated patient numbers should be substantially </w:t>
            </w:r>
            <w:proofErr w:type="gramStart"/>
            <w:r w:rsidRPr="004C64DB">
              <w:rPr>
                <w:rFonts w:ascii="Arial Narrow" w:hAnsi="Arial Narrow" w:cs="Times New Roman"/>
                <w:snapToGrid w:val="0"/>
                <w:sz w:val="20"/>
                <w:szCs w:val="22"/>
                <w:lang w:val="en-GB"/>
              </w:rPr>
              <w:t>lower</w:t>
            </w:r>
            <w:proofErr w:type="gramEnd"/>
            <w:r w:rsidRPr="004C64DB">
              <w:rPr>
                <w:rFonts w:ascii="Arial Narrow" w:hAnsi="Arial Narrow" w:cs="Times New Roman"/>
                <w:snapToGrid w:val="0"/>
                <w:sz w:val="20"/>
                <w:szCs w:val="22"/>
                <w:lang w:val="en-GB"/>
              </w:rPr>
              <w:t xml:space="preserve"> to reflect the requirement for patients to have an MG-ADL score ≥6 prior to initiation (para 7.19, 7.20).</w:t>
            </w:r>
          </w:p>
        </w:tc>
        <w:tc>
          <w:tcPr>
            <w:tcW w:w="4489" w:type="dxa"/>
            <w:shd w:val="clear" w:color="auto" w:fill="auto"/>
            <w:vAlign w:val="center"/>
          </w:tcPr>
          <w:p w14:paraId="54417FEB" w14:textId="2DC8B8BD" w:rsidR="00184CBD" w:rsidRPr="00D975EB" w:rsidRDefault="00184CBD" w:rsidP="00E55FD2">
            <w:pPr>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 xml:space="preserve">The proportion of patients eligible for treatment </w:t>
            </w:r>
            <w:r w:rsidR="002C4D82">
              <w:rPr>
                <w:rFonts w:ascii="Arial Narrow" w:hAnsi="Arial Narrow" w:cs="Times New Roman"/>
                <w:snapToGrid w:val="0"/>
                <w:sz w:val="20"/>
                <w:szCs w:val="22"/>
                <w:lang w:val="en-GB"/>
              </w:rPr>
              <w:t>was</w:t>
            </w:r>
            <w:r w:rsidRPr="004C64DB">
              <w:rPr>
                <w:rFonts w:ascii="Arial Narrow" w:hAnsi="Arial Narrow" w:cs="Times New Roman"/>
                <w:snapToGrid w:val="0"/>
                <w:sz w:val="20"/>
                <w:szCs w:val="22"/>
                <w:lang w:val="en-GB"/>
              </w:rPr>
              <w:t xml:space="preserve"> revised to account for the </w:t>
            </w:r>
            <w:r>
              <w:rPr>
                <w:rFonts w:ascii="Arial Narrow" w:hAnsi="Arial Narrow" w:cs="Times New Roman"/>
                <w:snapToGrid w:val="0"/>
                <w:sz w:val="20"/>
                <w:szCs w:val="22"/>
                <w:lang w:val="en-GB"/>
              </w:rPr>
              <w:t>treatment refractory</w:t>
            </w:r>
            <w:r w:rsidRPr="004C64DB">
              <w:rPr>
                <w:rFonts w:ascii="Arial Narrow" w:hAnsi="Arial Narrow" w:cs="Times New Roman"/>
                <w:snapToGrid w:val="0"/>
                <w:sz w:val="20"/>
                <w:szCs w:val="22"/>
                <w:lang w:val="en-GB"/>
              </w:rPr>
              <w:t xml:space="preserve"> population </w:t>
            </w:r>
            <w:r w:rsidRPr="006A3253">
              <w:rPr>
                <w:rFonts w:ascii="Arial Narrow" w:hAnsi="Arial Narrow" w:cs="Times New Roman"/>
                <w:snapToGrid w:val="0"/>
                <w:sz w:val="20"/>
                <w:szCs w:val="22"/>
                <w:lang w:val="en-GB"/>
              </w:rPr>
              <w:t>(20.78%; compared to 70.13%</w:t>
            </w:r>
            <w:r w:rsidRPr="004C64DB">
              <w:rPr>
                <w:rFonts w:ascii="Arial Narrow" w:hAnsi="Arial Narrow" w:cs="Times New Roman"/>
                <w:snapToGrid w:val="0"/>
                <w:sz w:val="20"/>
                <w:szCs w:val="22"/>
                <w:lang w:val="en-GB"/>
              </w:rPr>
              <w:t xml:space="preserve"> treated with a corticosteroid and/or immunosuppressive therapy in the July 2024 submission). However, a criterion to identify the proportion of patients with MG-ADL ≥6 was not included in the resubmission.</w:t>
            </w:r>
          </w:p>
        </w:tc>
      </w:tr>
      <w:tr w:rsidR="00184CBD" w:rsidRPr="00A94042" w14:paraId="1210FEBE" w14:textId="77777777" w:rsidTr="006A3253">
        <w:trPr>
          <w:cantSplit/>
        </w:trPr>
        <w:tc>
          <w:tcPr>
            <w:tcW w:w="4528" w:type="dxa"/>
            <w:shd w:val="clear" w:color="auto" w:fill="auto"/>
            <w:vAlign w:val="center"/>
          </w:tcPr>
          <w:p w14:paraId="62ED1A05" w14:textId="77777777"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lastRenderedPageBreak/>
              <w:t xml:space="preserve">The </w:t>
            </w:r>
            <w:bookmarkStart w:id="9" w:name="_Hlk185068718"/>
            <w:r w:rsidRPr="004C64DB">
              <w:rPr>
                <w:rFonts w:ascii="Arial Narrow" w:hAnsi="Arial Narrow" w:cs="Times New Roman"/>
                <w:snapToGrid w:val="0"/>
                <w:sz w:val="20"/>
                <w:szCs w:val="22"/>
                <w:lang w:val="en-GB"/>
              </w:rPr>
              <w:t xml:space="preserve">potential reduction in utilisation of </w:t>
            </w:r>
            <w:bookmarkEnd w:id="9"/>
            <w:r w:rsidRPr="004C64DB">
              <w:rPr>
                <w:rFonts w:ascii="Arial Narrow" w:hAnsi="Arial Narrow" w:cs="Times New Roman"/>
                <w:snapToGrid w:val="0"/>
                <w:sz w:val="20"/>
                <w:szCs w:val="22"/>
                <w:lang w:val="en-GB"/>
              </w:rPr>
              <w:t>existing therapies such as chronic IVIg and PLEX was likely overestimated (para 7.19).</w:t>
            </w:r>
          </w:p>
        </w:tc>
        <w:tc>
          <w:tcPr>
            <w:tcW w:w="4489" w:type="dxa"/>
            <w:shd w:val="clear" w:color="auto" w:fill="auto"/>
            <w:vAlign w:val="center"/>
          </w:tcPr>
          <w:p w14:paraId="3D0C0B0E" w14:textId="77777777" w:rsidR="00184CBD" w:rsidRPr="00D975EB" w:rsidRDefault="00184CBD" w:rsidP="00E55FD2">
            <w:pPr>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Multiple inputs informing cost offsets associated with substituted use of IVIg/PLEX were updated.</w:t>
            </w:r>
          </w:p>
        </w:tc>
      </w:tr>
      <w:tr w:rsidR="00184CBD" w:rsidRPr="00A94042" w14:paraId="23D3AFE7" w14:textId="77777777" w:rsidTr="006A3253">
        <w:trPr>
          <w:cantSplit/>
        </w:trPr>
        <w:tc>
          <w:tcPr>
            <w:tcW w:w="4528" w:type="dxa"/>
            <w:shd w:val="clear" w:color="auto" w:fill="auto"/>
            <w:vAlign w:val="center"/>
          </w:tcPr>
          <w:p w14:paraId="31096CA8" w14:textId="1E8E16C7" w:rsidR="00184CBD" w:rsidRPr="00D975EB" w:rsidRDefault="00184CBD" w:rsidP="00E55FD2">
            <w:pPr>
              <w:tabs>
                <w:tab w:val="left" w:pos="950"/>
              </w:tabs>
              <w:spacing w:after="120"/>
              <w:contextualSpacing/>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 xml:space="preserve">The PBAC considered that any proposal to list </w:t>
            </w:r>
            <w:proofErr w:type="spellStart"/>
            <w:r w:rsidRPr="004C64DB">
              <w:rPr>
                <w:rFonts w:ascii="Arial Narrow" w:hAnsi="Arial Narrow" w:cs="Times New Roman"/>
                <w:snapToGrid w:val="0"/>
                <w:sz w:val="20"/>
                <w:szCs w:val="22"/>
                <w:lang w:val="en-GB"/>
              </w:rPr>
              <w:t>zilucoplan</w:t>
            </w:r>
            <w:proofErr w:type="spellEnd"/>
            <w:r w:rsidRPr="004C64DB">
              <w:rPr>
                <w:rFonts w:ascii="Arial Narrow" w:hAnsi="Arial Narrow" w:cs="Times New Roman"/>
                <w:snapToGrid w:val="0"/>
                <w:sz w:val="20"/>
                <w:szCs w:val="22"/>
                <w:lang w:val="en-GB"/>
              </w:rPr>
              <w:t xml:space="preserve"> in a narrower population would need to include an RSA proposal to manage the risk of use outside the intended listing (para 7.21).</w:t>
            </w:r>
          </w:p>
        </w:tc>
        <w:tc>
          <w:tcPr>
            <w:tcW w:w="4489" w:type="dxa"/>
            <w:shd w:val="clear" w:color="auto" w:fill="auto"/>
            <w:vAlign w:val="center"/>
          </w:tcPr>
          <w:p w14:paraId="519A3442" w14:textId="00ADC7F7" w:rsidR="00184CBD" w:rsidRPr="00D975EB" w:rsidRDefault="00184CBD" w:rsidP="00E55FD2">
            <w:pPr>
              <w:jc w:val="left"/>
              <w:rPr>
                <w:rFonts w:ascii="Arial Narrow" w:hAnsi="Arial Narrow" w:cs="Times New Roman"/>
                <w:snapToGrid w:val="0"/>
                <w:sz w:val="20"/>
                <w:szCs w:val="22"/>
                <w:lang w:val="en-GB"/>
              </w:rPr>
            </w:pPr>
            <w:r w:rsidRPr="004C64DB">
              <w:rPr>
                <w:rFonts w:ascii="Arial Narrow" w:hAnsi="Arial Narrow" w:cs="Times New Roman"/>
                <w:snapToGrid w:val="0"/>
                <w:sz w:val="20"/>
                <w:szCs w:val="22"/>
                <w:lang w:val="en-GB"/>
              </w:rPr>
              <w:t>The sponsor proposed a</w:t>
            </w:r>
            <w:r w:rsidR="00672EB7">
              <w:rPr>
                <w:rFonts w:ascii="Arial Narrow" w:hAnsi="Arial Narrow" w:cs="Times New Roman"/>
                <w:snapToGrid w:val="0"/>
                <w:sz w:val="20"/>
                <w:szCs w:val="22"/>
                <w:lang w:val="en-GB"/>
              </w:rPr>
              <w:t>n</w:t>
            </w:r>
            <w:r w:rsidRPr="004C64DB">
              <w:rPr>
                <w:rFonts w:ascii="Arial Narrow" w:hAnsi="Arial Narrow" w:cs="Times New Roman"/>
                <w:snapToGrid w:val="0"/>
                <w:sz w:val="20"/>
                <w:szCs w:val="22"/>
                <w:lang w:val="en-GB"/>
              </w:rPr>
              <w:t xml:space="preserve"> </w:t>
            </w:r>
            <w:r w:rsidR="002949C4">
              <w:rPr>
                <w:rFonts w:ascii="Arial Narrow" w:hAnsi="Arial Narrow" w:cs="Times New Roman"/>
                <w:snapToGrid w:val="0"/>
                <w:sz w:val="20"/>
                <w:szCs w:val="22"/>
                <w:lang w:val="en-GB"/>
              </w:rPr>
              <w:t>RSA</w:t>
            </w:r>
            <w:r w:rsidRPr="004C64DB">
              <w:rPr>
                <w:rFonts w:ascii="Arial Narrow" w:hAnsi="Arial Narrow" w:cs="Times New Roman"/>
                <w:snapToGrid w:val="0"/>
                <w:sz w:val="20"/>
                <w:szCs w:val="22"/>
                <w:lang w:val="en-GB"/>
              </w:rPr>
              <w:t xml:space="preserve"> based on the financial estimates of the resubmission, with no further details provided.</w:t>
            </w:r>
          </w:p>
        </w:tc>
      </w:tr>
    </w:tbl>
    <w:p w14:paraId="0B10084A" w14:textId="64A28D2F" w:rsidR="009E2839" w:rsidRPr="00FE15A0" w:rsidRDefault="009E2839" w:rsidP="00E55FD2">
      <w:pPr>
        <w:pStyle w:val="COMTablefooter"/>
      </w:pPr>
      <w:r w:rsidRPr="00FE15A0">
        <w:t xml:space="preserve">Source: </w:t>
      </w:r>
      <w:proofErr w:type="spellStart"/>
      <w:r>
        <w:t>Z</w:t>
      </w:r>
      <w:r w:rsidRPr="00FE15A0">
        <w:t>ilucoplan</w:t>
      </w:r>
      <w:proofErr w:type="spellEnd"/>
      <w:r>
        <w:t xml:space="preserve"> </w:t>
      </w:r>
      <w:r w:rsidR="00AB7365">
        <w:t xml:space="preserve">PBAC </w:t>
      </w:r>
      <w:r w:rsidR="00C61ACA">
        <w:t>PSD</w:t>
      </w:r>
      <w:r w:rsidRPr="00FE15A0">
        <w:t>, July 2024 PBAC meeting</w:t>
      </w:r>
      <w:r w:rsidR="00B55E15">
        <w:t>; Sections 1-4 of the resubmission</w:t>
      </w:r>
      <w:r>
        <w:t>.</w:t>
      </w:r>
    </w:p>
    <w:p w14:paraId="5CD79B61" w14:textId="77777777" w:rsidR="00D52F22" w:rsidRDefault="009E2839" w:rsidP="00E55FD2">
      <w:pPr>
        <w:pStyle w:val="COMTablefooter"/>
        <w:rPr>
          <w:i/>
          <w:iCs/>
        </w:rPr>
      </w:pPr>
      <w:r w:rsidRPr="0076762E">
        <w:t>Abbreviations:</w:t>
      </w:r>
      <w:r w:rsidRPr="00FE15A0">
        <w:t xml:space="preserve"> </w:t>
      </w:r>
      <w:proofErr w:type="spellStart"/>
      <w:r w:rsidR="002D08D5" w:rsidRPr="00B162C2">
        <w:t>AChR</w:t>
      </w:r>
      <w:proofErr w:type="spellEnd"/>
      <w:r w:rsidR="002D08D5" w:rsidRPr="00B162C2">
        <w:t xml:space="preserve">, anti-acetylcholine receptor; </w:t>
      </w:r>
      <w:r w:rsidR="002D08D5">
        <w:t xml:space="preserve">AEMP, approved ex-manufacturer price; </w:t>
      </w:r>
      <w:r w:rsidRPr="0076762E">
        <w:t xml:space="preserve">ICER, incremental cost-effectiveness ratio; </w:t>
      </w:r>
      <w:r w:rsidRPr="00FE15A0">
        <w:t>IVIg</w:t>
      </w:r>
      <w:r w:rsidR="00C17EF6">
        <w:t>,</w:t>
      </w:r>
      <w:r w:rsidRPr="00FE15A0">
        <w:t xml:space="preserve"> </w:t>
      </w:r>
      <w:r w:rsidRPr="006B6F5B">
        <w:t>intravenous immunoglobulin</w:t>
      </w:r>
      <w:r>
        <w:t xml:space="preserve">; </w:t>
      </w:r>
      <w:r w:rsidRPr="00FE15A0">
        <w:t>MG-ADL</w:t>
      </w:r>
      <w:r>
        <w:t>,</w:t>
      </w:r>
      <w:r w:rsidRPr="00FE15A0">
        <w:t xml:space="preserve"> Myasthenia Gravis Activities of Daily Living score;</w:t>
      </w:r>
      <w:r w:rsidRPr="0076762E">
        <w:t xml:space="preserve"> PBAC, Pharmaceutical Benefits Advisory Committee; PBS, Pharmaceutical Benefits Scheme; </w:t>
      </w:r>
      <w:bookmarkStart w:id="10" w:name="_Toc176618562"/>
      <w:r w:rsidRPr="00FE15A0">
        <w:t>PLEX</w:t>
      </w:r>
      <w:r w:rsidR="00C17EF6">
        <w:t>,</w:t>
      </w:r>
      <w:r>
        <w:t xml:space="preserve"> </w:t>
      </w:r>
      <w:r w:rsidRPr="00FE15A0">
        <w:t>plasma exchange</w:t>
      </w:r>
      <w:r>
        <w:t xml:space="preserve">; </w:t>
      </w:r>
      <w:r w:rsidR="00F145A8">
        <w:t>PSUR</w:t>
      </w:r>
      <w:r w:rsidR="00C17EF6">
        <w:t xml:space="preserve">, </w:t>
      </w:r>
      <w:r w:rsidR="00C17EF6" w:rsidRPr="00334CF7">
        <w:t xml:space="preserve">Periodic Safety Update Report </w:t>
      </w:r>
      <w:r w:rsidR="00C17EF6">
        <w:t>;</w:t>
      </w:r>
      <w:r w:rsidR="002D08D5">
        <w:t xml:space="preserve">QALY, quality adjusted life year; </w:t>
      </w:r>
      <w:r>
        <w:t>RSA, risk sharing arrangement.</w:t>
      </w:r>
      <w:bookmarkEnd w:id="10"/>
      <w:r w:rsidR="00D52F22" w:rsidRPr="00D52F22">
        <w:rPr>
          <w:i/>
          <w:iCs/>
        </w:rPr>
        <w:t xml:space="preserve"> </w:t>
      </w:r>
    </w:p>
    <w:p w14:paraId="35D5CB10" w14:textId="7B1E84BF" w:rsidR="00D52F22" w:rsidRPr="00730606" w:rsidRDefault="00D52F22" w:rsidP="00E55FD2">
      <w:pPr>
        <w:pStyle w:val="COMTablefooter"/>
        <w:rPr>
          <w:i/>
          <w:iCs/>
        </w:rPr>
      </w:pPr>
      <w:r w:rsidRPr="00730606">
        <w:rPr>
          <w:i/>
          <w:iCs/>
        </w:rPr>
        <w:t>The redacted values correspond to the following ranges:</w:t>
      </w:r>
    </w:p>
    <w:p w14:paraId="50AE613C" w14:textId="77777777" w:rsidR="0027468C" w:rsidRPr="00730606" w:rsidRDefault="00D52F22" w:rsidP="00E55FD2">
      <w:pPr>
        <w:pStyle w:val="COMTablefooter"/>
        <w:rPr>
          <w:i/>
          <w:iCs/>
        </w:rPr>
      </w:pPr>
      <w:r w:rsidRPr="00730606">
        <w:rPr>
          <w:i/>
          <w:iCs/>
          <w:vertAlign w:val="superscript"/>
        </w:rPr>
        <w:t xml:space="preserve">1 </w:t>
      </w:r>
      <w:r w:rsidR="00DB6C4A" w:rsidRPr="00730606">
        <w:rPr>
          <w:i/>
          <w:iCs/>
        </w:rPr>
        <w:t>$355,000 to &lt; $455,000</w:t>
      </w:r>
      <w:r w:rsidR="0027468C" w:rsidRPr="00730606">
        <w:rPr>
          <w:i/>
          <w:iCs/>
        </w:rPr>
        <w:t xml:space="preserve"> </w:t>
      </w:r>
    </w:p>
    <w:p w14:paraId="011AAA6C" w14:textId="7A87FA8E" w:rsidR="009E2839" w:rsidRDefault="0027468C" w:rsidP="00E55FD2">
      <w:pPr>
        <w:pStyle w:val="COMTablefooter"/>
      </w:pPr>
      <w:r w:rsidRPr="00730606">
        <w:rPr>
          <w:i/>
          <w:iCs/>
          <w:vertAlign w:val="superscript"/>
        </w:rPr>
        <w:t>2</w:t>
      </w:r>
      <w:r w:rsidRPr="00730606">
        <w:rPr>
          <w:i/>
          <w:iCs/>
        </w:rPr>
        <w:t xml:space="preserve"> $255,000 to &lt; $355,000</w:t>
      </w:r>
    </w:p>
    <w:p w14:paraId="64717542" w14:textId="64B2A4E1" w:rsidR="00C311DB" w:rsidRPr="00C311DB" w:rsidRDefault="00C311DB" w:rsidP="00E55FD2">
      <w:pPr>
        <w:spacing w:after="120"/>
        <w:ind w:firstLine="709"/>
        <w:rPr>
          <w:rFonts w:asciiTheme="minorHAnsi" w:hAnsiTheme="minorHAnsi" w:cs="Times New Roman"/>
          <w:i/>
          <w:lang w:eastAsia="en-US"/>
        </w:rPr>
      </w:pPr>
      <w:bookmarkStart w:id="11" w:name="_Hlk76375324"/>
      <w:r w:rsidRPr="00C311DB">
        <w:rPr>
          <w:rFonts w:asciiTheme="minorHAnsi" w:hAnsiTheme="minorHAnsi" w:cs="Times New Roman"/>
          <w:i/>
          <w:lang w:eastAsia="en-US"/>
        </w:rPr>
        <w:t xml:space="preserve">For more detail on PBAC’s view, see section </w:t>
      </w:r>
      <w:r w:rsidR="004344F6">
        <w:rPr>
          <w:rFonts w:asciiTheme="minorHAnsi" w:hAnsiTheme="minorHAnsi" w:cs="Times New Roman"/>
          <w:i/>
          <w:lang w:eastAsia="en-US"/>
        </w:rPr>
        <w:t>8</w:t>
      </w:r>
      <w:r w:rsidRPr="00C311DB">
        <w:rPr>
          <w:rFonts w:asciiTheme="minorHAnsi" w:hAnsiTheme="minorHAnsi" w:cs="Times New Roman"/>
          <w:i/>
          <w:lang w:eastAsia="en-US"/>
        </w:rPr>
        <w:t xml:space="preserve"> PBAC outcome.</w:t>
      </w:r>
    </w:p>
    <w:p w14:paraId="76E4EF3C" w14:textId="13040F70" w:rsidR="00B60939" w:rsidRPr="00BB59B1" w:rsidRDefault="00B50DB8" w:rsidP="00E55FD2">
      <w:pPr>
        <w:pStyle w:val="COMH1-numbered"/>
      </w:pPr>
      <w:bookmarkStart w:id="12" w:name="_Toc107902078"/>
      <w:bookmarkStart w:id="13" w:name="_Toc188274677"/>
      <w:bookmarkEnd w:id="11"/>
      <w:bookmarkEnd w:id="12"/>
      <w:r w:rsidRPr="00BB59B1">
        <w:t>Requested listing</w:t>
      </w:r>
      <w:bookmarkEnd w:id="13"/>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Caption w:val="Requested listing"/>
      </w:tblPr>
      <w:tblGrid>
        <w:gridCol w:w="2696"/>
        <w:gridCol w:w="1419"/>
        <w:gridCol w:w="1419"/>
        <w:gridCol w:w="872"/>
        <w:gridCol w:w="872"/>
        <w:gridCol w:w="872"/>
        <w:gridCol w:w="872"/>
      </w:tblGrid>
      <w:tr w:rsidR="002E5012" w:rsidRPr="0098262F" w14:paraId="16A3ABED" w14:textId="77777777" w:rsidTr="7FB99A72">
        <w:trPr>
          <w:cantSplit/>
          <w:trHeight w:val="20"/>
          <w:tblHeader/>
        </w:trPr>
        <w:tc>
          <w:tcPr>
            <w:tcW w:w="2696" w:type="dxa"/>
            <w:vMerge w:val="restart"/>
            <w:vAlign w:val="center"/>
          </w:tcPr>
          <w:p w14:paraId="2409747A" w14:textId="77777777" w:rsidR="002E5012" w:rsidRPr="002E5012" w:rsidRDefault="002E5012" w:rsidP="00E55FD2">
            <w:pPr>
              <w:pStyle w:val="COMTabletext"/>
              <w:rPr>
                <w:b/>
                <w:bCs w:val="0"/>
              </w:rPr>
            </w:pPr>
            <w:r w:rsidRPr="002E5012">
              <w:rPr>
                <w:b/>
                <w:bCs w:val="0"/>
              </w:rPr>
              <w:t>MEDICINAL PRODUCT</w:t>
            </w:r>
          </w:p>
          <w:p w14:paraId="19C64410" w14:textId="77777777" w:rsidR="002E5012" w:rsidRPr="0098262F" w:rsidRDefault="002E5012" w:rsidP="00E55FD2">
            <w:pPr>
              <w:pStyle w:val="COMTabletext"/>
            </w:pPr>
            <w:r w:rsidRPr="002E5012">
              <w:rPr>
                <w:b/>
                <w:bCs w:val="0"/>
              </w:rPr>
              <w:t>medicinal product pack</w:t>
            </w:r>
          </w:p>
        </w:tc>
        <w:tc>
          <w:tcPr>
            <w:tcW w:w="2838" w:type="dxa"/>
            <w:gridSpan w:val="2"/>
            <w:vAlign w:val="center"/>
          </w:tcPr>
          <w:p w14:paraId="662DE82F" w14:textId="77777777" w:rsidR="002E5012" w:rsidRPr="004043AE" w:rsidRDefault="002E5012" w:rsidP="00E55FD2">
            <w:pPr>
              <w:pStyle w:val="COMTableheadingrow"/>
              <w:keepLines/>
              <w:jc w:val="center"/>
            </w:pPr>
            <w:r w:rsidRPr="004043AE">
              <w:t>Dispensed Price for Max. Qty</w:t>
            </w:r>
          </w:p>
        </w:tc>
        <w:tc>
          <w:tcPr>
            <w:tcW w:w="872" w:type="dxa"/>
            <w:vMerge w:val="restart"/>
            <w:vAlign w:val="center"/>
          </w:tcPr>
          <w:p w14:paraId="0A315321" w14:textId="77777777" w:rsidR="002E5012" w:rsidRPr="0098262F" w:rsidRDefault="002E5012" w:rsidP="00E55FD2">
            <w:pPr>
              <w:pStyle w:val="COMTableheadingrow"/>
              <w:keepLines/>
              <w:jc w:val="center"/>
              <w:rPr>
                <w:szCs w:val="20"/>
              </w:rPr>
            </w:pPr>
            <w:r w:rsidRPr="0098262F">
              <w:rPr>
                <w:szCs w:val="20"/>
              </w:rPr>
              <w:t>Max. qty packs</w:t>
            </w:r>
          </w:p>
        </w:tc>
        <w:tc>
          <w:tcPr>
            <w:tcW w:w="872" w:type="dxa"/>
            <w:vMerge w:val="restart"/>
            <w:vAlign w:val="center"/>
          </w:tcPr>
          <w:p w14:paraId="214EDCBA" w14:textId="77777777" w:rsidR="002E5012" w:rsidRPr="0098262F" w:rsidRDefault="002E5012" w:rsidP="00E55FD2">
            <w:pPr>
              <w:pStyle w:val="COMTableheadingrow"/>
              <w:keepLines/>
              <w:jc w:val="center"/>
              <w:rPr>
                <w:szCs w:val="20"/>
              </w:rPr>
            </w:pPr>
            <w:r w:rsidRPr="0098262F">
              <w:rPr>
                <w:szCs w:val="20"/>
              </w:rPr>
              <w:t>Max. qty units</w:t>
            </w:r>
          </w:p>
        </w:tc>
        <w:tc>
          <w:tcPr>
            <w:tcW w:w="872" w:type="dxa"/>
            <w:vMerge w:val="restart"/>
            <w:vAlign w:val="center"/>
          </w:tcPr>
          <w:p w14:paraId="697686D6" w14:textId="77777777" w:rsidR="002E5012" w:rsidRPr="0098262F" w:rsidRDefault="002E5012" w:rsidP="00E55FD2">
            <w:pPr>
              <w:pStyle w:val="COMTableheadingrow"/>
              <w:keepLines/>
              <w:jc w:val="center"/>
              <w:rPr>
                <w:szCs w:val="20"/>
              </w:rPr>
            </w:pPr>
            <w:proofErr w:type="gramStart"/>
            <w:r w:rsidRPr="0098262F">
              <w:rPr>
                <w:szCs w:val="20"/>
              </w:rPr>
              <w:t>№.of</w:t>
            </w:r>
            <w:proofErr w:type="gramEnd"/>
          </w:p>
          <w:p w14:paraId="031FB396" w14:textId="77777777" w:rsidR="002E5012" w:rsidRPr="0098262F" w:rsidRDefault="002E5012" w:rsidP="00E55FD2">
            <w:pPr>
              <w:pStyle w:val="COMTableheadingrow"/>
              <w:keepLines/>
              <w:jc w:val="center"/>
              <w:rPr>
                <w:szCs w:val="20"/>
              </w:rPr>
            </w:pPr>
            <w:proofErr w:type="spellStart"/>
            <w:r w:rsidRPr="0098262F">
              <w:rPr>
                <w:szCs w:val="20"/>
              </w:rPr>
              <w:t>Rpts</w:t>
            </w:r>
            <w:proofErr w:type="spellEnd"/>
          </w:p>
        </w:tc>
        <w:tc>
          <w:tcPr>
            <w:tcW w:w="872" w:type="dxa"/>
            <w:vMerge w:val="restart"/>
            <w:vAlign w:val="center"/>
          </w:tcPr>
          <w:p w14:paraId="72392DEC" w14:textId="77777777" w:rsidR="002E5012" w:rsidRPr="0098262F" w:rsidRDefault="002E5012" w:rsidP="00E55FD2">
            <w:pPr>
              <w:pStyle w:val="COMTableheadingrow"/>
              <w:keepLines/>
              <w:jc w:val="center"/>
              <w:rPr>
                <w:szCs w:val="20"/>
              </w:rPr>
            </w:pPr>
            <w:r w:rsidRPr="0098262F">
              <w:rPr>
                <w:szCs w:val="20"/>
              </w:rPr>
              <w:t>Available brands</w:t>
            </w:r>
          </w:p>
        </w:tc>
      </w:tr>
      <w:tr w:rsidR="002E5012" w:rsidRPr="0098262F" w14:paraId="3695D34A" w14:textId="77777777" w:rsidTr="7FB99A72">
        <w:trPr>
          <w:cantSplit/>
          <w:trHeight w:val="20"/>
          <w:tblHeader/>
        </w:trPr>
        <w:tc>
          <w:tcPr>
            <w:tcW w:w="2696" w:type="dxa"/>
            <w:vMerge/>
            <w:vAlign w:val="center"/>
          </w:tcPr>
          <w:p w14:paraId="200770F3" w14:textId="77777777" w:rsidR="002E5012" w:rsidRPr="0098262F" w:rsidRDefault="002E5012" w:rsidP="00E55FD2">
            <w:pPr>
              <w:pStyle w:val="COMTableheadingrow"/>
              <w:keepLines/>
            </w:pPr>
          </w:p>
        </w:tc>
        <w:tc>
          <w:tcPr>
            <w:tcW w:w="1419" w:type="dxa"/>
            <w:vAlign w:val="center"/>
          </w:tcPr>
          <w:p w14:paraId="5884E98D" w14:textId="77777777" w:rsidR="002E5012" w:rsidRPr="004043AE" w:rsidRDefault="002E5012" w:rsidP="00E55FD2">
            <w:pPr>
              <w:pStyle w:val="COMTableheadingrow"/>
              <w:keepLines/>
              <w:jc w:val="center"/>
            </w:pPr>
            <w:r>
              <w:t>Published</w:t>
            </w:r>
          </w:p>
        </w:tc>
        <w:tc>
          <w:tcPr>
            <w:tcW w:w="1419" w:type="dxa"/>
            <w:vAlign w:val="center"/>
          </w:tcPr>
          <w:p w14:paraId="7E00A6CD" w14:textId="77777777" w:rsidR="002E5012" w:rsidRPr="004043AE" w:rsidRDefault="002E5012" w:rsidP="00E55FD2">
            <w:pPr>
              <w:pStyle w:val="COMTableheadingrow"/>
              <w:keepLines/>
              <w:jc w:val="center"/>
            </w:pPr>
            <w:r>
              <w:t>Effective</w:t>
            </w:r>
          </w:p>
        </w:tc>
        <w:tc>
          <w:tcPr>
            <w:tcW w:w="872" w:type="dxa"/>
            <w:vMerge/>
            <w:vAlign w:val="center"/>
          </w:tcPr>
          <w:p w14:paraId="7A0C0BD7" w14:textId="77777777" w:rsidR="002E5012" w:rsidRPr="0098262F" w:rsidRDefault="002E5012" w:rsidP="00E55FD2">
            <w:pPr>
              <w:pStyle w:val="COMTableheadingrow"/>
              <w:keepLines/>
              <w:jc w:val="center"/>
              <w:rPr>
                <w:szCs w:val="20"/>
              </w:rPr>
            </w:pPr>
          </w:p>
        </w:tc>
        <w:tc>
          <w:tcPr>
            <w:tcW w:w="872" w:type="dxa"/>
            <w:vMerge/>
            <w:vAlign w:val="center"/>
          </w:tcPr>
          <w:p w14:paraId="3B2F4399" w14:textId="77777777" w:rsidR="002E5012" w:rsidRPr="0098262F" w:rsidRDefault="002E5012" w:rsidP="00E55FD2">
            <w:pPr>
              <w:pStyle w:val="COMTableheadingrow"/>
              <w:keepLines/>
              <w:jc w:val="center"/>
              <w:rPr>
                <w:szCs w:val="20"/>
              </w:rPr>
            </w:pPr>
          </w:p>
        </w:tc>
        <w:tc>
          <w:tcPr>
            <w:tcW w:w="872" w:type="dxa"/>
            <w:vMerge/>
            <w:vAlign w:val="center"/>
          </w:tcPr>
          <w:p w14:paraId="1F410E3D" w14:textId="77777777" w:rsidR="002E5012" w:rsidRPr="0098262F" w:rsidRDefault="002E5012" w:rsidP="00E55FD2">
            <w:pPr>
              <w:pStyle w:val="COMTableheadingrow"/>
              <w:keepLines/>
              <w:jc w:val="center"/>
              <w:rPr>
                <w:szCs w:val="20"/>
              </w:rPr>
            </w:pPr>
          </w:p>
        </w:tc>
        <w:tc>
          <w:tcPr>
            <w:tcW w:w="872" w:type="dxa"/>
            <w:vMerge/>
            <w:vAlign w:val="center"/>
          </w:tcPr>
          <w:p w14:paraId="1DCC02D8" w14:textId="77777777" w:rsidR="002E5012" w:rsidRPr="0098262F" w:rsidRDefault="002E5012" w:rsidP="00E55FD2">
            <w:pPr>
              <w:pStyle w:val="COMTableheadingrow"/>
              <w:keepLines/>
              <w:jc w:val="center"/>
              <w:rPr>
                <w:szCs w:val="20"/>
              </w:rPr>
            </w:pPr>
          </w:p>
        </w:tc>
      </w:tr>
      <w:tr w:rsidR="002E5012" w:rsidRPr="0098262F" w14:paraId="6385E12A" w14:textId="77777777" w:rsidTr="7FB99A72">
        <w:trPr>
          <w:cantSplit/>
          <w:trHeight w:val="20"/>
        </w:trPr>
        <w:tc>
          <w:tcPr>
            <w:tcW w:w="9022" w:type="dxa"/>
            <w:gridSpan w:val="7"/>
            <w:vAlign w:val="center"/>
          </w:tcPr>
          <w:p w14:paraId="2CD787EA" w14:textId="77777777" w:rsidR="002E5012" w:rsidRPr="00055F72" w:rsidRDefault="002E5012" w:rsidP="00E55FD2">
            <w:pPr>
              <w:pStyle w:val="COMTabletext"/>
              <w:keepLines/>
              <w:rPr>
                <w:rFonts w:cs="Arial"/>
                <w:b/>
                <w:bCs w:val="0"/>
                <w:smallCaps/>
                <w:szCs w:val="20"/>
              </w:rPr>
            </w:pPr>
            <w:proofErr w:type="spellStart"/>
            <w:r w:rsidRPr="00055F72">
              <w:rPr>
                <w:b/>
                <w:bCs w:val="0"/>
                <w:smallCaps/>
              </w:rPr>
              <w:t>Zilucoplan</w:t>
            </w:r>
            <w:proofErr w:type="spellEnd"/>
          </w:p>
        </w:tc>
      </w:tr>
      <w:tr w:rsidR="002E5012" w:rsidRPr="0098262F" w14:paraId="26809F6E" w14:textId="77777777" w:rsidTr="7FB99A72">
        <w:trPr>
          <w:cantSplit/>
          <w:trHeight w:val="20"/>
        </w:trPr>
        <w:tc>
          <w:tcPr>
            <w:tcW w:w="9022" w:type="dxa"/>
            <w:gridSpan w:val="7"/>
          </w:tcPr>
          <w:p w14:paraId="221BFB33" w14:textId="77777777" w:rsidR="002E5012" w:rsidRPr="00055F72" w:rsidRDefault="002E5012" w:rsidP="00E55FD2">
            <w:pPr>
              <w:pStyle w:val="COMTabletext"/>
              <w:keepLines/>
              <w:rPr>
                <w:b/>
                <w:bCs w:val="0"/>
              </w:rPr>
            </w:pPr>
            <w:r w:rsidRPr="00055F72">
              <w:rPr>
                <w:b/>
                <w:bCs w:val="0"/>
              </w:rPr>
              <w:t>Initial treatment</w:t>
            </w:r>
            <w:r>
              <w:rPr>
                <w:b/>
                <w:bCs w:val="0"/>
              </w:rPr>
              <w:t xml:space="preserve">, </w:t>
            </w:r>
            <w:r w:rsidRPr="00055F72">
              <w:rPr>
                <w:b/>
                <w:bCs w:val="0"/>
              </w:rPr>
              <w:t>balance of supply</w:t>
            </w:r>
            <w:r>
              <w:rPr>
                <w:b/>
                <w:bCs w:val="0"/>
              </w:rPr>
              <w:t xml:space="preserve">, </w:t>
            </w:r>
            <w:r w:rsidRPr="00055F72">
              <w:rPr>
                <w:b/>
                <w:bCs w:val="0"/>
              </w:rPr>
              <w:t>grandfather</w:t>
            </w:r>
          </w:p>
        </w:tc>
      </w:tr>
      <w:tr w:rsidR="002E5012" w:rsidRPr="0098262F" w14:paraId="71F46CC8" w14:textId="77777777" w:rsidTr="7FB99A72">
        <w:trPr>
          <w:cantSplit/>
          <w:trHeight w:val="20"/>
        </w:trPr>
        <w:tc>
          <w:tcPr>
            <w:tcW w:w="2696" w:type="dxa"/>
            <w:vAlign w:val="center"/>
          </w:tcPr>
          <w:p w14:paraId="2F7118E0" w14:textId="77777777" w:rsidR="002E5012" w:rsidRPr="009C224F" w:rsidRDefault="002E5012" w:rsidP="00E55FD2">
            <w:pPr>
              <w:pStyle w:val="COMTabletext"/>
              <w:keepNext w:val="0"/>
            </w:pPr>
            <w:proofErr w:type="spellStart"/>
            <w:r w:rsidRPr="00FF1D47">
              <w:t>Zilucoplan</w:t>
            </w:r>
            <w:proofErr w:type="spellEnd"/>
            <w:r w:rsidRPr="00FF1D47">
              <w:t xml:space="preserve"> 40 mg/mL 0.416 mL injection, 28 pre-filled syringes</w:t>
            </w:r>
          </w:p>
        </w:tc>
        <w:tc>
          <w:tcPr>
            <w:tcW w:w="1419" w:type="dxa"/>
            <w:vAlign w:val="center"/>
          </w:tcPr>
          <w:p w14:paraId="50F20CB8" w14:textId="09ABEC04" w:rsidR="002415C6" w:rsidRPr="002415C6" w:rsidRDefault="002E5012" w:rsidP="00E55FD2">
            <w:pPr>
              <w:pStyle w:val="COMTabletext"/>
              <w:keepNext w:val="0"/>
              <w:jc w:val="center"/>
            </w:pPr>
            <w:r w:rsidRPr="00730606">
              <w:t>$</w:t>
            </w:r>
            <w:r w:rsidR="007510F8" w:rsidRPr="007510F8">
              <w:rPr>
                <w:color w:val="000000"/>
                <w:shd w:val="solid" w:color="000000" w:fill="000000"/>
                <w14:textFill>
                  <w14:solidFill>
                    <w14:srgbClr w14:val="000000">
                      <w14:alpha w14:val="100000"/>
                    </w14:srgbClr>
                  </w14:solidFill>
                </w14:textFill>
              </w:rPr>
              <w:t>|</w:t>
            </w:r>
          </w:p>
          <w:p w14:paraId="0529C8BA" w14:textId="2B35FB2F" w:rsidR="002E5012" w:rsidRPr="00730606" w:rsidRDefault="002E5012" w:rsidP="00E55FD2">
            <w:pPr>
              <w:pStyle w:val="COMTabletext"/>
              <w:keepNext w:val="0"/>
              <w:jc w:val="center"/>
            </w:pPr>
            <w:r w:rsidRPr="00730606">
              <w:t>(Public hospital)</w:t>
            </w:r>
          </w:p>
          <w:p w14:paraId="01EBD330" w14:textId="22B7241F" w:rsidR="002415C6" w:rsidRPr="002415C6" w:rsidRDefault="002E5012" w:rsidP="00E55FD2">
            <w:pPr>
              <w:pStyle w:val="COMTabletext"/>
              <w:keepNext w:val="0"/>
              <w:jc w:val="center"/>
            </w:pPr>
            <w:r w:rsidRPr="00730606">
              <w:t>$</w:t>
            </w:r>
            <w:r w:rsidR="007510F8" w:rsidRPr="007510F8">
              <w:rPr>
                <w:color w:val="000000"/>
                <w:shd w:val="solid" w:color="000000" w:fill="000000"/>
                <w14:textFill>
                  <w14:solidFill>
                    <w14:srgbClr w14:val="000000">
                      <w14:alpha w14:val="100000"/>
                    </w14:srgbClr>
                  </w14:solidFill>
                </w14:textFill>
              </w:rPr>
              <w:t>|</w:t>
            </w:r>
          </w:p>
          <w:p w14:paraId="1B64E06F" w14:textId="2FB65BC8" w:rsidR="002E5012" w:rsidRPr="00611ADD" w:rsidRDefault="002E5012" w:rsidP="00E55FD2">
            <w:pPr>
              <w:pStyle w:val="COMTabletext"/>
              <w:keepNext w:val="0"/>
              <w:jc w:val="center"/>
              <w:rPr>
                <w:highlight w:val="yellow"/>
              </w:rPr>
            </w:pPr>
            <w:r w:rsidRPr="00730606">
              <w:t>(Private hospital)</w:t>
            </w:r>
          </w:p>
        </w:tc>
        <w:tc>
          <w:tcPr>
            <w:tcW w:w="1419" w:type="dxa"/>
            <w:vAlign w:val="center"/>
          </w:tcPr>
          <w:p w14:paraId="0802B9B3" w14:textId="72C181F6" w:rsidR="002E5012" w:rsidRDefault="002E5012" w:rsidP="00E55FD2">
            <w:pPr>
              <w:pStyle w:val="COMTabletext"/>
              <w:keepNext w:val="0"/>
              <w:jc w:val="center"/>
              <w:rPr>
                <w:szCs w:val="20"/>
              </w:rPr>
            </w:pPr>
            <w:r w:rsidRPr="00CE4457">
              <w:rPr>
                <w:szCs w:val="20"/>
              </w:rPr>
              <w:t>$</w:t>
            </w:r>
            <w:r w:rsidR="007510F8" w:rsidRPr="007510F8">
              <w:rPr>
                <w:color w:val="000000"/>
                <w:szCs w:val="20"/>
                <w:shd w:val="solid" w:color="000000" w:fill="000000"/>
                <w14:textFill>
                  <w14:solidFill>
                    <w14:srgbClr w14:val="000000">
                      <w14:alpha w14:val="100000"/>
                    </w14:srgbClr>
                  </w14:solidFill>
                </w14:textFill>
              </w:rPr>
              <w:t>|</w:t>
            </w:r>
          </w:p>
          <w:p w14:paraId="6B9AC46B" w14:textId="77777777" w:rsidR="002E5012" w:rsidRDefault="002E5012" w:rsidP="00E55FD2">
            <w:pPr>
              <w:pStyle w:val="COMTabletext"/>
              <w:keepNext w:val="0"/>
              <w:jc w:val="center"/>
              <w:rPr>
                <w:szCs w:val="20"/>
              </w:rPr>
            </w:pPr>
            <w:r>
              <w:rPr>
                <w:szCs w:val="20"/>
              </w:rPr>
              <w:t>(Public hospital)</w:t>
            </w:r>
          </w:p>
          <w:p w14:paraId="2B6E2626" w14:textId="75F9559A" w:rsidR="002E5012" w:rsidRDefault="002E5012" w:rsidP="00E55FD2">
            <w:pPr>
              <w:pStyle w:val="COMTabletext"/>
              <w:keepNext w:val="0"/>
              <w:jc w:val="center"/>
              <w:rPr>
                <w:szCs w:val="20"/>
              </w:rPr>
            </w:pPr>
            <w:r w:rsidRPr="00CE4457">
              <w:rPr>
                <w:szCs w:val="20"/>
              </w:rPr>
              <w:t>$</w:t>
            </w:r>
            <w:r w:rsidR="007510F8" w:rsidRPr="007510F8">
              <w:rPr>
                <w:color w:val="000000"/>
                <w:szCs w:val="20"/>
                <w:shd w:val="solid" w:color="000000" w:fill="000000"/>
                <w14:textFill>
                  <w14:solidFill>
                    <w14:srgbClr w14:val="000000">
                      <w14:alpha w14:val="100000"/>
                    </w14:srgbClr>
                  </w14:solidFill>
                </w14:textFill>
              </w:rPr>
              <w:t>|</w:t>
            </w:r>
          </w:p>
          <w:p w14:paraId="3BBA3B39" w14:textId="77777777" w:rsidR="002E5012" w:rsidRPr="0098262F" w:rsidRDefault="002E5012" w:rsidP="00E55FD2">
            <w:pPr>
              <w:pStyle w:val="COMTabletext"/>
              <w:keepNext w:val="0"/>
              <w:jc w:val="center"/>
              <w:rPr>
                <w:szCs w:val="20"/>
              </w:rPr>
            </w:pPr>
            <w:r>
              <w:rPr>
                <w:szCs w:val="20"/>
              </w:rPr>
              <w:t>(Private hospital)</w:t>
            </w:r>
          </w:p>
        </w:tc>
        <w:tc>
          <w:tcPr>
            <w:tcW w:w="872" w:type="dxa"/>
            <w:vAlign w:val="center"/>
          </w:tcPr>
          <w:p w14:paraId="727ED51E" w14:textId="77777777" w:rsidR="002E5012" w:rsidRPr="0098262F" w:rsidRDefault="002E5012" w:rsidP="00E55FD2">
            <w:pPr>
              <w:pStyle w:val="COMTabletext"/>
              <w:keepNext w:val="0"/>
              <w:jc w:val="center"/>
              <w:rPr>
                <w:szCs w:val="20"/>
              </w:rPr>
            </w:pPr>
            <w:r w:rsidRPr="00FF1D47">
              <w:t>1</w:t>
            </w:r>
          </w:p>
        </w:tc>
        <w:tc>
          <w:tcPr>
            <w:tcW w:w="872" w:type="dxa"/>
            <w:vAlign w:val="center"/>
          </w:tcPr>
          <w:p w14:paraId="06C2D0D2" w14:textId="77777777" w:rsidR="002E5012" w:rsidRPr="0098262F" w:rsidRDefault="002E5012" w:rsidP="00E55FD2">
            <w:pPr>
              <w:pStyle w:val="COMTabletext"/>
              <w:keepNext w:val="0"/>
              <w:jc w:val="center"/>
              <w:rPr>
                <w:szCs w:val="20"/>
              </w:rPr>
            </w:pPr>
            <w:r w:rsidRPr="00FF1D47">
              <w:t>28</w:t>
            </w:r>
          </w:p>
        </w:tc>
        <w:tc>
          <w:tcPr>
            <w:tcW w:w="872" w:type="dxa"/>
            <w:vAlign w:val="center"/>
          </w:tcPr>
          <w:p w14:paraId="7AD1B192" w14:textId="77777777" w:rsidR="002E5012" w:rsidRPr="0098262F" w:rsidRDefault="002E5012" w:rsidP="00E55FD2">
            <w:pPr>
              <w:pStyle w:val="COMTabletext"/>
              <w:keepNext w:val="0"/>
              <w:jc w:val="center"/>
              <w:rPr>
                <w:szCs w:val="20"/>
              </w:rPr>
            </w:pPr>
            <w:r w:rsidRPr="00FF1D47">
              <w:t>3</w:t>
            </w:r>
          </w:p>
        </w:tc>
        <w:tc>
          <w:tcPr>
            <w:tcW w:w="872" w:type="dxa"/>
            <w:vMerge w:val="restart"/>
            <w:vAlign w:val="center"/>
          </w:tcPr>
          <w:p w14:paraId="59963176" w14:textId="77777777" w:rsidR="002E5012" w:rsidRPr="0098262F" w:rsidRDefault="002E5012" w:rsidP="00E55FD2">
            <w:pPr>
              <w:pStyle w:val="COMTabletext"/>
              <w:keepNext w:val="0"/>
              <w:jc w:val="center"/>
              <w:rPr>
                <w:color w:val="0066FF"/>
                <w:szCs w:val="20"/>
              </w:rPr>
            </w:pPr>
            <w:proofErr w:type="spellStart"/>
            <w:r w:rsidRPr="00B162C2">
              <w:rPr>
                <w:szCs w:val="20"/>
              </w:rPr>
              <w:t>Zilbrysq</w:t>
            </w:r>
            <w:proofErr w:type="spellEnd"/>
          </w:p>
        </w:tc>
      </w:tr>
      <w:tr w:rsidR="002E5012" w:rsidRPr="0098262F" w14:paraId="062B924B" w14:textId="77777777" w:rsidTr="7FB99A72">
        <w:trPr>
          <w:cantSplit/>
          <w:trHeight w:val="20"/>
        </w:trPr>
        <w:tc>
          <w:tcPr>
            <w:tcW w:w="2696" w:type="dxa"/>
            <w:vAlign w:val="center"/>
          </w:tcPr>
          <w:p w14:paraId="48FE2A98" w14:textId="77777777" w:rsidR="002E5012" w:rsidRPr="0098262F" w:rsidRDefault="002E5012" w:rsidP="00E55FD2">
            <w:pPr>
              <w:pStyle w:val="COMTabletext"/>
              <w:keepNext w:val="0"/>
            </w:pPr>
            <w:proofErr w:type="spellStart"/>
            <w:r w:rsidRPr="00FF1D47">
              <w:t>Zilucoplan</w:t>
            </w:r>
            <w:proofErr w:type="spellEnd"/>
            <w:r w:rsidRPr="00FF1D47">
              <w:t xml:space="preserve"> 40 mg/mL 0.574 mL injection, 28 pre-filled syringes</w:t>
            </w:r>
          </w:p>
        </w:tc>
        <w:tc>
          <w:tcPr>
            <w:tcW w:w="1419" w:type="dxa"/>
            <w:vAlign w:val="center"/>
          </w:tcPr>
          <w:p w14:paraId="02734934" w14:textId="4E39F71C"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0AED8E55" w14:textId="01B11B5C" w:rsidR="002E5012" w:rsidRPr="00730606" w:rsidRDefault="002E5012" w:rsidP="00E55FD2">
            <w:pPr>
              <w:pStyle w:val="COMTabletext"/>
              <w:keepNext w:val="0"/>
              <w:jc w:val="center"/>
            </w:pPr>
            <w:r w:rsidRPr="00730606">
              <w:t>(Public hospital)</w:t>
            </w:r>
          </w:p>
          <w:p w14:paraId="567A0BE6" w14:textId="07A1339D" w:rsidR="002E5012" w:rsidRPr="00611ADD" w:rsidRDefault="002E5012" w:rsidP="00E55FD2">
            <w:pPr>
              <w:pStyle w:val="COMTabletext"/>
              <w:keepNext w:val="0"/>
              <w:jc w:val="center"/>
              <w:rPr>
                <w:highlight w:val="yellow"/>
              </w:rPr>
            </w:pPr>
            <w:r w:rsidRPr="00243990">
              <w:t>$</w:t>
            </w:r>
            <w:r w:rsidR="007510F8" w:rsidRPr="007510F8">
              <w:rPr>
                <w:color w:val="000000"/>
                <w:spacing w:val="49"/>
                <w:shd w:val="solid" w:color="000000" w:fill="000000"/>
                <w:fitText w:val="226" w:id="-691334906"/>
                <w14:textFill>
                  <w14:solidFill>
                    <w14:srgbClr w14:val="000000">
                      <w14:alpha w14:val="100000"/>
                    </w14:srgbClr>
                  </w14:solidFill>
                </w14:textFill>
              </w:rPr>
              <w:t>||</w:t>
            </w:r>
            <w:r w:rsidR="007510F8" w:rsidRPr="007510F8">
              <w:rPr>
                <w:color w:val="000000"/>
                <w:spacing w:val="1"/>
                <w:shd w:val="solid" w:color="000000" w:fill="000000"/>
                <w:fitText w:val="226" w:id="-691334906"/>
                <w14:textFill>
                  <w14:solidFill>
                    <w14:srgbClr w14:val="000000">
                      <w14:alpha w14:val="100000"/>
                    </w14:srgbClr>
                  </w14:solidFill>
                </w14:textFill>
              </w:rPr>
              <w:t>|</w:t>
            </w:r>
            <w:r w:rsidR="002415C6" w:rsidRPr="002415C6">
              <w:t xml:space="preserve"> </w:t>
            </w:r>
            <w:r w:rsidRPr="00730606">
              <w:t>(Private hospital)</w:t>
            </w:r>
          </w:p>
        </w:tc>
        <w:tc>
          <w:tcPr>
            <w:tcW w:w="1419" w:type="dxa"/>
            <w:vAlign w:val="center"/>
          </w:tcPr>
          <w:p w14:paraId="2327592A" w14:textId="6C2B1B50" w:rsidR="002E5012" w:rsidRDefault="002E5012" w:rsidP="00E55FD2">
            <w:pPr>
              <w:pStyle w:val="COMTabletext"/>
              <w:keepNext w:val="0"/>
              <w:jc w:val="center"/>
            </w:pPr>
            <w:r w:rsidRPr="00CE4457">
              <w:t>$</w:t>
            </w:r>
            <w:r w:rsidR="007510F8" w:rsidRPr="007510F8">
              <w:rPr>
                <w:color w:val="000000"/>
                <w:shd w:val="solid" w:color="000000" w:fill="000000"/>
                <w14:textFill>
                  <w14:solidFill>
                    <w14:srgbClr w14:val="000000">
                      <w14:alpha w14:val="100000"/>
                    </w14:srgbClr>
                  </w14:solidFill>
                </w14:textFill>
              </w:rPr>
              <w:t>|</w:t>
            </w:r>
          </w:p>
          <w:p w14:paraId="3794553C" w14:textId="77777777" w:rsidR="002E5012" w:rsidRDefault="002E5012" w:rsidP="00E55FD2">
            <w:pPr>
              <w:pStyle w:val="COMTabletext"/>
              <w:keepNext w:val="0"/>
              <w:jc w:val="center"/>
            </w:pPr>
            <w:r>
              <w:rPr>
                <w:szCs w:val="20"/>
              </w:rPr>
              <w:t>(Public hospital)</w:t>
            </w:r>
          </w:p>
          <w:p w14:paraId="5096A262" w14:textId="7CB8060F" w:rsidR="002E5012" w:rsidRDefault="002E5012" w:rsidP="00E55FD2">
            <w:pPr>
              <w:pStyle w:val="COMTabletext"/>
              <w:keepNext w:val="0"/>
              <w:jc w:val="center"/>
            </w:pPr>
            <w:r w:rsidRPr="00CE4457">
              <w:t>$</w:t>
            </w:r>
            <w:r w:rsidR="007510F8" w:rsidRPr="007510F8">
              <w:rPr>
                <w:color w:val="000000"/>
                <w:shd w:val="solid" w:color="000000" w:fill="000000"/>
                <w14:textFill>
                  <w14:solidFill>
                    <w14:srgbClr w14:val="000000">
                      <w14:alpha w14:val="100000"/>
                    </w14:srgbClr>
                  </w14:solidFill>
                </w14:textFill>
              </w:rPr>
              <w:t>|</w:t>
            </w:r>
            <w:r>
              <w:t xml:space="preserve"> </w:t>
            </w:r>
          </w:p>
          <w:p w14:paraId="3DE05D4C" w14:textId="77777777" w:rsidR="002E5012" w:rsidRPr="0098262F" w:rsidRDefault="002E5012" w:rsidP="00E55FD2">
            <w:pPr>
              <w:pStyle w:val="COMTabletext"/>
              <w:keepNext w:val="0"/>
              <w:jc w:val="center"/>
            </w:pPr>
            <w:r>
              <w:t>(Private hospital)</w:t>
            </w:r>
          </w:p>
        </w:tc>
        <w:tc>
          <w:tcPr>
            <w:tcW w:w="872" w:type="dxa"/>
            <w:vAlign w:val="center"/>
          </w:tcPr>
          <w:p w14:paraId="63680253" w14:textId="77777777" w:rsidR="002E5012" w:rsidRPr="0098262F" w:rsidRDefault="002E5012" w:rsidP="00E55FD2">
            <w:pPr>
              <w:pStyle w:val="COMTabletext"/>
              <w:keepNext w:val="0"/>
              <w:jc w:val="center"/>
            </w:pPr>
            <w:r w:rsidRPr="00FF1D47">
              <w:t>1</w:t>
            </w:r>
          </w:p>
        </w:tc>
        <w:tc>
          <w:tcPr>
            <w:tcW w:w="872" w:type="dxa"/>
            <w:vAlign w:val="center"/>
          </w:tcPr>
          <w:p w14:paraId="282E2290" w14:textId="77777777" w:rsidR="002E5012" w:rsidRPr="0098262F" w:rsidRDefault="002E5012" w:rsidP="00E55FD2">
            <w:pPr>
              <w:pStyle w:val="COMTabletext"/>
              <w:keepNext w:val="0"/>
              <w:jc w:val="center"/>
            </w:pPr>
            <w:r w:rsidRPr="00FF1D47">
              <w:t>28</w:t>
            </w:r>
          </w:p>
        </w:tc>
        <w:tc>
          <w:tcPr>
            <w:tcW w:w="872" w:type="dxa"/>
            <w:vAlign w:val="center"/>
          </w:tcPr>
          <w:p w14:paraId="0CF0C42F" w14:textId="77777777" w:rsidR="002E5012" w:rsidRPr="0098262F" w:rsidRDefault="002E5012" w:rsidP="00E55FD2">
            <w:pPr>
              <w:pStyle w:val="COMTabletext"/>
              <w:keepNext w:val="0"/>
              <w:jc w:val="center"/>
            </w:pPr>
            <w:r w:rsidRPr="00FF1D47">
              <w:t>3</w:t>
            </w:r>
          </w:p>
        </w:tc>
        <w:tc>
          <w:tcPr>
            <w:tcW w:w="872" w:type="dxa"/>
            <w:vMerge/>
            <w:vAlign w:val="center"/>
          </w:tcPr>
          <w:p w14:paraId="0BA2F8B3" w14:textId="77777777" w:rsidR="002E5012" w:rsidRPr="00B162C2" w:rsidRDefault="002E5012" w:rsidP="00E55FD2">
            <w:pPr>
              <w:pStyle w:val="COMTabletext"/>
              <w:keepNext w:val="0"/>
              <w:rPr>
                <w:szCs w:val="20"/>
              </w:rPr>
            </w:pPr>
          </w:p>
        </w:tc>
      </w:tr>
      <w:tr w:rsidR="002E5012" w:rsidRPr="0098262F" w14:paraId="49054B89" w14:textId="77777777" w:rsidTr="7FB99A72">
        <w:trPr>
          <w:cantSplit/>
          <w:trHeight w:val="20"/>
        </w:trPr>
        <w:tc>
          <w:tcPr>
            <w:tcW w:w="2696" w:type="dxa"/>
            <w:vAlign w:val="center"/>
          </w:tcPr>
          <w:p w14:paraId="5098019D" w14:textId="77777777" w:rsidR="002E5012" w:rsidRPr="0098262F" w:rsidRDefault="002E5012" w:rsidP="00E55FD2">
            <w:pPr>
              <w:pStyle w:val="COMTabletext"/>
              <w:keepNext w:val="0"/>
            </w:pPr>
            <w:proofErr w:type="spellStart"/>
            <w:r w:rsidRPr="00FF1D47">
              <w:t>Zilucoplan</w:t>
            </w:r>
            <w:proofErr w:type="spellEnd"/>
            <w:r w:rsidRPr="00FF1D47">
              <w:t xml:space="preserve"> 40 mg/mL 0.810 mL injection, 28 pre-filled syringes</w:t>
            </w:r>
          </w:p>
        </w:tc>
        <w:tc>
          <w:tcPr>
            <w:tcW w:w="1419" w:type="dxa"/>
            <w:vAlign w:val="center"/>
          </w:tcPr>
          <w:p w14:paraId="4CAC921A" w14:textId="752521DC"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1F980B12" w14:textId="59026A15" w:rsidR="002E5012" w:rsidRPr="00730606" w:rsidRDefault="002E5012" w:rsidP="00E55FD2">
            <w:pPr>
              <w:pStyle w:val="COMTabletext"/>
              <w:keepNext w:val="0"/>
              <w:jc w:val="center"/>
            </w:pPr>
            <w:r w:rsidRPr="00730606">
              <w:t>(Public hospital)</w:t>
            </w:r>
          </w:p>
          <w:p w14:paraId="26ED7BF2" w14:textId="7CB02759" w:rsidR="002E5012" w:rsidRPr="00611ADD" w:rsidRDefault="002E5012" w:rsidP="00E55FD2">
            <w:pPr>
              <w:pStyle w:val="COMTabletext"/>
              <w:keepNext w:val="0"/>
              <w:jc w:val="center"/>
              <w:rPr>
                <w:highlight w:val="yellow"/>
              </w:rPr>
            </w:pPr>
            <w:r w:rsidRPr="00243990">
              <w:t>$</w:t>
            </w:r>
            <w:r w:rsidR="007510F8" w:rsidRPr="007510F8">
              <w:rPr>
                <w:color w:val="000000"/>
                <w:spacing w:val="49"/>
                <w:shd w:val="solid" w:color="000000" w:fill="000000"/>
                <w:fitText w:val="226" w:id="-691334905"/>
                <w14:textFill>
                  <w14:solidFill>
                    <w14:srgbClr w14:val="000000">
                      <w14:alpha w14:val="100000"/>
                    </w14:srgbClr>
                  </w14:solidFill>
                </w14:textFill>
              </w:rPr>
              <w:t>||</w:t>
            </w:r>
            <w:r w:rsidR="007510F8" w:rsidRPr="007510F8">
              <w:rPr>
                <w:color w:val="000000"/>
                <w:spacing w:val="1"/>
                <w:shd w:val="solid" w:color="000000" w:fill="000000"/>
                <w:fitText w:val="226" w:id="-691334905"/>
                <w14:textFill>
                  <w14:solidFill>
                    <w14:srgbClr w14:val="000000">
                      <w14:alpha w14:val="100000"/>
                    </w14:srgbClr>
                  </w14:solidFill>
                </w14:textFill>
              </w:rPr>
              <w:t>|</w:t>
            </w:r>
            <w:r w:rsidR="002415C6" w:rsidRPr="002415C6">
              <w:t xml:space="preserve"> </w:t>
            </w:r>
            <w:r w:rsidRPr="00730606">
              <w:t>(Private hospital)</w:t>
            </w:r>
          </w:p>
        </w:tc>
        <w:tc>
          <w:tcPr>
            <w:tcW w:w="1419" w:type="dxa"/>
            <w:vAlign w:val="center"/>
          </w:tcPr>
          <w:p w14:paraId="7FB8B48C" w14:textId="031A0B51" w:rsidR="002E5012" w:rsidRDefault="002E5012" w:rsidP="00E55FD2">
            <w:pPr>
              <w:pStyle w:val="COMTabletext"/>
              <w:keepNext w:val="0"/>
              <w:jc w:val="center"/>
            </w:pPr>
            <w:r w:rsidRPr="00055F72">
              <w:t>$</w:t>
            </w:r>
            <w:r w:rsidR="007510F8" w:rsidRPr="007510F8">
              <w:rPr>
                <w:color w:val="000000"/>
                <w:shd w:val="solid" w:color="000000" w:fill="000000"/>
                <w14:textFill>
                  <w14:solidFill>
                    <w14:srgbClr w14:val="000000">
                      <w14:alpha w14:val="100000"/>
                    </w14:srgbClr>
                  </w14:solidFill>
                </w14:textFill>
              </w:rPr>
              <w:t>|</w:t>
            </w:r>
          </w:p>
          <w:p w14:paraId="6BF3638E" w14:textId="77777777" w:rsidR="002E5012" w:rsidRDefault="002E5012" w:rsidP="00E55FD2">
            <w:pPr>
              <w:pStyle w:val="COMTabletext"/>
              <w:keepNext w:val="0"/>
              <w:jc w:val="center"/>
            </w:pPr>
            <w:r>
              <w:rPr>
                <w:szCs w:val="20"/>
              </w:rPr>
              <w:t>(Public hospital)</w:t>
            </w:r>
          </w:p>
          <w:p w14:paraId="733F32CC" w14:textId="59500609" w:rsidR="002E5012" w:rsidRDefault="002E5012" w:rsidP="00E55FD2">
            <w:pPr>
              <w:pStyle w:val="COMTabletext"/>
              <w:keepNext w:val="0"/>
              <w:jc w:val="center"/>
            </w:pPr>
            <w:r w:rsidRPr="00055F72">
              <w:t>$</w:t>
            </w:r>
            <w:r w:rsidR="007510F8" w:rsidRPr="007510F8">
              <w:rPr>
                <w:color w:val="000000"/>
                <w:shd w:val="solid" w:color="000000" w:fill="000000"/>
                <w14:textFill>
                  <w14:solidFill>
                    <w14:srgbClr w14:val="000000">
                      <w14:alpha w14:val="100000"/>
                    </w14:srgbClr>
                  </w14:solidFill>
                </w14:textFill>
              </w:rPr>
              <w:t>|</w:t>
            </w:r>
          </w:p>
          <w:p w14:paraId="5A8CB1D2" w14:textId="77777777" w:rsidR="002E5012" w:rsidRPr="0098262F" w:rsidRDefault="002E5012" w:rsidP="00E55FD2">
            <w:pPr>
              <w:pStyle w:val="COMTabletext"/>
              <w:keepNext w:val="0"/>
              <w:jc w:val="center"/>
            </w:pPr>
            <w:r>
              <w:t>(Private hospital)</w:t>
            </w:r>
          </w:p>
        </w:tc>
        <w:tc>
          <w:tcPr>
            <w:tcW w:w="872" w:type="dxa"/>
            <w:vAlign w:val="center"/>
          </w:tcPr>
          <w:p w14:paraId="628EACEA" w14:textId="77777777" w:rsidR="002E5012" w:rsidRPr="0098262F" w:rsidRDefault="002E5012" w:rsidP="00E55FD2">
            <w:pPr>
              <w:pStyle w:val="COMTabletext"/>
              <w:keepNext w:val="0"/>
              <w:jc w:val="center"/>
            </w:pPr>
            <w:r w:rsidRPr="00FF1D47">
              <w:t>1</w:t>
            </w:r>
          </w:p>
        </w:tc>
        <w:tc>
          <w:tcPr>
            <w:tcW w:w="872" w:type="dxa"/>
            <w:vAlign w:val="center"/>
          </w:tcPr>
          <w:p w14:paraId="168C6EDE" w14:textId="77777777" w:rsidR="002E5012" w:rsidRPr="0098262F" w:rsidRDefault="002E5012" w:rsidP="00E55FD2">
            <w:pPr>
              <w:pStyle w:val="COMTabletext"/>
              <w:keepNext w:val="0"/>
              <w:jc w:val="center"/>
            </w:pPr>
            <w:r w:rsidRPr="00FF1D47">
              <w:t>28</w:t>
            </w:r>
          </w:p>
        </w:tc>
        <w:tc>
          <w:tcPr>
            <w:tcW w:w="872" w:type="dxa"/>
            <w:vAlign w:val="center"/>
          </w:tcPr>
          <w:p w14:paraId="2485F6AB" w14:textId="77777777" w:rsidR="002E5012" w:rsidRPr="0098262F" w:rsidRDefault="002E5012" w:rsidP="00E55FD2">
            <w:pPr>
              <w:pStyle w:val="COMTabletext"/>
              <w:keepNext w:val="0"/>
              <w:jc w:val="center"/>
            </w:pPr>
            <w:r w:rsidRPr="00FF1D47">
              <w:t>3</w:t>
            </w:r>
          </w:p>
        </w:tc>
        <w:tc>
          <w:tcPr>
            <w:tcW w:w="872" w:type="dxa"/>
            <w:vMerge/>
            <w:vAlign w:val="center"/>
          </w:tcPr>
          <w:p w14:paraId="4254C48E" w14:textId="77777777" w:rsidR="002E5012" w:rsidRPr="00B162C2" w:rsidRDefault="002E5012" w:rsidP="00E55FD2">
            <w:pPr>
              <w:pStyle w:val="COMTabletext"/>
              <w:keepNext w:val="0"/>
              <w:rPr>
                <w:szCs w:val="20"/>
              </w:rPr>
            </w:pPr>
          </w:p>
        </w:tc>
      </w:tr>
      <w:tr w:rsidR="002E5012" w:rsidRPr="0098262F" w14:paraId="17B6D14B" w14:textId="77777777" w:rsidTr="7FB99A72">
        <w:trPr>
          <w:cantSplit/>
          <w:trHeight w:val="20"/>
        </w:trPr>
        <w:tc>
          <w:tcPr>
            <w:tcW w:w="2696" w:type="dxa"/>
            <w:vAlign w:val="center"/>
          </w:tcPr>
          <w:p w14:paraId="6B2F9957" w14:textId="77777777" w:rsidR="002E5012" w:rsidRPr="0098262F" w:rsidRDefault="002E5012" w:rsidP="00E55FD2">
            <w:pPr>
              <w:pStyle w:val="COMTabletext"/>
              <w:keepNext w:val="0"/>
            </w:pPr>
            <w:proofErr w:type="spellStart"/>
            <w:r w:rsidRPr="00FF1D47">
              <w:t>Zilucoplan</w:t>
            </w:r>
            <w:proofErr w:type="spellEnd"/>
            <w:r w:rsidRPr="00FF1D47">
              <w:t xml:space="preserve"> 40 mg/mL 0.416 mL injection, 7 pre-filled syringes</w:t>
            </w:r>
          </w:p>
        </w:tc>
        <w:tc>
          <w:tcPr>
            <w:tcW w:w="1419" w:type="dxa"/>
            <w:vAlign w:val="center"/>
          </w:tcPr>
          <w:p w14:paraId="0BBC0DBD" w14:textId="55D0DBED"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6C4E66BF" w14:textId="77777777" w:rsidR="002415C6" w:rsidRPr="002415C6" w:rsidRDefault="002E5012" w:rsidP="00E55FD2">
            <w:pPr>
              <w:pStyle w:val="COMTabletext"/>
              <w:keepNext w:val="0"/>
              <w:jc w:val="center"/>
            </w:pPr>
            <w:r w:rsidRPr="00730606">
              <w:t>(Public hospital)</w:t>
            </w:r>
          </w:p>
          <w:p w14:paraId="7218A6AC" w14:textId="3338B24E"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38AA0128" w14:textId="7BEA99BB" w:rsidR="002E5012" w:rsidRPr="00611ADD" w:rsidRDefault="002E5012" w:rsidP="00E55FD2">
            <w:pPr>
              <w:pStyle w:val="COMTabletext"/>
              <w:keepNext w:val="0"/>
              <w:jc w:val="center"/>
              <w:rPr>
                <w:highlight w:val="yellow"/>
              </w:rPr>
            </w:pPr>
            <w:r w:rsidRPr="00730606">
              <w:t>(Private hospital)</w:t>
            </w:r>
          </w:p>
        </w:tc>
        <w:tc>
          <w:tcPr>
            <w:tcW w:w="1419" w:type="dxa"/>
            <w:vAlign w:val="center"/>
          </w:tcPr>
          <w:p w14:paraId="6CFB2BB4" w14:textId="6DB827F7" w:rsidR="002E5012" w:rsidRDefault="002E5012" w:rsidP="00E55FD2">
            <w:pPr>
              <w:pStyle w:val="COMTabletext"/>
              <w:keepNext w:val="0"/>
              <w:jc w:val="center"/>
              <w:rPr>
                <w:szCs w:val="20"/>
              </w:rPr>
            </w:pPr>
            <w:r w:rsidRPr="00CE4457">
              <w:rPr>
                <w:szCs w:val="20"/>
              </w:rPr>
              <w:t>$</w:t>
            </w:r>
            <w:r w:rsidR="007510F8" w:rsidRPr="007510F8">
              <w:rPr>
                <w:color w:val="000000"/>
                <w:szCs w:val="20"/>
                <w:shd w:val="solid" w:color="000000" w:fill="000000"/>
                <w14:textFill>
                  <w14:solidFill>
                    <w14:srgbClr w14:val="000000">
                      <w14:alpha w14:val="100000"/>
                    </w14:srgbClr>
                  </w14:solidFill>
                </w14:textFill>
              </w:rPr>
              <w:t>|</w:t>
            </w:r>
          </w:p>
          <w:p w14:paraId="7AC87FDD" w14:textId="77777777" w:rsidR="002E5012" w:rsidRDefault="002E5012" w:rsidP="00E55FD2">
            <w:pPr>
              <w:pStyle w:val="COMTabletext"/>
              <w:keepNext w:val="0"/>
              <w:jc w:val="center"/>
              <w:rPr>
                <w:szCs w:val="20"/>
              </w:rPr>
            </w:pPr>
            <w:r>
              <w:rPr>
                <w:szCs w:val="20"/>
              </w:rPr>
              <w:t>(Public hospital)</w:t>
            </w:r>
          </w:p>
          <w:p w14:paraId="78DE3BA4" w14:textId="7FB2B609" w:rsidR="002E5012" w:rsidRDefault="002E5012" w:rsidP="00E55FD2">
            <w:pPr>
              <w:pStyle w:val="COMTabletext"/>
              <w:keepNext w:val="0"/>
              <w:jc w:val="center"/>
              <w:rPr>
                <w:szCs w:val="20"/>
              </w:rPr>
            </w:pPr>
            <w:r w:rsidRPr="00CE4457">
              <w:rPr>
                <w:szCs w:val="20"/>
              </w:rPr>
              <w:t>$</w:t>
            </w:r>
            <w:r w:rsidR="007510F8" w:rsidRPr="007510F8">
              <w:rPr>
                <w:color w:val="000000"/>
                <w:szCs w:val="20"/>
                <w:shd w:val="solid" w:color="000000" w:fill="000000"/>
                <w14:textFill>
                  <w14:solidFill>
                    <w14:srgbClr w14:val="000000">
                      <w14:alpha w14:val="100000"/>
                    </w14:srgbClr>
                  </w14:solidFill>
                </w14:textFill>
              </w:rPr>
              <w:t>|</w:t>
            </w:r>
          </w:p>
          <w:p w14:paraId="00A2F440" w14:textId="77777777" w:rsidR="002E5012" w:rsidRPr="0098262F" w:rsidRDefault="002E5012" w:rsidP="00E55FD2">
            <w:pPr>
              <w:pStyle w:val="COMTabletext"/>
              <w:keepNext w:val="0"/>
              <w:jc w:val="center"/>
            </w:pPr>
            <w:r>
              <w:rPr>
                <w:szCs w:val="20"/>
              </w:rPr>
              <w:t>(Private hospital)</w:t>
            </w:r>
          </w:p>
        </w:tc>
        <w:tc>
          <w:tcPr>
            <w:tcW w:w="872" w:type="dxa"/>
            <w:vAlign w:val="center"/>
          </w:tcPr>
          <w:p w14:paraId="0680DD7F" w14:textId="77777777" w:rsidR="002E5012" w:rsidRPr="0098262F" w:rsidRDefault="002E5012" w:rsidP="00E55FD2">
            <w:pPr>
              <w:pStyle w:val="COMTabletext"/>
              <w:keepNext w:val="0"/>
              <w:jc w:val="center"/>
            </w:pPr>
            <w:r w:rsidRPr="00FF1D47">
              <w:t>4</w:t>
            </w:r>
          </w:p>
        </w:tc>
        <w:tc>
          <w:tcPr>
            <w:tcW w:w="872" w:type="dxa"/>
            <w:vAlign w:val="center"/>
          </w:tcPr>
          <w:p w14:paraId="18BE04FE" w14:textId="77777777" w:rsidR="002E5012" w:rsidRPr="0098262F" w:rsidRDefault="002E5012" w:rsidP="00E55FD2">
            <w:pPr>
              <w:pStyle w:val="COMTabletext"/>
              <w:keepNext w:val="0"/>
              <w:jc w:val="center"/>
            </w:pPr>
            <w:r w:rsidRPr="00FF1D47">
              <w:t>28</w:t>
            </w:r>
          </w:p>
        </w:tc>
        <w:tc>
          <w:tcPr>
            <w:tcW w:w="872" w:type="dxa"/>
            <w:vAlign w:val="center"/>
          </w:tcPr>
          <w:p w14:paraId="4CD2378F" w14:textId="77777777" w:rsidR="002E5012" w:rsidRPr="0098262F" w:rsidRDefault="002E5012" w:rsidP="00E55FD2">
            <w:pPr>
              <w:pStyle w:val="COMTabletext"/>
              <w:keepNext w:val="0"/>
              <w:jc w:val="center"/>
            </w:pPr>
            <w:r w:rsidRPr="00FF1D47">
              <w:t>3</w:t>
            </w:r>
          </w:p>
        </w:tc>
        <w:tc>
          <w:tcPr>
            <w:tcW w:w="872" w:type="dxa"/>
            <w:vMerge/>
            <w:vAlign w:val="center"/>
          </w:tcPr>
          <w:p w14:paraId="37AA34C2" w14:textId="77777777" w:rsidR="002E5012" w:rsidRPr="00B162C2" w:rsidRDefault="002E5012" w:rsidP="00E55FD2">
            <w:pPr>
              <w:pStyle w:val="COMTabletext"/>
              <w:keepNext w:val="0"/>
              <w:rPr>
                <w:szCs w:val="20"/>
              </w:rPr>
            </w:pPr>
          </w:p>
        </w:tc>
      </w:tr>
      <w:tr w:rsidR="002E5012" w:rsidRPr="0098262F" w14:paraId="21994959" w14:textId="77777777" w:rsidTr="7FB99A72">
        <w:trPr>
          <w:cantSplit/>
          <w:trHeight w:val="20"/>
        </w:trPr>
        <w:tc>
          <w:tcPr>
            <w:tcW w:w="2696" w:type="dxa"/>
            <w:vAlign w:val="center"/>
          </w:tcPr>
          <w:p w14:paraId="5B87E36A" w14:textId="77777777" w:rsidR="002E5012" w:rsidRPr="0098262F" w:rsidRDefault="002E5012" w:rsidP="00E55FD2">
            <w:pPr>
              <w:pStyle w:val="COMTabletext"/>
              <w:keepNext w:val="0"/>
            </w:pPr>
            <w:proofErr w:type="spellStart"/>
            <w:r w:rsidRPr="00FF1D47">
              <w:t>Zilucoplan</w:t>
            </w:r>
            <w:proofErr w:type="spellEnd"/>
            <w:r w:rsidRPr="00FF1D47">
              <w:t xml:space="preserve"> 40 mg/mL 0.574 mL injection, 7 pre-filled syringes</w:t>
            </w:r>
          </w:p>
        </w:tc>
        <w:tc>
          <w:tcPr>
            <w:tcW w:w="1419" w:type="dxa"/>
            <w:vAlign w:val="center"/>
          </w:tcPr>
          <w:p w14:paraId="590A5431" w14:textId="08BE72AD"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4921A7D1" w14:textId="35E62446" w:rsidR="002E5012" w:rsidRPr="00730606" w:rsidRDefault="002E5012" w:rsidP="00E55FD2">
            <w:pPr>
              <w:pStyle w:val="COMTabletext"/>
              <w:keepNext w:val="0"/>
              <w:jc w:val="center"/>
            </w:pPr>
            <w:r w:rsidRPr="00730606">
              <w:t>(Public hospital)</w:t>
            </w:r>
          </w:p>
          <w:p w14:paraId="2B2FE7A0" w14:textId="641FD515" w:rsidR="002E5012" w:rsidRPr="00611ADD" w:rsidRDefault="002E5012" w:rsidP="00E55FD2">
            <w:pPr>
              <w:pStyle w:val="COMTabletext"/>
              <w:keepNext w:val="0"/>
              <w:jc w:val="center"/>
              <w:rPr>
                <w:highlight w:val="yellow"/>
              </w:rPr>
            </w:pPr>
            <w:r w:rsidRPr="00243990">
              <w:t>$</w:t>
            </w:r>
            <w:r w:rsidR="007510F8" w:rsidRPr="007510F8">
              <w:rPr>
                <w:color w:val="000000"/>
                <w:spacing w:val="49"/>
                <w:shd w:val="solid" w:color="000000" w:fill="000000"/>
                <w:fitText w:val="226" w:id="-691334904"/>
                <w14:textFill>
                  <w14:solidFill>
                    <w14:srgbClr w14:val="000000">
                      <w14:alpha w14:val="100000"/>
                    </w14:srgbClr>
                  </w14:solidFill>
                </w14:textFill>
              </w:rPr>
              <w:t>||</w:t>
            </w:r>
            <w:r w:rsidR="007510F8" w:rsidRPr="007510F8">
              <w:rPr>
                <w:color w:val="000000"/>
                <w:spacing w:val="1"/>
                <w:shd w:val="solid" w:color="000000" w:fill="000000"/>
                <w:fitText w:val="226" w:id="-691334904"/>
                <w14:textFill>
                  <w14:solidFill>
                    <w14:srgbClr w14:val="000000">
                      <w14:alpha w14:val="100000"/>
                    </w14:srgbClr>
                  </w14:solidFill>
                </w14:textFill>
              </w:rPr>
              <w:t>|</w:t>
            </w:r>
            <w:r w:rsidR="002415C6" w:rsidRPr="002415C6">
              <w:t xml:space="preserve"> </w:t>
            </w:r>
            <w:r w:rsidRPr="00243990">
              <w:t>(Private hospital)</w:t>
            </w:r>
          </w:p>
        </w:tc>
        <w:tc>
          <w:tcPr>
            <w:tcW w:w="1419" w:type="dxa"/>
            <w:vAlign w:val="center"/>
          </w:tcPr>
          <w:p w14:paraId="67D5B1C6" w14:textId="1F638095" w:rsidR="002E5012" w:rsidRDefault="002E5012" w:rsidP="00E55FD2">
            <w:pPr>
              <w:pStyle w:val="COMTabletext"/>
              <w:keepNext w:val="0"/>
              <w:jc w:val="center"/>
            </w:pPr>
            <w:r w:rsidRPr="00CE4457">
              <w:t>$</w:t>
            </w:r>
            <w:r w:rsidR="007510F8" w:rsidRPr="007510F8">
              <w:rPr>
                <w:color w:val="000000"/>
                <w:shd w:val="solid" w:color="000000" w:fill="000000"/>
                <w14:textFill>
                  <w14:solidFill>
                    <w14:srgbClr w14:val="000000">
                      <w14:alpha w14:val="100000"/>
                    </w14:srgbClr>
                  </w14:solidFill>
                </w14:textFill>
              </w:rPr>
              <w:t>|</w:t>
            </w:r>
          </w:p>
          <w:p w14:paraId="0C11F22B" w14:textId="77777777" w:rsidR="002E5012" w:rsidRDefault="002E5012" w:rsidP="00E55FD2">
            <w:pPr>
              <w:pStyle w:val="COMTabletext"/>
              <w:keepNext w:val="0"/>
              <w:jc w:val="center"/>
            </w:pPr>
            <w:r>
              <w:rPr>
                <w:szCs w:val="20"/>
              </w:rPr>
              <w:t>(Public hospital)</w:t>
            </w:r>
          </w:p>
          <w:p w14:paraId="27840B0D" w14:textId="1A20BBAB" w:rsidR="002E5012" w:rsidRDefault="002E5012" w:rsidP="00E55FD2">
            <w:pPr>
              <w:pStyle w:val="COMTabletext"/>
              <w:keepNext w:val="0"/>
              <w:jc w:val="center"/>
            </w:pPr>
            <w:r w:rsidRPr="00CE4457">
              <w:t>$</w:t>
            </w:r>
            <w:r w:rsidR="007510F8" w:rsidRPr="007510F8">
              <w:rPr>
                <w:color w:val="000000"/>
                <w:shd w:val="solid" w:color="000000" w:fill="000000"/>
                <w14:textFill>
                  <w14:solidFill>
                    <w14:srgbClr w14:val="000000">
                      <w14:alpha w14:val="100000"/>
                    </w14:srgbClr>
                  </w14:solidFill>
                </w14:textFill>
              </w:rPr>
              <w:t>|</w:t>
            </w:r>
            <w:r>
              <w:t xml:space="preserve"> </w:t>
            </w:r>
          </w:p>
          <w:p w14:paraId="0FA8CABE" w14:textId="77777777" w:rsidR="002E5012" w:rsidRPr="0098262F" w:rsidRDefault="002E5012" w:rsidP="00E55FD2">
            <w:pPr>
              <w:pStyle w:val="COMTabletext"/>
              <w:keepNext w:val="0"/>
              <w:jc w:val="center"/>
            </w:pPr>
            <w:r>
              <w:t>(Private hospital)</w:t>
            </w:r>
          </w:p>
        </w:tc>
        <w:tc>
          <w:tcPr>
            <w:tcW w:w="872" w:type="dxa"/>
            <w:vAlign w:val="center"/>
          </w:tcPr>
          <w:p w14:paraId="59768668" w14:textId="77777777" w:rsidR="002E5012" w:rsidRPr="0098262F" w:rsidRDefault="002E5012" w:rsidP="00E55FD2">
            <w:pPr>
              <w:pStyle w:val="COMTabletext"/>
              <w:keepNext w:val="0"/>
              <w:jc w:val="center"/>
            </w:pPr>
            <w:r w:rsidRPr="00FF1D47">
              <w:t>4</w:t>
            </w:r>
          </w:p>
        </w:tc>
        <w:tc>
          <w:tcPr>
            <w:tcW w:w="872" w:type="dxa"/>
            <w:vAlign w:val="center"/>
          </w:tcPr>
          <w:p w14:paraId="330F2424" w14:textId="77777777" w:rsidR="002E5012" w:rsidRPr="0098262F" w:rsidRDefault="002E5012" w:rsidP="00E55FD2">
            <w:pPr>
              <w:pStyle w:val="COMTabletext"/>
              <w:keepNext w:val="0"/>
              <w:jc w:val="center"/>
            </w:pPr>
            <w:r w:rsidRPr="00FF1D47">
              <w:t>28</w:t>
            </w:r>
          </w:p>
        </w:tc>
        <w:tc>
          <w:tcPr>
            <w:tcW w:w="872" w:type="dxa"/>
            <w:vAlign w:val="center"/>
          </w:tcPr>
          <w:p w14:paraId="66EA432E" w14:textId="77777777" w:rsidR="002E5012" w:rsidRPr="0098262F" w:rsidRDefault="002E5012" w:rsidP="00E55FD2">
            <w:pPr>
              <w:pStyle w:val="COMTabletext"/>
              <w:keepNext w:val="0"/>
              <w:jc w:val="center"/>
            </w:pPr>
            <w:r w:rsidRPr="00FF1D47">
              <w:t>3</w:t>
            </w:r>
          </w:p>
        </w:tc>
        <w:tc>
          <w:tcPr>
            <w:tcW w:w="872" w:type="dxa"/>
            <w:vMerge/>
            <w:vAlign w:val="center"/>
          </w:tcPr>
          <w:p w14:paraId="44202E34" w14:textId="77777777" w:rsidR="002E5012" w:rsidRPr="00B162C2" w:rsidRDefault="002E5012" w:rsidP="00E55FD2">
            <w:pPr>
              <w:pStyle w:val="COMTabletext"/>
              <w:keepNext w:val="0"/>
              <w:rPr>
                <w:szCs w:val="20"/>
              </w:rPr>
            </w:pPr>
          </w:p>
        </w:tc>
      </w:tr>
      <w:tr w:rsidR="002E5012" w:rsidRPr="0098262F" w14:paraId="2BF2C58A" w14:textId="77777777" w:rsidTr="7FB99A72">
        <w:trPr>
          <w:cantSplit/>
          <w:trHeight w:val="20"/>
        </w:trPr>
        <w:tc>
          <w:tcPr>
            <w:tcW w:w="2696" w:type="dxa"/>
            <w:vAlign w:val="center"/>
          </w:tcPr>
          <w:p w14:paraId="109FA79D" w14:textId="77777777" w:rsidR="002E5012" w:rsidRPr="0098262F" w:rsidRDefault="002E5012" w:rsidP="00E55FD2">
            <w:pPr>
              <w:pStyle w:val="COMTabletext"/>
              <w:keepNext w:val="0"/>
            </w:pPr>
            <w:proofErr w:type="spellStart"/>
            <w:r w:rsidRPr="00FF1D47">
              <w:t>Zilucoplan</w:t>
            </w:r>
            <w:proofErr w:type="spellEnd"/>
            <w:r w:rsidRPr="00FF1D47">
              <w:t xml:space="preserve"> 40 mg/mL 0.810 mL injection, 7 pre-filled syringes</w:t>
            </w:r>
          </w:p>
        </w:tc>
        <w:tc>
          <w:tcPr>
            <w:tcW w:w="1419" w:type="dxa"/>
            <w:vAlign w:val="center"/>
          </w:tcPr>
          <w:p w14:paraId="0C9E6741" w14:textId="19CF9504"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56B93C11" w14:textId="77777777" w:rsidR="002415C6" w:rsidRPr="002415C6" w:rsidRDefault="002E5012" w:rsidP="00E55FD2">
            <w:pPr>
              <w:pStyle w:val="COMTabletext"/>
              <w:keepNext w:val="0"/>
              <w:jc w:val="center"/>
            </w:pPr>
            <w:r w:rsidRPr="00243990">
              <w:t>(Public</w:t>
            </w:r>
            <w:r w:rsidRPr="00730606">
              <w:t xml:space="preserve"> hospital)</w:t>
            </w:r>
          </w:p>
          <w:p w14:paraId="7D2570C1" w14:textId="6F4FC765" w:rsidR="002E5012" w:rsidRPr="00611ADD" w:rsidRDefault="002E5012" w:rsidP="00E55FD2">
            <w:pPr>
              <w:pStyle w:val="COMTabletext"/>
              <w:keepNext w:val="0"/>
              <w:jc w:val="center"/>
              <w:rPr>
                <w:highlight w:val="yellow"/>
              </w:rPr>
            </w:pPr>
            <w:r w:rsidRPr="00243990">
              <w:t>$</w:t>
            </w:r>
            <w:r w:rsidR="007510F8" w:rsidRPr="007510F8">
              <w:rPr>
                <w:color w:val="000000"/>
                <w:spacing w:val="49"/>
                <w:shd w:val="solid" w:color="000000" w:fill="000000"/>
                <w:fitText w:val="226" w:id="-691334903"/>
                <w14:textFill>
                  <w14:solidFill>
                    <w14:srgbClr w14:val="000000">
                      <w14:alpha w14:val="100000"/>
                    </w14:srgbClr>
                  </w14:solidFill>
                </w14:textFill>
              </w:rPr>
              <w:t>||</w:t>
            </w:r>
            <w:r w:rsidR="007510F8" w:rsidRPr="007510F8">
              <w:rPr>
                <w:color w:val="000000"/>
                <w:spacing w:val="1"/>
                <w:shd w:val="solid" w:color="000000" w:fill="000000"/>
                <w:fitText w:val="226" w:id="-691334903"/>
                <w14:textFill>
                  <w14:solidFill>
                    <w14:srgbClr w14:val="000000">
                      <w14:alpha w14:val="100000"/>
                    </w14:srgbClr>
                  </w14:solidFill>
                </w14:textFill>
              </w:rPr>
              <w:t>|</w:t>
            </w:r>
            <w:r w:rsidR="002415C6" w:rsidRPr="002415C6">
              <w:t xml:space="preserve"> </w:t>
            </w:r>
            <w:r w:rsidRPr="00243990">
              <w:t>(Private</w:t>
            </w:r>
            <w:r w:rsidRPr="00730606">
              <w:t xml:space="preserve"> hospital)</w:t>
            </w:r>
          </w:p>
        </w:tc>
        <w:tc>
          <w:tcPr>
            <w:tcW w:w="1419" w:type="dxa"/>
            <w:vAlign w:val="center"/>
          </w:tcPr>
          <w:p w14:paraId="2063A5D5" w14:textId="6C98D37D" w:rsidR="002E5012" w:rsidRDefault="002E5012" w:rsidP="00E55FD2">
            <w:pPr>
              <w:pStyle w:val="COMTabletext"/>
              <w:keepNext w:val="0"/>
              <w:jc w:val="center"/>
            </w:pPr>
            <w:r w:rsidRPr="00055F72">
              <w:t>$</w:t>
            </w:r>
            <w:r w:rsidR="007510F8" w:rsidRPr="007510F8">
              <w:rPr>
                <w:color w:val="000000"/>
                <w:shd w:val="solid" w:color="000000" w:fill="000000"/>
                <w14:textFill>
                  <w14:solidFill>
                    <w14:srgbClr w14:val="000000">
                      <w14:alpha w14:val="100000"/>
                    </w14:srgbClr>
                  </w14:solidFill>
                </w14:textFill>
              </w:rPr>
              <w:t>|</w:t>
            </w:r>
          </w:p>
          <w:p w14:paraId="29DDB0D3" w14:textId="77777777" w:rsidR="002E5012" w:rsidRDefault="002E5012" w:rsidP="00E55FD2">
            <w:pPr>
              <w:pStyle w:val="COMTabletext"/>
              <w:keepNext w:val="0"/>
              <w:jc w:val="center"/>
            </w:pPr>
            <w:r>
              <w:rPr>
                <w:szCs w:val="20"/>
              </w:rPr>
              <w:t>(Public hospital)</w:t>
            </w:r>
          </w:p>
          <w:p w14:paraId="38D55D54" w14:textId="6D71A0FD" w:rsidR="002E5012" w:rsidRDefault="002E5012" w:rsidP="00E55FD2">
            <w:pPr>
              <w:pStyle w:val="COMTabletext"/>
              <w:keepNext w:val="0"/>
              <w:jc w:val="center"/>
            </w:pPr>
            <w:r w:rsidRPr="00055F72">
              <w:t>$</w:t>
            </w:r>
            <w:r w:rsidR="007510F8" w:rsidRPr="007510F8">
              <w:rPr>
                <w:color w:val="000000"/>
                <w:shd w:val="solid" w:color="000000" w:fill="000000"/>
                <w14:textFill>
                  <w14:solidFill>
                    <w14:srgbClr w14:val="000000">
                      <w14:alpha w14:val="100000"/>
                    </w14:srgbClr>
                  </w14:solidFill>
                </w14:textFill>
              </w:rPr>
              <w:t>|</w:t>
            </w:r>
          </w:p>
          <w:p w14:paraId="6C6A2EB6" w14:textId="77777777" w:rsidR="002E5012" w:rsidRPr="0098262F" w:rsidRDefault="002E5012" w:rsidP="00E55FD2">
            <w:pPr>
              <w:pStyle w:val="COMTabletext"/>
              <w:keepNext w:val="0"/>
              <w:jc w:val="center"/>
            </w:pPr>
            <w:r>
              <w:t>(Private hospital)</w:t>
            </w:r>
          </w:p>
        </w:tc>
        <w:tc>
          <w:tcPr>
            <w:tcW w:w="872" w:type="dxa"/>
            <w:vAlign w:val="center"/>
          </w:tcPr>
          <w:p w14:paraId="408EFC18" w14:textId="77777777" w:rsidR="002E5012" w:rsidRPr="0098262F" w:rsidRDefault="002E5012" w:rsidP="00E55FD2">
            <w:pPr>
              <w:pStyle w:val="COMTabletext"/>
              <w:keepNext w:val="0"/>
              <w:jc w:val="center"/>
            </w:pPr>
            <w:r w:rsidRPr="00FF1D47">
              <w:t>4</w:t>
            </w:r>
          </w:p>
        </w:tc>
        <w:tc>
          <w:tcPr>
            <w:tcW w:w="872" w:type="dxa"/>
            <w:vAlign w:val="center"/>
          </w:tcPr>
          <w:p w14:paraId="486A07D9" w14:textId="77777777" w:rsidR="002E5012" w:rsidRPr="0098262F" w:rsidRDefault="002E5012" w:rsidP="00E55FD2">
            <w:pPr>
              <w:pStyle w:val="COMTabletext"/>
              <w:keepNext w:val="0"/>
              <w:jc w:val="center"/>
            </w:pPr>
            <w:r w:rsidRPr="00FF1D47">
              <w:t>28</w:t>
            </w:r>
          </w:p>
        </w:tc>
        <w:tc>
          <w:tcPr>
            <w:tcW w:w="872" w:type="dxa"/>
            <w:vAlign w:val="center"/>
          </w:tcPr>
          <w:p w14:paraId="26BBF596" w14:textId="77777777" w:rsidR="002E5012" w:rsidRPr="0098262F" w:rsidRDefault="002E5012" w:rsidP="00E55FD2">
            <w:pPr>
              <w:pStyle w:val="COMTabletext"/>
              <w:keepNext w:val="0"/>
              <w:jc w:val="center"/>
            </w:pPr>
            <w:r w:rsidRPr="00FF1D47">
              <w:t>3</w:t>
            </w:r>
          </w:p>
        </w:tc>
        <w:tc>
          <w:tcPr>
            <w:tcW w:w="872" w:type="dxa"/>
            <w:vMerge/>
            <w:vAlign w:val="center"/>
          </w:tcPr>
          <w:p w14:paraId="13C94899" w14:textId="77777777" w:rsidR="002E5012" w:rsidRPr="00B162C2" w:rsidRDefault="002E5012" w:rsidP="00E55FD2">
            <w:pPr>
              <w:pStyle w:val="COMTabletext"/>
              <w:keepNext w:val="0"/>
              <w:rPr>
                <w:szCs w:val="20"/>
              </w:rPr>
            </w:pPr>
          </w:p>
        </w:tc>
      </w:tr>
      <w:tr w:rsidR="002E5012" w:rsidRPr="0098262F" w14:paraId="24280BCB" w14:textId="77777777" w:rsidTr="7FB99A72">
        <w:trPr>
          <w:cantSplit/>
          <w:trHeight w:val="20"/>
        </w:trPr>
        <w:tc>
          <w:tcPr>
            <w:tcW w:w="9022" w:type="dxa"/>
            <w:gridSpan w:val="7"/>
          </w:tcPr>
          <w:p w14:paraId="1B90FC34" w14:textId="77777777" w:rsidR="002E5012" w:rsidRPr="00730606" w:rsidRDefault="180142BD" w:rsidP="00E55FD2">
            <w:pPr>
              <w:pStyle w:val="COMTabletext"/>
              <w:keepNext w:val="0"/>
              <w:rPr>
                <w:b/>
              </w:rPr>
            </w:pPr>
            <w:r w:rsidRPr="00730606">
              <w:rPr>
                <w:b/>
              </w:rPr>
              <w:t>Continuing treatment (or alternative initial treatment, balance of supply, grandfather)</w:t>
            </w:r>
          </w:p>
        </w:tc>
      </w:tr>
      <w:tr w:rsidR="002E5012" w:rsidRPr="0098262F" w14:paraId="39DADF7A" w14:textId="77777777" w:rsidTr="7FB99A72">
        <w:trPr>
          <w:cantSplit/>
          <w:trHeight w:val="20"/>
        </w:trPr>
        <w:tc>
          <w:tcPr>
            <w:tcW w:w="2696" w:type="dxa"/>
            <w:vAlign w:val="center"/>
          </w:tcPr>
          <w:p w14:paraId="2F59275D" w14:textId="77777777" w:rsidR="002E5012" w:rsidRPr="0098262F" w:rsidRDefault="002E5012" w:rsidP="00E55FD2">
            <w:pPr>
              <w:pStyle w:val="COMTabletext"/>
              <w:keepNext w:val="0"/>
            </w:pPr>
            <w:proofErr w:type="spellStart"/>
            <w:r w:rsidRPr="00FF1D47">
              <w:t>Zilucoplan</w:t>
            </w:r>
            <w:proofErr w:type="spellEnd"/>
            <w:r w:rsidRPr="00FF1D47">
              <w:t xml:space="preserve"> 40 mg/mL 0.416 mL injection, 28 pre-filled syringes</w:t>
            </w:r>
          </w:p>
        </w:tc>
        <w:tc>
          <w:tcPr>
            <w:tcW w:w="1419" w:type="dxa"/>
            <w:vAlign w:val="center"/>
          </w:tcPr>
          <w:p w14:paraId="491BA933" w14:textId="2685221A"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507DC354" w14:textId="77777777" w:rsidR="002415C6" w:rsidRPr="002415C6" w:rsidRDefault="002E5012" w:rsidP="00E55FD2">
            <w:pPr>
              <w:pStyle w:val="COMTabletext"/>
              <w:keepNext w:val="0"/>
              <w:jc w:val="center"/>
            </w:pPr>
            <w:r w:rsidRPr="00730606">
              <w:t>(Public hospital</w:t>
            </w:r>
            <w:r w:rsidRPr="00243990">
              <w:t>)</w:t>
            </w:r>
          </w:p>
          <w:p w14:paraId="2CAFCD81" w14:textId="773A2B92"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07858D41" w14:textId="678321AD" w:rsidR="002E5012" w:rsidRPr="00611ADD" w:rsidRDefault="002E5012" w:rsidP="00E55FD2">
            <w:pPr>
              <w:pStyle w:val="COMTabletext"/>
              <w:keepNext w:val="0"/>
              <w:rPr>
                <w:highlight w:val="yellow"/>
              </w:rPr>
            </w:pPr>
            <w:r w:rsidRPr="00730606">
              <w:t>(Private hospital)</w:t>
            </w:r>
          </w:p>
        </w:tc>
        <w:tc>
          <w:tcPr>
            <w:tcW w:w="1419" w:type="dxa"/>
            <w:vAlign w:val="center"/>
          </w:tcPr>
          <w:p w14:paraId="2988AE5D" w14:textId="4267C8B8" w:rsidR="002E5012" w:rsidRDefault="002E5012" w:rsidP="00E55FD2">
            <w:pPr>
              <w:pStyle w:val="COMTabletext"/>
              <w:keepNext w:val="0"/>
              <w:jc w:val="center"/>
              <w:rPr>
                <w:szCs w:val="20"/>
              </w:rPr>
            </w:pPr>
            <w:r w:rsidRPr="00CE4457">
              <w:rPr>
                <w:szCs w:val="20"/>
              </w:rPr>
              <w:t>$</w:t>
            </w:r>
            <w:r w:rsidR="007510F8" w:rsidRPr="007510F8">
              <w:rPr>
                <w:color w:val="000000"/>
                <w:szCs w:val="20"/>
                <w:shd w:val="solid" w:color="000000" w:fill="000000"/>
                <w14:textFill>
                  <w14:solidFill>
                    <w14:srgbClr w14:val="000000">
                      <w14:alpha w14:val="100000"/>
                    </w14:srgbClr>
                  </w14:solidFill>
                </w14:textFill>
              </w:rPr>
              <w:t>|</w:t>
            </w:r>
          </w:p>
          <w:p w14:paraId="7B95DEA7" w14:textId="77777777" w:rsidR="002E5012" w:rsidRDefault="002E5012" w:rsidP="00E55FD2">
            <w:pPr>
              <w:pStyle w:val="COMTabletext"/>
              <w:keepNext w:val="0"/>
              <w:jc w:val="center"/>
              <w:rPr>
                <w:szCs w:val="20"/>
              </w:rPr>
            </w:pPr>
            <w:r>
              <w:rPr>
                <w:szCs w:val="20"/>
              </w:rPr>
              <w:t>(Public hospital)</w:t>
            </w:r>
          </w:p>
          <w:p w14:paraId="3F8BA7B3" w14:textId="3A009A1D" w:rsidR="002E5012" w:rsidRDefault="002E5012" w:rsidP="00E55FD2">
            <w:pPr>
              <w:pStyle w:val="COMTabletext"/>
              <w:keepNext w:val="0"/>
              <w:jc w:val="center"/>
              <w:rPr>
                <w:szCs w:val="20"/>
              </w:rPr>
            </w:pPr>
            <w:r w:rsidRPr="00CE4457">
              <w:rPr>
                <w:szCs w:val="20"/>
              </w:rPr>
              <w:t>$</w:t>
            </w:r>
            <w:r w:rsidR="007510F8" w:rsidRPr="007510F8">
              <w:rPr>
                <w:color w:val="000000"/>
                <w:szCs w:val="20"/>
                <w:shd w:val="solid" w:color="000000" w:fill="000000"/>
                <w14:textFill>
                  <w14:solidFill>
                    <w14:srgbClr w14:val="000000">
                      <w14:alpha w14:val="100000"/>
                    </w14:srgbClr>
                  </w14:solidFill>
                </w14:textFill>
              </w:rPr>
              <w:t>|</w:t>
            </w:r>
          </w:p>
          <w:p w14:paraId="6BAD61C1" w14:textId="77777777" w:rsidR="002E5012" w:rsidRPr="0098262F" w:rsidRDefault="002E5012" w:rsidP="00E55FD2">
            <w:pPr>
              <w:pStyle w:val="COMTabletext"/>
              <w:keepNext w:val="0"/>
            </w:pPr>
            <w:r>
              <w:rPr>
                <w:szCs w:val="20"/>
              </w:rPr>
              <w:t>(Private hospital)</w:t>
            </w:r>
          </w:p>
        </w:tc>
        <w:tc>
          <w:tcPr>
            <w:tcW w:w="872" w:type="dxa"/>
            <w:vAlign w:val="center"/>
          </w:tcPr>
          <w:p w14:paraId="758C203F" w14:textId="77777777" w:rsidR="002E5012" w:rsidRPr="0098262F" w:rsidRDefault="002E5012" w:rsidP="00E55FD2">
            <w:pPr>
              <w:pStyle w:val="COMTabletext"/>
              <w:keepNext w:val="0"/>
              <w:jc w:val="center"/>
            </w:pPr>
            <w:r w:rsidRPr="00FF1D47">
              <w:t>1</w:t>
            </w:r>
          </w:p>
        </w:tc>
        <w:tc>
          <w:tcPr>
            <w:tcW w:w="872" w:type="dxa"/>
            <w:vAlign w:val="center"/>
          </w:tcPr>
          <w:p w14:paraId="1BBE09E6" w14:textId="77777777" w:rsidR="002E5012" w:rsidRPr="0098262F" w:rsidRDefault="002E5012" w:rsidP="00E55FD2">
            <w:pPr>
              <w:pStyle w:val="COMTabletext"/>
              <w:keepNext w:val="0"/>
              <w:jc w:val="center"/>
            </w:pPr>
            <w:r w:rsidRPr="00FF1D47">
              <w:t>28</w:t>
            </w:r>
          </w:p>
        </w:tc>
        <w:tc>
          <w:tcPr>
            <w:tcW w:w="872" w:type="dxa"/>
            <w:vAlign w:val="center"/>
          </w:tcPr>
          <w:p w14:paraId="648E7D84" w14:textId="77777777" w:rsidR="002E5012" w:rsidRPr="0098262F" w:rsidRDefault="002E5012" w:rsidP="00E55FD2">
            <w:pPr>
              <w:pStyle w:val="COMTabletext"/>
              <w:keepNext w:val="0"/>
              <w:jc w:val="center"/>
            </w:pPr>
            <w:r w:rsidRPr="00FF1D47">
              <w:t>5</w:t>
            </w:r>
          </w:p>
        </w:tc>
        <w:tc>
          <w:tcPr>
            <w:tcW w:w="872" w:type="dxa"/>
            <w:vMerge w:val="restart"/>
            <w:vAlign w:val="center"/>
          </w:tcPr>
          <w:p w14:paraId="49721D4D" w14:textId="77777777" w:rsidR="002E5012" w:rsidRPr="00B162C2" w:rsidRDefault="180142BD" w:rsidP="00E55FD2">
            <w:pPr>
              <w:pStyle w:val="COMTabletext"/>
              <w:keepNext w:val="0"/>
              <w:jc w:val="center"/>
            </w:pPr>
            <w:proofErr w:type="spellStart"/>
            <w:r w:rsidRPr="7FB99A72">
              <w:t>Zilbrysq</w:t>
            </w:r>
            <w:proofErr w:type="spellEnd"/>
          </w:p>
        </w:tc>
      </w:tr>
      <w:tr w:rsidR="002E5012" w:rsidRPr="0098262F" w14:paraId="1D7F85E9" w14:textId="77777777" w:rsidTr="7FB99A72">
        <w:trPr>
          <w:cantSplit/>
          <w:trHeight w:val="20"/>
        </w:trPr>
        <w:tc>
          <w:tcPr>
            <w:tcW w:w="2696" w:type="dxa"/>
            <w:vAlign w:val="center"/>
          </w:tcPr>
          <w:p w14:paraId="1CBC1042" w14:textId="77777777" w:rsidR="002E5012" w:rsidRPr="0098262F" w:rsidRDefault="002E5012" w:rsidP="00E55FD2">
            <w:pPr>
              <w:pStyle w:val="COMTabletext"/>
              <w:keepNext w:val="0"/>
            </w:pPr>
            <w:proofErr w:type="spellStart"/>
            <w:r w:rsidRPr="00FF1D47">
              <w:lastRenderedPageBreak/>
              <w:t>Zilucoplan</w:t>
            </w:r>
            <w:proofErr w:type="spellEnd"/>
            <w:r w:rsidRPr="00FF1D47">
              <w:t xml:space="preserve"> 40 mg/mL 0.574 mL injection, 28 pre-filled syringes</w:t>
            </w:r>
          </w:p>
        </w:tc>
        <w:tc>
          <w:tcPr>
            <w:tcW w:w="1419" w:type="dxa"/>
            <w:vAlign w:val="center"/>
          </w:tcPr>
          <w:p w14:paraId="05DD16BA" w14:textId="37C4622C"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256AEDA1" w14:textId="77777777" w:rsidR="002415C6" w:rsidRPr="002415C6" w:rsidRDefault="002E5012" w:rsidP="00E55FD2">
            <w:pPr>
              <w:pStyle w:val="COMTabletext"/>
              <w:keepNext w:val="0"/>
              <w:jc w:val="center"/>
            </w:pPr>
            <w:r w:rsidRPr="00730606">
              <w:t>(Public hospital</w:t>
            </w:r>
            <w:r w:rsidRPr="00243990">
              <w:t>)</w:t>
            </w:r>
          </w:p>
          <w:p w14:paraId="578194FA" w14:textId="6BD1C453" w:rsidR="002E5012" w:rsidRPr="00611ADD" w:rsidRDefault="002E5012" w:rsidP="00E55FD2">
            <w:pPr>
              <w:pStyle w:val="COMTabletext"/>
              <w:keepNext w:val="0"/>
              <w:jc w:val="center"/>
              <w:rPr>
                <w:highlight w:val="yellow"/>
              </w:rPr>
            </w:pPr>
            <w:r w:rsidRPr="00243990">
              <w:t>$</w:t>
            </w:r>
            <w:r w:rsidR="007510F8" w:rsidRPr="00A372B9">
              <w:rPr>
                <w:color w:val="000000"/>
                <w:spacing w:val="49"/>
                <w:shd w:val="solid" w:color="000000" w:fill="000000"/>
                <w:fitText w:val="226" w:id="-691334902"/>
                <w14:textFill>
                  <w14:solidFill>
                    <w14:srgbClr w14:val="000000">
                      <w14:alpha w14:val="100000"/>
                    </w14:srgbClr>
                  </w14:solidFill>
                </w14:textFill>
              </w:rPr>
              <w:t>||</w:t>
            </w:r>
            <w:r w:rsidR="007510F8" w:rsidRPr="00A372B9">
              <w:rPr>
                <w:color w:val="000000"/>
                <w:spacing w:val="1"/>
                <w:shd w:val="solid" w:color="000000" w:fill="000000"/>
                <w:fitText w:val="226" w:id="-691334902"/>
                <w14:textFill>
                  <w14:solidFill>
                    <w14:srgbClr w14:val="000000">
                      <w14:alpha w14:val="100000"/>
                    </w14:srgbClr>
                  </w14:solidFill>
                </w14:textFill>
              </w:rPr>
              <w:t>|</w:t>
            </w:r>
            <w:r w:rsidR="002415C6" w:rsidRPr="002415C6">
              <w:t xml:space="preserve"> </w:t>
            </w:r>
            <w:r w:rsidRPr="00243990">
              <w:t>(</w:t>
            </w:r>
            <w:r w:rsidRPr="00730606">
              <w:t>Private hospital</w:t>
            </w:r>
            <w:r w:rsidRPr="00243990">
              <w:t>)</w:t>
            </w:r>
          </w:p>
        </w:tc>
        <w:tc>
          <w:tcPr>
            <w:tcW w:w="1419" w:type="dxa"/>
            <w:vAlign w:val="center"/>
          </w:tcPr>
          <w:p w14:paraId="213D2BF7" w14:textId="62ECB45A" w:rsidR="002E5012" w:rsidRDefault="002E5012" w:rsidP="00E55FD2">
            <w:pPr>
              <w:pStyle w:val="COMTabletext"/>
              <w:keepNext w:val="0"/>
              <w:jc w:val="center"/>
            </w:pPr>
            <w:r w:rsidRPr="00CE4457">
              <w:t>$</w:t>
            </w:r>
            <w:r w:rsidR="007510F8" w:rsidRPr="007510F8">
              <w:rPr>
                <w:color w:val="000000"/>
                <w:shd w:val="solid" w:color="000000" w:fill="000000"/>
                <w14:textFill>
                  <w14:solidFill>
                    <w14:srgbClr w14:val="000000">
                      <w14:alpha w14:val="100000"/>
                    </w14:srgbClr>
                  </w14:solidFill>
                </w14:textFill>
              </w:rPr>
              <w:t>|</w:t>
            </w:r>
          </w:p>
          <w:p w14:paraId="42CC60D9" w14:textId="77777777" w:rsidR="002E5012" w:rsidRDefault="002E5012" w:rsidP="00E55FD2">
            <w:pPr>
              <w:pStyle w:val="COMTabletext"/>
              <w:keepNext w:val="0"/>
              <w:jc w:val="center"/>
            </w:pPr>
            <w:r>
              <w:rPr>
                <w:szCs w:val="20"/>
              </w:rPr>
              <w:t>(Public hospital)</w:t>
            </w:r>
          </w:p>
          <w:p w14:paraId="35AC2E90" w14:textId="6FBA78E2" w:rsidR="002E5012" w:rsidRDefault="002E5012" w:rsidP="00E55FD2">
            <w:pPr>
              <w:pStyle w:val="COMTabletext"/>
              <w:keepNext w:val="0"/>
              <w:jc w:val="center"/>
            </w:pPr>
            <w:r w:rsidRPr="00CE4457">
              <w:t>$</w:t>
            </w:r>
            <w:r w:rsidR="007510F8" w:rsidRPr="007510F8">
              <w:rPr>
                <w:color w:val="000000"/>
                <w:shd w:val="solid" w:color="000000" w:fill="000000"/>
                <w14:textFill>
                  <w14:solidFill>
                    <w14:srgbClr w14:val="000000">
                      <w14:alpha w14:val="100000"/>
                    </w14:srgbClr>
                  </w14:solidFill>
                </w14:textFill>
              </w:rPr>
              <w:t>|</w:t>
            </w:r>
          </w:p>
          <w:p w14:paraId="298319F7" w14:textId="77777777" w:rsidR="002E5012" w:rsidRPr="0098262F" w:rsidRDefault="002E5012" w:rsidP="00E55FD2">
            <w:pPr>
              <w:pStyle w:val="COMTabletext"/>
              <w:keepNext w:val="0"/>
              <w:jc w:val="center"/>
            </w:pPr>
            <w:r>
              <w:t>(Private hospital)</w:t>
            </w:r>
          </w:p>
        </w:tc>
        <w:tc>
          <w:tcPr>
            <w:tcW w:w="872" w:type="dxa"/>
            <w:vAlign w:val="center"/>
          </w:tcPr>
          <w:p w14:paraId="2587CF6E" w14:textId="77777777" w:rsidR="002E5012" w:rsidRPr="0098262F" w:rsidRDefault="002E5012" w:rsidP="00E55FD2">
            <w:pPr>
              <w:pStyle w:val="COMTabletext"/>
              <w:keepNext w:val="0"/>
              <w:jc w:val="center"/>
            </w:pPr>
            <w:r w:rsidRPr="00FF1D47">
              <w:t>1</w:t>
            </w:r>
          </w:p>
        </w:tc>
        <w:tc>
          <w:tcPr>
            <w:tcW w:w="872" w:type="dxa"/>
            <w:vAlign w:val="center"/>
          </w:tcPr>
          <w:p w14:paraId="662D795D" w14:textId="77777777" w:rsidR="002E5012" w:rsidRPr="0098262F" w:rsidRDefault="002E5012" w:rsidP="00E55FD2">
            <w:pPr>
              <w:pStyle w:val="COMTabletext"/>
              <w:keepNext w:val="0"/>
              <w:jc w:val="center"/>
            </w:pPr>
            <w:r w:rsidRPr="00FF1D47">
              <w:t>28</w:t>
            </w:r>
          </w:p>
        </w:tc>
        <w:tc>
          <w:tcPr>
            <w:tcW w:w="872" w:type="dxa"/>
            <w:vAlign w:val="center"/>
          </w:tcPr>
          <w:p w14:paraId="7995CCC8" w14:textId="77777777" w:rsidR="002E5012" w:rsidRPr="0098262F" w:rsidRDefault="002E5012" w:rsidP="00E55FD2">
            <w:pPr>
              <w:pStyle w:val="COMTabletext"/>
              <w:keepNext w:val="0"/>
              <w:jc w:val="center"/>
            </w:pPr>
            <w:r w:rsidRPr="00FF1D47">
              <w:t>5</w:t>
            </w:r>
          </w:p>
        </w:tc>
        <w:tc>
          <w:tcPr>
            <w:tcW w:w="872" w:type="dxa"/>
            <w:vMerge/>
            <w:vAlign w:val="center"/>
          </w:tcPr>
          <w:p w14:paraId="02DE195C" w14:textId="77777777" w:rsidR="002E5012" w:rsidRPr="00B162C2" w:rsidRDefault="002E5012" w:rsidP="00E55FD2">
            <w:pPr>
              <w:pStyle w:val="COMTabletext"/>
              <w:keepNext w:val="0"/>
              <w:rPr>
                <w:szCs w:val="20"/>
              </w:rPr>
            </w:pPr>
          </w:p>
        </w:tc>
      </w:tr>
      <w:tr w:rsidR="002E5012" w:rsidRPr="0098262F" w14:paraId="55D0B71C" w14:textId="77777777" w:rsidTr="7FB99A72">
        <w:trPr>
          <w:cantSplit/>
          <w:trHeight w:val="20"/>
        </w:trPr>
        <w:tc>
          <w:tcPr>
            <w:tcW w:w="2696" w:type="dxa"/>
            <w:vAlign w:val="center"/>
          </w:tcPr>
          <w:p w14:paraId="40410AEC" w14:textId="77777777" w:rsidR="002E5012" w:rsidRPr="0098262F" w:rsidRDefault="002E5012" w:rsidP="00E55FD2">
            <w:pPr>
              <w:pStyle w:val="COMTabletext"/>
              <w:keepNext w:val="0"/>
            </w:pPr>
            <w:proofErr w:type="spellStart"/>
            <w:r w:rsidRPr="00FF1D47">
              <w:t>Zilucoplan</w:t>
            </w:r>
            <w:proofErr w:type="spellEnd"/>
            <w:r w:rsidRPr="00FF1D47">
              <w:t xml:space="preserve"> 40 mg/mL 0.810 mL injection, 28 pre-filled syringes</w:t>
            </w:r>
          </w:p>
        </w:tc>
        <w:tc>
          <w:tcPr>
            <w:tcW w:w="1419" w:type="dxa"/>
            <w:vAlign w:val="center"/>
          </w:tcPr>
          <w:p w14:paraId="0EF1B279" w14:textId="39C552DC"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0FF91CF3" w14:textId="39EE885A" w:rsidR="002E5012" w:rsidRPr="00730606" w:rsidRDefault="002E5012" w:rsidP="00E55FD2">
            <w:pPr>
              <w:pStyle w:val="COMTabletext"/>
              <w:keepNext w:val="0"/>
              <w:jc w:val="center"/>
            </w:pPr>
            <w:r w:rsidRPr="00730606">
              <w:t>(Public hospital)</w:t>
            </w:r>
          </w:p>
          <w:p w14:paraId="62D856DD" w14:textId="7C9AF798" w:rsidR="002E5012" w:rsidRPr="00611ADD" w:rsidRDefault="002E5012" w:rsidP="00E55FD2">
            <w:pPr>
              <w:pStyle w:val="COMTabletext"/>
              <w:keepNext w:val="0"/>
              <w:jc w:val="center"/>
              <w:rPr>
                <w:highlight w:val="yellow"/>
              </w:rPr>
            </w:pPr>
            <w:r w:rsidRPr="00243990">
              <w:t>$</w:t>
            </w:r>
            <w:r w:rsidR="007510F8" w:rsidRPr="00A372B9">
              <w:rPr>
                <w:color w:val="000000"/>
                <w:spacing w:val="49"/>
                <w:shd w:val="solid" w:color="000000" w:fill="000000"/>
                <w:fitText w:val="226" w:id="-691334901"/>
                <w14:textFill>
                  <w14:solidFill>
                    <w14:srgbClr w14:val="000000">
                      <w14:alpha w14:val="100000"/>
                    </w14:srgbClr>
                  </w14:solidFill>
                </w14:textFill>
              </w:rPr>
              <w:t>||</w:t>
            </w:r>
            <w:r w:rsidR="007510F8" w:rsidRPr="00A372B9">
              <w:rPr>
                <w:color w:val="000000"/>
                <w:spacing w:val="1"/>
                <w:shd w:val="solid" w:color="000000" w:fill="000000"/>
                <w:fitText w:val="226" w:id="-691334901"/>
                <w14:textFill>
                  <w14:solidFill>
                    <w14:srgbClr w14:val="000000">
                      <w14:alpha w14:val="100000"/>
                    </w14:srgbClr>
                  </w14:solidFill>
                </w14:textFill>
              </w:rPr>
              <w:t>|</w:t>
            </w:r>
            <w:r w:rsidR="002415C6" w:rsidRPr="002415C6">
              <w:t xml:space="preserve"> </w:t>
            </w:r>
            <w:r w:rsidRPr="00730606">
              <w:t>(Private hospital)</w:t>
            </w:r>
          </w:p>
        </w:tc>
        <w:tc>
          <w:tcPr>
            <w:tcW w:w="1419" w:type="dxa"/>
            <w:vAlign w:val="center"/>
          </w:tcPr>
          <w:p w14:paraId="20894C28" w14:textId="4BCF91B3" w:rsidR="002E5012" w:rsidRDefault="002E5012" w:rsidP="00E55FD2">
            <w:pPr>
              <w:pStyle w:val="COMTabletext"/>
              <w:keepNext w:val="0"/>
              <w:jc w:val="center"/>
            </w:pPr>
            <w:r w:rsidRPr="00055F72">
              <w:t>$</w:t>
            </w:r>
            <w:r w:rsidR="007510F8" w:rsidRPr="007510F8">
              <w:rPr>
                <w:color w:val="000000"/>
                <w:shd w:val="solid" w:color="000000" w:fill="000000"/>
                <w14:textFill>
                  <w14:solidFill>
                    <w14:srgbClr w14:val="000000">
                      <w14:alpha w14:val="100000"/>
                    </w14:srgbClr>
                  </w14:solidFill>
                </w14:textFill>
              </w:rPr>
              <w:t>|</w:t>
            </w:r>
          </w:p>
          <w:p w14:paraId="4E3B5546" w14:textId="77777777" w:rsidR="002E5012" w:rsidRDefault="002E5012" w:rsidP="00E55FD2">
            <w:pPr>
              <w:pStyle w:val="COMTabletext"/>
              <w:keepNext w:val="0"/>
              <w:jc w:val="center"/>
            </w:pPr>
            <w:r>
              <w:rPr>
                <w:szCs w:val="20"/>
              </w:rPr>
              <w:t>(Public hospital)</w:t>
            </w:r>
          </w:p>
          <w:p w14:paraId="554347DA" w14:textId="360231BE" w:rsidR="002E5012" w:rsidRDefault="002E5012" w:rsidP="00E55FD2">
            <w:pPr>
              <w:pStyle w:val="COMTabletext"/>
              <w:keepNext w:val="0"/>
              <w:jc w:val="center"/>
            </w:pPr>
            <w:r w:rsidRPr="00055F72">
              <w:t>$</w:t>
            </w:r>
            <w:r w:rsidR="007510F8" w:rsidRPr="007510F8">
              <w:rPr>
                <w:color w:val="000000"/>
                <w:shd w:val="solid" w:color="000000" w:fill="000000"/>
                <w14:textFill>
                  <w14:solidFill>
                    <w14:srgbClr w14:val="000000">
                      <w14:alpha w14:val="100000"/>
                    </w14:srgbClr>
                  </w14:solidFill>
                </w14:textFill>
              </w:rPr>
              <w:t>|</w:t>
            </w:r>
          </w:p>
          <w:p w14:paraId="112865D7" w14:textId="77777777" w:rsidR="002E5012" w:rsidRPr="0098262F" w:rsidRDefault="002E5012" w:rsidP="00E55FD2">
            <w:pPr>
              <w:pStyle w:val="COMTabletext"/>
              <w:keepNext w:val="0"/>
              <w:jc w:val="center"/>
            </w:pPr>
            <w:r>
              <w:t>(Private hospital)</w:t>
            </w:r>
          </w:p>
        </w:tc>
        <w:tc>
          <w:tcPr>
            <w:tcW w:w="872" w:type="dxa"/>
            <w:vAlign w:val="center"/>
          </w:tcPr>
          <w:p w14:paraId="55D7B54E" w14:textId="77777777" w:rsidR="002E5012" w:rsidRPr="0098262F" w:rsidRDefault="002E5012" w:rsidP="00E55FD2">
            <w:pPr>
              <w:pStyle w:val="COMTabletext"/>
              <w:keepNext w:val="0"/>
              <w:jc w:val="center"/>
            </w:pPr>
            <w:r w:rsidRPr="00FF1D47">
              <w:t>1</w:t>
            </w:r>
          </w:p>
        </w:tc>
        <w:tc>
          <w:tcPr>
            <w:tcW w:w="872" w:type="dxa"/>
            <w:vAlign w:val="center"/>
          </w:tcPr>
          <w:p w14:paraId="4F53671F" w14:textId="77777777" w:rsidR="002E5012" w:rsidRPr="0098262F" w:rsidRDefault="002E5012" w:rsidP="00E55FD2">
            <w:pPr>
              <w:pStyle w:val="COMTabletext"/>
              <w:keepNext w:val="0"/>
              <w:jc w:val="center"/>
            </w:pPr>
            <w:r w:rsidRPr="00FF1D47">
              <w:t>28</w:t>
            </w:r>
          </w:p>
        </w:tc>
        <w:tc>
          <w:tcPr>
            <w:tcW w:w="872" w:type="dxa"/>
            <w:vAlign w:val="center"/>
          </w:tcPr>
          <w:p w14:paraId="4DA7FEC8" w14:textId="77777777" w:rsidR="002E5012" w:rsidRPr="0098262F" w:rsidRDefault="002E5012" w:rsidP="00E55FD2">
            <w:pPr>
              <w:pStyle w:val="COMTabletext"/>
              <w:keepNext w:val="0"/>
              <w:jc w:val="center"/>
            </w:pPr>
            <w:r w:rsidRPr="00FF1D47">
              <w:t>5</w:t>
            </w:r>
          </w:p>
        </w:tc>
        <w:tc>
          <w:tcPr>
            <w:tcW w:w="872" w:type="dxa"/>
            <w:vMerge/>
            <w:vAlign w:val="center"/>
          </w:tcPr>
          <w:p w14:paraId="40E6156C" w14:textId="77777777" w:rsidR="002E5012" w:rsidRPr="00B162C2" w:rsidRDefault="002E5012" w:rsidP="00E55FD2">
            <w:pPr>
              <w:pStyle w:val="COMTabletext"/>
              <w:keepNext w:val="0"/>
              <w:rPr>
                <w:szCs w:val="20"/>
              </w:rPr>
            </w:pPr>
          </w:p>
        </w:tc>
      </w:tr>
      <w:tr w:rsidR="002E5012" w:rsidRPr="0098262F" w14:paraId="5A981087" w14:textId="77777777" w:rsidTr="7FB99A72">
        <w:trPr>
          <w:cantSplit/>
          <w:trHeight w:val="20"/>
        </w:trPr>
        <w:tc>
          <w:tcPr>
            <w:tcW w:w="2696" w:type="dxa"/>
            <w:vAlign w:val="center"/>
          </w:tcPr>
          <w:p w14:paraId="430D9612" w14:textId="77777777" w:rsidR="002E5012" w:rsidRPr="0098262F" w:rsidRDefault="002E5012" w:rsidP="00E55FD2">
            <w:pPr>
              <w:pStyle w:val="COMTabletext"/>
              <w:keepNext w:val="0"/>
            </w:pPr>
            <w:proofErr w:type="spellStart"/>
            <w:r w:rsidRPr="00FF1D47">
              <w:t>Zilucoplan</w:t>
            </w:r>
            <w:proofErr w:type="spellEnd"/>
            <w:r w:rsidRPr="00FF1D47">
              <w:t xml:space="preserve"> 40 mg/mL 0.416 mL injection, 7 pre-filled syringes</w:t>
            </w:r>
          </w:p>
        </w:tc>
        <w:tc>
          <w:tcPr>
            <w:tcW w:w="1419" w:type="dxa"/>
            <w:vAlign w:val="center"/>
          </w:tcPr>
          <w:p w14:paraId="59D28923" w14:textId="12461884"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57A6E940" w14:textId="61AD8BA1" w:rsidR="002E5012" w:rsidRPr="00730606" w:rsidRDefault="002E5012" w:rsidP="00E55FD2">
            <w:pPr>
              <w:pStyle w:val="COMTabletext"/>
              <w:keepNext w:val="0"/>
              <w:jc w:val="center"/>
            </w:pPr>
            <w:r w:rsidRPr="00730606">
              <w:t>(Public hospital)</w:t>
            </w:r>
          </w:p>
          <w:p w14:paraId="4F0BAB22" w14:textId="45046544"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2DE0960F" w14:textId="2E355507" w:rsidR="002E5012" w:rsidRPr="00611ADD" w:rsidRDefault="002E5012" w:rsidP="00E55FD2">
            <w:pPr>
              <w:pStyle w:val="COMTabletext"/>
              <w:keepNext w:val="0"/>
              <w:jc w:val="center"/>
              <w:rPr>
                <w:highlight w:val="yellow"/>
              </w:rPr>
            </w:pPr>
            <w:r w:rsidRPr="00730606">
              <w:t>(Private hospital)</w:t>
            </w:r>
          </w:p>
        </w:tc>
        <w:tc>
          <w:tcPr>
            <w:tcW w:w="1419" w:type="dxa"/>
            <w:vAlign w:val="center"/>
          </w:tcPr>
          <w:p w14:paraId="1BE982C3" w14:textId="1DC6AE63" w:rsidR="002E5012" w:rsidRDefault="002E5012" w:rsidP="00E55FD2">
            <w:pPr>
              <w:pStyle w:val="COMTabletext"/>
              <w:keepNext w:val="0"/>
              <w:jc w:val="center"/>
              <w:rPr>
                <w:szCs w:val="20"/>
              </w:rPr>
            </w:pPr>
            <w:r w:rsidRPr="00CE4457">
              <w:rPr>
                <w:szCs w:val="20"/>
              </w:rPr>
              <w:t>$</w:t>
            </w:r>
            <w:r w:rsidR="007510F8" w:rsidRPr="007510F8">
              <w:rPr>
                <w:color w:val="000000"/>
                <w:szCs w:val="20"/>
                <w:shd w:val="solid" w:color="000000" w:fill="000000"/>
                <w14:textFill>
                  <w14:solidFill>
                    <w14:srgbClr w14:val="000000">
                      <w14:alpha w14:val="100000"/>
                    </w14:srgbClr>
                  </w14:solidFill>
                </w14:textFill>
              </w:rPr>
              <w:t>|</w:t>
            </w:r>
          </w:p>
          <w:p w14:paraId="684A26FD" w14:textId="77777777" w:rsidR="002E5012" w:rsidRDefault="002E5012" w:rsidP="00E55FD2">
            <w:pPr>
              <w:pStyle w:val="COMTabletext"/>
              <w:keepNext w:val="0"/>
              <w:jc w:val="center"/>
              <w:rPr>
                <w:szCs w:val="20"/>
              </w:rPr>
            </w:pPr>
            <w:r>
              <w:rPr>
                <w:szCs w:val="20"/>
              </w:rPr>
              <w:t>(Public hospital)</w:t>
            </w:r>
          </w:p>
          <w:p w14:paraId="7FC6A1EE" w14:textId="2C8615ED" w:rsidR="002E5012" w:rsidRDefault="002E5012" w:rsidP="00E55FD2">
            <w:pPr>
              <w:pStyle w:val="COMTabletext"/>
              <w:keepNext w:val="0"/>
              <w:jc w:val="center"/>
              <w:rPr>
                <w:szCs w:val="20"/>
              </w:rPr>
            </w:pPr>
            <w:r w:rsidRPr="00CE4457">
              <w:rPr>
                <w:szCs w:val="20"/>
              </w:rPr>
              <w:t>$</w:t>
            </w:r>
            <w:r w:rsidR="007510F8" w:rsidRPr="007510F8">
              <w:rPr>
                <w:color w:val="000000"/>
                <w:szCs w:val="20"/>
                <w:shd w:val="solid" w:color="000000" w:fill="000000"/>
                <w14:textFill>
                  <w14:solidFill>
                    <w14:srgbClr w14:val="000000">
                      <w14:alpha w14:val="100000"/>
                    </w14:srgbClr>
                  </w14:solidFill>
                </w14:textFill>
              </w:rPr>
              <w:t>|</w:t>
            </w:r>
          </w:p>
          <w:p w14:paraId="023F287E" w14:textId="77777777" w:rsidR="002E5012" w:rsidRPr="0098262F" w:rsidRDefault="002E5012" w:rsidP="00E55FD2">
            <w:pPr>
              <w:pStyle w:val="COMTabletext"/>
              <w:keepNext w:val="0"/>
              <w:jc w:val="center"/>
            </w:pPr>
            <w:r>
              <w:rPr>
                <w:szCs w:val="20"/>
              </w:rPr>
              <w:t>(Private hospital)</w:t>
            </w:r>
          </w:p>
        </w:tc>
        <w:tc>
          <w:tcPr>
            <w:tcW w:w="872" w:type="dxa"/>
            <w:vAlign w:val="center"/>
          </w:tcPr>
          <w:p w14:paraId="4C011528" w14:textId="77777777" w:rsidR="002E5012" w:rsidRPr="0098262F" w:rsidRDefault="002E5012" w:rsidP="00E55FD2">
            <w:pPr>
              <w:pStyle w:val="COMTabletext"/>
              <w:keepNext w:val="0"/>
              <w:jc w:val="center"/>
            </w:pPr>
            <w:r w:rsidRPr="00FF1D47">
              <w:t>4</w:t>
            </w:r>
          </w:p>
        </w:tc>
        <w:tc>
          <w:tcPr>
            <w:tcW w:w="872" w:type="dxa"/>
            <w:vAlign w:val="center"/>
          </w:tcPr>
          <w:p w14:paraId="60957FE4" w14:textId="77777777" w:rsidR="002E5012" w:rsidRPr="0098262F" w:rsidRDefault="002E5012" w:rsidP="00E55FD2">
            <w:pPr>
              <w:pStyle w:val="COMTabletext"/>
              <w:keepNext w:val="0"/>
              <w:jc w:val="center"/>
            </w:pPr>
            <w:r w:rsidRPr="00FF1D47">
              <w:t>28</w:t>
            </w:r>
          </w:p>
        </w:tc>
        <w:tc>
          <w:tcPr>
            <w:tcW w:w="872" w:type="dxa"/>
            <w:vAlign w:val="center"/>
          </w:tcPr>
          <w:p w14:paraId="62582EEF" w14:textId="77777777" w:rsidR="002E5012" w:rsidRPr="0098262F" w:rsidRDefault="002E5012" w:rsidP="00E55FD2">
            <w:pPr>
              <w:pStyle w:val="COMTabletext"/>
              <w:keepNext w:val="0"/>
              <w:jc w:val="center"/>
            </w:pPr>
            <w:r w:rsidRPr="00FF1D47">
              <w:t>5</w:t>
            </w:r>
          </w:p>
        </w:tc>
        <w:tc>
          <w:tcPr>
            <w:tcW w:w="872" w:type="dxa"/>
            <w:vMerge/>
            <w:vAlign w:val="center"/>
          </w:tcPr>
          <w:p w14:paraId="6C0D703F" w14:textId="77777777" w:rsidR="002E5012" w:rsidRPr="00B162C2" w:rsidRDefault="002E5012" w:rsidP="00E55FD2">
            <w:pPr>
              <w:pStyle w:val="COMTabletext"/>
              <w:keepNext w:val="0"/>
              <w:rPr>
                <w:szCs w:val="20"/>
              </w:rPr>
            </w:pPr>
          </w:p>
        </w:tc>
      </w:tr>
      <w:tr w:rsidR="002E5012" w:rsidRPr="0098262F" w14:paraId="69927BC7" w14:textId="77777777" w:rsidTr="7FB99A72">
        <w:trPr>
          <w:cantSplit/>
          <w:trHeight w:val="20"/>
        </w:trPr>
        <w:tc>
          <w:tcPr>
            <w:tcW w:w="2696" w:type="dxa"/>
            <w:vAlign w:val="center"/>
          </w:tcPr>
          <w:p w14:paraId="16BEFDC3" w14:textId="77777777" w:rsidR="002E5012" w:rsidRPr="0098262F" w:rsidRDefault="002E5012" w:rsidP="00E55FD2">
            <w:pPr>
              <w:pStyle w:val="COMTabletext"/>
              <w:keepNext w:val="0"/>
            </w:pPr>
            <w:proofErr w:type="spellStart"/>
            <w:r w:rsidRPr="00FF1D47">
              <w:t>Zilucoplan</w:t>
            </w:r>
            <w:proofErr w:type="spellEnd"/>
            <w:r w:rsidRPr="00FF1D47">
              <w:t xml:space="preserve"> 40 mg/mL 0.574 mL injection, 7 pre-filled syringes</w:t>
            </w:r>
          </w:p>
        </w:tc>
        <w:tc>
          <w:tcPr>
            <w:tcW w:w="1419" w:type="dxa"/>
            <w:vAlign w:val="center"/>
          </w:tcPr>
          <w:p w14:paraId="708D5997" w14:textId="35389948"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513AB909" w14:textId="77777777" w:rsidR="002415C6" w:rsidRPr="002415C6" w:rsidRDefault="002E5012" w:rsidP="00E55FD2">
            <w:pPr>
              <w:pStyle w:val="COMTabletext"/>
              <w:keepNext w:val="0"/>
              <w:jc w:val="center"/>
            </w:pPr>
            <w:r w:rsidRPr="00730606">
              <w:t>(Public hospita</w:t>
            </w:r>
            <w:r w:rsidRPr="00243990">
              <w:t>l)</w:t>
            </w:r>
          </w:p>
          <w:p w14:paraId="6FF64754" w14:textId="415EA084" w:rsidR="002E5012" w:rsidRPr="00611ADD" w:rsidRDefault="002E5012" w:rsidP="00E55FD2">
            <w:pPr>
              <w:pStyle w:val="COMTabletext"/>
              <w:keepNext w:val="0"/>
              <w:jc w:val="center"/>
              <w:rPr>
                <w:highlight w:val="yellow"/>
              </w:rPr>
            </w:pPr>
            <w:r w:rsidRPr="00243990">
              <w:t>$</w:t>
            </w:r>
            <w:r w:rsidR="007510F8" w:rsidRPr="007510F8">
              <w:rPr>
                <w:color w:val="000000"/>
                <w:spacing w:val="49"/>
                <w:shd w:val="solid" w:color="000000" w:fill="000000"/>
                <w:fitText w:val="226" w:id="-691334656"/>
                <w14:textFill>
                  <w14:solidFill>
                    <w14:srgbClr w14:val="000000">
                      <w14:alpha w14:val="100000"/>
                    </w14:srgbClr>
                  </w14:solidFill>
                </w14:textFill>
              </w:rPr>
              <w:t>||</w:t>
            </w:r>
            <w:r w:rsidR="007510F8" w:rsidRPr="007510F8">
              <w:rPr>
                <w:color w:val="000000"/>
                <w:spacing w:val="1"/>
                <w:shd w:val="solid" w:color="000000" w:fill="000000"/>
                <w:fitText w:val="226" w:id="-691334656"/>
                <w14:textFill>
                  <w14:solidFill>
                    <w14:srgbClr w14:val="000000">
                      <w14:alpha w14:val="100000"/>
                    </w14:srgbClr>
                  </w14:solidFill>
                </w14:textFill>
              </w:rPr>
              <w:t>|</w:t>
            </w:r>
            <w:r w:rsidR="002415C6" w:rsidRPr="002415C6">
              <w:t xml:space="preserve"> </w:t>
            </w:r>
            <w:r w:rsidRPr="00243990">
              <w:t>(</w:t>
            </w:r>
            <w:r w:rsidRPr="00730606">
              <w:t>Private hospital)</w:t>
            </w:r>
          </w:p>
        </w:tc>
        <w:tc>
          <w:tcPr>
            <w:tcW w:w="1419" w:type="dxa"/>
            <w:vAlign w:val="center"/>
          </w:tcPr>
          <w:p w14:paraId="561B67B6" w14:textId="478909AC" w:rsidR="002E5012" w:rsidRDefault="002E5012" w:rsidP="00E55FD2">
            <w:pPr>
              <w:pStyle w:val="COMTabletext"/>
              <w:keepNext w:val="0"/>
              <w:jc w:val="center"/>
            </w:pPr>
            <w:r w:rsidRPr="00CE4457">
              <w:t>$</w:t>
            </w:r>
            <w:r w:rsidR="007510F8" w:rsidRPr="007510F8">
              <w:rPr>
                <w:color w:val="000000"/>
                <w:shd w:val="solid" w:color="000000" w:fill="000000"/>
                <w14:textFill>
                  <w14:solidFill>
                    <w14:srgbClr w14:val="000000">
                      <w14:alpha w14:val="100000"/>
                    </w14:srgbClr>
                  </w14:solidFill>
                </w14:textFill>
              </w:rPr>
              <w:t>|</w:t>
            </w:r>
          </w:p>
          <w:p w14:paraId="7466973E" w14:textId="77777777" w:rsidR="002E5012" w:rsidRDefault="002E5012" w:rsidP="00E55FD2">
            <w:pPr>
              <w:pStyle w:val="COMTabletext"/>
              <w:keepNext w:val="0"/>
              <w:jc w:val="center"/>
            </w:pPr>
            <w:r>
              <w:rPr>
                <w:szCs w:val="20"/>
              </w:rPr>
              <w:t>(Public hospital)</w:t>
            </w:r>
          </w:p>
          <w:p w14:paraId="1EC51578" w14:textId="16E8EE59" w:rsidR="002E5012" w:rsidRDefault="002E5012" w:rsidP="00E55FD2">
            <w:pPr>
              <w:pStyle w:val="COMTabletext"/>
              <w:keepNext w:val="0"/>
              <w:jc w:val="center"/>
            </w:pPr>
            <w:r w:rsidRPr="00CE4457">
              <w:t>$</w:t>
            </w:r>
            <w:r w:rsidR="007510F8" w:rsidRPr="007510F8">
              <w:rPr>
                <w:color w:val="000000"/>
                <w:shd w:val="solid" w:color="000000" w:fill="000000"/>
                <w14:textFill>
                  <w14:solidFill>
                    <w14:srgbClr w14:val="000000">
                      <w14:alpha w14:val="100000"/>
                    </w14:srgbClr>
                  </w14:solidFill>
                </w14:textFill>
              </w:rPr>
              <w:t>|</w:t>
            </w:r>
          </w:p>
          <w:p w14:paraId="09D55E76" w14:textId="77777777" w:rsidR="002E5012" w:rsidRPr="0098262F" w:rsidRDefault="002E5012" w:rsidP="00E55FD2">
            <w:pPr>
              <w:pStyle w:val="COMTabletext"/>
              <w:keepNext w:val="0"/>
              <w:jc w:val="center"/>
            </w:pPr>
            <w:r>
              <w:t>(Private hospital)</w:t>
            </w:r>
          </w:p>
        </w:tc>
        <w:tc>
          <w:tcPr>
            <w:tcW w:w="872" w:type="dxa"/>
            <w:vAlign w:val="center"/>
          </w:tcPr>
          <w:p w14:paraId="59957B61" w14:textId="77777777" w:rsidR="002E5012" w:rsidRPr="0098262F" w:rsidRDefault="002E5012" w:rsidP="00E55FD2">
            <w:pPr>
              <w:pStyle w:val="COMTabletext"/>
              <w:keepNext w:val="0"/>
              <w:jc w:val="center"/>
            </w:pPr>
            <w:r w:rsidRPr="00FF1D47">
              <w:t>4</w:t>
            </w:r>
          </w:p>
        </w:tc>
        <w:tc>
          <w:tcPr>
            <w:tcW w:w="872" w:type="dxa"/>
            <w:vAlign w:val="center"/>
          </w:tcPr>
          <w:p w14:paraId="56AB2003" w14:textId="77777777" w:rsidR="002E5012" w:rsidRPr="0098262F" w:rsidRDefault="002E5012" w:rsidP="00E55FD2">
            <w:pPr>
              <w:pStyle w:val="COMTabletext"/>
              <w:keepNext w:val="0"/>
              <w:jc w:val="center"/>
            </w:pPr>
            <w:r w:rsidRPr="00FF1D47">
              <w:t>28</w:t>
            </w:r>
          </w:p>
        </w:tc>
        <w:tc>
          <w:tcPr>
            <w:tcW w:w="872" w:type="dxa"/>
            <w:vAlign w:val="center"/>
          </w:tcPr>
          <w:p w14:paraId="7DF802E1" w14:textId="77777777" w:rsidR="002E5012" w:rsidRPr="0098262F" w:rsidRDefault="002E5012" w:rsidP="00E55FD2">
            <w:pPr>
              <w:pStyle w:val="COMTabletext"/>
              <w:keepNext w:val="0"/>
              <w:jc w:val="center"/>
            </w:pPr>
            <w:r w:rsidRPr="00FF1D47">
              <w:t>5</w:t>
            </w:r>
          </w:p>
        </w:tc>
        <w:tc>
          <w:tcPr>
            <w:tcW w:w="872" w:type="dxa"/>
            <w:vMerge/>
            <w:vAlign w:val="center"/>
          </w:tcPr>
          <w:p w14:paraId="2E93723E" w14:textId="77777777" w:rsidR="002E5012" w:rsidRPr="00B162C2" w:rsidRDefault="002E5012" w:rsidP="00E55FD2">
            <w:pPr>
              <w:pStyle w:val="COMTabletext"/>
              <w:keepNext w:val="0"/>
              <w:rPr>
                <w:szCs w:val="20"/>
              </w:rPr>
            </w:pPr>
          </w:p>
        </w:tc>
      </w:tr>
      <w:tr w:rsidR="002E5012" w:rsidRPr="0098262F" w14:paraId="33E08D55" w14:textId="77777777" w:rsidTr="7FB99A72">
        <w:trPr>
          <w:cantSplit/>
          <w:trHeight w:val="20"/>
        </w:trPr>
        <w:tc>
          <w:tcPr>
            <w:tcW w:w="2696" w:type="dxa"/>
            <w:vAlign w:val="center"/>
          </w:tcPr>
          <w:p w14:paraId="33A37788" w14:textId="77777777" w:rsidR="002E5012" w:rsidRPr="0098262F" w:rsidRDefault="002E5012" w:rsidP="00E55FD2">
            <w:pPr>
              <w:pStyle w:val="COMTabletext"/>
              <w:keepNext w:val="0"/>
            </w:pPr>
            <w:proofErr w:type="spellStart"/>
            <w:r w:rsidRPr="00FF1D47">
              <w:t>Zilucoplan</w:t>
            </w:r>
            <w:proofErr w:type="spellEnd"/>
            <w:r w:rsidRPr="00FF1D47">
              <w:t xml:space="preserve"> 40 mg/mL 0.810 mL injection, 7 pre-filled syringes</w:t>
            </w:r>
          </w:p>
        </w:tc>
        <w:tc>
          <w:tcPr>
            <w:tcW w:w="1419" w:type="dxa"/>
            <w:vAlign w:val="center"/>
          </w:tcPr>
          <w:p w14:paraId="1B9295A0" w14:textId="66D3D1EC" w:rsidR="002415C6" w:rsidRPr="002415C6" w:rsidRDefault="002E5012" w:rsidP="00E55FD2">
            <w:pPr>
              <w:pStyle w:val="COMTabletext"/>
              <w:keepNext w:val="0"/>
              <w:jc w:val="center"/>
            </w:pPr>
            <w:r w:rsidRPr="00243990">
              <w:t>$</w:t>
            </w:r>
            <w:r w:rsidR="007510F8" w:rsidRPr="007510F8">
              <w:rPr>
                <w:color w:val="000000"/>
                <w:shd w:val="solid" w:color="000000" w:fill="000000"/>
                <w14:textFill>
                  <w14:solidFill>
                    <w14:srgbClr w14:val="000000">
                      <w14:alpha w14:val="100000"/>
                    </w14:srgbClr>
                  </w14:solidFill>
                </w14:textFill>
              </w:rPr>
              <w:t>|</w:t>
            </w:r>
          </w:p>
          <w:p w14:paraId="65FBF921" w14:textId="4A64E42E" w:rsidR="002E5012" w:rsidRPr="00243990" w:rsidRDefault="002E5012" w:rsidP="00E55FD2">
            <w:pPr>
              <w:pStyle w:val="COMTabletext"/>
              <w:keepNext w:val="0"/>
              <w:jc w:val="center"/>
            </w:pPr>
            <w:r w:rsidRPr="00243990">
              <w:t>(Public hospital)</w:t>
            </w:r>
          </w:p>
          <w:p w14:paraId="0E91501E" w14:textId="7B5E61EC" w:rsidR="002E5012" w:rsidRPr="00611ADD" w:rsidRDefault="002E5012" w:rsidP="00E55FD2">
            <w:pPr>
              <w:pStyle w:val="COMTabletext"/>
              <w:keepNext w:val="0"/>
              <w:jc w:val="center"/>
              <w:rPr>
                <w:highlight w:val="yellow"/>
              </w:rPr>
            </w:pPr>
            <w:r w:rsidRPr="00243990">
              <w:t>$</w:t>
            </w:r>
            <w:r w:rsidR="007510F8" w:rsidRPr="007510F8">
              <w:rPr>
                <w:color w:val="000000"/>
                <w:spacing w:val="49"/>
                <w:shd w:val="solid" w:color="000000" w:fill="000000"/>
                <w:fitText w:val="226" w:id="-691334655"/>
                <w14:textFill>
                  <w14:solidFill>
                    <w14:srgbClr w14:val="000000">
                      <w14:alpha w14:val="100000"/>
                    </w14:srgbClr>
                  </w14:solidFill>
                </w14:textFill>
              </w:rPr>
              <w:t>||</w:t>
            </w:r>
            <w:r w:rsidR="007510F8" w:rsidRPr="007510F8">
              <w:rPr>
                <w:color w:val="000000"/>
                <w:spacing w:val="1"/>
                <w:shd w:val="solid" w:color="000000" w:fill="000000"/>
                <w:fitText w:val="226" w:id="-691334655"/>
                <w14:textFill>
                  <w14:solidFill>
                    <w14:srgbClr w14:val="000000">
                      <w14:alpha w14:val="100000"/>
                    </w14:srgbClr>
                  </w14:solidFill>
                </w14:textFill>
              </w:rPr>
              <w:t>|</w:t>
            </w:r>
            <w:r w:rsidR="002415C6" w:rsidRPr="002415C6">
              <w:t xml:space="preserve"> </w:t>
            </w:r>
            <w:r w:rsidRPr="00243990">
              <w:t>(Private</w:t>
            </w:r>
            <w:r w:rsidRPr="00730606">
              <w:t xml:space="preserve"> hospital</w:t>
            </w:r>
            <w:r w:rsidRPr="00243990">
              <w:t>)</w:t>
            </w:r>
          </w:p>
        </w:tc>
        <w:tc>
          <w:tcPr>
            <w:tcW w:w="1419" w:type="dxa"/>
            <w:vAlign w:val="center"/>
          </w:tcPr>
          <w:p w14:paraId="77BB3C4D" w14:textId="7ACF9E42" w:rsidR="002E5012" w:rsidRDefault="002E5012" w:rsidP="00E55FD2">
            <w:pPr>
              <w:pStyle w:val="COMTabletext"/>
              <w:keepNext w:val="0"/>
              <w:jc w:val="center"/>
            </w:pPr>
            <w:r w:rsidRPr="00055F72">
              <w:t>$</w:t>
            </w:r>
            <w:r w:rsidR="007510F8" w:rsidRPr="007510F8">
              <w:rPr>
                <w:color w:val="000000"/>
                <w:shd w:val="solid" w:color="000000" w:fill="000000"/>
                <w14:textFill>
                  <w14:solidFill>
                    <w14:srgbClr w14:val="000000">
                      <w14:alpha w14:val="100000"/>
                    </w14:srgbClr>
                  </w14:solidFill>
                </w14:textFill>
              </w:rPr>
              <w:t>|</w:t>
            </w:r>
          </w:p>
          <w:p w14:paraId="65055905" w14:textId="77777777" w:rsidR="002E5012" w:rsidRDefault="002E5012" w:rsidP="00E55FD2">
            <w:pPr>
              <w:pStyle w:val="COMTabletext"/>
              <w:keepNext w:val="0"/>
              <w:jc w:val="center"/>
            </w:pPr>
            <w:r>
              <w:rPr>
                <w:szCs w:val="20"/>
              </w:rPr>
              <w:t>(Public hospital)</w:t>
            </w:r>
          </w:p>
          <w:p w14:paraId="1935092F" w14:textId="5FE0CF22" w:rsidR="002E5012" w:rsidRDefault="002E5012" w:rsidP="00E55FD2">
            <w:pPr>
              <w:pStyle w:val="COMTabletext"/>
              <w:keepNext w:val="0"/>
              <w:jc w:val="center"/>
            </w:pPr>
            <w:r w:rsidRPr="00055F72">
              <w:t>$</w:t>
            </w:r>
            <w:r w:rsidR="007510F8" w:rsidRPr="007510F8">
              <w:rPr>
                <w:color w:val="000000"/>
                <w:shd w:val="solid" w:color="000000" w:fill="000000"/>
                <w14:textFill>
                  <w14:solidFill>
                    <w14:srgbClr w14:val="000000">
                      <w14:alpha w14:val="100000"/>
                    </w14:srgbClr>
                  </w14:solidFill>
                </w14:textFill>
              </w:rPr>
              <w:t>|</w:t>
            </w:r>
          </w:p>
          <w:p w14:paraId="22AE06ED" w14:textId="77777777" w:rsidR="002E5012" w:rsidRPr="0098262F" w:rsidRDefault="002E5012" w:rsidP="00E55FD2">
            <w:pPr>
              <w:pStyle w:val="COMTabletext"/>
              <w:keepNext w:val="0"/>
              <w:jc w:val="center"/>
            </w:pPr>
            <w:r>
              <w:t>(Private hospital)</w:t>
            </w:r>
          </w:p>
        </w:tc>
        <w:tc>
          <w:tcPr>
            <w:tcW w:w="872" w:type="dxa"/>
            <w:vAlign w:val="center"/>
          </w:tcPr>
          <w:p w14:paraId="094C6414" w14:textId="77777777" w:rsidR="002E5012" w:rsidRPr="0098262F" w:rsidRDefault="002E5012" w:rsidP="00E55FD2">
            <w:pPr>
              <w:pStyle w:val="COMTabletext"/>
              <w:keepNext w:val="0"/>
              <w:jc w:val="center"/>
            </w:pPr>
            <w:r w:rsidRPr="00FF1D47">
              <w:t>4</w:t>
            </w:r>
          </w:p>
        </w:tc>
        <w:tc>
          <w:tcPr>
            <w:tcW w:w="872" w:type="dxa"/>
            <w:vAlign w:val="center"/>
          </w:tcPr>
          <w:p w14:paraId="52A80CA9" w14:textId="77777777" w:rsidR="002E5012" w:rsidRPr="0098262F" w:rsidRDefault="002E5012" w:rsidP="00E55FD2">
            <w:pPr>
              <w:pStyle w:val="COMTabletext"/>
              <w:keepNext w:val="0"/>
              <w:jc w:val="center"/>
            </w:pPr>
            <w:r w:rsidRPr="00FF1D47">
              <w:t>28</w:t>
            </w:r>
          </w:p>
        </w:tc>
        <w:tc>
          <w:tcPr>
            <w:tcW w:w="872" w:type="dxa"/>
            <w:vAlign w:val="center"/>
          </w:tcPr>
          <w:p w14:paraId="13FA8E7B" w14:textId="77777777" w:rsidR="002E5012" w:rsidRPr="0098262F" w:rsidRDefault="002E5012" w:rsidP="00E55FD2">
            <w:pPr>
              <w:pStyle w:val="COMTabletext"/>
              <w:keepNext w:val="0"/>
              <w:jc w:val="center"/>
            </w:pPr>
            <w:r w:rsidRPr="00FF1D47">
              <w:t>5</w:t>
            </w:r>
          </w:p>
        </w:tc>
        <w:tc>
          <w:tcPr>
            <w:tcW w:w="872" w:type="dxa"/>
            <w:vMerge/>
            <w:vAlign w:val="center"/>
          </w:tcPr>
          <w:p w14:paraId="0E38CB6B" w14:textId="77777777" w:rsidR="002E5012" w:rsidRPr="00B162C2" w:rsidRDefault="002E5012" w:rsidP="00E55FD2">
            <w:pPr>
              <w:pStyle w:val="COMTabletext"/>
              <w:keepNext w:val="0"/>
              <w:rPr>
                <w:szCs w:val="20"/>
              </w:rPr>
            </w:pPr>
          </w:p>
        </w:tc>
      </w:tr>
    </w:tbl>
    <w:p w14:paraId="489AB7F7" w14:textId="77777777" w:rsidR="002E5012" w:rsidRPr="0034227C" w:rsidRDefault="002E5012" w:rsidP="00E55FD2">
      <w:pPr>
        <w:rPr>
          <w:sz w:val="4"/>
          <w:szCs w:val="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bottom w:w="17" w:type="dxa"/>
        </w:tblCellMar>
        <w:tblLook w:val="04A0" w:firstRow="1" w:lastRow="0" w:firstColumn="1" w:lastColumn="0" w:noHBand="0" w:noVBand="1"/>
      </w:tblPr>
      <w:tblGrid>
        <w:gridCol w:w="9022"/>
      </w:tblGrid>
      <w:tr w:rsidR="002E5012" w:rsidRPr="00B662CF" w14:paraId="27D35D01" w14:textId="77777777" w:rsidTr="7FB99A72">
        <w:trPr>
          <w:cantSplit/>
          <w:trHeight w:val="20"/>
        </w:trPr>
        <w:tc>
          <w:tcPr>
            <w:tcW w:w="9022" w:type="dxa"/>
          </w:tcPr>
          <w:p w14:paraId="72906082" w14:textId="77777777" w:rsidR="002E5012" w:rsidRPr="00B662CF" w:rsidRDefault="002E5012" w:rsidP="00E55FD2">
            <w:pPr>
              <w:keepNext/>
              <w:rPr>
                <w:rFonts w:ascii="Arial Narrow" w:eastAsiaTheme="majorEastAsia" w:hAnsi="Arial Narrow" w:cstheme="majorBidi"/>
                <w:sz w:val="20"/>
              </w:rPr>
            </w:pPr>
            <w:r w:rsidRPr="00B662CF">
              <w:rPr>
                <w:rFonts w:ascii="Arial Narrow" w:eastAsiaTheme="majorEastAsia" w:hAnsi="Arial Narrow" w:cstheme="majorBidi"/>
                <w:b/>
                <w:bCs/>
                <w:sz w:val="20"/>
              </w:rPr>
              <w:t>Category/Program:</w:t>
            </w:r>
            <w:r w:rsidRPr="00B662CF">
              <w:rPr>
                <w:rFonts w:ascii="Arial Narrow" w:eastAsiaTheme="majorEastAsia" w:hAnsi="Arial Narrow" w:cstheme="majorBidi"/>
                <w:sz w:val="20"/>
              </w:rPr>
              <w:t xml:space="preserve"> Section 100 – Highly Specialised Drugs Program </w:t>
            </w:r>
          </w:p>
        </w:tc>
      </w:tr>
      <w:tr w:rsidR="002E5012" w:rsidRPr="00B662CF" w14:paraId="0E203BF3" w14:textId="77777777" w:rsidTr="7FB99A72">
        <w:trPr>
          <w:cantSplit/>
          <w:trHeight w:val="20"/>
        </w:trPr>
        <w:tc>
          <w:tcPr>
            <w:tcW w:w="9022" w:type="dxa"/>
          </w:tcPr>
          <w:p w14:paraId="72A3B9EA"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b/>
                <w:bCs/>
                <w:sz w:val="20"/>
                <w:szCs w:val="20"/>
              </w:rPr>
              <w:t>Prescriber type:</w:t>
            </w:r>
            <w:r w:rsidRPr="00B662CF">
              <w:rPr>
                <w:rFonts w:ascii="Arial Narrow" w:eastAsiaTheme="majorEastAsia" w:hAnsi="Arial Narrow" w:cstheme="majorBidi"/>
                <w:sz w:val="20"/>
                <w:szCs w:val="20"/>
              </w:rPr>
              <w:t xml:space="preserve"> </w:t>
            </w:r>
            <w:r w:rsidRPr="00B662CF">
              <w:rPr>
                <w:rFonts w:ascii="Arial Narrow" w:hAnsi="Arial Narrow"/>
                <w:sz w:val="20"/>
                <w:szCs w:val="20"/>
              </w:rPr>
              <w:t>Medical Practitioners</w:t>
            </w:r>
            <w:r w:rsidRPr="00B662CF">
              <w:rPr>
                <w:rFonts w:ascii="Arial Narrow" w:eastAsiaTheme="majorEastAsia" w:hAnsi="Arial Narrow" w:cstheme="majorBidi"/>
                <w:sz w:val="20"/>
                <w:szCs w:val="20"/>
              </w:rPr>
              <w:t xml:space="preserve"> </w:t>
            </w:r>
          </w:p>
        </w:tc>
      </w:tr>
      <w:tr w:rsidR="002E5012" w:rsidRPr="00B662CF" w14:paraId="2DA29FFF" w14:textId="77777777" w:rsidTr="7FB99A72">
        <w:trPr>
          <w:cantSplit/>
          <w:trHeight w:val="20"/>
        </w:trPr>
        <w:tc>
          <w:tcPr>
            <w:tcW w:w="9022" w:type="dxa"/>
          </w:tcPr>
          <w:p w14:paraId="05A88929" w14:textId="77777777" w:rsidR="002E5012" w:rsidRPr="00B662CF" w:rsidRDefault="002E5012" w:rsidP="00E55FD2">
            <w:pPr>
              <w:rPr>
                <w:bCs/>
              </w:rPr>
            </w:pPr>
            <w:r w:rsidRPr="00B662CF">
              <w:rPr>
                <w:rFonts w:ascii="Arial Narrow" w:eastAsiaTheme="majorEastAsia" w:hAnsi="Arial Narrow" w:cstheme="majorBidi"/>
                <w:b/>
                <w:bCs/>
                <w:sz w:val="20"/>
              </w:rPr>
              <w:t>Restriction type:</w:t>
            </w:r>
            <w:r w:rsidRPr="00B662CF">
              <w:rPr>
                <w:rFonts w:ascii="Arial Narrow" w:eastAsiaTheme="majorEastAsia" w:hAnsi="Arial Narrow" w:cstheme="majorBidi"/>
                <w:sz w:val="20"/>
              </w:rPr>
              <w:t xml:space="preserve"> Authority Required (in writing only via post/HPOS upload)</w:t>
            </w:r>
          </w:p>
        </w:tc>
      </w:tr>
      <w:tr w:rsidR="00526A1B" w:rsidRPr="00B662CF" w14:paraId="680F5A5B" w14:textId="77777777" w:rsidTr="7FB99A72">
        <w:trPr>
          <w:cantSplit/>
          <w:trHeight w:val="20"/>
        </w:trPr>
        <w:tc>
          <w:tcPr>
            <w:tcW w:w="9022" w:type="dxa"/>
          </w:tcPr>
          <w:p w14:paraId="4BB7DFBE" w14:textId="05FF6F3D" w:rsidR="00526A1B" w:rsidRPr="00B662CF" w:rsidRDefault="00526A1B" w:rsidP="00E55FD2">
            <w:pPr>
              <w:rPr>
                <w:rFonts w:ascii="Arial Narrow" w:eastAsiaTheme="majorEastAsia" w:hAnsi="Arial Narrow" w:cstheme="majorBidi"/>
                <w:b/>
                <w:bCs/>
                <w:sz w:val="20"/>
              </w:rPr>
            </w:pPr>
            <w:r w:rsidRPr="00526A1B">
              <w:rPr>
                <w:rFonts w:ascii="Arial Narrow" w:eastAsiaTheme="majorEastAsia" w:hAnsi="Arial Narrow" w:cstheme="majorBidi"/>
                <w:b/>
                <w:bCs/>
                <w:sz w:val="20"/>
              </w:rPr>
              <w:t xml:space="preserve">Authority type: </w:t>
            </w:r>
            <w:r w:rsidRPr="00526A1B">
              <w:rPr>
                <w:rFonts w:ascii="Arial Narrow" w:eastAsiaTheme="majorEastAsia" w:hAnsi="Arial Narrow" w:cstheme="majorBidi"/>
                <w:sz w:val="20"/>
              </w:rPr>
              <w:t>Complex Authority Required (CAR)</w:t>
            </w:r>
          </w:p>
        </w:tc>
      </w:tr>
      <w:tr w:rsidR="002E5012" w:rsidRPr="00B662CF" w14:paraId="1132B9A4" w14:textId="77777777" w:rsidTr="7FB99A72">
        <w:trPr>
          <w:cantSplit/>
          <w:trHeight w:val="20"/>
        </w:trPr>
        <w:tc>
          <w:tcPr>
            <w:tcW w:w="9022" w:type="dxa"/>
          </w:tcPr>
          <w:p w14:paraId="52E0B2A8" w14:textId="77777777" w:rsidR="002E5012" w:rsidRPr="00B662CF" w:rsidRDefault="002E5012" w:rsidP="00E55FD2">
            <w:pPr>
              <w:rPr>
                <w:rFonts w:ascii="Arial Narrow" w:eastAsiaTheme="majorEastAsia" w:hAnsi="Arial Narrow" w:cstheme="majorBidi"/>
                <w:b/>
                <w:bCs/>
                <w:sz w:val="20"/>
              </w:rPr>
            </w:pPr>
            <w:r w:rsidRPr="00B662CF">
              <w:rPr>
                <w:rFonts w:ascii="Arial Narrow" w:eastAsiaTheme="majorEastAsia" w:hAnsi="Arial Narrow" w:cstheme="majorBidi"/>
                <w:b/>
                <w:bCs/>
                <w:sz w:val="20"/>
              </w:rPr>
              <w:t xml:space="preserve">Caution: </w:t>
            </w:r>
            <w:r w:rsidRPr="00B662CF">
              <w:rPr>
                <w:rFonts w:ascii="Arial Narrow" w:eastAsiaTheme="majorEastAsia" w:hAnsi="Arial Narrow" w:cstheme="majorBidi"/>
                <w:sz w:val="20"/>
              </w:rPr>
              <w:t>C5 inhibitors increases the risk of meningococcal infections (septicaemia and/or meningitis). Please consult the approved PI for information about vaccination against meningococcal infection.</w:t>
            </w:r>
          </w:p>
        </w:tc>
      </w:tr>
      <w:tr w:rsidR="002E5012" w:rsidRPr="00B662CF" w14:paraId="7AC5742B" w14:textId="77777777" w:rsidTr="7FB99A72">
        <w:trPr>
          <w:cantSplit/>
          <w:trHeight w:val="20"/>
        </w:trPr>
        <w:tc>
          <w:tcPr>
            <w:tcW w:w="9022" w:type="dxa"/>
          </w:tcPr>
          <w:p w14:paraId="62087D8D" w14:textId="77777777" w:rsidR="002E5012" w:rsidRPr="00B662CF" w:rsidRDefault="002E5012" w:rsidP="00E55FD2">
            <w:pPr>
              <w:tabs>
                <w:tab w:val="left" w:pos="3510"/>
              </w:tabs>
              <w:rPr>
                <w:rFonts w:ascii="Arial Narrow" w:eastAsiaTheme="majorEastAsia" w:hAnsi="Arial Narrow" w:cstheme="majorBidi"/>
                <w:sz w:val="20"/>
              </w:rPr>
            </w:pPr>
            <w:r w:rsidRPr="00B662CF">
              <w:rPr>
                <w:rFonts w:ascii="Arial Narrow" w:eastAsiaTheme="majorEastAsia" w:hAnsi="Arial Narrow" w:cstheme="majorBidi"/>
                <w:b/>
                <w:bCs/>
                <w:sz w:val="20"/>
              </w:rPr>
              <w:t xml:space="preserve">Condition: </w:t>
            </w:r>
            <w:r w:rsidRPr="00B662CF">
              <w:rPr>
                <w:rFonts w:ascii="Arial Narrow" w:eastAsiaTheme="majorEastAsia" w:hAnsi="Arial Narrow" w:cstheme="majorBidi"/>
                <w:sz w:val="20"/>
              </w:rPr>
              <w:t>Generalised myasthenia gravis (gMG)</w:t>
            </w:r>
            <w:r w:rsidRPr="00B662CF">
              <w:rPr>
                <w:rFonts w:ascii="Arial Narrow" w:eastAsiaTheme="majorEastAsia" w:hAnsi="Arial Narrow" w:cstheme="majorBidi"/>
                <w:sz w:val="20"/>
              </w:rPr>
              <w:tab/>
            </w:r>
          </w:p>
        </w:tc>
      </w:tr>
      <w:tr w:rsidR="002E5012" w:rsidRPr="00B662CF" w14:paraId="0AC2DC02" w14:textId="77777777" w:rsidTr="7FB99A72">
        <w:trPr>
          <w:cantSplit/>
          <w:trHeight w:val="20"/>
        </w:trPr>
        <w:tc>
          <w:tcPr>
            <w:tcW w:w="9022" w:type="dxa"/>
            <w:vAlign w:val="center"/>
            <w:hideMark/>
          </w:tcPr>
          <w:p w14:paraId="04068FAF" w14:textId="50C70EDD" w:rsidR="002E5012" w:rsidRPr="00B662CF" w:rsidRDefault="002E5012" w:rsidP="00E55FD2">
            <w:pPr>
              <w:rPr>
                <w:rFonts w:ascii="Arial Narrow" w:eastAsiaTheme="majorEastAsia" w:hAnsi="Arial Narrow" w:cstheme="majorBidi"/>
                <w:sz w:val="20"/>
              </w:rPr>
            </w:pPr>
            <w:r w:rsidRPr="00B662CF">
              <w:rPr>
                <w:rFonts w:ascii="Arial Narrow" w:eastAsiaTheme="majorEastAsia" w:hAnsi="Arial Narrow" w:cstheme="majorBidi"/>
                <w:b/>
                <w:bCs/>
                <w:sz w:val="20"/>
              </w:rPr>
              <w:t>Indication:</w:t>
            </w:r>
            <w:r w:rsidRPr="00B662CF">
              <w:rPr>
                <w:rFonts w:ascii="Arial Narrow" w:eastAsiaTheme="majorEastAsia" w:hAnsi="Arial Narrow" w:cstheme="majorBidi"/>
                <w:sz w:val="20"/>
              </w:rPr>
              <w:t xml:space="preserve"> </w:t>
            </w:r>
            <w:r w:rsidRPr="00B662CF">
              <w:rPr>
                <w:rFonts w:ascii="Arial Narrow" w:eastAsiaTheme="majorEastAsia" w:hAnsi="Arial Narrow" w:cstheme="majorBidi" w:hint="eastAsia"/>
                <w:sz w:val="20"/>
              </w:rPr>
              <w:t>G</w:t>
            </w:r>
            <w:r w:rsidRPr="00B662CF">
              <w:rPr>
                <w:rFonts w:ascii="Arial Narrow" w:eastAsiaTheme="majorEastAsia" w:hAnsi="Arial Narrow" w:cstheme="majorBidi"/>
                <w:sz w:val="20"/>
              </w:rPr>
              <w:t>eneralised myasthenia gravis (gMG)</w:t>
            </w:r>
          </w:p>
        </w:tc>
      </w:tr>
      <w:tr w:rsidR="002E5012" w:rsidRPr="00B662CF" w14:paraId="5018B9FC" w14:textId="77777777" w:rsidTr="7FB99A72">
        <w:trPr>
          <w:cantSplit/>
          <w:trHeight w:val="20"/>
        </w:trPr>
        <w:tc>
          <w:tcPr>
            <w:tcW w:w="9022" w:type="dxa"/>
            <w:vAlign w:val="center"/>
            <w:hideMark/>
          </w:tcPr>
          <w:p w14:paraId="707EEB60" w14:textId="77777777" w:rsidR="002E5012" w:rsidRPr="00B662CF" w:rsidRDefault="002E5012" w:rsidP="00E55FD2">
            <w:pPr>
              <w:rPr>
                <w:bCs/>
              </w:rPr>
            </w:pPr>
            <w:r w:rsidRPr="00B662CF">
              <w:rPr>
                <w:rFonts w:ascii="Arial Narrow" w:eastAsiaTheme="majorEastAsia" w:hAnsi="Arial Narrow" w:cstheme="majorBidi"/>
                <w:b/>
                <w:bCs/>
                <w:sz w:val="20"/>
              </w:rPr>
              <w:t>Treatment Phase:</w:t>
            </w:r>
            <w:r w:rsidRPr="00B662CF">
              <w:rPr>
                <w:rFonts w:ascii="Arial Narrow" w:eastAsiaTheme="majorEastAsia" w:hAnsi="Arial Narrow" w:cstheme="majorBidi"/>
                <w:sz w:val="20"/>
              </w:rPr>
              <w:t xml:space="preserve"> Initial treatment</w:t>
            </w:r>
          </w:p>
        </w:tc>
      </w:tr>
      <w:tr w:rsidR="002E5012" w:rsidRPr="00B662CF" w14:paraId="2BC7E642" w14:textId="77777777" w:rsidTr="7FB99A72">
        <w:trPr>
          <w:cantSplit/>
          <w:trHeight w:val="20"/>
        </w:trPr>
        <w:tc>
          <w:tcPr>
            <w:tcW w:w="9022" w:type="dxa"/>
            <w:vAlign w:val="center"/>
            <w:hideMark/>
          </w:tcPr>
          <w:p w14:paraId="5FA3D8FA"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Clinical criteria:</w:t>
            </w:r>
          </w:p>
        </w:tc>
      </w:tr>
      <w:tr w:rsidR="002E5012" w:rsidRPr="00B662CF" w14:paraId="5E924160" w14:textId="77777777" w:rsidTr="7FB99A72">
        <w:trPr>
          <w:cantSplit/>
          <w:trHeight w:val="20"/>
        </w:trPr>
        <w:tc>
          <w:tcPr>
            <w:tcW w:w="9022" w:type="dxa"/>
            <w:vAlign w:val="center"/>
            <w:hideMark/>
          </w:tcPr>
          <w:p w14:paraId="2ED939FC" w14:textId="77777777" w:rsidR="002E5012" w:rsidRPr="00B662CF" w:rsidRDefault="002E5012" w:rsidP="00E55FD2">
            <w:pPr>
              <w:rPr>
                <w:rFonts w:ascii="Arial Narrow" w:hAnsi="Arial Narrow"/>
                <w:bCs/>
                <w:sz w:val="20"/>
                <w:szCs w:val="20"/>
              </w:rPr>
            </w:pPr>
            <w:r w:rsidRPr="00B662CF">
              <w:rPr>
                <w:rFonts w:ascii="Arial Narrow" w:hAnsi="Arial Narrow"/>
                <w:bCs/>
                <w:sz w:val="20"/>
                <w:szCs w:val="20"/>
              </w:rPr>
              <w:t>Patient must be ≥ 18 years of age</w:t>
            </w:r>
          </w:p>
        </w:tc>
      </w:tr>
      <w:tr w:rsidR="002E5012" w:rsidRPr="00B662CF" w14:paraId="3BF76E6D" w14:textId="77777777" w:rsidTr="7FB99A72">
        <w:trPr>
          <w:cantSplit/>
          <w:trHeight w:val="20"/>
        </w:trPr>
        <w:tc>
          <w:tcPr>
            <w:tcW w:w="9022" w:type="dxa"/>
            <w:vAlign w:val="center"/>
            <w:hideMark/>
          </w:tcPr>
          <w:p w14:paraId="2BE2EEFF"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AND</w:t>
            </w:r>
          </w:p>
        </w:tc>
      </w:tr>
      <w:tr w:rsidR="002E5012" w:rsidRPr="00B662CF" w14:paraId="1A306DC3" w14:textId="77777777" w:rsidTr="7FB99A72">
        <w:trPr>
          <w:cantSplit/>
          <w:trHeight w:val="20"/>
        </w:trPr>
        <w:tc>
          <w:tcPr>
            <w:tcW w:w="9022" w:type="dxa"/>
            <w:vAlign w:val="center"/>
          </w:tcPr>
          <w:p w14:paraId="1E541182" w14:textId="77777777" w:rsidR="002E5012" w:rsidRPr="00B662CF" w:rsidRDefault="002E5012" w:rsidP="00E55FD2">
            <w:pPr>
              <w:rPr>
                <w:rFonts w:ascii="Arial Narrow" w:hAnsi="Arial Narrow"/>
                <w:b/>
                <w:bCs/>
                <w:sz w:val="20"/>
                <w:szCs w:val="20"/>
              </w:rPr>
            </w:pPr>
            <w:r w:rsidRPr="00B662CF">
              <w:rPr>
                <w:rFonts w:ascii="Arial Narrow" w:hAnsi="Arial Narrow"/>
                <w:b/>
                <w:bCs/>
                <w:sz w:val="20"/>
                <w:szCs w:val="20"/>
              </w:rPr>
              <w:t>Clinical criteria:</w:t>
            </w:r>
          </w:p>
        </w:tc>
      </w:tr>
      <w:tr w:rsidR="002E5012" w:rsidRPr="00B662CF" w14:paraId="591620DA" w14:textId="77777777" w:rsidTr="7FB99A72">
        <w:trPr>
          <w:cantSplit/>
          <w:trHeight w:val="20"/>
        </w:trPr>
        <w:tc>
          <w:tcPr>
            <w:tcW w:w="9022" w:type="dxa"/>
            <w:vAlign w:val="center"/>
          </w:tcPr>
          <w:p w14:paraId="4EEF9AE5" w14:textId="77777777" w:rsidR="002E5012" w:rsidRPr="00B662CF" w:rsidRDefault="002E5012" w:rsidP="00E55FD2">
            <w:pPr>
              <w:rPr>
                <w:rFonts w:ascii="Arial Narrow" w:hAnsi="Arial Narrow"/>
                <w:b/>
                <w:bCs/>
                <w:sz w:val="20"/>
                <w:szCs w:val="20"/>
              </w:rPr>
            </w:pPr>
            <w:r w:rsidRPr="00B662CF">
              <w:rPr>
                <w:rFonts w:ascii="Arial Narrow" w:hAnsi="Arial Narrow"/>
                <w:bCs/>
                <w:sz w:val="20"/>
                <w:szCs w:val="20"/>
              </w:rPr>
              <w:t>Patient must have a positive serology for acetylcholine receptor (</w:t>
            </w:r>
            <w:proofErr w:type="spellStart"/>
            <w:r w:rsidRPr="00B662CF">
              <w:rPr>
                <w:rFonts w:ascii="Arial Narrow" w:hAnsi="Arial Narrow"/>
                <w:bCs/>
                <w:sz w:val="20"/>
                <w:szCs w:val="20"/>
              </w:rPr>
              <w:t>AChR</w:t>
            </w:r>
            <w:proofErr w:type="spellEnd"/>
            <w:r w:rsidRPr="00B662CF">
              <w:rPr>
                <w:rFonts w:ascii="Arial Narrow" w:hAnsi="Arial Narrow"/>
                <w:bCs/>
                <w:sz w:val="20"/>
                <w:szCs w:val="20"/>
              </w:rPr>
              <w:t>) binding autoantibodies</w:t>
            </w:r>
          </w:p>
        </w:tc>
      </w:tr>
      <w:tr w:rsidR="002E5012" w:rsidRPr="00B662CF" w14:paraId="649F5894" w14:textId="77777777" w:rsidTr="7FB99A72">
        <w:trPr>
          <w:cantSplit/>
          <w:trHeight w:val="20"/>
        </w:trPr>
        <w:tc>
          <w:tcPr>
            <w:tcW w:w="9022" w:type="dxa"/>
            <w:vAlign w:val="center"/>
          </w:tcPr>
          <w:p w14:paraId="40F726FC" w14:textId="77777777" w:rsidR="002E5012" w:rsidRPr="00B662CF" w:rsidRDefault="002E5012" w:rsidP="00E55FD2">
            <w:pPr>
              <w:rPr>
                <w:rFonts w:ascii="Arial Narrow" w:hAnsi="Arial Narrow"/>
                <w:b/>
                <w:bCs/>
                <w:sz w:val="20"/>
                <w:szCs w:val="20"/>
              </w:rPr>
            </w:pPr>
            <w:r w:rsidRPr="00B662CF">
              <w:rPr>
                <w:rFonts w:ascii="Arial Narrow" w:hAnsi="Arial Narrow"/>
                <w:b/>
                <w:bCs/>
                <w:sz w:val="20"/>
                <w:szCs w:val="20"/>
              </w:rPr>
              <w:t>AND</w:t>
            </w:r>
          </w:p>
        </w:tc>
      </w:tr>
      <w:tr w:rsidR="002E5012" w:rsidRPr="00B662CF" w14:paraId="781B220B" w14:textId="77777777" w:rsidTr="7FB99A72">
        <w:trPr>
          <w:cantSplit/>
          <w:trHeight w:val="20"/>
        </w:trPr>
        <w:tc>
          <w:tcPr>
            <w:tcW w:w="9022" w:type="dxa"/>
            <w:vAlign w:val="center"/>
            <w:hideMark/>
          </w:tcPr>
          <w:p w14:paraId="50160719"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Clinical criteria:</w:t>
            </w:r>
          </w:p>
        </w:tc>
      </w:tr>
      <w:tr w:rsidR="002E5012" w:rsidRPr="00B662CF" w14:paraId="50DCA5FA" w14:textId="77777777" w:rsidTr="7FB99A72">
        <w:trPr>
          <w:cantSplit/>
          <w:trHeight w:val="20"/>
        </w:trPr>
        <w:tc>
          <w:tcPr>
            <w:tcW w:w="9022" w:type="dxa"/>
            <w:vAlign w:val="center"/>
            <w:hideMark/>
          </w:tcPr>
          <w:p w14:paraId="43F609A4" w14:textId="77777777" w:rsidR="002E5012" w:rsidRPr="00B662CF" w:rsidRDefault="002E5012" w:rsidP="00E55FD2">
            <w:pPr>
              <w:rPr>
                <w:rFonts w:ascii="Arial Narrow" w:hAnsi="Arial Narrow"/>
                <w:bCs/>
                <w:sz w:val="20"/>
                <w:szCs w:val="20"/>
              </w:rPr>
            </w:pPr>
            <w:r w:rsidRPr="00B662CF">
              <w:rPr>
                <w:rFonts w:ascii="Arial Narrow" w:hAnsi="Arial Narrow"/>
                <w:bCs/>
                <w:sz w:val="20"/>
                <w:szCs w:val="20"/>
              </w:rPr>
              <w:t>Patient must have a diagnosis of Myasthenia Gravis Foundation of America (MGFA) Disease Class II to IV</w:t>
            </w:r>
          </w:p>
        </w:tc>
      </w:tr>
      <w:tr w:rsidR="002E5012" w:rsidRPr="00B662CF" w14:paraId="7601F808" w14:textId="77777777" w:rsidTr="7FB99A72">
        <w:trPr>
          <w:cantSplit/>
          <w:trHeight w:val="20"/>
        </w:trPr>
        <w:tc>
          <w:tcPr>
            <w:tcW w:w="9022" w:type="dxa"/>
            <w:vAlign w:val="center"/>
          </w:tcPr>
          <w:p w14:paraId="3BD85A03"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AND</w:t>
            </w:r>
          </w:p>
        </w:tc>
      </w:tr>
      <w:tr w:rsidR="002E5012" w:rsidRPr="00B662CF" w14:paraId="2EDF5DF4" w14:textId="77777777" w:rsidTr="7FB99A72">
        <w:trPr>
          <w:cantSplit/>
          <w:trHeight w:val="20"/>
        </w:trPr>
        <w:tc>
          <w:tcPr>
            <w:tcW w:w="9022" w:type="dxa"/>
            <w:vAlign w:val="center"/>
          </w:tcPr>
          <w:p w14:paraId="44954E08"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Clinical criteria:</w:t>
            </w:r>
          </w:p>
        </w:tc>
      </w:tr>
      <w:tr w:rsidR="002E5012" w:rsidRPr="00B662CF" w14:paraId="65069ED6" w14:textId="77777777" w:rsidTr="7FB99A72">
        <w:trPr>
          <w:cantSplit/>
          <w:trHeight w:val="20"/>
        </w:trPr>
        <w:tc>
          <w:tcPr>
            <w:tcW w:w="9022" w:type="dxa"/>
            <w:vAlign w:val="center"/>
          </w:tcPr>
          <w:p w14:paraId="4A241356" w14:textId="77777777" w:rsidR="002E5012" w:rsidRPr="00B662CF" w:rsidRDefault="002E5012" w:rsidP="00E55FD2">
            <w:pPr>
              <w:rPr>
                <w:rFonts w:ascii="Arial Narrow" w:hAnsi="Arial Narrow"/>
                <w:bCs/>
                <w:sz w:val="20"/>
                <w:szCs w:val="20"/>
              </w:rPr>
            </w:pPr>
            <w:r w:rsidRPr="00B662CF">
              <w:rPr>
                <w:rFonts w:ascii="Arial Narrow" w:hAnsi="Arial Narrow"/>
                <w:bCs/>
                <w:sz w:val="20"/>
                <w:szCs w:val="20"/>
              </w:rPr>
              <w:t>Patient must have an MG-ADL score ≥ 6</w:t>
            </w:r>
          </w:p>
        </w:tc>
      </w:tr>
      <w:tr w:rsidR="002E5012" w:rsidRPr="00B662CF" w14:paraId="3C98EE04" w14:textId="77777777" w:rsidTr="7FB99A72">
        <w:trPr>
          <w:cantSplit/>
          <w:trHeight w:val="20"/>
        </w:trPr>
        <w:tc>
          <w:tcPr>
            <w:tcW w:w="9022" w:type="dxa"/>
            <w:vAlign w:val="center"/>
          </w:tcPr>
          <w:p w14:paraId="4A08545A"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AND</w:t>
            </w:r>
          </w:p>
        </w:tc>
      </w:tr>
      <w:tr w:rsidR="002E5012" w:rsidRPr="00B662CF" w14:paraId="7BE9D302" w14:textId="77777777" w:rsidTr="7FB99A72">
        <w:trPr>
          <w:cantSplit/>
          <w:trHeight w:val="20"/>
        </w:trPr>
        <w:tc>
          <w:tcPr>
            <w:tcW w:w="9022" w:type="dxa"/>
            <w:vAlign w:val="center"/>
          </w:tcPr>
          <w:p w14:paraId="51EFE9D1"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Clinical criteria:</w:t>
            </w:r>
          </w:p>
        </w:tc>
      </w:tr>
      <w:tr w:rsidR="002E5012" w:rsidRPr="00B662CF" w14:paraId="4206937C" w14:textId="77777777" w:rsidTr="7FB99A72">
        <w:trPr>
          <w:cantSplit/>
          <w:trHeight w:val="20"/>
        </w:trPr>
        <w:tc>
          <w:tcPr>
            <w:tcW w:w="9022" w:type="dxa"/>
            <w:vAlign w:val="center"/>
          </w:tcPr>
          <w:p w14:paraId="5450FCFF" w14:textId="68A2AFCD" w:rsidR="002E5012" w:rsidRPr="00B662CF" w:rsidRDefault="180142BD" w:rsidP="00E55FD2">
            <w:pPr>
              <w:rPr>
                <w:rFonts w:ascii="Arial Narrow" w:hAnsi="Arial Narrow"/>
                <w:sz w:val="20"/>
                <w:szCs w:val="20"/>
              </w:rPr>
            </w:pPr>
            <w:r w:rsidRPr="7FB99A72">
              <w:rPr>
                <w:rFonts w:ascii="Arial Narrow" w:hAnsi="Arial Narrow"/>
                <w:sz w:val="20"/>
                <w:szCs w:val="20"/>
              </w:rPr>
              <w:t>Patient must be receiving concomitant treatment with</w:t>
            </w:r>
            <w:r w:rsidRPr="7FB99A72">
              <w:rPr>
                <w:rFonts w:ascii="Arial Narrow" w:hAnsi="Arial Narrow"/>
                <w:strike/>
                <w:sz w:val="20"/>
                <w:szCs w:val="20"/>
                <w:lang w:eastAsia="zh-CN"/>
              </w:rPr>
              <w:t xml:space="preserve"> </w:t>
            </w:r>
            <w:r w:rsidRPr="7FB99A72">
              <w:rPr>
                <w:rFonts w:ascii="Arial Narrow" w:hAnsi="Arial Narrow"/>
                <w:sz w:val="20"/>
                <w:szCs w:val="20"/>
              </w:rPr>
              <w:t>at least one of the following: (i) corticosteroid (ii) immunosuppressive therapy</w:t>
            </w:r>
          </w:p>
        </w:tc>
      </w:tr>
      <w:tr w:rsidR="002E5012" w:rsidRPr="00B662CF" w14:paraId="7E8FD7C8" w14:textId="77777777" w:rsidTr="7FB99A72">
        <w:trPr>
          <w:cantSplit/>
          <w:trHeight w:val="20"/>
        </w:trPr>
        <w:tc>
          <w:tcPr>
            <w:tcW w:w="9022" w:type="dxa"/>
            <w:vAlign w:val="center"/>
          </w:tcPr>
          <w:p w14:paraId="1154D584"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AND</w:t>
            </w:r>
          </w:p>
        </w:tc>
      </w:tr>
      <w:tr w:rsidR="002E5012" w:rsidRPr="00B662CF" w14:paraId="518A3005" w14:textId="77777777" w:rsidTr="7FB99A72">
        <w:trPr>
          <w:cantSplit/>
          <w:trHeight w:val="20"/>
        </w:trPr>
        <w:tc>
          <w:tcPr>
            <w:tcW w:w="9022" w:type="dxa"/>
            <w:tcBorders>
              <w:bottom w:val="single" w:sz="4" w:space="0" w:color="auto"/>
            </w:tcBorders>
            <w:vAlign w:val="center"/>
          </w:tcPr>
          <w:p w14:paraId="6F5601A6"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Clinical criteria:</w:t>
            </w:r>
          </w:p>
        </w:tc>
      </w:tr>
      <w:tr w:rsidR="002E5012" w:rsidRPr="00B662CF" w14:paraId="4F463D7F" w14:textId="77777777" w:rsidTr="7FB99A72">
        <w:trPr>
          <w:cantSplit/>
          <w:trHeight w:val="20"/>
        </w:trPr>
        <w:tc>
          <w:tcPr>
            <w:tcW w:w="9022" w:type="dxa"/>
            <w:tcBorders>
              <w:bottom w:val="single" w:sz="4" w:space="0" w:color="auto"/>
            </w:tcBorders>
            <w:vAlign w:val="center"/>
          </w:tcPr>
          <w:p w14:paraId="3D610D41" w14:textId="680FE754" w:rsidR="002E5012" w:rsidRPr="00B662CF" w:rsidRDefault="180142BD" w:rsidP="00E55FD2">
            <w:pPr>
              <w:rPr>
                <w:rFonts w:ascii="Arial Narrow" w:hAnsi="Arial Narrow"/>
                <w:sz w:val="20"/>
                <w:szCs w:val="20"/>
              </w:rPr>
            </w:pPr>
            <w:r w:rsidRPr="7FB99A72">
              <w:rPr>
                <w:rFonts w:ascii="Arial Narrow" w:hAnsi="Arial Narrow"/>
                <w:sz w:val="20"/>
                <w:szCs w:val="20"/>
              </w:rPr>
              <w:t>Patient must have been treated for at least 1 year with at least two of the following: (i) corticosteroids (ii) azathioprine, (iii) mycophenolate, (iv) ciclosporin (v) cyclophosphamide (vi) methotrexate OR</w:t>
            </w:r>
            <w:r w:rsidRPr="7FB99A72">
              <w:rPr>
                <w:rFonts w:ascii="Arial Narrow" w:hAnsi="Arial Narrow"/>
                <w:sz w:val="20"/>
                <w:szCs w:val="20"/>
                <w:lang w:eastAsia="zh-CN"/>
              </w:rPr>
              <w:t xml:space="preserve"> </w:t>
            </w:r>
          </w:p>
        </w:tc>
      </w:tr>
      <w:tr w:rsidR="002E5012" w:rsidRPr="00B662CF" w14:paraId="4C64B59D" w14:textId="77777777" w:rsidTr="7FB99A72">
        <w:trPr>
          <w:cantSplit/>
          <w:trHeight w:val="20"/>
        </w:trPr>
        <w:tc>
          <w:tcPr>
            <w:tcW w:w="9022" w:type="dxa"/>
            <w:tcBorders>
              <w:bottom w:val="single" w:sz="4" w:space="0" w:color="auto"/>
            </w:tcBorders>
            <w:vAlign w:val="center"/>
          </w:tcPr>
          <w:p w14:paraId="54B20488" w14:textId="77777777" w:rsidR="002E5012" w:rsidRPr="00B662CF" w:rsidRDefault="002E5012" w:rsidP="00E55FD2">
            <w:pPr>
              <w:rPr>
                <w:rFonts w:ascii="Arial Narrow" w:hAnsi="Arial Narrow"/>
                <w:bCs/>
                <w:sz w:val="20"/>
                <w:szCs w:val="20"/>
              </w:rPr>
            </w:pPr>
            <w:r w:rsidRPr="00B662CF">
              <w:rPr>
                <w:rFonts w:ascii="Arial Narrow" w:hAnsi="Arial Narrow"/>
                <w:bCs/>
                <w:sz w:val="20"/>
                <w:szCs w:val="20"/>
              </w:rPr>
              <w:lastRenderedPageBreak/>
              <w:t>Patient must have a history of treatment over the past 1 year of plasma exchange or intravenous immunoglobulin (IVIg) at least every 3 months</w:t>
            </w:r>
          </w:p>
        </w:tc>
      </w:tr>
      <w:tr w:rsidR="002E5012" w:rsidRPr="00B662CF" w14:paraId="3EA5D10C" w14:textId="77777777" w:rsidTr="7FB99A72">
        <w:trPr>
          <w:cantSplit/>
          <w:trHeight w:val="20"/>
        </w:trPr>
        <w:tc>
          <w:tcPr>
            <w:tcW w:w="9022" w:type="dxa"/>
            <w:tcBorders>
              <w:top w:val="single" w:sz="4" w:space="0" w:color="auto"/>
            </w:tcBorders>
            <w:vAlign w:val="center"/>
          </w:tcPr>
          <w:p w14:paraId="4E982A91"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AND</w:t>
            </w:r>
          </w:p>
        </w:tc>
      </w:tr>
      <w:tr w:rsidR="002E5012" w:rsidRPr="00B662CF" w14:paraId="23D13C80" w14:textId="77777777" w:rsidTr="7FB99A72">
        <w:trPr>
          <w:cantSplit/>
          <w:trHeight w:val="20"/>
        </w:trPr>
        <w:tc>
          <w:tcPr>
            <w:tcW w:w="9022" w:type="dxa"/>
            <w:vAlign w:val="center"/>
          </w:tcPr>
          <w:p w14:paraId="7A518110"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Clinical criteria:</w:t>
            </w:r>
          </w:p>
        </w:tc>
      </w:tr>
      <w:tr w:rsidR="002E5012" w:rsidRPr="00B662CF" w14:paraId="0DAA2288" w14:textId="77777777" w:rsidTr="7FB99A72">
        <w:trPr>
          <w:cantSplit/>
          <w:trHeight w:val="20"/>
        </w:trPr>
        <w:tc>
          <w:tcPr>
            <w:tcW w:w="9022" w:type="dxa"/>
            <w:vAlign w:val="center"/>
          </w:tcPr>
          <w:p w14:paraId="2D0AAD61" w14:textId="77777777" w:rsidR="002E5012" w:rsidRPr="00B662CF" w:rsidRDefault="002E5012" w:rsidP="00E55FD2">
            <w:pPr>
              <w:rPr>
                <w:rFonts w:ascii="Arial Narrow" w:hAnsi="Arial Narrow"/>
                <w:bCs/>
                <w:sz w:val="20"/>
                <w:szCs w:val="20"/>
              </w:rPr>
            </w:pPr>
            <w:r w:rsidRPr="00B662CF">
              <w:rPr>
                <w:rFonts w:ascii="Arial Narrow" w:hAnsi="Arial Narrow"/>
                <w:bCs/>
                <w:sz w:val="20"/>
                <w:szCs w:val="20"/>
              </w:rPr>
              <w:t>Treatment must not be in combination with another complement inhibitor</w:t>
            </w:r>
          </w:p>
        </w:tc>
      </w:tr>
      <w:tr w:rsidR="002E5012" w:rsidRPr="00B662CF" w14:paraId="11F96FDD" w14:textId="77777777" w:rsidTr="7FB99A72">
        <w:trPr>
          <w:cantSplit/>
          <w:trHeight w:val="20"/>
        </w:trPr>
        <w:tc>
          <w:tcPr>
            <w:tcW w:w="9022" w:type="dxa"/>
            <w:vAlign w:val="center"/>
          </w:tcPr>
          <w:p w14:paraId="52FB6909" w14:textId="77777777" w:rsidR="002E5012" w:rsidRPr="00B662CF" w:rsidRDefault="002E5012" w:rsidP="00E55FD2">
            <w:pPr>
              <w:rPr>
                <w:rFonts w:ascii="Arial Narrow" w:hAnsi="Arial Narrow"/>
                <w:b/>
                <w:bCs/>
                <w:sz w:val="20"/>
                <w:szCs w:val="20"/>
              </w:rPr>
            </w:pPr>
            <w:r w:rsidRPr="00B662CF">
              <w:rPr>
                <w:rFonts w:ascii="Arial Narrow" w:hAnsi="Arial Narrow"/>
                <w:b/>
                <w:bCs/>
                <w:sz w:val="20"/>
                <w:szCs w:val="20"/>
              </w:rPr>
              <w:t>AND</w:t>
            </w:r>
          </w:p>
        </w:tc>
      </w:tr>
      <w:tr w:rsidR="002E5012" w:rsidRPr="00B662CF" w14:paraId="5EBC8632" w14:textId="77777777" w:rsidTr="7FB99A72">
        <w:trPr>
          <w:cantSplit/>
          <w:trHeight w:val="20"/>
        </w:trPr>
        <w:tc>
          <w:tcPr>
            <w:tcW w:w="9022" w:type="dxa"/>
            <w:vAlign w:val="center"/>
            <w:hideMark/>
          </w:tcPr>
          <w:p w14:paraId="294532D9"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Treatment criteria:</w:t>
            </w:r>
          </w:p>
        </w:tc>
      </w:tr>
      <w:tr w:rsidR="002E5012" w:rsidRPr="00B662CF" w14:paraId="06033188" w14:textId="77777777" w:rsidTr="7FB99A72">
        <w:trPr>
          <w:cantSplit/>
          <w:trHeight w:val="20"/>
        </w:trPr>
        <w:tc>
          <w:tcPr>
            <w:tcW w:w="9022" w:type="dxa"/>
            <w:vAlign w:val="center"/>
            <w:hideMark/>
          </w:tcPr>
          <w:p w14:paraId="0175246E" w14:textId="77777777" w:rsidR="002E5012" w:rsidRPr="00B662CF" w:rsidRDefault="002E5012" w:rsidP="00E55FD2">
            <w:pPr>
              <w:rPr>
                <w:rFonts w:ascii="Arial Narrow" w:hAnsi="Arial Narrow"/>
                <w:bCs/>
                <w:sz w:val="20"/>
                <w:szCs w:val="20"/>
              </w:rPr>
            </w:pPr>
            <w:r w:rsidRPr="00B662CF">
              <w:rPr>
                <w:rFonts w:ascii="Arial Narrow" w:hAnsi="Arial Narrow"/>
                <w:bCs/>
                <w:sz w:val="20"/>
                <w:szCs w:val="20"/>
              </w:rPr>
              <w:t>Must be treated by a neurologist</w:t>
            </w:r>
          </w:p>
        </w:tc>
      </w:tr>
      <w:tr w:rsidR="002E5012" w:rsidRPr="00B662CF" w14:paraId="04015F72" w14:textId="77777777" w:rsidTr="7FB99A72">
        <w:trPr>
          <w:cantSplit/>
          <w:trHeight w:val="20"/>
        </w:trPr>
        <w:tc>
          <w:tcPr>
            <w:tcW w:w="9022" w:type="dxa"/>
            <w:vAlign w:val="center"/>
          </w:tcPr>
          <w:p w14:paraId="438FF045" w14:textId="77777777" w:rsidR="002E5012" w:rsidRPr="00B662CF" w:rsidRDefault="002E5012" w:rsidP="00E55FD2">
            <w:pPr>
              <w:rPr>
                <w:rFonts w:ascii="Arial Narrow" w:hAnsi="Arial Narrow"/>
                <w:bCs/>
                <w:sz w:val="20"/>
                <w:szCs w:val="20"/>
              </w:rPr>
            </w:pPr>
            <w:r w:rsidRPr="00B662CF">
              <w:rPr>
                <w:rFonts w:ascii="Arial Narrow" w:hAnsi="Arial Narrow"/>
                <w:b/>
                <w:bCs/>
                <w:sz w:val="20"/>
                <w:szCs w:val="20"/>
              </w:rPr>
              <w:t>Note:</w:t>
            </w:r>
          </w:p>
        </w:tc>
      </w:tr>
      <w:tr w:rsidR="002E5012" w:rsidRPr="00B662CF" w14:paraId="77128041" w14:textId="77777777" w:rsidTr="7FB99A72">
        <w:trPr>
          <w:cantSplit/>
          <w:trHeight w:val="20"/>
        </w:trPr>
        <w:tc>
          <w:tcPr>
            <w:tcW w:w="9022" w:type="dxa"/>
            <w:vAlign w:val="center"/>
          </w:tcPr>
          <w:p w14:paraId="43B73A82" w14:textId="77777777" w:rsidR="002E5012" w:rsidRPr="00B662CF" w:rsidRDefault="002E5012" w:rsidP="00E55FD2">
            <w:pPr>
              <w:rPr>
                <w:rFonts w:ascii="Arial Narrow" w:hAnsi="Arial Narrow"/>
                <w:sz w:val="20"/>
                <w:szCs w:val="20"/>
              </w:rPr>
            </w:pPr>
            <w:r w:rsidRPr="00B662CF">
              <w:rPr>
                <w:rFonts w:ascii="Arial Narrow" w:hAnsi="Arial Narrow"/>
                <w:sz w:val="20"/>
                <w:szCs w:val="20"/>
              </w:rPr>
              <w:t>The myasthenia gravis activities of daily living (MG-ADL) referenced in this restriction is described in the following literature publication:</w:t>
            </w:r>
          </w:p>
          <w:p w14:paraId="674C5980" w14:textId="572EBD80" w:rsidR="002E5012" w:rsidRPr="00B662CF" w:rsidRDefault="180142BD" w:rsidP="00E55FD2">
            <w:pPr>
              <w:rPr>
                <w:rFonts w:ascii="Arial Narrow" w:hAnsi="Arial Narrow"/>
                <w:sz w:val="20"/>
                <w:szCs w:val="20"/>
              </w:rPr>
            </w:pPr>
            <w:r w:rsidRPr="7FB99A72">
              <w:rPr>
                <w:rFonts w:ascii="Arial Narrow" w:hAnsi="Arial Narrow"/>
                <w:sz w:val="20"/>
                <w:szCs w:val="20"/>
              </w:rPr>
              <w:t xml:space="preserve">Wolfe, G.I, Herbelin, L., Nations, S.P, Foster, B., Bryan, W.W. &amp; </w:t>
            </w:r>
            <w:proofErr w:type="spellStart"/>
            <w:r w:rsidRPr="7FB99A72">
              <w:rPr>
                <w:rFonts w:ascii="Arial Narrow" w:hAnsi="Arial Narrow"/>
                <w:sz w:val="20"/>
                <w:szCs w:val="20"/>
              </w:rPr>
              <w:t>Barohn</w:t>
            </w:r>
            <w:proofErr w:type="spellEnd"/>
            <w:r w:rsidRPr="7FB99A72">
              <w:rPr>
                <w:rFonts w:ascii="Arial Narrow" w:hAnsi="Arial Narrow"/>
                <w:sz w:val="20"/>
                <w:szCs w:val="20"/>
              </w:rPr>
              <w:t>, R.J. 1999. Myasthenia gravis activities of daily living profile. Neurology, 52, 1487-9.</w:t>
            </w:r>
          </w:p>
        </w:tc>
      </w:tr>
      <w:tr w:rsidR="002E5012" w:rsidRPr="00B662CF" w14:paraId="753ED23B" w14:textId="77777777" w:rsidTr="7FB99A72">
        <w:trPr>
          <w:cantSplit/>
          <w:trHeight w:val="20"/>
        </w:trPr>
        <w:tc>
          <w:tcPr>
            <w:tcW w:w="9022" w:type="dxa"/>
            <w:vAlign w:val="center"/>
          </w:tcPr>
          <w:p w14:paraId="1BCF2804" w14:textId="77777777" w:rsidR="002E5012" w:rsidRPr="00B662CF" w:rsidRDefault="002E5012" w:rsidP="00E55FD2">
            <w:pPr>
              <w:keepNext/>
              <w:rPr>
                <w:rFonts w:ascii="Arial Narrow" w:hAnsi="Arial Narrow"/>
                <w:sz w:val="20"/>
                <w:szCs w:val="20"/>
              </w:rPr>
            </w:pPr>
            <w:r w:rsidRPr="00B662CF">
              <w:rPr>
                <w:rFonts w:ascii="Arial Narrow" w:hAnsi="Arial Narrow"/>
                <w:b/>
                <w:bCs/>
                <w:sz w:val="20"/>
                <w:szCs w:val="20"/>
              </w:rPr>
              <w:t>Administrative Advice:</w:t>
            </w:r>
          </w:p>
        </w:tc>
      </w:tr>
      <w:tr w:rsidR="002E5012" w:rsidRPr="00B662CF" w14:paraId="0CE1151E" w14:textId="77777777" w:rsidTr="7FB99A72">
        <w:trPr>
          <w:cantSplit/>
          <w:trHeight w:val="20"/>
        </w:trPr>
        <w:tc>
          <w:tcPr>
            <w:tcW w:w="9022" w:type="dxa"/>
            <w:vAlign w:val="center"/>
          </w:tcPr>
          <w:p w14:paraId="061404CB" w14:textId="77777777" w:rsidR="002E5012" w:rsidRPr="00B662CF" w:rsidRDefault="002E5012" w:rsidP="00E55FD2">
            <w:pPr>
              <w:rPr>
                <w:rFonts w:ascii="Arial Narrow" w:hAnsi="Arial Narrow"/>
                <w:sz w:val="20"/>
                <w:szCs w:val="20"/>
              </w:rPr>
            </w:pPr>
            <w:r w:rsidRPr="00B662CF">
              <w:rPr>
                <w:rFonts w:ascii="Arial Narrow" w:hAnsi="Arial Narrow"/>
                <w:sz w:val="20"/>
                <w:szCs w:val="20"/>
              </w:rPr>
              <w:t>The authority application must be made in writing and must include:</w:t>
            </w:r>
          </w:p>
          <w:p w14:paraId="49088DD4" w14:textId="77777777" w:rsidR="002E5012" w:rsidRPr="00B662CF" w:rsidRDefault="002E5012" w:rsidP="00E55FD2">
            <w:pPr>
              <w:rPr>
                <w:rFonts w:ascii="Arial Narrow" w:hAnsi="Arial Narrow"/>
                <w:sz w:val="20"/>
                <w:szCs w:val="20"/>
              </w:rPr>
            </w:pPr>
            <w:r w:rsidRPr="00B662CF">
              <w:rPr>
                <w:rFonts w:ascii="Arial Narrow" w:hAnsi="Arial Narrow"/>
                <w:sz w:val="20"/>
                <w:szCs w:val="20"/>
              </w:rPr>
              <w:t>(1) a completed authority prescription form; and</w:t>
            </w:r>
          </w:p>
          <w:p w14:paraId="6835CCB0" w14:textId="00E27B9A" w:rsidR="002E5012" w:rsidRPr="00B662CF" w:rsidRDefault="180142BD" w:rsidP="00E55FD2">
            <w:pPr>
              <w:rPr>
                <w:rFonts w:ascii="Arial Narrow" w:hAnsi="Arial Narrow"/>
                <w:sz w:val="20"/>
                <w:szCs w:val="20"/>
              </w:rPr>
            </w:pPr>
            <w:r w:rsidRPr="7FB99A72">
              <w:rPr>
                <w:rFonts w:ascii="Arial Narrow" w:hAnsi="Arial Narrow"/>
                <w:sz w:val="20"/>
                <w:szCs w:val="20"/>
              </w:rPr>
              <w:t>(2) a completed authority application form relevant to the indication and treatment phase (the latest version is located on the website specified in the Administrative Advice); and</w:t>
            </w:r>
          </w:p>
          <w:p w14:paraId="72FA717F" w14:textId="77777777" w:rsidR="002E5012" w:rsidRPr="00B662CF" w:rsidRDefault="002E5012" w:rsidP="00E55FD2">
            <w:pPr>
              <w:rPr>
                <w:rFonts w:ascii="Arial Narrow" w:hAnsi="Arial Narrow"/>
                <w:sz w:val="20"/>
                <w:szCs w:val="20"/>
                <w:lang w:eastAsia="zh-CN"/>
              </w:rPr>
            </w:pPr>
            <w:r w:rsidRPr="00B662CF">
              <w:rPr>
                <w:rFonts w:ascii="Arial Narrow" w:hAnsi="Arial Narrow"/>
                <w:sz w:val="20"/>
                <w:szCs w:val="20"/>
              </w:rPr>
              <w:t>(3) At the time of the authority application, details (result and date of result) of the following monitoring requirements must be provided: Baseline MG-ADL score</w:t>
            </w:r>
            <w:r w:rsidRPr="00B662CF">
              <w:rPr>
                <w:rFonts w:ascii="Arial Narrow" w:hAnsi="Arial Narrow" w:hint="eastAsia"/>
                <w:sz w:val="20"/>
                <w:szCs w:val="20"/>
                <w:lang w:eastAsia="zh-CN"/>
              </w:rPr>
              <w:t>.</w:t>
            </w:r>
          </w:p>
        </w:tc>
      </w:tr>
    </w:tbl>
    <w:p w14:paraId="31F3DCAB" w14:textId="77777777" w:rsidR="002E5012" w:rsidRPr="00155B6D" w:rsidRDefault="002E5012" w:rsidP="00E55FD2">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9017"/>
      </w:tblGrid>
      <w:tr w:rsidR="002E5012" w:rsidRPr="00B662CF" w14:paraId="100EADB2" w14:textId="77777777" w:rsidTr="7FB99A72">
        <w:trPr>
          <w:cantSplit/>
          <w:trHeight w:val="20"/>
        </w:trPr>
        <w:tc>
          <w:tcPr>
            <w:tcW w:w="5000" w:type="pct"/>
          </w:tcPr>
          <w:p w14:paraId="73654B82"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
                <w:bCs/>
                <w:sz w:val="20"/>
                <w:szCs w:val="20"/>
              </w:rPr>
              <w:t xml:space="preserve">Category/Program: </w:t>
            </w:r>
            <w:r w:rsidRPr="00B662CF">
              <w:rPr>
                <w:rFonts w:ascii="Arial Narrow" w:eastAsiaTheme="majorEastAsia" w:hAnsi="Arial Narrow" w:cstheme="majorBidi"/>
                <w:sz w:val="20"/>
                <w:szCs w:val="20"/>
              </w:rPr>
              <w:t>Section 100</w:t>
            </w:r>
            <w:r w:rsidRPr="00B662CF">
              <w:rPr>
                <w:rFonts w:ascii="Arial Narrow" w:eastAsiaTheme="majorEastAsia" w:hAnsi="Arial Narrow" w:cstheme="majorBidi"/>
                <w:b/>
                <w:bCs/>
                <w:sz w:val="20"/>
                <w:szCs w:val="20"/>
              </w:rPr>
              <w:t xml:space="preserve"> </w:t>
            </w:r>
            <w:r w:rsidRPr="00B662CF">
              <w:rPr>
                <w:rFonts w:ascii="Arial Narrow" w:eastAsiaTheme="majorEastAsia" w:hAnsi="Arial Narrow" w:cstheme="majorBidi"/>
                <w:sz w:val="20"/>
                <w:szCs w:val="20"/>
              </w:rPr>
              <w:t>–</w:t>
            </w:r>
            <w:r w:rsidRPr="00B662CF">
              <w:rPr>
                <w:rFonts w:ascii="Arial Narrow" w:hAnsi="Arial Narrow"/>
                <w:sz w:val="20"/>
                <w:szCs w:val="20"/>
              </w:rPr>
              <w:t xml:space="preserve"> </w:t>
            </w:r>
            <w:r w:rsidRPr="00B662CF">
              <w:rPr>
                <w:rFonts w:ascii="Arial Narrow" w:eastAsiaTheme="majorEastAsia" w:hAnsi="Arial Narrow" w:cstheme="majorBidi"/>
                <w:sz w:val="20"/>
                <w:szCs w:val="20"/>
              </w:rPr>
              <w:t>Highly Specialised Drugs Program</w:t>
            </w:r>
          </w:p>
        </w:tc>
      </w:tr>
      <w:tr w:rsidR="002E5012" w:rsidRPr="00B662CF" w14:paraId="545AB1B3" w14:textId="77777777" w:rsidTr="7FB99A72">
        <w:trPr>
          <w:cantSplit/>
          <w:trHeight w:val="20"/>
        </w:trPr>
        <w:tc>
          <w:tcPr>
            <w:tcW w:w="5000" w:type="pct"/>
          </w:tcPr>
          <w:p w14:paraId="1E2A35B2"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 xml:space="preserve">Prescriber type: </w:t>
            </w:r>
            <w:r w:rsidRPr="00B662CF">
              <w:rPr>
                <w:rFonts w:ascii="Arial Narrow" w:hAnsi="Arial Narrow"/>
                <w:sz w:val="20"/>
                <w:szCs w:val="20"/>
              </w:rPr>
              <w:t>Medical Practitioners</w:t>
            </w:r>
          </w:p>
        </w:tc>
      </w:tr>
      <w:tr w:rsidR="002E5012" w:rsidRPr="00B662CF" w14:paraId="1A9A0FFB" w14:textId="77777777" w:rsidTr="7FB99A72">
        <w:trPr>
          <w:cantSplit/>
          <w:trHeight w:val="20"/>
        </w:trPr>
        <w:tc>
          <w:tcPr>
            <w:tcW w:w="5000" w:type="pct"/>
          </w:tcPr>
          <w:p w14:paraId="365FF72B" w14:textId="77777777" w:rsidR="002E5012" w:rsidRPr="00B662CF" w:rsidRDefault="002E5012" w:rsidP="00E55FD2">
            <w:pPr>
              <w:rPr>
                <w:rFonts w:ascii="Arial Narrow" w:hAnsi="Arial Narrow" w:cstheme="majorBidi"/>
                <w:bCs/>
                <w:sz w:val="20"/>
                <w:szCs w:val="20"/>
              </w:rPr>
            </w:pPr>
            <w:r w:rsidRPr="00B662CF">
              <w:rPr>
                <w:rFonts w:ascii="Arial Narrow" w:eastAsiaTheme="majorEastAsia" w:hAnsi="Arial Narrow" w:cstheme="majorBidi"/>
                <w:b/>
                <w:bCs/>
                <w:sz w:val="20"/>
                <w:szCs w:val="20"/>
              </w:rPr>
              <w:t xml:space="preserve">Restriction type: </w:t>
            </w:r>
            <w:r w:rsidRPr="00B662CF">
              <w:rPr>
                <w:rFonts w:ascii="Arial Narrow" w:hAnsi="Arial Narrow" w:cstheme="majorBidi"/>
                <w:bCs/>
                <w:sz w:val="20"/>
                <w:szCs w:val="20"/>
              </w:rPr>
              <w:t xml:space="preserve">Authority Required (in writing only via post/HPOS upload) </w:t>
            </w:r>
          </w:p>
        </w:tc>
      </w:tr>
      <w:tr w:rsidR="002E5012" w:rsidRPr="00B662CF" w14:paraId="448145A3" w14:textId="77777777" w:rsidTr="7FB99A72">
        <w:trPr>
          <w:cantSplit/>
          <w:trHeight w:val="20"/>
        </w:trPr>
        <w:tc>
          <w:tcPr>
            <w:tcW w:w="5000" w:type="pct"/>
            <w:vAlign w:val="center"/>
          </w:tcPr>
          <w:p w14:paraId="2363BE1E"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Caution:</w:t>
            </w:r>
            <w:r w:rsidRPr="00B662CF">
              <w:rPr>
                <w:rFonts w:ascii="Arial Narrow" w:eastAsiaTheme="majorEastAsia" w:hAnsi="Arial Narrow" w:cstheme="majorBidi"/>
                <w:sz w:val="20"/>
                <w:szCs w:val="20"/>
              </w:rPr>
              <w:t xml:space="preserve"> C5 inhibitors increases the risk of meningococcal infections (septicaemia and/or meningitis). Please consult the approved PI for information about vaccination against meningococcal infection.</w:t>
            </w:r>
          </w:p>
        </w:tc>
      </w:tr>
      <w:tr w:rsidR="002E5012" w:rsidRPr="00B662CF" w14:paraId="3437E6E6" w14:textId="77777777" w:rsidTr="7FB99A72">
        <w:trPr>
          <w:cantSplit/>
          <w:trHeight w:val="20"/>
        </w:trPr>
        <w:tc>
          <w:tcPr>
            <w:tcW w:w="5000" w:type="pct"/>
            <w:vAlign w:val="center"/>
          </w:tcPr>
          <w:p w14:paraId="2E5955A8"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Condition:</w:t>
            </w:r>
            <w:r w:rsidRPr="00B662CF">
              <w:rPr>
                <w:rFonts w:ascii="Arial Narrow" w:eastAsiaTheme="majorEastAsia" w:hAnsi="Arial Narrow" w:cstheme="majorBidi"/>
                <w:sz w:val="20"/>
                <w:szCs w:val="20"/>
              </w:rPr>
              <w:t xml:space="preserve"> Generalised myasthenia gravis</w:t>
            </w:r>
            <w:r w:rsidRPr="00B662CF">
              <w:rPr>
                <w:rFonts w:ascii="Arial Narrow" w:eastAsiaTheme="majorEastAsia" w:hAnsi="Arial Narrow" w:cstheme="majorBidi"/>
                <w:sz w:val="20"/>
              </w:rPr>
              <w:t xml:space="preserve"> (gMG)</w:t>
            </w:r>
          </w:p>
        </w:tc>
      </w:tr>
      <w:tr w:rsidR="002E5012" w:rsidRPr="00B662CF" w14:paraId="5CB6DD62" w14:textId="77777777" w:rsidTr="7FB99A72">
        <w:trPr>
          <w:cantSplit/>
          <w:trHeight w:val="20"/>
        </w:trPr>
        <w:tc>
          <w:tcPr>
            <w:tcW w:w="5000" w:type="pct"/>
            <w:vAlign w:val="center"/>
            <w:hideMark/>
          </w:tcPr>
          <w:p w14:paraId="5FA1C95D"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
                <w:bCs/>
                <w:sz w:val="20"/>
                <w:szCs w:val="20"/>
              </w:rPr>
              <w:t>Indication:</w:t>
            </w:r>
            <w:r w:rsidRPr="00B662CF">
              <w:rPr>
                <w:rFonts w:ascii="Arial Narrow" w:eastAsiaTheme="majorEastAsia" w:hAnsi="Arial Narrow" w:cstheme="majorBidi"/>
                <w:bCs/>
                <w:sz w:val="20"/>
                <w:szCs w:val="20"/>
              </w:rPr>
              <w:t xml:space="preserve"> Generalised myasthenia gravis</w:t>
            </w:r>
            <w:r w:rsidRPr="00B662CF">
              <w:rPr>
                <w:rFonts w:ascii="Arial Narrow" w:eastAsiaTheme="majorEastAsia" w:hAnsi="Arial Narrow" w:cstheme="majorBidi"/>
                <w:sz w:val="20"/>
              </w:rPr>
              <w:t xml:space="preserve"> (gMG)</w:t>
            </w:r>
          </w:p>
        </w:tc>
      </w:tr>
      <w:tr w:rsidR="002E5012" w:rsidRPr="00B662CF" w14:paraId="3D7864F6" w14:textId="77777777" w:rsidTr="7FB99A72">
        <w:trPr>
          <w:cantSplit/>
          <w:trHeight w:val="20"/>
        </w:trPr>
        <w:tc>
          <w:tcPr>
            <w:tcW w:w="5000" w:type="pct"/>
            <w:vAlign w:val="center"/>
            <w:hideMark/>
          </w:tcPr>
          <w:p w14:paraId="6E57E851"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
                <w:bCs/>
                <w:sz w:val="20"/>
                <w:szCs w:val="20"/>
              </w:rPr>
              <w:t>Treatment Phase:</w:t>
            </w:r>
            <w:r w:rsidRPr="00B662CF">
              <w:rPr>
                <w:rFonts w:ascii="Arial Narrow" w:eastAsiaTheme="majorEastAsia" w:hAnsi="Arial Narrow" w:cstheme="majorBidi"/>
                <w:bCs/>
                <w:sz w:val="20"/>
                <w:szCs w:val="20"/>
              </w:rPr>
              <w:t xml:space="preserve"> Continuing treatment</w:t>
            </w:r>
          </w:p>
        </w:tc>
      </w:tr>
      <w:tr w:rsidR="002E5012" w:rsidRPr="00B662CF" w14:paraId="1C80DAC2" w14:textId="77777777" w:rsidTr="7FB99A72">
        <w:trPr>
          <w:cantSplit/>
          <w:trHeight w:val="20"/>
        </w:trPr>
        <w:tc>
          <w:tcPr>
            <w:tcW w:w="5000" w:type="pct"/>
            <w:vAlign w:val="center"/>
            <w:hideMark/>
          </w:tcPr>
          <w:p w14:paraId="4EC5FCD2"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
                <w:bCs/>
                <w:sz w:val="20"/>
                <w:szCs w:val="20"/>
              </w:rPr>
              <w:t>Clinical criteria:</w:t>
            </w:r>
          </w:p>
        </w:tc>
      </w:tr>
      <w:tr w:rsidR="002E5012" w:rsidRPr="00B662CF" w14:paraId="583FB4B4" w14:textId="77777777" w:rsidTr="7FB99A72">
        <w:trPr>
          <w:cantSplit/>
          <w:trHeight w:val="20"/>
        </w:trPr>
        <w:tc>
          <w:tcPr>
            <w:tcW w:w="5000" w:type="pct"/>
            <w:vAlign w:val="center"/>
            <w:hideMark/>
          </w:tcPr>
          <w:p w14:paraId="16550F7C"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Cs/>
                <w:sz w:val="20"/>
                <w:szCs w:val="20"/>
              </w:rPr>
              <w:t>Patient must have previously received PBS-subsidised treatment with this drug for this condition</w:t>
            </w:r>
          </w:p>
        </w:tc>
      </w:tr>
      <w:tr w:rsidR="002E5012" w:rsidRPr="00B662CF" w14:paraId="0143130A" w14:textId="77777777" w:rsidTr="7FB99A72">
        <w:trPr>
          <w:cantSplit/>
          <w:trHeight w:val="20"/>
        </w:trPr>
        <w:tc>
          <w:tcPr>
            <w:tcW w:w="5000" w:type="pct"/>
            <w:vAlign w:val="center"/>
            <w:hideMark/>
          </w:tcPr>
          <w:p w14:paraId="1F04411F"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
                <w:bCs/>
                <w:sz w:val="20"/>
                <w:szCs w:val="20"/>
              </w:rPr>
              <w:t>AND</w:t>
            </w:r>
          </w:p>
        </w:tc>
      </w:tr>
      <w:tr w:rsidR="002E5012" w:rsidRPr="00B662CF" w14:paraId="3962C285" w14:textId="77777777" w:rsidTr="7FB99A72">
        <w:trPr>
          <w:cantSplit/>
          <w:trHeight w:val="20"/>
        </w:trPr>
        <w:tc>
          <w:tcPr>
            <w:tcW w:w="5000" w:type="pct"/>
            <w:vAlign w:val="center"/>
            <w:hideMark/>
          </w:tcPr>
          <w:p w14:paraId="053E12C5"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
                <w:bCs/>
                <w:sz w:val="20"/>
                <w:szCs w:val="20"/>
              </w:rPr>
              <w:t>Clinical criteria:</w:t>
            </w:r>
          </w:p>
        </w:tc>
      </w:tr>
      <w:tr w:rsidR="002E5012" w:rsidRPr="00B662CF" w14:paraId="085FF876" w14:textId="77777777" w:rsidTr="7FB99A72">
        <w:trPr>
          <w:cantSplit/>
          <w:trHeight w:val="20"/>
        </w:trPr>
        <w:tc>
          <w:tcPr>
            <w:tcW w:w="5000" w:type="pct"/>
            <w:vAlign w:val="center"/>
            <w:hideMark/>
          </w:tcPr>
          <w:p w14:paraId="1CCD3B13" w14:textId="77777777" w:rsidR="002E5012" w:rsidRPr="00B662CF" w:rsidRDefault="180142BD" w:rsidP="00E55FD2">
            <w:pPr>
              <w:rPr>
                <w:rFonts w:ascii="Arial Narrow" w:eastAsiaTheme="majorEastAsia" w:hAnsi="Arial Narrow" w:cstheme="majorBidi"/>
                <w:sz w:val="20"/>
                <w:szCs w:val="20"/>
              </w:rPr>
            </w:pPr>
            <w:r w:rsidRPr="7FB99A72">
              <w:rPr>
                <w:rFonts w:ascii="Arial Narrow" w:eastAsiaTheme="majorEastAsia" w:hAnsi="Arial Narrow" w:cstheme="majorBidi"/>
                <w:sz w:val="20"/>
                <w:szCs w:val="20"/>
              </w:rPr>
              <w:t>Patient must have demonstrated or sustained an adequate response to treatment, defined as at least a 3-point reduction in</w:t>
            </w:r>
            <w:r w:rsidRPr="7FB99A72">
              <w:rPr>
                <w:rFonts w:ascii="Arial Narrow" w:hAnsi="Arial Narrow"/>
                <w:sz w:val="20"/>
                <w:szCs w:val="20"/>
              </w:rPr>
              <w:t> </w:t>
            </w:r>
            <w:r w:rsidRPr="7FB99A72">
              <w:rPr>
                <w:rFonts w:ascii="Arial Narrow" w:eastAsiaTheme="majorEastAsia" w:hAnsi="Arial Narrow" w:cstheme="majorBidi"/>
                <w:sz w:val="20"/>
                <w:szCs w:val="20"/>
              </w:rPr>
              <w:t>MG-ADL score from baseline</w:t>
            </w:r>
          </w:p>
        </w:tc>
      </w:tr>
      <w:tr w:rsidR="002E5012" w:rsidRPr="00B662CF" w14:paraId="6B6C674C" w14:textId="77777777" w:rsidTr="7FB99A72">
        <w:trPr>
          <w:cantSplit/>
          <w:trHeight w:val="20"/>
        </w:trPr>
        <w:tc>
          <w:tcPr>
            <w:tcW w:w="5000" w:type="pct"/>
            <w:vAlign w:val="center"/>
          </w:tcPr>
          <w:p w14:paraId="64CB6EF4"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
                <w:bCs/>
                <w:sz w:val="20"/>
                <w:szCs w:val="20"/>
              </w:rPr>
              <w:t>AND</w:t>
            </w:r>
          </w:p>
        </w:tc>
      </w:tr>
      <w:tr w:rsidR="002E5012" w:rsidRPr="00B662CF" w14:paraId="46F3C093" w14:textId="77777777" w:rsidTr="7FB99A72">
        <w:trPr>
          <w:cantSplit/>
          <w:trHeight w:val="20"/>
        </w:trPr>
        <w:tc>
          <w:tcPr>
            <w:tcW w:w="5000" w:type="pct"/>
            <w:vAlign w:val="center"/>
          </w:tcPr>
          <w:p w14:paraId="38C3B496"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
                <w:bCs/>
                <w:sz w:val="20"/>
                <w:szCs w:val="20"/>
              </w:rPr>
              <w:t>Clinical criteria:</w:t>
            </w:r>
          </w:p>
        </w:tc>
      </w:tr>
      <w:tr w:rsidR="002E5012" w:rsidRPr="00B662CF" w14:paraId="0CF38897" w14:textId="77777777" w:rsidTr="7FB99A72">
        <w:trPr>
          <w:cantSplit/>
          <w:trHeight w:val="20"/>
        </w:trPr>
        <w:tc>
          <w:tcPr>
            <w:tcW w:w="5000" w:type="pct"/>
            <w:vAlign w:val="center"/>
          </w:tcPr>
          <w:p w14:paraId="102F9854"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Cs/>
                <w:sz w:val="20"/>
                <w:szCs w:val="20"/>
              </w:rPr>
              <w:t>Treatment must not be in combination with another complement inhibitor</w:t>
            </w:r>
          </w:p>
        </w:tc>
      </w:tr>
      <w:tr w:rsidR="002E5012" w:rsidRPr="00B662CF" w14:paraId="22B489AF" w14:textId="77777777" w:rsidTr="7FB99A72">
        <w:trPr>
          <w:cantSplit/>
          <w:trHeight w:val="20"/>
        </w:trPr>
        <w:tc>
          <w:tcPr>
            <w:tcW w:w="5000" w:type="pct"/>
            <w:vAlign w:val="center"/>
          </w:tcPr>
          <w:p w14:paraId="75CBB390"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AND</w:t>
            </w:r>
          </w:p>
        </w:tc>
      </w:tr>
      <w:tr w:rsidR="002E5012" w:rsidRPr="00B662CF" w14:paraId="027B8969" w14:textId="77777777" w:rsidTr="7FB99A72">
        <w:trPr>
          <w:cantSplit/>
          <w:trHeight w:val="20"/>
        </w:trPr>
        <w:tc>
          <w:tcPr>
            <w:tcW w:w="5000" w:type="pct"/>
            <w:vAlign w:val="center"/>
            <w:hideMark/>
          </w:tcPr>
          <w:p w14:paraId="0312C77C"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
                <w:bCs/>
                <w:sz w:val="20"/>
                <w:szCs w:val="20"/>
              </w:rPr>
              <w:t>Treatment criteria:</w:t>
            </w:r>
          </w:p>
        </w:tc>
      </w:tr>
      <w:tr w:rsidR="002E5012" w:rsidRPr="00B662CF" w14:paraId="0C9D8ED9" w14:textId="77777777" w:rsidTr="7FB99A72">
        <w:trPr>
          <w:cantSplit/>
          <w:trHeight w:val="20"/>
        </w:trPr>
        <w:tc>
          <w:tcPr>
            <w:tcW w:w="5000" w:type="pct"/>
            <w:vAlign w:val="center"/>
            <w:hideMark/>
          </w:tcPr>
          <w:p w14:paraId="58533ED0" w14:textId="77777777" w:rsidR="002E5012" w:rsidRPr="00B662CF" w:rsidRDefault="002E5012" w:rsidP="00E55FD2">
            <w:pPr>
              <w:rPr>
                <w:rFonts w:ascii="Arial Narrow" w:eastAsiaTheme="majorEastAsia" w:hAnsi="Arial Narrow" w:cstheme="majorBidi"/>
                <w:bCs/>
                <w:sz w:val="20"/>
                <w:szCs w:val="20"/>
              </w:rPr>
            </w:pPr>
            <w:r w:rsidRPr="00B662CF">
              <w:rPr>
                <w:rFonts w:ascii="Arial Narrow" w:eastAsiaTheme="majorEastAsia" w:hAnsi="Arial Narrow" w:cstheme="majorBidi"/>
                <w:bCs/>
                <w:sz w:val="20"/>
                <w:szCs w:val="20"/>
              </w:rPr>
              <w:t>Must be treated by a neurologist</w:t>
            </w:r>
          </w:p>
        </w:tc>
      </w:tr>
      <w:tr w:rsidR="002E5012" w:rsidRPr="00B662CF" w14:paraId="5C0D221F" w14:textId="77777777" w:rsidTr="7FB99A72">
        <w:trPr>
          <w:cantSplit/>
          <w:trHeight w:val="20"/>
        </w:trPr>
        <w:tc>
          <w:tcPr>
            <w:tcW w:w="5000" w:type="pct"/>
            <w:vAlign w:val="center"/>
          </w:tcPr>
          <w:p w14:paraId="137DCC23" w14:textId="77777777" w:rsidR="002E5012" w:rsidRPr="00B662CF" w:rsidRDefault="002E5012" w:rsidP="00E55FD2">
            <w:pPr>
              <w:rPr>
                <w:rFonts w:ascii="Arial Narrow" w:eastAsiaTheme="majorEastAsia" w:hAnsi="Arial Narrow" w:cstheme="majorBidi"/>
                <w:b/>
                <w:sz w:val="20"/>
                <w:szCs w:val="20"/>
              </w:rPr>
            </w:pPr>
            <w:r w:rsidRPr="00B662CF">
              <w:rPr>
                <w:rFonts w:ascii="Arial Narrow" w:eastAsiaTheme="majorEastAsia" w:hAnsi="Arial Narrow"/>
                <w:b/>
                <w:sz w:val="20"/>
                <w:szCs w:val="20"/>
              </w:rPr>
              <w:t>Note:</w:t>
            </w:r>
          </w:p>
        </w:tc>
      </w:tr>
      <w:tr w:rsidR="002E5012" w:rsidRPr="00B662CF" w14:paraId="41332091" w14:textId="77777777" w:rsidTr="7FB99A72">
        <w:trPr>
          <w:cantSplit/>
          <w:trHeight w:val="20"/>
        </w:trPr>
        <w:tc>
          <w:tcPr>
            <w:tcW w:w="5000" w:type="pct"/>
            <w:shd w:val="clear" w:color="auto" w:fill="auto"/>
            <w:vAlign w:val="center"/>
          </w:tcPr>
          <w:p w14:paraId="7EE2DD12"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sz w:val="20"/>
                <w:szCs w:val="20"/>
              </w:rPr>
              <w:t>The myasthenia gravis activities of daily living (MG-ADL) referenced in this restriction is described in the following literature publication:</w:t>
            </w:r>
          </w:p>
          <w:p w14:paraId="6047E543" w14:textId="77777777" w:rsidR="002E5012" w:rsidRPr="00B662CF" w:rsidRDefault="180142BD" w:rsidP="00E55FD2">
            <w:pPr>
              <w:rPr>
                <w:rFonts w:ascii="Arial Narrow" w:eastAsiaTheme="majorEastAsia" w:hAnsi="Arial Narrow" w:cstheme="majorBidi"/>
                <w:sz w:val="20"/>
                <w:szCs w:val="20"/>
              </w:rPr>
            </w:pPr>
            <w:r w:rsidRPr="7FB99A72">
              <w:rPr>
                <w:rFonts w:ascii="Arial Narrow" w:eastAsiaTheme="majorEastAsia" w:hAnsi="Arial Narrow" w:cstheme="majorBidi"/>
                <w:sz w:val="20"/>
                <w:szCs w:val="20"/>
              </w:rPr>
              <w:t xml:space="preserve">Wolfe, G.I, Herbelin, L., Nations, S.P, Foster, B., Bryan, W.W. &amp; </w:t>
            </w:r>
            <w:proofErr w:type="spellStart"/>
            <w:r w:rsidRPr="7FB99A72">
              <w:rPr>
                <w:rFonts w:ascii="Arial Narrow" w:eastAsiaTheme="majorEastAsia" w:hAnsi="Arial Narrow" w:cstheme="majorBidi"/>
                <w:sz w:val="20"/>
                <w:szCs w:val="20"/>
              </w:rPr>
              <w:t>Barohn</w:t>
            </w:r>
            <w:proofErr w:type="spellEnd"/>
            <w:r w:rsidRPr="7FB99A72">
              <w:rPr>
                <w:rFonts w:ascii="Arial Narrow" w:eastAsiaTheme="majorEastAsia" w:hAnsi="Arial Narrow" w:cstheme="majorBidi"/>
                <w:sz w:val="20"/>
                <w:szCs w:val="20"/>
              </w:rPr>
              <w:t>, R.J. 1999. Myasthenia gravis activities of daily living profile. Neurology, 52, 1487-9.</w:t>
            </w:r>
          </w:p>
        </w:tc>
      </w:tr>
      <w:tr w:rsidR="002E5012" w:rsidRPr="00B662CF" w14:paraId="6AB4035F" w14:textId="77777777" w:rsidTr="7FB99A72">
        <w:trPr>
          <w:cantSplit/>
          <w:trHeight w:val="20"/>
        </w:trPr>
        <w:tc>
          <w:tcPr>
            <w:tcW w:w="5000" w:type="pct"/>
            <w:shd w:val="clear" w:color="auto" w:fill="auto"/>
            <w:vAlign w:val="center"/>
          </w:tcPr>
          <w:p w14:paraId="617543B9"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Prescribing instructions:</w:t>
            </w:r>
          </w:p>
        </w:tc>
      </w:tr>
      <w:tr w:rsidR="002E5012" w:rsidRPr="00B662CF" w14:paraId="64CDFB57" w14:textId="77777777" w:rsidTr="7FB99A72">
        <w:trPr>
          <w:cantSplit/>
          <w:trHeight w:val="20"/>
        </w:trPr>
        <w:tc>
          <w:tcPr>
            <w:tcW w:w="5000" w:type="pct"/>
            <w:vAlign w:val="center"/>
          </w:tcPr>
          <w:p w14:paraId="16F23452" w14:textId="77777777" w:rsidR="002E5012" w:rsidRPr="00B662CF" w:rsidRDefault="180142BD" w:rsidP="00E55FD2">
            <w:pPr>
              <w:rPr>
                <w:rFonts w:ascii="Arial Narrow" w:eastAsiaTheme="majorEastAsia" w:hAnsi="Arial Narrow" w:cstheme="majorBidi"/>
                <w:sz w:val="20"/>
                <w:szCs w:val="20"/>
              </w:rPr>
            </w:pPr>
            <w:r w:rsidRPr="7FB99A72">
              <w:rPr>
                <w:rFonts w:ascii="Arial Narrow" w:eastAsiaTheme="majorEastAsia" w:hAnsi="Arial Narrow" w:cstheme="majorBidi"/>
                <w:sz w:val="20"/>
                <w:szCs w:val="20"/>
              </w:rPr>
              <w:t>Patients are eligible to receive continuing treatment with this drug in courses of up to 24 weeks providing they continue to maintain a response.</w:t>
            </w:r>
          </w:p>
        </w:tc>
      </w:tr>
      <w:tr w:rsidR="002E5012" w:rsidRPr="00B662CF" w14:paraId="483D9137" w14:textId="77777777" w:rsidTr="7FB99A72">
        <w:trPr>
          <w:cantSplit/>
          <w:trHeight w:val="20"/>
        </w:trPr>
        <w:tc>
          <w:tcPr>
            <w:tcW w:w="5000" w:type="pct"/>
            <w:vAlign w:val="center"/>
          </w:tcPr>
          <w:p w14:paraId="4D30125E"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lastRenderedPageBreak/>
              <w:t>Administrative Advice:</w:t>
            </w:r>
          </w:p>
        </w:tc>
      </w:tr>
      <w:tr w:rsidR="002E5012" w:rsidRPr="00B662CF" w14:paraId="2C9E647A" w14:textId="77777777" w:rsidTr="7FB99A72">
        <w:trPr>
          <w:cantSplit/>
          <w:trHeight w:val="20"/>
        </w:trPr>
        <w:tc>
          <w:tcPr>
            <w:tcW w:w="5000" w:type="pct"/>
            <w:vAlign w:val="center"/>
          </w:tcPr>
          <w:p w14:paraId="7CF8C87D"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sz w:val="20"/>
                <w:szCs w:val="20"/>
              </w:rPr>
              <w:t>The authority application must be made in writing and must include:</w:t>
            </w:r>
          </w:p>
          <w:p w14:paraId="6F30579F" w14:textId="77777777" w:rsidR="002E5012" w:rsidRPr="00B662CF" w:rsidRDefault="002E5012" w:rsidP="00E55FD2">
            <w:pPr>
              <w:keepNext/>
              <w:rPr>
                <w:rFonts w:ascii="Arial Narrow" w:hAnsi="Arial Narrow"/>
                <w:sz w:val="20"/>
                <w:szCs w:val="20"/>
                <w:lang w:eastAsia="zh-CN"/>
              </w:rPr>
            </w:pPr>
            <w:r w:rsidRPr="00B662CF">
              <w:rPr>
                <w:rFonts w:ascii="Arial Narrow" w:eastAsiaTheme="majorEastAsia" w:hAnsi="Arial Narrow" w:cstheme="majorBidi"/>
                <w:sz w:val="20"/>
                <w:szCs w:val="20"/>
              </w:rPr>
              <w:t>An assessment of response, defined as at least a 3-point reduction in MG-ADL from baseline, following a minimum of 12 weeks and up to 16 weeks of treatment with this drug.</w:t>
            </w:r>
          </w:p>
        </w:tc>
      </w:tr>
    </w:tbl>
    <w:p w14:paraId="53815D95" w14:textId="77777777" w:rsidR="002E5012" w:rsidRPr="00F5516C" w:rsidRDefault="002E5012" w:rsidP="00E55FD2">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9017"/>
      </w:tblGrid>
      <w:tr w:rsidR="002E5012" w:rsidRPr="00B662CF" w14:paraId="2615EBEE" w14:textId="77777777" w:rsidTr="5669A5A1">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4EFFEFD" w14:textId="77777777" w:rsidR="002E5012" w:rsidRPr="00B662CF" w:rsidRDefault="002E5012" w:rsidP="00E55FD2">
            <w:pPr>
              <w:keepNext/>
              <w:rPr>
                <w:rFonts w:ascii="Arial Narrow" w:eastAsiaTheme="majorEastAsia" w:hAnsi="Arial Narrow" w:cstheme="majorBidi"/>
                <w:sz w:val="20"/>
                <w:szCs w:val="20"/>
              </w:rPr>
            </w:pPr>
            <w:r w:rsidRPr="00B662CF">
              <w:rPr>
                <w:rFonts w:ascii="Arial Narrow" w:eastAsiaTheme="majorEastAsia" w:hAnsi="Arial Narrow" w:cstheme="majorBidi"/>
                <w:b/>
                <w:bCs/>
                <w:sz w:val="20"/>
                <w:szCs w:val="20"/>
              </w:rPr>
              <w:t>Category/Program:</w:t>
            </w:r>
            <w:r w:rsidRPr="00B662CF">
              <w:rPr>
                <w:rFonts w:ascii="Arial Narrow" w:eastAsiaTheme="majorEastAsia" w:hAnsi="Arial Narrow" w:cstheme="majorBidi"/>
                <w:sz w:val="20"/>
                <w:szCs w:val="20"/>
              </w:rPr>
              <w:t xml:space="preserve"> Section 100 – Highly Specialised Drugs Program</w:t>
            </w:r>
          </w:p>
        </w:tc>
      </w:tr>
      <w:tr w:rsidR="002E5012" w:rsidRPr="00B662CF" w14:paraId="171C5425" w14:textId="77777777" w:rsidTr="5669A5A1">
        <w:tc>
          <w:tcPr>
            <w:tcW w:w="5000"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3208CFE5" w14:textId="77777777" w:rsidR="002E5012" w:rsidRPr="00B662CF" w:rsidRDefault="002E5012" w:rsidP="00E55FD2">
            <w:pPr>
              <w:keepNext/>
              <w:rPr>
                <w:rFonts w:ascii="Arial Narrow" w:eastAsiaTheme="majorEastAsia" w:hAnsi="Arial Narrow" w:cstheme="majorBidi"/>
                <w:sz w:val="20"/>
                <w:szCs w:val="20"/>
              </w:rPr>
            </w:pPr>
            <w:r w:rsidRPr="00B662CF">
              <w:rPr>
                <w:rFonts w:ascii="Arial Narrow" w:eastAsiaTheme="majorEastAsia" w:hAnsi="Arial Narrow" w:cstheme="majorBidi"/>
                <w:b/>
                <w:bCs/>
                <w:sz w:val="20"/>
                <w:szCs w:val="20"/>
              </w:rPr>
              <w:t xml:space="preserve">Prescriber type: </w:t>
            </w:r>
            <w:r w:rsidRPr="00B662CF">
              <w:rPr>
                <w:rFonts w:ascii="Arial Narrow" w:hAnsi="Arial Narrow"/>
                <w:sz w:val="20"/>
                <w:szCs w:val="20"/>
              </w:rPr>
              <w:t>Medical Practitioners</w:t>
            </w:r>
          </w:p>
        </w:tc>
      </w:tr>
      <w:tr w:rsidR="002E5012" w:rsidRPr="00B662CF" w14:paraId="602FAF96" w14:textId="77777777" w:rsidTr="5669A5A1">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4D4BBA6" w14:textId="77777777" w:rsidR="002E5012" w:rsidRPr="00B662CF" w:rsidRDefault="002E5012" w:rsidP="00E55FD2">
            <w:pPr>
              <w:keepNext/>
              <w:rPr>
                <w:rFonts w:ascii="Arial Narrow" w:eastAsiaTheme="majorEastAsia" w:hAnsi="Arial Narrow" w:cstheme="majorBidi"/>
                <w:sz w:val="20"/>
                <w:szCs w:val="20"/>
              </w:rPr>
            </w:pPr>
            <w:r w:rsidRPr="00B662CF">
              <w:rPr>
                <w:rFonts w:ascii="Arial Narrow" w:eastAsiaTheme="majorEastAsia" w:hAnsi="Arial Narrow" w:cstheme="majorBidi"/>
                <w:b/>
                <w:bCs/>
                <w:sz w:val="20"/>
                <w:szCs w:val="20"/>
              </w:rPr>
              <w:t>Restriction type:</w:t>
            </w:r>
            <w:r w:rsidRPr="00B662CF">
              <w:rPr>
                <w:rFonts w:ascii="Arial Narrow" w:eastAsiaTheme="majorEastAsia" w:hAnsi="Arial Narrow" w:cstheme="majorBidi"/>
                <w:sz w:val="20"/>
                <w:szCs w:val="20"/>
              </w:rPr>
              <w:t xml:space="preserve"> Authority Required</w:t>
            </w:r>
            <w:r w:rsidRPr="00B662CF">
              <w:rPr>
                <w:rFonts w:ascii="Arial Narrow" w:hAnsi="Arial Narrow" w:cstheme="majorBidi"/>
                <w:bCs/>
                <w:sz w:val="20"/>
                <w:szCs w:val="20"/>
              </w:rPr>
              <w:t xml:space="preserve"> (in writing only via post/HPOS upload)</w:t>
            </w:r>
          </w:p>
        </w:tc>
      </w:tr>
      <w:tr w:rsidR="002E5012" w:rsidRPr="00B662CF" w14:paraId="02633E87" w14:textId="77777777" w:rsidTr="5669A5A1">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06FF6FE"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b/>
                <w:bCs/>
                <w:sz w:val="20"/>
                <w:szCs w:val="20"/>
              </w:rPr>
              <w:t>Caution:</w:t>
            </w:r>
            <w:r w:rsidRPr="00B662CF">
              <w:rPr>
                <w:rFonts w:ascii="Arial Narrow" w:eastAsiaTheme="majorEastAsia" w:hAnsi="Arial Narrow" w:cstheme="majorBidi"/>
                <w:sz w:val="20"/>
                <w:szCs w:val="20"/>
              </w:rPr>
              <w:t xml:space="preserve"> C5 inhibitors increases the risk of meningococcal infections (septicaemia and/or meningitis). Please consult the approved PI for information about vaccination against meningococcal infection.</w:t>
            </w:r>
          </w:p>
        </w:tc>
      </w:tr>
      <w:tr w:rsidR="002E5012" w:rsidRPr="00B662CF" w14:paraId="3D73A2A4" w14:textId="77777777" w:rsidTr="5669A5A1">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6262C3"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Condition:</w:t>
            </w:r>
            <w:r w:rsidRPr="00B662CF">
              <w:rPr>
                <w:rFonts w:ascii="Arial Narrow" w:eastAsiaTheme="majorEastAsia" w:hAnsi="Arial Narrow" w:cstheme="majorBidi"/>
                <w:sz w:val="20"/>
                <w:szCs w:val="20"/>
              </w:rPr>
              <w:t xml:space="preserve"> Generalised myasthenia gravis</w:t>
            </w:r>
            <w:r w:rsidRPr="00B662CF">
              <w:rPr>
                <w:rFonts w:ascii="Arial Narrow" w:eastAsiaTheme="majorEastAsia" w:hAnsi="Arial Narrow" w:cstheme="majorBidi"/>
                <w:sz w:val="20"/>
              </w:rPr>
              <w:t xml:space="preserve"> (gMG)</w:t>
            </w:r>
          </w:p>
        </w:tc>
      </w:tr>
      <w:tr w:rsidR="002E5012" w:rsidRPr="00B662CF" w14:paraId="028CA271" w14:textId="77777777" w:rsidTr="5669A5A1">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8334938"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b/>
                <w:bCs/>
                <w:sz w:val="20"/>
                <w:szCs w:val="20"/>
              </w:rPr>
              <w:t>Indication:</w:t>
            </w:r>
            <w:r w:rsidRPr="00B662CF">
              <w:rPr>
                <w:rFonts w:ascii="Arial Narrow" w:eastAsiaTheme="majorEastAsia" w:hAnsi="Arial Narrow" w:cstheme="majorBidi"/>
                <w:sz w:val="20"/>
                <w:szCs w:val="20"/>
              </w:rPr>
              <w:t xml:space="preserve"> Generalised myasthenia gravis</w:t>
            </w:r>
            <w:r w:rsidRPr="00B662CF">
              <w:rPr>
                <w:rFonts w:ascii="Arial Narrow" w:eastAsiaTheme="majorEastAsia" w:hAnsi="Arial Narrow" w:cstheme="majorBidi"/>
                <w:sz w:val="20"/>
              </w:rPr>
              <w:t xml:space="preserve"> (gMG)</w:t>
            </w:r>
          </w:p>
        </w:tc>
      </w:tr>
      <w:tr w:rsidR="002E5012" w:rsidRPr="00B662CF" w14:paraId="0F51BD90" w14:textId="77777777" w:rsidTr="5669A5A1">
        <w:tc>
          <w:tcPr>
            <w:tcW w:w="5000" w:type="pct"/>
            <w:tcMar>
              <w:left w:w="57" w:type="dxa"/>
              <w:right w:w="57" w:type="dxa"/>
            </w:tcMar>
            <w:vAlign w:val="center"/>
            <w:hideMark/>
          </w:tcPr>
          <w:p w14:paraId="68408C42"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b/>
                <w:bCs/>
                <w:sz w:val="20"/>
                <w:szCs w:val="20"/>
              </w:rPr>
              <w:t>Treatment Phase:</w:t>
            </w:r>
            <w:r w:rsidRPr="00B662CF">
              <w:rPr>
                <w:rFonts w:ascii="Arial Narrow" w:eastAsiaTheme="majorEastAsia" w:hAnsi="Arial Narrow" w:cstheme="majorBidi"/>
                <w:sz w:val="20"/>
                <w:szCs w:val="20"/>
              </w:rPr>
              <w:t xml:space="preserve"> Balance of supply</w:t>
            </w:r>
          </w:p>
        </w:tc>
      </w:tr>
      <w:tr w:rsidR="002E5012" w:rsidRPr="00B662CF" w14:paraId="700A651D" w14:textId="77777777" w:rsidTr="5669A5A1">
        <w:tc>
          <w:tcPr>
            <w:tcW w:w="5000" w:type="pct"/>
            <w:tcMar>
              <w:left w:w="57" w:type="dxa"/>
              <w:right w:w="57" w:type="dxa"/>
            </w:tcMar>
            <w:vAlign w:val="center"/>
            <w:hideMark/>
          </w:tcPr>
          <w:p w14:paraId="4DE1F1E9"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Clinical criteria:</w:t>
            </w:r>
          </w:p>
        </w:tc>
      </w:tr>
      <w:tr w:rsidR="002E5012" w:rsidRPr="00B662CF" w14:paraId="7FAB7295" w14:textId="77777777" w:rsidTr="5669A5A1">
        <w:tc>
          <w:tcPr>
            <w:tcW w:w="5000" w:type="pct"/>
            <w:tcMar>
              <w:left w:w="57" w:type="dxa"/>
              <w:right w:w="57" w:type="dxa"/>
            </w:tcMar>
            <w:vAlign w:val="center"/>
          </w:tcPr>
          <w:p w14:paraId="59D5F1D6"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sz w:val="20"/>
                <w:szCs w:val="20"/>
              </w:rPr>
              <w:t>Patient must have a previously received this drug for this condition</w:t>
            </w:r>
          </w:p>
        </w:tc>
      </w:tr>
      <w:tr w:rsidR="002E5012" w:rsidRPr="00B662CF" w14:paraId="15A623C3" w14:textId="77777777" w:rsidTr="5669A5A1">
        <w:tc>
          <w:tcPr>
            <w:tcW w:w="5000" w:type="pct"/>
            <w:tcMar>
              <w:left w:w="57" w:type="dxa"/>
              <w:right w:w="57" w:type="dxa"/>
            </w:tcMar>
            <w:vAlign w:val="center"/>
          </w:tcPr>
          <w:p w14:paraId="6F57C825"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AND</w:t>
            </w:r>
          </w:p>
        </w:tc>
      </w:tr>
      <w:tr w:rsidR="002E5012" w:rsidRPr="00B662CF" w14:paraId="78421979" w14:textId="77777777" w:rsidTr="5669A5A1">
        <w:tc>
          <w:tcPr>
            <w:tcW w:w="5000" w:type="pct"/>
            <w:tcMar>
              <w:left w:w="57" w:type="dxa"/>
              <w:right w:w="57" w:type="dxa"/>
            </w:tcMar>
            <w:vAlign w:val="center"/>
          </w:tcPr>
          <w:p w14:paraId="21B6AE1C"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Clinical criteria:</w:t>
            </w:r>
          </w:p>
        </w:tc>
      </w:tr>
      <w:tr w:rsidR="002E5012" w:rsidRPr="00B662CF" w14:paraId="7105D174" w14:textId="77777777" w:rsidTr="5669A5A1">
        <w:tc>
          <w:tcPr>
            <w:tcW w:w="5000" w:type="pct"/>
            <w:tcMar>
              <w:left w:w="57" w:type="dxa"/>
              <w:right w:w="57" w:type="dxa"/>
            </w:tcMar>
            <w:vAlign w:val="center"/>
          </w:tcPr>
          <w:p w14:paraId="1AD824BB" w14:textId="77777777" w:rsidR="002E5012" w:rsidRPr="00B662CF" w:rsidRDefault="002E5012" w:rsidP="00E55FD2">
            <w:pPr>
              <w:rPr>
                <w:rFonts w:ascii="Arial Narrow" w:eastAsiaTheme="majorEastAsia" w:hAnsi="Arial Narrow" w:cstheme="majorBidi"/>
                <w:sz w:val="20"/>
                <w:szCs w:val="20"/>
              </w:rPr>
            </w:pPr>
            <w:r w:rsidRPr="5669A5A1">
              <w:rPr>
                <w:rFonts w:ascii="Arial Narrow" w:eastAsiaTheme="majorEastAsia" w:hAnsi="Arial Narrow" w:cstheme="majorBidi"/>
                <w:sz w:val="20"/>
                <w:szCs w:val="20"/>
              </w:rPr>
              <w:t>Patient must have temporarily ceased treatment for reasons other than lack of response (e.g. family planning, vaccination, adverse-effect investigation), thereby being unable to achieve/maintain an adequate response immediately prior to this authority application</w:t>
            </w:r>
          </w:p>
        </w:tc>
      </w:tr>
      <w:tr w:rsidR="002E5012" w:rsidRPr="00B662CF" w14:paraId="6D3AAF69" w14:textId="77777777" w:rsidTr="5669A5A1">
        <w:tc>
          <w:tcPr>
            <w:tcW w:w="5000" w:type="pct"/>
            <w:tcMar>
              <w:left w:w="57" w:type="dxa"/>
              <w:right w:w="57" w:type="dxa"/>
            </w:tcMar>
            <w:vAlign w:val="center"/>
          </w:tcPr>
          <w:p w14:paraId="07413FD6"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AND</w:t>
            </w:r>
          </w:p>
        </w:tc>
      </w:tr>
      <w:tr w:rsidR="002E5012" w:rsidRPr="00B662CF" w14:paraId="5B43AE7F" w14:textId="77777777" w:rsidTr="5669A5A1">
        <w:tc>
          <w:tcPr>
            <w:tcW w:w="5000" w:type="pct"/>
            <w:tcMar>
              <w:left w:w="57" w:type="dxa"/>
              <w:right w:w="57" w:type="dxa"/>
            </w:tcMar>
            <w:vAlign w:val="center"/>
          </w:tcPr>
          <w:p w14:paraId="7F683199"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Clinical criteria:</w:t>
            </w:r>
          </w:p>
        </w:tc>
      </w:tr>
      <w:tr w:rsidR="002E5012" w:rsidRPr="00B662CF" w14:paraId="22C6A37F" w14:textId="77777777" w:rsidTr="5669A5A1">
        <w:tc>
          <w:tcPr>
            <w:tcW w:w="5000" w:type="pct"/>
            <w:tcMar>
              <w:left w:w="57" w:type="dxa"/>
              <w:right w:w="57" w:type="dxa"/>
            </w:tcMar>
            <w:vAlign w:val="center"/>
          </w:tcPr>
          <w:p w14:paraId="4E8A17FA" w14:textId="77777777" w:rsidR="002E5012" w:rsidRPr="00B662CF" w:rsidRDefault="002E5012" w:rsidP="00E55FD2">
            <w:pPr>
              <w:rPr>
                <w:rFonts w:ascii="Arial Narrow" w:eastAsiaTheme="majorEastAsia" w:hAnsi="Arial Narrow" w:cstheme="majorBidi"/>
                <w:sz w:val="20"/>
                <w:szCs w:val="20"/>
              </w:rPr>
            </w:pPr>
            <w:r w:rsidRPr="5669A5A1">
              <w:rPr>
                <w:rFonts w:ascii="Arial Narrow" w:eastAsiaTheme="majorEastAsia" w:hAnsi="Arial Narrow" w:cstheme="majorBidi"/>
                <w:sz w:val="20"/>
                <w:szCs w:val="20"/>
              </w:rPr>
              <w:t xml:space="preserve">Patient must have received insufficient therapy with this drug under the initial treatment restriction to receive 16 weeks of continuous treatment </w:t>
            </w:r>
          </w:p>
        </w:tc>
      </w:tr>
      <w:tr w:rsidR="002E5012" w:rsidRPr="00B662CF" w14:paraId="3CA9037C" w14:textId="77777777" w:rsidTr="5669A5A1">
        <w:tc>
          <w:tcPr>
            <w:tcW w:w="5000" w:type="pct"/>
            <w:tcMar>
              <w:left w:w="57" w:type="dxa"/>
              <w:right w:w="57" w:type="dxa"/>
            </w:tcMar>
            <w:vAlign w:val="center"/>
          </w:tcPr>
          <w:p w14:paraId="397AF22A"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AND</w:t>
            </w:r>
          </w:p>
        </w:tc>
      </w:tr>
      <w:tr w:rsidR="002E5012" w:rsidRPr="00B662CF" w14:paraId="42BBBF73" w14:textId="77777777" w:rsidTr="5669A5A1">
        <w:tc>
          <w:tcPr>
            <w:tcW w:w="5000" w:type="pct"/>
            <w:tcMar>
              <w:left w:w="57" w:type="dxa"/>
              <w:right w:w="57" w:type="dxa"/>
            </w:tcMar>
            <w:vAlign w:val="center"/>
          </w:tcPr>
          <w:p w14:paraId="3AF777CD"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Clinical criteria:</w:t>
            </w:r>
          </w:p>
        </w:tc>
      </w:tr>
      <w:tr w:rsidR="002E5012" w:rsidRPr="00B662CF" w14:paraId="6FAA4AE9" w14:textId="77777777" w:rsidTr="5669A5A1">
        <w:tc>
          <w:tcPr>
            <w:tcW w:w="5000" w:type="pct"/>
            <w:tcMar>
              <w:left w:w="57" w:type="dxa"/>
              <w:right w:w="57" w:type="dxa"/>
            </w:tcMar>
            <w:vAlign w:val="center"/>
          </w:tcPr>
          <w:p w14:paraId="37AC7FA9"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sz w:val="20"/>
                <w:szCs w:val="20"/>
              </w:rPr>
              <w:t>Treatment must not be in combination with another complement inhibitor</w:t>
            </w:r>
          </w:p>
        </w:tc>
      </w:tr>
      <w:tr w:rsidR="002E5012" w:rsidRPr="00B662CF" w14:paraId="330679D2" w14:textId="77777777" w:rsidTr="5669A5A1">
        <w:tc>
          <w:tcPr>
            <w:tcW w:w="5000" w:type="pct"/>
            <w:tcMar>
              <w:left w:w="57" w:type="dxa"/>
              <w:right w:w="57" w:type="dxa"/>
            </w:tcMar>
            <w:vAlign w:val="center"/>
            <w:hideMark/>
          </w:tcPr>
          <w:p w14:paraId="7308C8A6"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Treatment criteria:</w:t>
            </w:r>
          </w:p>
        </w:tc>
      </w:tr>
      <w:tr w:rsidR="002E5012" w:rsidRPr="00B662CF" w14:paraId="2DD5823F" w14:textId="77777777" w:rsidTr="5669A5A1">
        <w:tc>
          <w:tcPr>
            <w:tcW w:w="5000" w:type="pct"/>
            <w:tcMar>
              <w:left w:w="57" w:type="dxa"/>
              <w:right w:w="57" w:type="dxa"/>
            </w:tcMar>
            <w:vAlign w:val="center"/>
          </w:tcPr>
          <w:p w14:paraId="1A7C4E53"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sz w:val="20"/>
                <w:szCs w:val="20"/>
              </w:rPr>
              <w:t>Must be treated by a neurologist</w:t>
            </w:r>
          </w:p>
        </w:tc>
      </w:tr>
      <w:tr w:rsidR="002E5012" w:rsidRPr="00B662CF" w14:paraId="5AFD7AB5" w14:textId="77777777" w:rsidTr="5669A5A1">
        <w:tc>
          <w:tcPr>
            <w:tcW w:w="5000" w:type="pct"/>
            <w:tcMar>
              <w:left w:w="57" w:type="dxa"/>
              <w:right w:w="57" w:type="dxa"/>
            </w:tcMar>
            <w:vAlign w:val="center"/>
            <w:hideMark/>
          </w:tcPr>
          <w:p w14:paraId="72F27849"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Note:</w:t>
            </w:r>
          </w:p>
        </w:tc>
      </w:tr>
      <w:tr w:rsidR="002E5012" w:rsidRPr="00B662CF" w14:paraId="23ADD94C" w14:textId="77777777" w:rsidTr="5669A5A1">
        <w:tc>
          <w:tcPr>
            <w:tcW w:w="5000" w:type="pct"/>
            <w:tcMar>
              <w:left w:w="57" w:type="dxa"/>
              <w:right w:w="57" w:type="dxa"/>
            </w:tcMar>
            <w:vAlign w:val="center"/>
          </w:tcPr>
          <w:p w14:paraId="49596B10"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sz w:val="20"/>
                <w:szCs w:val="20"/>
              </w:rPr>
              <w:t>The myasthenia gravis activities of daily living (MG-ADL) referenced in this restriction is described in the following literature publication:</w:t>
            </w:r>
          </w:p>
          <w:p w14:paraId="066D2194" w14:textId="77777777" w:rsidR="002E5012" w:rsidRPr="00B662CF" w:rsidRDefault="002E5012" w:rsidP="00E55FD2">
            <w:pPr>
              <w:rPr>
                <w:rFonts w:ascii="Arial Narrow" w:eastAsiaTheme="majorEastAsia" w:hAnsi="Arial Narrow" w:cstheme="majorBidi"/>
                <w:sz w:val="20"/>
                <w:szCs w:val="20"/>
              </w:rPr>
            </w:pPr>
            <w:r w:rsidRPr="5669A5A1">
              <w:rPr>
                <w:rFonts w:ascii="Arial Narrow" w:eastAsiaTheme="majorEastAsia" w:hAnsi="Arial Narrow" w:cstheme="majorBidi"/>
                <w:sz w:val="20"/>
                <w:szCs w:val="20"/>
              </w:rPr>
              <w:t xml:space="preserve">Wolfe, G.I, Herbelin, L., Nations, S.P, Foster, B., Bryan, W.W. &amp; </w:t>
            </w:r>
            <w:proofErr w:type="spellStart"/>
            <w:r w:rsidRPr="5669A5A1">
              <w:rPr>
                <w:rFonts w:ascii="Arial Narrow" w:eastAsiaTheme="majorEastAsia" w:hAnsi="Arial Narrow" w:cstheme="majorBidi"/>
                <w:sz w:val="20"/>
                <w:szCs w:val="20"/>
              </w:rPr>
              <w:t>Barohn</w:t>
            </w:r>
            <w:proofErr w:type="spellEnd"/>
            <w:r w:rsidRPr="5669A5A1">
              <w:rPr>
                <w:rFonts w:ascii="Arial Narrow" w:eastAsiaTheme="majorEastAsia" w:hAnsi="Arial Narrow" w:cstheme="majorBidi"/>
                <w:sz w:val="20"/>
                <w:szCs w:val="20"/>
              </w:rPr>
              <w:t>, R.J. 1999. Myasthenia gravis activities of daily living profile. Neurology, 52, 1487-9.</w:t>
            </w:r>
          </w:p>
        </w:tc>
      </w:tr>
      <w:tr w:rsidR="002E5012" w:rsidRPr="00B662CF" w14:paraId="4E8684C5" w14:textId="77777777" w:rsidTr="5669A5A1">
        <w:tc>
          <w:tcPr>
            <w:tcW w:w="5000" w:type="pct"/>
            <w:tcMar>
              <w:left w:w="57" w:type="dxa"/>
              <w:right w:w="57" w:type="dxa"/>
            </w:tcMar>
            <w:vAlign w:val="center"/>
          </w:tcPr>
          <w:p w14:paraId="5F760ABB" w14:textId="77777777" w:rsidR="002E5012" w:rsidRPr="00B662CF" w:rsidRDefault="002E5012" w:rsidP="00E55FD2">
            <w:pPr>
              <w:rPr>
                <w:rFonts w:ascii="Arial Narrow" w:eastAsiaTheme="majorEastAsia" w:hAnsi="Arial Narrow" w:cstheme="majorBidi"/>
                <w:b/>
                <w:bCs/>
                <w:sz w:val="20"/>
                <w:szCs w:val="20"/>
              </w:rPr>
            </w:pPr>
            <w:r w:rsidRPr="00B662CF">
              <w:rPr>
                <w:rFonts w:ascii="Arial Narrow" w:eastAsiaTheme="majorEastAsia" w:hAnsi="Arial Narrow" w:cstheme="majorBidi"/>
                <w:b/>
                <w:bCs/>
                <w:sz w:val="20"/>
                <w:szCs w:val="20"/>
              </w:rPr>
              <w:t>Administrative Advice:</w:t>
            </w:r>
          </w:p>
        </w:tc>
      </w:tr>
      <w:tr w:rsidR="002E5012" w:rsidRPr="00B662CF" w14:paraId="0F829AC3" w14:textId="77777777" w:rsidTr="5669A5A1">
        <w:tc>
          <w:tcPr>
            <w:tcW w:w="5000" w:type="pct"/>
            <w:tcMar>
              <w:left w:w="57" w:type="dxa"/>
              <w:right w:w="57" w:type="dxa"/>
            </w:tcMar>
            <w:vAlign w:val="center"/>
          </w:tcPr>
          <w:p w14:paraId="19A0556E"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sz w:val="20"/>
                <w:szCs w:val="20"/>
              </w:rPr>
              <w:t>The authority application must be made in writing and must include:</w:t>
            </w:r>
          </w:p>
          <w:p w14:paraId="36FA2AF6"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sz w:val="20"/>
                <w:szCs w:val="20"/>
              </w:rPr>
              <w:t xml:space="preserve"> (1) a completed authority prescription form; and</w:t>
            </w:r>
          </w:p>
          <w:p w14:paraId="364EFC94" w14:textId="77777777" w:rsidR="002E5012" w:rsidRPr="00B662CF" w:rsidRDefault="002E5012" w:rsidP="00E55FD2">
            <w:pPr>
              <w:rPr>
                <w:rFonts w:ascii="Arial Narrow" w:eastAsiaTheme="majorEastAsia" w:hAnsi="Arial Narrow" w:cstheme="majorBidi"/>
                <w:sz w:val="20"/>
                <w:szCs w:val="20"/>
              </w:rPr>
            </w:pPr>
            <w:r w:rsidRPr="5669A5A1">
              <w:rPr>
                <w:rFonts w:ascii="Arial Narrow" w:eastAsiaTheme="majorEastAsia" w:hAnsi="Arial Narrow" w:cstheme="majorBidi"/>
                <w:sz w:val="20"/>
                <w:szCs w:val="20"/>
              </w:rPr>
              <w:t xml:space="preserve"> (2) a completed authority application form relevant to the indication and treatment phase (the latest version is located on the website specified in the Administrative Advice); and</w:t>
            </w:r>
          </w:p>
          <w:p w14:paraId="0F3C921C"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sz w:val="20"/>
                <w:szCs w:val="20"/>
              </w:rPr>
              <w:t xml:space="preserve"> (3) At the time of the authority application, details (result and date of result) of the following monitoring requirements must be provided:</w:t>
            </w:r>
          </w:p>
          <w:p w14:paraId="21BDF592" w14:textId="77777777" w:rsidR="002E5012" w:rsidRPr="00B662CF" w:rsidRDefault="002E5012" w:rsidP="00E55FD2">
            <w:pPr>
              <w:rPr>
                <w:rFonts w:ascii="Arial Narrow" w:eastAsiaTheme="majorEastAsia" w:hAnsi="Arial Narrow" w:cstheme="majorBidi"/>
                <w:sz w:val="20"/>
                <w:szCs w:val="20"/>
              </w:rPr>
            </w:pPr>
            <w:r w:rsidRPr="00B662CF">
              <w:rPr>
                <w:rFonts w:ascii="Arial Narrow" w:eastAsiaTheme="majorEastAsia" w:hAnsi="Arial Narrow" w:cstheme="majorBidi"/>
                <w:sz w:val="20"/>
                <w:szCs w:val="20"/>
              </w:rPr>
              <w:t>Reason for temporarily ceasing treatment</w:t>
            </w:r>
          </w:p>
        </w:tc>
      </w:tr>
    </w:tbl>
    <w:p w14:paraId="2077F193" w14:textId="77777777" w:rsidR="002E5012" w:rsidRPr="00B662CF" w:rsidRDefault="002E5012" w:rsidP="00E55FD2">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9017"/>
      </w:tblGrid>
      <w:tr w:rsidR="002E5012" w:rsidRPr="00B662CF" w14:paraId="7B33355E" w14:textId="77777777" w:rsidTr="7FB99A72">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47B59DD" w14:textId="77777777" w:rsidR="002E5012" w:rsidRPr="00B662CF" w:rsidRDefault="002E5012" w:rsidP="00E55FD2">
            <w:pPr>
              <w:rPr>
                <w:rFonts w:ascii="Arial Narrow" w:hAnsi="Arial Narrow" w:cs="Times New Roman"/>
                <w:b/>
                <w:bCs/>
                <w:sz w:val="20"/>
                <w:szCs w:val="20"/>
              </w:rPr>
            </w:pPr>
            <w:r w:rsidRPr="00B662CF">
              <w:rPr>
                <w:rFonts w:ascii="Arial Narrow" w:hAnsi="Arial Narrow" w:cs="Times New Roman"/>
                <w:b/>
                <w:bCs/>
                <w:sz w:val="20"/>
                <w:szCs w:val="20"/>
              </w:rPr>
              <w:t>Category</w:t>
            </w:r>
            <w:r w:rsidRPr="00B662CF">
              <w:rPr>
                <w:rFonts w:ascii="Arial Narrow" w:hAnsi="Arial Narrow"/>
                <w:b/>
                <w:sz w:val="18"/>
                <w:szCs w:val="18"/>
              </w:rPr>
              <w:t>:</w:t>
            </w:r>
            <w:r w:rsidRPr="00B662CF">
              <w:rPr>
                <w:rFonts w:ascii="Arial Narrow" w:hAnsi="Arial Narrow" w:cs="Times New Roman"/>
                <w:b/>
                <w:bCs/>
                <w:sz w:val="20"/>
                <w:szCs w:val="20"/>
              </w:rPr>
              <w:t xml:space="preserve"> Program: </w:t>
            </w:r>
            <w:r w:rsidRPr="00B662CF">
              <w:rPr>
                <w:rFonts w:ascii="Arial Narrow" w:hAnsi="Arial Narrow" w:cs="Times New Roman"/>
                <w:sz w:val="20"/>
                <w:szCs w:val="20"/>
              </w:rPr>
              <w:t>Section 100 - Highly Specialised Drugs Program</w:t>
            </w:r>
          </w:p>
        </w:tc>
      </w:tr>
      <w:tr w:rsidR="002E5012" w:rsidRPr="00B662CF" w14:paraId="0EBB9BBD" w14:textId="77777777" w:rsidTr="7FB99A72">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6935F4A" w14:textId="77777777" w:rsidR="002E5012" w:rsidRPr="00B662CF" w:rsidRDefault="002E5012" w:rsidP="00E55FD2">
            <w:pPr>
              <w:rPr>
                <w:rFonts w:ascii="Arial Narrow" w:hAnsi="Arial Narrow" w:cs="Times New Roman"/>
                <w:b/>
                <w:bCs/>
                <w:sz w:val="20"/>
                <w:szCs w:val="20"/>
              </w:rPr>
            </w:pPr>
            <w:r w:rsidRPr="00B662CF">
              <w:rPr>
                <w:rFonts w:ascii="Arial Narrow" w:eastAsiaTheme="majorEastAsia" w:hAnsi="Arial Narrow" w:cstheme="majorBidi"/>
                <w:b/>
                <w:bCs/>
                <w:sz w:val="20"/>
                <w:szCs w:val="20"/>
              </w:rPr>
              <w:t xml:space="preserve">Prescriber type: </w:t>
            </w:r>
            <w:r w:rsidRPr="00B662CF">
              <w:rPr>
                <w:rFonts w:ascii="Arial Narrow" w:hAnsi="Arial Narrow"/>
                <w:sz w:val="20"/>
                <w:szCs w:val="20"/>
              </w:rPr>
              <w:t>Medical Practitioners</w:t>
            </w:r>
          </w:p>
        </w:tc>
      </w:tr>
      <w:tr w:rsidR="002E5012" w:rsidRPr="00B662CF" w14:paraId="465CBF9D" w14:textId="77777777" w:rsidTr="7FB99A72">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E524CE5" w14:textId="77777777" w:rsidR="002E5012" w:rsidRPr="00B662CF" w:rsidRDefault="002E5012" w:rsidP="00E55FD2">
            <w:pPr>
              <w:rPr>
                <w:rFonts w:ascii="Arial Narrow" w:hAnsi="Arial Narrow" w:cs="Times New Roman"/>
                <w:b/>
                <w:bCs/>
                <w:sz w:val="20"/>
                <w:szCs w:val="20"/>
              </w:rPr>
            </w:pPr>
            <w:r w:rsidRPr="00B662CF">
              <w:rPr>
                <w:rFonts w:ascii="Arial Narrow" w:hAnsi="Arial Narrow" w:cs="Times New Roman"/>
                <w:b/>
                <w:bCs/>
                <w:sz w:val="20"/>
                <w:szCs w:val="20"/>
              </w:rPr>
              <w:t xml:space="preserve">Restriction type: </w:t>
            </w:r>
            <w:r w:rsidRPr="00B662CF">
              <w:rPr>
                <w:rFonts w:ascii="Arial Narrow" w:hAnsi="Arial Narrow" w:cs="Times New Roman"/>
                <w:sz w:val="20"/>
                <w:szCs w:val="20"/>
              </w:rPr>
              <w:t>Authority Required</w:t>
            </w:r>
            <w:r w:rsidRPr="00B662CF">
              <w:rPr>
                <w:rFonts w:ascii="Arial Narrow" w:hAnsi="Arial Narrow" w:cstheme="majorBidi"/>
                <w:bCs/>
                <w:sz w:val="20"/>
                <w:szCs w:val="20"/>
              </w:rPr>
              <w:t xml:space="preserve"> (in writing only via post/HPOS upload)</w:t>
            </w:r>
          </w:p>
        </w:tc>
      </w:tr>
      <w:tr w:rsidR="002E5012" w:rsidRPr="00B662CF" w14:paraId="155AC6FB" w14:textId="77777777" w:rsidTr="7FB99A72">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F2FBC61" w14:textId="77777777" w:rsidR="002E5012" w:rsidRPr="00B662CF" w:rsidRDefault="002E5012" w:rsidP="00E55FD2">
            <w:pPr>
              <w:rPr>
                <w:rFonts w:ascii="Arial Narrow" w:hAnsi="Arial Narrow" w:cs="Times New Roman"/>
                <w:sz w:val="20"/>
                <w:szCs w:val="20"/>
              </w:rPr>
            </w:pPr>
            <w:r w:rsidRPr="00B662CF">
              <w:rPr>
                <w:rFonts w:ascii="Arial Narrow" w:hAnsi="Arial Narrow" w:cs="Times New Roman"/>
                <w:b/>
                <w:bCs/>
                <w:sz w:val="20"/>
                <w:szCs w:val="20"/>
              </w:rPr>
              <w:t>Caution:</w:t>
            </w:r>
            <w:r w:rsidRPr="00B662CF">
              <w:rPr>
                <w:rFonts w:ascii="Arial Narrow" w:hAnsi="Arial Narrow" w:cs="Times New Roman"/>
                <w:sz w:val="20"/>
                <w:szCs w:val="20"/>
              </w:rPr>
              <w:t xml:space="preserve"> C5 inhibitors increases the risk of meningococcal infections (septicaemia and/or meningitis). Please consult the approved PI for information about vaccination against meningococcal infection.</w:t>
            </w:r>
          </w:p>
        </w:tc>
      </w:tr>
      <w:tr w:rsidR="002E5012" w:rsidRPr="00B662CF" w14:paraId="7AF97A70" w14:textId="77777777" w:rsidTr="7FB99A72">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6905AD5" w14:textId="77777777" w:rsidR="002E5012" w:rsidRPr="00B662CF" w:rsidRDefault="002E5012" w:rsidP="00E55FD2">
            <w:pPr>
              <w:rPr>
                <w:rFonts w:ascii="Arial Narrow" w:hAnsi="Arial Narrow" w:cs="Times New Roman"/>
                <w:b/>
                <w:bCs/>
                <w:sz w:val="20"/>
                <w:szCs w:val="20"/>
              </w:rPr>
            </w:pPr>
            <w:r w:rsidRPr="00B662CF">
              <w:rPr>
                <w:rFonts w:ascii="Arial Narrow" w:hAnsi="Arial Narrow" w:cs="Times New Roman"/>
                <w:b/>
                <w:bCs/>
                <w:sz w:val="20"/>
                <w:szCs w:val="20"/>
              </w:rPr>
              <w:t xml:space="preserve">Condition: </w:t>
            </w:r>
            <w:r w:rsidRPr="00B662CF">
              <w:rPr>
                <w:rFonts w:ascii="Arial Narrow" w:hAnsi="Arial Narrow" w:cs="Times New Roman"/>
                <w:sz w:val="20"/>
                <w:szCs w:val="20"/>
              </w:rPr>
              <w:t>Generalised myasthenia gravis (gMG)</w:t>
            </w:r>
          </w:p>
        </w:tc>
      </w:tr>
      <w:tr w:rsidR="002E5012" w:rsidRPr="00B662CF" w14:paraId="21534938" w14:textId="77777777" w:rsidTr="7FB99A72">
        <w:tc>
          <w:tcPr>
            <w:tcW w:w="50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DB0B74" w14:textId="77777777" w:rsidR="002E5012" w:rsidRPr="00B662CF" w:rsidRDefault="002E5012" w:rsidP="00E55FD2">
            <w:pPr>
              <w:rPr>
                <w:rFonts w:ascii="Arial Narrow" w:hAnsi="Arial Narrow" w:cs="Times New Roman"/>
                <w:b/>
                <w:bCs/>
                <w:sz w:val="20"/>
                <w:szCs w:val="20"/>
              </w:rPr>
            </w:pPr>
            <w:r w:rsidRPr="00B662CF">
              <w:rPr>
                <w:rFonts w:ascii="Arial Narrow" w:hAnsi="Arial Narrow" w:cs="Times New Roman"/>
                <w:b/>
                <w:bCs/>
                <w:sz w:val="20"/>
                <w:szCs w:val="20"/>
              </w:rPr>
              <w:t xml:space="preserve">Indication: </w:t>
            </w:r>
            <w:r w:rsidRPr="00B662CF">
              <w:rPr>
                <w:rFonts w:ascii="Arial Narrow" w:hAnsi="Arial Narrow" w:cs="Times New Roman"/>
                <w:sz w:val="20"/>
                <w:szCs w:val="20"/>
              </w:rPr>
              <w:t>Generalised myasthenia gravis (gMG)</w:t>
            </w:r>
          </w:p>
        </w:tc>
      </w:tr>
      <w:tr w:rsidR="002E5012" w:rsidRPr="00B662CF" w14:paraId="3340C22D" w14:textId="77777777" w:rsidTr="7FB99A72">
        <w:tc>
          <w:tcPr>
            <w:tcW w:w="5000" w:type="pct"/>
            <w:tcMar>
              <w:left w:w="57" w:type="dxa"/>
              <w:right w:w="57" w:type="dxa"/>
            </w:tcMar>
            <w:vAlign w:val="center"/>
            <w:hideMark/>
          </w:tcPr>
          <w:p w14:paraId="132CA849" w14:textId="77777777" w:rsidR="002E5012" w:rsidRPr="00B662CF" w:rsidRDefault="002E5012" w:rsidP="00E55FD2">
            <w:pPr>
              <w:rPr>
                <w:rFonts w:ascii="Arial Narrow" w:hAnsi="Arial Narrow"/>
                <w:sz w:val="20"/>
                <w:szCs w:val="20"/>
              </w:rPr>
            </w:pPr>
            <w:r w:rsidRPr="00B662CF">
              <w:rPr>
                <w:rFonts w:ascii="Arial Narrow" w:hAnsi="Arial Narrow"/>
                <w:b/>
                <w:bCs/>
                <w:sz w:val="20"/>
                <w:szCs w:val="20"/>
              </w:rPr>
              <w:lastRenderedPageBreak/>
              <w:t>Treatment Phase:</w:t>
            </w:r>
            <w:r w:rsidRPr="00B662CF">
              <w:rPr>
                <w:rFonts w:ascii="Arial Narrow" w:hAnsi="Arial Narrow"/>
                <w:sz w:val="20"/>
                <w:szCs w:val="20"/>
              </w:rPr>
              <w:t xml:space="preserve"> Grandfather</w:t>
            </w:r>
          </w:p>
        </w:tc>
      </w:tr>
      <w:tr w:rsidR="002E5012" w:rsidRPr="00B662CF" w14:paraId="22424ABA" w14:textId="77777777" w:rsidTr="7FB99A72">
        <w:tc>
          <w:tcPr>
            <w:tcW w:w="5000" w:type="pct"/>
            <w:tcMar>
              <w:left w:w="57" w:type="dxa"/>
              <w:right w:w="57" w:type="dxa"/>
            </w:tcMar>
            <w:vAlign w:val="center"/>
            <w:hideMark/>
          </w:tcPr>
          <w:p w14:paraId="56660107" w14:textId="77777777" w:rsidR="002E5012" w:rsidRPr="00B662CF" w:rsidRDefault="002E5012" w:rsidP="00E55FD2">
            <w:pPr>
              <w:rPr>
                <w:rFonts w:ascii="Arial Narrow" w:hAnsi="Arial Narrow"/>
                <w:sz w:val="20"/>
                <w:szCs w:val="20"/>
              </w:rPr>
            </w:pPr>
            <w:r w:rsidRPr="00B662CF">
              <w:rPr>
                <w:rFonts w:ascii="Arial Narrow" w:hAnsi="Arial Narrow"/>
                <w:b/>
                <w:bCs/>
                <w:sz w:val="20"/>
                <w:szCs w:val="20"/>
              </w:rPr>
              <w:t>Clinical criteria:</w:t>
            </w:r>
          </w:p>
        </w:tc>
      </w:tr>
      <w:tr w:rsidR="002E5012" w:rsidRPr="00B662CF" w14:paraId="0EAD581C" w14:textId="77777777" w:rsidTr="7FB99A72">
        <w:tc>
          <w:tcPr>
            <w:tcW w:w="5000" w:type="pct"/>
            <w:tcMar>
              <w:left w:w="57" w:type="dxa"/>
              <w:right w:w="57" w:type="dxa"/>
            </w:tcMar>
            <w:vAlign w:val="center"/>
          </w:tcPr>
          <w:p w14:paraId="64398B99" w14:textId="77777777" w:rsidR="002E5012" w:rsidRPr="00B662CF" w:rsidRDefault="002E5012" w:rsidP="00E55FD2">
            <w:pPr>
              <w:rPr>
                <w:rFonts w:ascii="Arial Narrow" w:hAnsi="Arial Narrow"/>
                <w:sz w:val="20"/>
                <w:szCs w:val="20"/>
              </w:rPr>
            </w:pPr>
            <w:r w:rsidRPr="00B662CF">
              <w:rPr>
                <w:rFonts w:ascii="Arial Narrow" w:hAnsi="Arial Narrow"/>
                <w:sz w:val="20"/>
                <w:szCs w:val="20"/>
              </w:rPr>
              <w:t xml:space="preserve">Patient must have previously received non-PBS subsidised drug for this condition prior to [list date] </w:t>
            </w:r>
          </w:p>
        </w:tc>
      </w:tr>
      <w:tr w:rsidR="002E5012" w:rsidRPr="00B662CF" w14:paraId="185C31DF" w14:textId="77777777" w:rsidTr="7FB99A72">
        <w:tc>
          <w:tcPr>
            <w:tcW w:w="5000" w:type="pct"/>
            <w:tcMar>
              <w:left w:w="57" w:type="dxa"/>
              <w:right w:w="57" w:type="dxa"/>
            </w:tcMar>
            <w:vAlign w:val="center"/>
          </w:tcPr>
          <w:p w14:paraId="2B19D063" w14:textId="77777777" w:rsidR="002E5012" w:rsidRPr="00B662CF" w:rsidRDefault="002E5012" w:rsidP="00E55FD2">
            <w:pPr>
              <w:rPr>
                <w:rFonts w:ascii="Arial Narrow" w:hAnsi="Arial Narrow"/>
                <w:b/>
                <w:bCs/>
                <w:sz w:val="20"/>
                <w:szCs w:val="20"/>
                <w:highlight w:val="cyan"/>
              </w:rPr>
            </w:pPr>
            <w:r w:rsidRPr="00B662CF">
              <w:rPr>
                <w:rFonts w:ascii="Arial Narrow" w:hAnsi="Arial Narrow"/>
                <w:b/>
                <w:bCs/>
                <w:sz w:val="20"/>
                <w:szCs w:val="20"/>
              </w:rPr>
              <w:t>AND</w:t>
            </w:r>
          </w:p>
        </w:tc>
      </w:tr>
      <w:tr w:rsidR="002E5012" w:rsidRPr="00B662CF" w14:paraId="12E6CBF5" w14:textId="77777777" w:rsidTr="7FB99A72">
        <w:tc>
          <w:tcPr>
            <w:tcW w:w="5000" w:type="pct"/>
            <w:tcMar>
              <w:left w:w="57" w:type="dxa"/>
              <w:right w:w="57" w:type="dxa"/>
            </w:tcMar>
            <w:vAlign w:val="center"/>
          </w:tcPr>
          <w:p w14:paraId="23F1EB90" w14:textId="77777777" w:rsidR="002E5012" w:rsidRPr="00B662CF" w:rsidRDefault="002E5012" w:rsidP="00E55FD2">
            <w:pPr>
              <w:rPr>
                <w:rFonts w:ascii="Arial Narrow" w:hAnsi="Arial Narrow"/>
                <w:b/>
                <w:bCs/>
                <w:sz w:val="20"/>
                <w:szCs w:val="20"/>
                <w:highlight w:val="cyan"/>
              </w:rPr>
            </w:pPr>
            <w:r w:rsidRPr="00B662CF">
              <w:rPr>
                <w:rFonts w:ascii="Arial Narrow" w:eastAsiaTheme="majorEastAsia" w:hAnsi="Arial Narrow" w:cstheme="majorBidi"/>
                <w:b/>
                <w:bCs/>
                <w:sz w:val="20"/>
              </w:rPr>
              <w:t>Clinical criteria:</w:t>
            </w:r>
          </w:p>
        </w:tc>
      </w:tr>
      <w:tr w:rsidR="002E5012" w:rsidRPr="00B662CF" w14:paraId="0133CD40" w14:textId="77777777" w:rsidTr="7FB99A72">
        <w:tc>
          <w:tcPr>
            <w:tcW w:w="5000" w:type="pct"/>
            <w:tcMar>
              <w:left w:w="57" w:type="dxa"/>
              <w:right w:w="57" w:type="dxa"/>
            </w:tcMar>
            <w:vAlign w:val="center"/>
          </w:tcPr>
          <w:p w14:paraId="3B2B24E9" w14:textId="77777777" w:rsidR="002E5012" w:rsidRPr="00B662CF" w:rsidRDefault="002E5012" w:rsidP="00E55FD2">
            <w:pPr>
              <w:rPr>
                <w:rFonts w:ascii="Arial Narrow" w:hAnsi="Arial Narrow"/>
                <w:b/>
                <w:bCs/>
                <w:sz w:val="20"/>
                <w:szCs w:val="20"/>
                <w:highlight w:val="cyan"/>
              </w:rPr>
            </w:pPr>
            <w:r w:rsidRPr="00B662CF">
              <w:rPr>
                <w:rFonts w:ascii="Arial Narrow" w:eastAsiaTheme="majorEastAsia" w:hAnsi="Arial Narrow" w:cstheme="majorBidi"/>
                <w:bCs/>
                <w:sz w:val="20"/>
              </w:rPr>
              <w:t>Patient must be at least 18 years of age</w:t>
            </w:r>
          </w:p>
        </w:tc>
      </w:tr>
      <w:tr w:rsidR="002E5012" w:rsidRPr="00B662CF" w14:paraId="619F06A2" w14:textId="77777777" w:rsidTr="7FB99A72">
        <w:tc>
          <w:tcPr>
            <w:tcW w:w="5000" w:type="pct"/>
            <w:tcMar>
              <w:left w:w="57" w:type="dxa"/>
              <w:right w:w="57" w:type="dxa"/>
            </w:tcMar>
            <w:vAlign w:val="center"/>
          </w:tcPr>
          <w:p w14:paraId="3B55B21E" w14:textId="77777777" w:rsidR="002E5012" w:rsidRPr="00B662CF" w:rsidRDefault="002E5012" w:rsidP="00E55FD2">
            <w:pPr>
              <w:rPr>
                <w:rFonts w:ascii="Arial Narrow" w:hAnsi="Arial Narrow"/>
                <w:b/>
                <w:bCs/>
                <w:sz w:val="20"/>
                <w:szCs w:val="20"/>
              </w:rPr>
            </w:pPr>
            <w:r w:rsidRPr="00B662CF">
              <w:rPr>
                <w:rFonts w:ascii="Arial Narrow" w:hAnsi="Arial Narrow"/>
                <w:b/>
                <w:bCs/>
                <w:sz w:val="20"/>
                <w:szCs w:val="20"/>
              </w:rPr>
              <w:t>AND</w:t>
            </w:r>
          </w:p>
        </w:tc>
      </w:tr>
      <w:tr w:rsidR="002E5012" w:rsidRPr="00B662CF" w14:paraId="04BB8ACD" w14:textId="77777777" w:rsidTr="7FB99A72">
        <w:tc>
          <w:tcPr>
            <w:tcW w:w="5000" w:type="pct"/>
            <w:tcMar>
              <w:left w:w="57" w:type="dxa"/>
              <w:right w:w="57" w:type="dxa"/>
            </w:tcMar>
            <w:vAlign w:val="center"/>
          </w:tcPr>
          <w:p w14:paraId="2CCE6313" w14:textId="77777777" w:rsidR="002E5012" w:rsidRPr="00B662CF" w:rsidRDefault="002E5012" w:rsidP="00E55FD2">
            <w:pPr>
              <w:rPr>
                <w:rFonts w:ascii="Arial Narrow" w:hAnsi="Arial Narrow"/>
                <w:b/>
                <w:bCs/>
                <w:sz w:val="20"/>
                <w:szCs w:val="20"/>
              </w:rPr>
            </w:pPr>
            <w:r w:rsidRPr="00B662CF">
              <w:rPr>
                <w:rFonts w:ascii="Arial Narrow" w:hAnsi="Arial Narrow"/>
                <w:b/>
                <w:bCs/>
                <w:sz w:val="20"/>
                <w:szCs w:val="20"/>
              </w:rPr>
              <w:t>Clinical criteria:</w:t>
            </w:r>
          </w:p>
        </w:tc>
      </w:tr>
      <w:tr w:rsidR="002E5012" w:rsidRPr="00B662CF" w14:paraId="0CA74437" w14:textId="77777777" w:rsidTr="7FB99A72">
        <w:tc>
          <w:tcPr>
            <w:tcW w:w="5000" w:type="pct"/>
            <w:tcMar>
              <w:left w:w="57" w:type="dxa"/>
              <w:right w:w="57" w:type="dxa"/>
            </w:tcMar>
            <w:vAlign w:val="center"/>
            <w:hideMark/>
          </w:tcPr>
          <w:p w14:paraId="29C8851C" w14:textId="77777777" w:rsidR="002E5012" w:rsidRPr="00B662CF" w:rsidRDefault="002E5012" w:rsidP="00E55FD2">
            <w:pPr>
              <w:rPr>
                <w:rFonts w:ascii="Arial Narrow" w:hAnsi="Arial Narrow"/>
                <w:sz w:val="20"/>
                <w:szCs w:val="20"/>
              </w:rPr>
            </w:pPr>
            <w:r w:rsidRPr="00B662CF">
              <w:rPr>
                <w:rFonts w:ascii="Arial Narrow" w:hAnsi="Arial Narrow"/>
                <w:sz w:val="20"/>
                <w:szCs w:val="20"/>
              </w:rPr>
              <w:t>Patient must have a diagnosis of Myasthenia Gravis Foundation of America (MGFA) Disease Class II to IV at treatment initiation</w:t>
            </w:r>
          </w:p>
        </w:tc>
      </w:tr>
      <w:tr w:rsidR="002E5012" w:rsidRPr="00B662CF" w14:paraId="3419E16C" w14:textId="77777777" w:rsidTr="7FB99A72">
        <w:tc>
          <w:tcPr>
            <w:tcW w:w="5000" w:type="pct"/>
            <w:tcMar>
              <w:left w:w="57" w:type="dxa"/>
              <w:right w:w="57" w:type="dxa"/>
            </w:tcMar>
            <w:vAlign w:val="center"/>
            <w:hideMark/>
          </w:tcPr>
          <w:p w14:paraId="07F09893" w14:textId="77777777" w:rsidR="002E5012" w:rsidRPr="00B662CF" w:rsidRDefault="002E5012" w:rsidP="00E55FD2">
            <w:pPr>
              <w:rPr>
                <w:rFonts w:ascii="Arial Narrow" w:hAnsi="Arial Narrow"/>
                <w:sz w:val="20"/>
                <w:szCs w:val="20"/>
              </w:rPr>
            </w:pPr>
            <w:r w:rsidRPr="00B662CF">
              <w:rPr>
                <w:rFonts w:ascii="Arial Narrow" w:hAnsi="Arial Narrow"/>
                <w:b/>
                <w:bCs/>
                <w:sz w:val="20"/>
                <w:szCs w:val="20"/>
              </w:rPr>
              <w:t>AND</w:t>
            </w:r>
          </w:p>
        </w:tc>
      </w:tr>
      <w:tr w:rsidR="002E5012" w:rsidRPr="00B662CF" w14:paraId="234CFC03" w14:textId="77777777" w:rsidTr="7FB99A72">
        <w:tc>
          <w:tcPr>
            <w:tcW w:w="5000" w:type="pct"/>
            <w:tcMar>
              <w:left w:w="57" w:type="dxa"/>
              <w:right w:w="57" w:type="dxa"/>
            </w:tcMar>
            <w:vAlign w:val="center"/>
          </w:tcPr>
          <w:p w14:paraId="5FE9B18B" w14:textId="77777777" w:rsidR="002E5012" w:rsidRPr="00B662CF" w:rsidRDefault="002E5012" w:rsidP="00E55FD2">
            <w:pPr>
              <w:rPr>
                <w:rFonts w:ascii="Arial Narrow" w:hAnsi="Arial Narrow"/>
                <w:sz w:val="20"/>
                <w:szCs w:val="20"/>
              </w:rPr>
            </w:pPr>
            <w:r w:rsidRPr="00B662CF">
              <w:rPr>
                <w:rFonts w:ascii="Arial Narrow" w:hAnsi="Arial Narrow"/>
                <w:b/>
                <w:bCs/>
                <w:sz w:val="20"/>
                <w:szCs w:val="20"/>
              </w:rPr>
              <w:t>Clinical criteria:</w:t>
            </w:r>
          </w:p>
        </w:tc>
      </w:tr>
      <w:tr w:rsidR="002E5012" w:rsidRPr="00B662CF" w14:paraId="76781A69" w14:textId="77777777" w:rsidTr="7FB99A72">
        <w:tc>
          <w:tcPr>
            <w:tcW w:w="5000" w:type="pct"/>
            <w:tcMar>
              <w:left w:w="57" w:type="dxa"/>
              <w:right w:w="57" w:type="dxa"/>
            </w:tcMar>
            <w:vAlign w:val="center"/>
            <w:hideMark/>
          </w:tcPr>
          <w:p w14:paraId="5B6CC2C0" w14:textId="77777777" w:rsidR="002E5012" w:rsidRPr="00B662CF" w:rsidRDefault="002E5012" w:rsidP="00E55FD2">
            <w:pPr>
              <w:rPr>
                <w:rFonts w:ascii="Arial Narrow" w:hAnsi="Arial Narrow"/>
                <w:sz w:val="20"/>
                <w:szCs w:val="20"/>
              </w:rPr>
            </w:pPr>
            <w:r w:rsidRPr="00B662CF">
              <w:rPr>
                <w:rFonts w:ascii="Arial Narrow" w:hAnsi="Arial Narrow"/>
                <w:sz w:val="20"/>
                <w:szCs w:val="20"/>
              </w:rPr>
              <w:t>Patient must have a positive serology for acetylcholine receptor (</w:t>
            </w:r>
            <w:proofErr w:type="spellStart"/>
            <w:r w:rsidRPr="00B662CF">
              <w:rPr>
                <w:rFonts w:ascii="Arial Narrow" w:hAnsi="Arial Narrow"/>
                <w:sz w:val="20"/>
                <w:szCs w:val="20"/>
              </w:rPr>
              <w:t>AChR</w:t>
            </w:r>
            <w:proofErr w:type="spellEnd"/>
            <w:r w:rsidRPr="00B662CF">
              <w:rPr>
                <w:rFonts w:ascii="Arial Narrow" w:hAnsi="Arial Narrow"/>
                <w:sz w:val="20"/>
                <w:szCs w:val="20"/>
              </w:rPr>
              <w:t>) binding autoantibodies</w:t>
            </w:r>
          </w:p>
        </w:tc>
      </w:tr>
      <w:tr w:rsidR="002E5012" w:rsidRPr="00B662CF" w14:paraId="4CB4AC4E" w14:textId="77777777" w:rsidTr="7FB99A72">
        <w:tc>
          <w:tcPr>
            <w:tcW w:w="5000" w:type="pct"/>
            <w:tcMar>
              <w:left w:w="57" w:type="dxa"/>
              <w:right w:w="57" w:type="dxa"/>
            </w:tcMar>
            <w:vAlign w:val="center"/>
          </w:tcPr>
          <w:p w14:paraId="789A261A" w14:textId="77777777" w:rsidR="002E5012" w:rsidRPr="00B662CF" w:rsidRDefault="002E5012" w:rsidP="00E55FD2">
            <w:pPr>
              <w:rPr>
                <w:rFonts w:ascii="Arial Narrow" w:hAnsi="Arial Narrow"/>
                <w:sz w:val="20"/>
                <w:szCs w:val="20"/>
              </w:rPr>
            </w:pPr>
            <w:r w:rsidRPr="00B662CF">
              <w:rPr>
                <w:rFonts w:ascii="Arial Narrow" w:eastAsiaTheme="majorEastAsia" w:hAnsi="Arial Narrow" w:cstheme="majorBidi"/>
                <w:b/>
                <w:bCs/>
                <w:sz w:val="20"/>
              </w:rPr>
              <w:t>AND</w:t>
            </w:r>
          </w:p>
        </w:tc>
      </w:tr>
      <w:tr w:rsidR="002E5012" w:rsidRPr="00B662CF" w14:paraId="083F7ECD" w14:textId="77777777" w:rsidTr="7FB99A72">
        <w:tc>
          <w:tcPr>
            <w:tcW w:w="5000" w:type="pct"/>
            <w:tcMar>
              <w:left w:w="57" w:type="dxa"/>
              <w:right w:w="57" w:type="dxa"/>
            </w:tcMar>
            <w:vAlign w:val="center"/>
          </w:tcPr>
          <w:p w14:paraId="4A4305BA" w14:textId="77777777" w:rsidR="002E5012" w:rsidRPr="00B662CF" w:rsidRDefault="002E5012" w:rsidP="00E55FD2">
            <w:pPr>
              <w:rPr>
                <w:rFonts w:ascii="Arial Narrow" w:hAnsi="Arial Narrow"/>
                <w:sz w:val="20"/>
                <w:szCs w:val="20"/>
              </w:rPr>
            </w:pPr>
            <w:r w:rsidRPr="00B662CF">
              <w:rPr>
                <w:rFonts w:ascii="Arial Narrow" w:eastAsiaTheme="majorEastAsia" w:hAnsi="Arial Narrow" w:cstheme="majorBidi"/>
                <w:b/>
                <w:bCs/>
                <w:sz w:val="20"/>
              </w:rPr>
              <w:t>Clinical criteria:</w:t>
            </w:r>
          </w:p>
        </w:tc>
      </w:tr>
      <w:tr w:rsidR="002E5012" w:rsidRPr="00B662CF" w14:paraId="459CA143" w14:textId="77777777" w:rsidTr="7FB99A72">
        <w:tc>
          <w:tcPr>
            <w:tcW w:w="5000" w:type="pct"/>
            <w:tcMar>
              <w:left w:w="57" w:type="dxa"/>
              <w:right w:w="57" w:type="dxa"/>
            </w:tcMar>
            <w:vAlign w:val="center"/>
          </w:tcPr>
          <w:p w14:paraId="06F023DE" w14:textId="77777777" w:rsidR="002E5012" w:rsidRPr="00B662CF" w:rsidRDefault="002E5012" w:rsidP="00E55FD2">
            <w:pPr>
              <w:rPr>
                <w:rFonts w:ascii="Arial Narrow" w:hAnsi="Arial Narrow"/>
                <w:sz w:val="20"/>
                <w:szCs w:val="20"/>
              </w:rPr>
            </w:pPr>
            <w:r w:rsidRPr="00B662CF">
              <w:rPr>
                <w:rFonts w:ascii="Arial Narrow" w:eastAsiaTheme="majorEastAsia" w:hAnsi="Arial Narrow" w:cstheme="majorBidi"/>
                <w:bCs/>
                <w:sz w:val="20"/>
              </w:rPr>
              <w:t>Patient must have an MG-ADL score ≥ 6 at treatment initiation</w:t>
            </w:r>
          </w:p>
        </w:tc>
      </w:tr>
      <w:tr w:rsidR="002E5012" w:rsidRPr="00B662CF" w14:paraId="4322273A" w14:textId="77777777" w:rsidTr="7FB99A72">
        <w:tc>
          <w:tcPr>
            <w:tcW w:w="5000" w:type="pct"/>
            <w:tcMar>
              <w:left w:w="57" w:type="dxa"/>
              <w:right w:w="57" w:type="dxa"/>
            </w:tcMar>
            <w:vAlign w:val="center"/>
          </w:tcPr>
          <w:p w14:paraId="24E36839" w14:textId="77777777" w:rsidR="002E5012" w:rsidRPr="00B662CF" w:rsidRDefault="002E5012" w:rsidP="00E55FD2">
            <w:pPr>
              <w:rPr>
                <w:rFonts w:ascii="Arial Narrow" w:eastAsiaTheme="majorEastAsia" w:hAnsi="Arial Narrow" w:cstheme="majorBidi"/>
                <w:bCs/>
                <w:sz w:val="20"/>
              </w:rPr>
            </w:pPr>
            <w:r w:rsidRPr="00B662CF">
              <w:rPr>
                <w:rFonts w:ascii="Arial Narrow" w:eastAsiaTheme="majorEastAsia" w:hAnsi="Arial Narrow" w:cstheme="majorBidi"/>
                <w:b/>
                <w:bCs/>
                <w:sz w:val="20"/>
              </w:rPr>
              <w:t>AND</w:t>
            </w:r>
          </w:p>
        </w:tc>
      </w:tr>
      <w:tr w:rsidR="002E5012" w:rsidRPr="00B662CF" w14:paraId="2979848F" w14:textId="77777777" w:rsidTr="7FB99A72">
        <w:tc>
          <w:tcPr>
            <w:tcW w:w="5000" w:type="pct"/>
            <w:tcMar>
              <w:left w:w="57" w:type="dxa"/>
              <w:right w:w="57" w:type="dxa"/>
            </w:tcMar>
            <w:vAlign w:val="center"/>
          </w:tcPr>
          <w:p w14:paraId="1047B1B7" w14:textId="77777777" w:rsidR="002E5012" w:rsidRPr="00B662CF" w:rsidRDefault="002E5012" w:rsidP="00E55FD2">
            <w:pPr>
              <w:rPr>
                <w:rFonts w:ascii="Arial Narrow" w:eastAsiaTheme="majorEastAsia" w:hAnsi="Arial Narrow" w:cstheme="majorBidi"/>
                <w:bCs/>
                <w:sz w:val="20"/>
                <w:highlight w:val="yellow"/>
              </w:rPr>
            </w:pPr>
            <w:r w:rsidRPr="00B662CF">
              <w:rPr>
                <w:rFonts w:ascii="Arial Narrow" w:eastAsiaTheme="majorEastAsia" w:hAnsi="Arial Narrow" w:cstheme="majorBidi"/>
                <w:b/>
                <w:bCs/>
                <w:sz w:val="20"/>
              </w:rPr>
              <w:t>Clinical criteria:</w:t>
            </w:r>
          </w:p>
        </w:tc>
      </w:tr>
      <w:tr w:rsidR="002E5012" w:rsidRPr="00B662CF" w14:paraId="500B45CC" w14:textId="77777777" w:rsidTr="7FB99A72">
        <w:tc>
          <w:tcPr>
            <w:tcW w:w="5000" w:type="pct"/>
            <w:tcMar>
              <w:left w:w="57" w:type="dxa"/>
              <w:right w:w="57" w:type="dxa"/>
            </w:tcMar>
            <w:vAlign w:val="center"/>
          </w:tcPr>
          <w:p w14:paraId="35DF3BF0" w14:textId="77777777" w:rsidR="002E5012" w:rsidRPr="00B662CF" w:rsidRDefault="002E5012" w:rsidP="00E55FD2">
            <w:pPr>
              <w:rPr>
                <w:rFonts w:ascii="Arial Narrow" w:hAnsi="Arial Narrow"/>
                <w:b/>
                <w:bCs/>
                <w:sz w:val="20"/>
                <w:szCs w:val="20"/>
                <w:highlight w:val="yellow"/>
              </w:rPr>
            </w:pPr>
            <w:r w:rsidRPr="00B662CF">
              <w:rPr>
                <w:rFonts w:ascii="Arial Narrow" w:eastAsiaTheme="majorEastAsia" w:hAnsi="Arial Narrow" w:cstheme="majorBidi"/>
                <w:bCs/>
                <w:sz w:val="20"/>
              </w:rPr>
              <w:t>Patient must be receiving concomitant treatment with at least one of the following: (i) corticosteroid (ii) immunosuppressive therapy</w:t>
            </w:r>
          </w:p>
        </w:tc>
      </w:tr>
      <w:tr w:rsidR="002E5012" w:rsidRPr="00B662CF" w14:paraId="1055D6F4" w14:textId="77777777" w:rsidTr="7FB99A72">
        <w:tc>
          <w:tcPr>
            <w:tcW w:w="5000" w:type="pct"/>
            <w:tcMar>
              <w:left w:w="57" w:type="dxa"/>
              <w:right w:w="57" w:type="dxa"/>
            </w:tcMar>
            <w:vAlign w:val="center"/>
          </w:tcPr>
          <w:p w14:paraId="5B817441" w14:textId="77777777" w:rsidR="002E5012" w:rsidRPr="00B662CF" w:rsidRDefault="002E5012" w:rsidP="00E55FD2">
            <w:pPr>
              <w:rPr>
                <w:rFonts w:ascii="Arial Narrow" w:eastAsiaTheme="majorEastAsia" w:hAnsi="Arial Narrow" w:cstheme="majorBidi"/>
                <w:bCs/>
                <w:sz w:val="20"/>
              </w:rPr>
            </w:pPr>
            <w:r w:rsidRPr="00B662CF">
              <w:rPr>
                <w:rFonts w:ascii="Arial Narrow" w:eastAsiaTheme="majorEastAsia" w:hAnsi="Arial Narrow" w:cstheme="majorBidi"/>
                <w:b/>
                <w:bCs/>
                <w:sz w:val="20"/>
              </w:rPr>
              <w:t>AND</w:t>
            </w:r>
          </w:p>
        </w:tc>
      </w:tr>
      <w:tr w:rsidR="002E5012" w:rsidRPr="00B662CF" w14:paraId="2B072CD4" w14:textId="77777777" w:rsidTr="7FB99A72">
        <w:tc>
          <w:tcPr>
            <w:tcW w:w="5000" w:type="pct"/>
            <w:tcMar>
              <w:left w:w="57" w:type="dxa"/>
              <w:right w:w="57" w:type="dxa"/>
            </w:tcMar>
            <w:vAlign w:val="center"/>
          </w:tcPr>
          <w:p w14:paraId="4824135A" w14:textId="77777777" w:rsidR="002E5012" w:rsidRPr="00B662CF" w:rsidRDefault="002E5012" w:rsidP="00E55FD2">
            <w:pPr>
              <w:rPr>
                <w:rFonts w:ascii="Arial Narrow" w:eastAsiaTheme="majorEastAsia" w:hAnsi="Arial Narrow" w:cstheme="majorBidi"/>
                <w:bCs/>
                <w:sz w:val="20"/>
              </w:rPr>
            </w:pPr>
            <w:r w:rsidRPr="00B662CF">
              <w:rPr>
                <w:rFonts w:ascii="Arial Narrow" w:eastAsiaTheme="majorEastAsia" w:hAnsi="Arial Narrow" w:cstheme="majorBidi"/>
                <w:b/>
                <w:bCs/>
                <w:sz w:val="20"/>
              </w:rPr>
              <w:t>Clinical criteria:</w:t>
            </w:r>
          </w:p>
        </w:tc>
      </w:tr>
      <w:tr w:rsidR="002E5012" w:rsidRPr="00B662CF" w14:paraId="7DD2C4D2" w14:textId="77777777" w:rsidTr="7FB99A72">
        <w:tc>
          <w:tcPr>
            <w:tcW w:w="5000" w:type="pct"/>
            <w:tcMar>
              <w:left w:w="57" w:type="dxa"/>
              <w:right w:w="57" w:type="dxa"/>
            </w:tcMar>
            <w:vAlign w:val="center"/>
          </w:tcPr>
          <w:p w14:paraId="4D4F7F48" w14:textId="77777777" w:rsidR="002E5012" w:rsidRPr="00B662CF" w:rsidRDefault="002E5012" w:rsidP="00E55FD2">
            <w:pPr>
              <w:rPr>
                <w:rFonts w:ascii="Arial Narrow" w:eastAsiaTheme="majorEastAsia" w:hAnsi="Arial Narrow" w:cstheme="majorBidi"/>
                <w:bCs/>
                <w:sz w:val="20"/>
              </w:rPr>
            </w:pPr>
            <w:r w:rsidRPr="00B662CF">
              <w:rPr>
                <w:rFonts w:ascii="Arial Narrow" w:eastAsiaTheme="majorEastAsia" w:hAnsi="Arial Narrow" w:cstheme="majorBidi"/>
                <w:bCs/>
                <w:sz w:val="20"/>
              </w:rPr>
              <w:t>Patient must have been treated for at least 1 year with at least two of the following: (i) corticosteroids (ii) azathioprine, (iii) mycophenolate, (iv) ciclosporin (v) cyclophosphamide (vi) methotrexate at treatment initiation OR</w:t>
            </w:r>
          </w:p>
        </w:tc>
      </w:tr>
      <w:tr w:rsidR="002E5012" w:rsidRPr="00B662CF" w14:paraId="32840F56" w14:textId="77777777" w:rsidTr="7FB99A72">
        <w:tc>
          <w:tcPr>
            <w:tcW w:w="5000" w:type="pct"/>
            <w:tcMar>
              <w:left w:w="57" w:type="dxa"/>
              <w:right w:w="57" w:type="dxa"/>
            </w:tcMar>
            <w:vAlign w:val="center"/>
          </w:tcPr>
          <w:p w14:paraId="19D59A10" w14:textId="77777777" w:rsidR="002E5012" w:rsidRPr="00B662CF" w:rsidRDefault="002E5012" w:rsidP="00E55FD2">
            <w:pPr>
              <w:rPr>
                <w:rFonts w:ascii="Arial Narrow" w:eastAsiaTheme="majorEastAsia" w:hAnsi="Arial Narrow" w:cstheme="majorBidi"/>
                <w:bCs/>
                <w:sz w:val="20"/>
              </w:rPr>
            </w:pPr>
            <w:r w:rsidRPr="00B662CF">
              <w:rPr>
                <w:rFonts w:ascii="Arial Narrow" w:eastAsiaTheme="majorEastAsia" w:hAnsi="Arial Narrow" w:cstheme="majorBidi"/>
                <w:bCs/>
                <w:sz w:val="20"/>
              </w:rPr>
              <w:t>Patient must have a history of treatment over the past 1 year of plasma exchange or intravenous immunoglobulin (IVIg) at least every 3 months at treatment initiation</w:t>
            </w:r>
          </w:p>
        </w:tc>
      </w:tr>
      <w:tr w:rsidR="002E5012" w:rsidRPr="00B662CF" w14:paraId="1CE76213" w14:textId="77777777" w:rsidTr="7FB99A72">
        <w:tc>
          <w:tcPr>
            <w:tcW w:w="5000" w:type="pct"/>
            <w:shd w:val="clear" w:color="auto" w:fill="auto"/>
            <w:tcMar>
              <w:left w:w="57" w:type="dxa"/>
              <w:right w:w="57" w:type="dxa"/>
            </w:tcMar>
            <w:vAlign w:val="center"/>
          </w:tcPr>
          <w:p w14:paraId="0F4D2093" w14:textId="77777777" w:rsidR="002E5012" w:rsidRPr="00B662CF" w:rsidRDefault="002E5012" w:rsidP="00E55FD2">
            <w:pPr>
              <w:rPr>
                <w:rFonts w:ascii="Arial Narrow" w:hAnsi="Arial Narrow"/>
                <w:b/>
                <w:bCs/>
                <w:sz w:val="20"/>
                <w:szCs w:val="20"/>
              </w:rPr>
            </w:pPr>
            <w:r w:rsidRPr="00B662CF">
              <w:rPr>
                <w:rFonts w:ascii="Arial Narrow" w:eastAsiaTheme="majorEastAsia" w:hAnsi="Arial Narrow" w:cstheme="majorBidi"/>
                <w:b/>
                <w:bCs/>
                <w:sz w:val="20"/>
              </w:rPr>
              <w:t>AND</w:t>
            </w:r>
          </w:p>
        </w:tc>
      </w:tr>
      <w:tr w:rsidR="002E5012" w:rsidRPr="00B662CF" w14:paraId="62D9BA09" w14:textId="77777777" w:rsidTr="7FB99A72">
        <w:tc>
          <w:tcPr>
            <w:tcW w:w="5000" w:type="pct"/>
            <w:shd w:val="clear" w:color="auto" w:fill="auto"/>
            <w:tcMar>
              <w:left w:w="57" w:type="dxa"/>
              <w:right w:w="57" w:type="dxa"/>
            </w:tcMar>
            <w:vAlign w:val="center"/>
          </w:tcPr>
          <w:p w14:paraId="73AA2EFE" w14:textId="77777777" w:rsidR="002E5012" w:rsidRPr="00B662CF" w:rsidRDefault="002E5012" w:rsidP="00E55FD2">
            <w:pPr>
              <w:rPr>
                <w:rFonts w:ascii="Arial Narrow" w:eastAsiaTheme="majorEastAsia" w:hAnsi="Arial Narrow" w:cstheme="majorBidi"/>
                <w:bCs/>
                <w:sz w:val="20"/>
              </w:rPr>
            </w:pPr>
            <w:r w:rsidRPr="00B662CF">
              <w:rPr>
                <w:rFonts w:ascii="Arial Narrow" w:eastAsiaTheme="majorEastAsia" w:hAnsi="Arial Narrow" w:cstheme="majorBidi"/>
                <w:b/>
                <w:bCs/>
                <w:sz w:val="20"/>
              </w:rPr>
              <w:t>Clinical criteria:</w:t>
            </w:r>
          </w:p>
        </w:tc>
      </w:tr>
      <w:tr w:rsidR="002E5012" w:rsidRPr="00B662CF" w14:paraId="2FB9AAAF" w14:textId="77777777" w:rsidTr="7FB99A72">
        <w:tc>
          <w:tcPr>
            <w:tcW w:w="5000" w:type="pct"/>
            <w:shd w:val="clear" w:color="auto" w:fill="auto"/>
            <w:tcMar>
              <w:left w:w="57" w:type="dxa"/>
              <w:right w:w="57" w:type="dxa"/>
            </w:tcMar>
            <w:vAlign w:val="center"/>
          </w:tcPr>
          <w:p w14:paraId="55C2DD89" w14:textId="77777777" w:rsidR="002E5012" w:rsidRPr="00B662CF" w:rsidRDefault="002E5012" w:rsidP="00E55FD2">
            <w:pPr>
              <w:rPr>
                <w:rFonts w:ascii="Arial Narrow" w:eastAsiaTheme="majorEastAsia" w:hAnsi="Arial Narrow" w:cstheme="majorBidi"/>
                <w:bCs/>
                <w:sz w:val="20"/>
              </w:rPr>
            </w:pPr>
            <w:r w:rsidRPr="00B662CF">
              <w:rPr>
                <w:rFonts w:ascii="Arial Narrow" w:hAnsi="Arial Narrow" w:cs="Arial Narrow"/>
                <w:sz w:val="20"/>
                <w:szCs w:val="20"/>
              </w:rPr>
              <w:t>Must not be in combination with another complement inhibitor</w:t>
            </w:r>
          </w:p>
        </w:tc>
      </w:tr>
      <w:tr w:rsidR="002E5012" w:rsidRPr="00B662CF" w14:paraId="263B1740" w14:textId="77777777" w:rsidTr="7FB99A72">
        <w:tc>
          <w:tcPr>
            <w:tcW w:w="5000" w:type="pct"/>
            <w:shd w:val="clear" w:color="auto" w:fill="auto"/>
            <w:tcMar>
              <w:left w:w="57" w:type="dxa"/>
              <w:right w:w="57" w:type="dxa"/>
            </w:tcMar>
            <w:vAlign w:val="center"/>
            <w:hideMark/>
          </w:tcPr>
          <w:p w14:paraId="00D5D438" w14:textId="77777777" w:rsidR="002E5012" w:rsidRPr="00B662CF" w:rsidRDefault="002E5012" w:rsidP="00E55FD2">
            <w:pPr>
              <w:rPr>
                <w:rFonts w:ascii="Arial Narrow" w:hAnsi="Arial Narrow"/>
                <w:sz w:val="20"/>
                <w:szCs w:val="20"/>
              </w:rPr>
            </w:pPr>
            <w:r w:rsidRPr="00B662CF">
              <w:rPr>
                <w:rFonts w:ascii="Arial Narrow" w:hAnsi="Arial Narrow"/>
                <w:b/>
                <w:bCs/>
                <w:sz w:val="20"/>
                <w:szCs w:val="20"/>
              </w:rPr>
              <w:t>Treatment criteria:</w:t>
            </w:r>
          </w:p>
        </w:tc>
      </w:tr>
      <w:tr w:rsidR="002E5012" w:rsidRPr="00B662CF" w14:paraId="12AE3EEE" w14:textId="77777777" w:rsidTr="7FB99A72">
        <w:tblPrEx>
          <w:tblLook w:val="0000" w:firstRow="0" w:lastRow="0" w:firstColumn="0" w:lastColumn="0" w:noHBand="0" w:noVBand="0"/>
        </w:tblPrEx>
        <w:tc>
          <w:tcPr>
            <w:tcW w:w="5000" w:type="pct"/>
            <w:shd w:val="clear" w:color="auto" w:fill="auto"/>
            <w:tcMar>
              <w:left w:w="57" w:type="dxa"/>
              <w:right w:w="57" w:type="dxa"/>
            </w:tcMar>
            <w:vAlign w:val="center"/>
          </w:tcPr>
          <w:p w14:paraId="43F7C0DA" w14:textId="77777777" w:rsidR="002E5012" w:rsidRPr="00B662CF" w:rsidRDefault="002E5012" w:rsidP="00E55FD2">
            <w:pPr>
              <w:autoSpaceDE w:val="0"/>
              <w:autoSpaceDN w:val="0"/>
              <w:adjustRightInd w:val="0"/>
              <w:rPr>
                <w:rFonts w:ascii="Arial Narrow" w:hAnsi="Arial Narrow" w:cs="Arial Narrow"/>
                <w:sz w:val="20"/>
                <w:szCs w:val="20"/>
              </w:rPr>
            </w:pPr>
            <w:r w:rsidRPr="00B662CF">
              <w:rPr>
                <w:rFonts w:ascii="Arial Narrow" w:hAnsi="Arial Narrow" w:cs="Arial Narrow"/>
                <w:sz w:val="20"/>
                <w:szCs w:val="20"/>
              </w:rPr>
              <w:t>Must be treated by a neurologist</w:t>
            </w:r>
          </w:p>
        </w:tc>
      </w:tr>
      <w:tr w:rsidR="002E5012" w:rsidRPr="00B662CF" w14:paraId="3CEB3FEB" w14:textId="77777777" w:rsidTr="7FB99A72">
        <w:tblPrEx>
          <w:tblLook w:val="0000" w:firstRow="0" w:lastRow="0" w:firstColumn="0" w:lastColumn="0" w:noHBand="0" w:noVBand="0"/>
        </w:tblPrEx>
        <w:tc>
          <w:tcPr>
            <w:tcW w:w="5000" w:type="pct"/>
            <w:shd w:val="clear" w:color="auto" w:fill="auto"/>
            <w:tcMar>
              <w:left w:w="57" w:type="dxa"/>
              <w:right w:w="57" w:type="dxa"/>
            </w:tcMar>
            <w:vAlign w:val="center"/>
          </w:tcPr>
          <w:p w14:paraId="41B0F672" w14:textId="77777777" w:rsidR="002E5012" w:rsidRPr="00B662CF" w:rsidRDefault="002E5012" w:rsidP="00E55FD2">
            <w:pPr>
              <w:autoSpaceDE w:val="0"/>
              <w:autoSpaceDN w:val="0"/>
              <w:adjustRightInd w:val="0"/>
              <w:rPr>
                <w:rFonts w:ascii="Arial Narrow" w:hAnsi="Arial Narrow" w:cs="Arial Narrow"/>
                <w:b/>
                <w:bCs/>
                <w:sz w:val="20"/>
                <w:szCs w:val="20"/>
              </w:rPr>
            </w:pPr>
            <w:r w:rsidRPr="00B662CF">
              <w:rPr>
                <w:rFonts w:ascii="Arial Narrow" w:hAnsi="Arial Narrow" w:cs="Arial Narrow"/>
                <w:b/>
                <w:bCs/>
                <w:sz w:val="20"/>
                <w:szCs w:val="20"/>
              </w:rPr>
              <w:t>Note:</w:t>
            </w:r>
          </w:p>
        </w:tc>
      </w:tr>
      <w:tr w:rsidR="002E5012" w:rsidRPr="00B662CF" w14:paraId="48A3C1C7" w14:textId="77777777" w:rsidTr="7FB99A72">
        <w:tc>
          <w:tcPr>
            <w:tcW w:w="5000" w:type="pct"/>
            <w:shd w:val="clear" w:color="auto" w:fill="auto"/>
            <w:tcMar>
              <w:left w:w="57" w:type="dxa"/>
              <w:right w:w="57" w:type="dxa"/>
            </w:tcMar>
            <w:vAlign w:val="center"/>
          </w:tcPr>
          <w:p w14:paraId="27FFDF4F" w14:textId="77777777" w:rsidR="002E5012" w:rsidRPr="00B662CF" w:rsidRDefault="002E5012" w:rsidP="00E55FD2">
            <w:pPr>
              <w:rPr>
                <w:rFonts w:ascii="Arial Narrow" w:eastAsiaTheme="majorEastAsia" w:hAnsi="Arial Narrow" w:cstheme="majorBidi"/>
                <w:sz w:val="20"/>
              </w:rPr>
            </w:pPr>
            <w:r w:rsidRPr="00B662CF">
              <w:rPr>
                <w:rFonts w:ascii="Arial Narrow" w:eastAsiaTheme="majorEastAsia" w:hAnsi="Arial Narrow" w:cstheme="majorBidi"/>
                <w:sz w:val="20"/>
              </w:rPr>
              <w:t>The myasthenia gravis activities of daily living (MG-ADL) referenced in this restriction is described in the following literature publication:</w:t>
            </w:r>
          </w:p>
          <w:p w14:paraId="1E269160" w14:textId="77777777" w:rsidR="002E5012" w:rsidRPr="00B662CF" w:rsidRDefault="180142BD" w:rsidP="00E55FD2">
            <w:pPr>
              <w:autoSpaceDE w:val="0"/>
              <w:autoSpaceDN w:val="0"/>
              <w:adjustRightInd w:val="0"/>
              <w:rPr>
                <w:rFonts w:ascii="Arial Narrow" w:hAnsi="Arial Narrow" w:cs="Arial Narrow"/>
                <w:sz w:val="20"/>
                <w:szCs w:val="20"/>
              </w:rPr>
            </w:pPr>
            <w:r w:rsidRPr="7FB99A72">
              <w:rPr>
                <w:rFonts w:ascii="Arial Narrow" w:eastAsiaTheme="majorEastAsia" w:hAnsi="Arial Narrow" w:cstheme="majorBidi"/>
                <w:sz w:val="20"/>
                <w:szCs w:val="20"/>
              </w:rPr>
              <w:t xml:space="preserve">Wolfe, G.I, Herbelin, L., Nations, S.P, Foster, B., Bryan, W.W. &amp; </w:t>
            </w:r>
            <w:proofErr w:type="spellStart"/>
            <w:r w:rsidRPr="7FB99A72">
              <w:rPr>
                <w:rFonts w:ascii="Arial Narrow" w:eastAsiaTheme="majorEastAsia" w:hAnsi="Arial Narrow" w:cstheme="majorBidi"/>
                <w:sz w:val="20"/>
                <w:szCs w:val="20"/>
              </w:rPr>
              <w:t>Barohn</w:t>
            </w:r>
            <w:proofErr w:type="spellEnd"/>
            <w:r w:rsidRPr="7FB99A72">
              <w:rPr>
                <w:rFonts w:ascii="Arial Narrow" w:eastAsiaTheme="majorEastAsia" w:hAnsi="Arial Narrow" w:cstheme="majorBidi"/>
                <w:sz w:val="20"/>
                <w:szCs w:val="20"/>
              </w:rPr>
              <w:t>, R.J. 1999. Myasthenia gravis activities of daily living profile. Neurology, 52, 1487-9.</w:t>
            </w:r>
          </w:p>
        </w:tc>
      </w:tr>
      <w:tr w:rsidR="002E5012" w:rsidRPr="00B662CF" w14:paraId="3C01B0D6" w14:textId="77777777" w:rsidTr="7FB99A72">
        <w:tc>
          <w:tcPr>
            <w:tcW w:w="5000" w:type="pct"/>
            <w:shd w:val="clear" w:color="auto" w:fill="auto"/>
            <w:tcMar>
              <w:left w:w="57" w:type="dxa"/>
              <w:right w:w="57" w:type="dxa"/>
            </w:tcMar>
            <w:vAlign w:val="center"/>
          </w:tcPr>
          <w:p w14:paraId="4D4DC815" w14:textId="77777777" w:rsidR="002E5012" w:rsidRPr="00B662CF" w:rsidRDefault="002E5012" w:rsidP="00E55FD2">
            <w:pPr>
              <w:rPr>
                <w:rFonts w:ascii="Arial Narrow" w:hAnsi="Arial Narrow"/>
                <w:b/>
                <w:bCs/>
                <w:sz w:val="20"/>
                <w:szCs w:val="20"/>
              </w:rPr>
            </w:pPr>
            <w:r w:rsidRPr="00B662CF">
              <w:rPr>
                <w:rFonts w:ascii="Arial Narrow" w:hAnsi="Arial Narrow"/>
                <w:b/>
                <w:bCs/>
                <w:sz w:val="20"/>
                <w:szCs w:val="20"/>
              </w:rPr>
              <w:t>Administrative Advice:</w:t>
            </w:r>
          </w:p>
        </w:tc>
      </w:tr>
      <w:tr w:rsidR="002E5012" w:rsidRPr="00B662CF" w14:paraId="1A87B659" w14:textId="77777777" w:rsidTr="7FB99A72">
        <w:tc>
          <w:tcPr>
            <w:tcW w:w="5000" w:type="pct"/>
            <w:shd w:val="clear" w:color="auto" w:fill="auto"/>
            <w:tcMar>
              <w:left w:w="57" w:type="dxa"/>
              <w:right w:w="57" w:type="dxa"/>
            </w:tcMar>
            <w:vAlign w:val="center"/>
          </w:tcPr>
          <w:p w14:paraId="27E9C81A" w14:textId="77777777" w:rsidR="002E5012" w:rsidRPr="00B662CF" w:rsidRDefault="002E5012" w:rsidP="00E55FD2">
            <w:pPr>
              <w:spacing w:after="60"/>
              <w:contextualSpacing/>
              <w:rPr>
                <w:rFonts w:ascii="Arial Narrow" w:hAnsi="Arial Narrow"/>
                <w:sz w:val="20"/>
                <w:szCs w:val="20"/>
              </w:rPr>
            </w:pPr>
            <w:r w:rsidRPr="00B662CF">
              <w:rPr>
                <w:rFonts w:ascii="Arial Narrow" w:hAnsi="Arial Narrow"/>
                <w:sz w:val="20"/>
                <w:szCs w:val="20"/>
              </w:rPr>
              <w:t>The authority application must be made in writing and must include:</w:t>
            </w:r>
          </w:p>
          <w:p w14:paraId="4EAE566D" w14:textId="77777777" w:rsidR="002E5012" w:rsidRPr="00B662CF" w:rsidRDefault="002E5012" w:rsidP="00E55FD2">
            <w:pPr>
              <w:spacing w:after="60"/>
              <w:contextualSpacing/>
              <w:rPr>
                <w:rFonts w:ascii="Arial Narrow" w:hAnsi="Arial Narrow"/>
                <w:sz w:val="20"/>
                <w:szCs w:val="20"/>
              </w:rPr>
            </w:pPr>
            <w:r w:rsidRPr="00B662CF">
              <w:rPr>
                <w:rFonts w:ascii="Arial Narrow" w:hAnsi="Arial Narrow"/>
                <w:sz w:val="20"/>
                <w:szCs w:val="20"/>
              </w:rPr>
              <w:t xml:space="preserve"> (1) a completed authority prescription form; and</w:t>
            </w:r>
          </w:p>
          <w:p w14:paraId="11366A4B" w14:textId="425BA1A3" w:rsidR="002E5012" w:rsidRPr="00B662CF" w:rsidRDefault="002E5012" w:rsidP="00E55FD2">
            <w:pPr>
              <w:spacing w:after="60"/>
              <w:contextualSpacing/>
              <w:rPr>
                <w:rFonts w:ascii="Arial Narrow" w:hAnsi="Arial Narrow"/>
                <w:sz w:val="20"/>
                <w:szCs w:val="20"/>
              </w:rPr>
            </w:pPr>
            <w:r w:rsidRPr="78882673">
              <w:rPr>
                <w:rFonts w:ascii="Arial Narrow" w:hAnsi="Arial Narrow"/>
                <w:sz w:val="20"/>
                <w:szCs w:val="20"/>
              </w:rPr>
              <w:t xml:space="preserve"> (2) a completed authority application form relevant to the indication and treatment phase (the latest version is located on the website specified in the Administrative Advice); and</w:t>
            </w:r>
          </w:p>
          <w:p w14:paraId="6F9878CA" w14:textId="77777777" w:rsidR="002E5012" w:rsidRPr="00B662CF" w:rsidRDefault="002E5012" w:rsidP="00E55FD2">
            <w:pPr>
              <w:spacing w:after="60"/>
              <w:contextualSpacing/>
              <w:rPr>
                <w:rFonts w:ascii="Arial Narrow" w:hAnsi="Arial Narrow"/>
                <w:sz w:val="20"/>
                <w:szCs w:val="20"/>
              </w:rPr>
            </w:pPr>
            <w:r w:rsidRPr="00B662CF">
              <w:rPr>
                <w:rFonts w:ascii="Arial Narrow" w:hAnsi="Arial Narrow"/>
                <w:sz w:val="20"/>
                <w:szCs w:val="20"/>
              </w:rPr>
              <w:t xml:space="preserve"> (3) At the time of the authority application, details (result and date of result) of the following monitoring requirements must be provided:</w:t>
            </w:r>
          </w:p>
          <w:p w14:paraId="475ECA67" w14:textId="77777777" w:rsidR="002E5012" w:rsidRPr="00B662CF" w:rsidRDefault="002E5012" w:rsidP="00E55FD2">
            <w:pPr>
              <w:autoSpaceDE w:val="0"/>
              <w:autoSpaceDN w:val="0"/>
              <w:adjustRightInd w:val="0"/>
              <w:spacing w:after="60"/>
              <w:contextualSpacing/>
              <w:rPr>
                <w:rFonts w:ascii="Arial Narrow" w:hAnsi="Arial Narrow" w:cs="Arial Narrow"/>
                <w:sz w:val="20"/>
                <w:szCs w:val="20"/>
              </w:rPr>
            </w:pPr>
            <w:r w:rsidRPr="00B662CF">
              <w:rPr>
                <w:rFonts w:ascii="Arial Narrow" w:hAnsi="Arial Narrow"/>
                <w:sz w:val="20"/>
                <w:szCs w:val="20"/>
              </w:rPr>
              <w:t>Baseline MG-ADL score at treatment initiation of non-PBS subsidised drug for this condition</w:t>
            </w:r>
          </w:p>
        </w:tc>
      </w:tr>
    </w:tbl>
    <w:p w14:paraId="1AB5DF9B" w14:textId="6BA859AE" w:rsidR="008F1149" w:rsidRPr="00274A79" w:rsidRDefault="008F1149" w:rsidP="00E55FD2">
      <w:pPr>
        <w:pStyle w:val="COMexecsummnumbered"/>
      </w:pPr>
      <w:r w:rsidRPr="78882673">
        <w:t xml:space="preserve">The </w:t>
      </w:r>
      <w:r w:rsidRPr="0002252C">
        <w:t xml:space="preserve">resubmission proposed a special pricing arrangement for </w:t>
      </w:r>
      <w:proofErr w:type="spellStart"/>
      <w:r w:rsidRPr="0002252C">
        <w:t>zilucoplan</w:t>
      </w:r>
      <w:proofErr w:type="spellEnd"/>
      <w:r w:rsidRPr="0002252C">
        <w:t xml:space="preserve">, which represented a rebate of approximately </w:t>
      </w:r>
      <w:r w:rsidR="007510F8" w:rsidRPr="00271F88">
        <w:rPr>
          <w:color w:val="000000"/>
          <w:w w:val="15"/>
          <w:shd w:val="solid" w:color="000000" w:fill="000000"/>
          <w:fitText w:val="-20" w:id="-691334654"/>
          <w14:textFill>
            <w14:solidFill>
              <w14:srgbClr w14:val="000000">
                <w14:alpha w14:val="100000"/>
              </w14:srgbClr>
            </w14:solidFill>
          </w14:textFill>
        </w:rPr>
        <w:t>|</w:t>
      </w:r>
      <w:r w:rsidR="0077631D" w:rsidRPr="00271F88">
        <w:rPr>
          <w:color w:val="000000"/>
          <w:w w:val="15"/>
          <w:shd w:val="solid" w:color="000000" w:fill="000000"/>
          <w:fitText w:val="-20" w:id="-691334654"/>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54"/>
          <w14:textFill>
            <w14:solidFill>
              <w14:srgbClr w14:val="000000">
                <w14:alpha w14:val="100000"/>
              </w14:srgbClr>
            </w14:solidFill>
          </w14:textFill>
        </w:rPr>
        <w:t>|</w:t>
      </w:r>
      <w:r w:rsidRPr="0002252C">
        <w:t>% of the published DPMQ per script</w:t>
      </w:r>
      <w:r w:rsidR="001A2DE5">
        <w:t xml:space="preserve"> (the pre-PBAC response proposed revised published prices, not presented in the requested restriction above)</w:t>
      </w:r>
      <w:r w:rsidRPr="0002252C">
        <w:t>. The proposed effective AEMP was $</w:t>
      </w:r>
      <w:r w:rsidR="007510F8" w:rsidRPr="00271F88">
        <w:rPr>
          <w:color w:val="000000"/>
          <w:w w:val="15"/>
          <w:shd w:val="solid" w:color="000000" w:fill="000000"/>
          <w:fitText w:val="-20" w:id="-691334653"/>
          <w14:textFill>
            <w14:solidFill>
              <w14:srgbClr w14:val="000000">
                <w14:alpha w14:val="100000"/>
              </w14:srgbClr>
            </w14:solidFill>
          </w14:textFill>
        </w:rPr>
        <w:t>|</w:t>
      </w:r>
      <w:r w:rsidR="0077631D" w:rsidRPr="00271F88">
        <w:rPr>
          <w:color w:val="000000"/>
          <w:w w:val="15"/>
          <w:shd w:val="solid" w:color="000000" w:fill="000000"/>
          <w:fitText w:val="-20" w:id="-691334653"/>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53"/>
          <w14:textFill>
            <w14:solidFill>
              <w14:srgbClr w14:val="000000">
                <w14:alpha w14:val="100000"/>
              </w14:srgbClr>
            </w14:solidFill>
          </w14:textFill>
        </w:rPr>
        <w:t>|</w:t>
      </w:r>
      <w:r w:rsidRPr="0002252C">
        <w:t xml:space="preserve"> per mg, representing an </w:t>
      </w:r>
      <w:r w:rsidR="007510F8" w:rsidRPr="00271F88">
        <w:rPr>
          <w:color w:val="000000"/>
          <w:w w:val="15"/>
          <w:shd w:val="solid" w:color="000000" w:fill="000000"/>
          <w:fitText w:val="-20" w:id="-691334652"/>
          <w14:textFill>
            <w14:solidFill>
              <w14:srgbClr w14:val="000000">
                <w14:alpha w14:val="100000"/>
              </w14:srgbClr>
            </w14:solidFill>
          </w14:textFill>
        </w:rPr>
        <w:t>|</w:t>
      </w:r>
      <w:r w:rsidR="0077631D" w:rsidRPr="00271F88">
        <w:rPr>
          <w:color w:val="000000"/>
          <w:w w:val="15"/>
          <w:shd w:val="solid" w:color="000000" w:fill="000000"/>
          <w:fitText w:val="-20" w:id="-691334652"/>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52"/>
          <w14:textFill>
            <w14:solidFill>
              <w14:srgbClr w14:val="000000">
                <w14:alpha w14:val="100000"/>
              </w14:srgbClr>
            </w14:solidFill>
          </w14:textFill>
        </w:rPr>
        <w:t>|</w:t>
      </w:r>
      <w:r w:rsidRPr="0002252C">
        <w:t xml:space="preserve">% </w:t>
      </w:r>
      <w:r w:rsidRPr="0002252C">
        <w:lastRenderedPageBreak/>
        <w:t>increase compared to $</w:t>
      </w:r>
      <w:r w:rsidR="007510F8" w:rsidRPr="00271F88">
        <w:rPr>
          <w:color w:val="000000"/>
          <w:w w:val="15"/>
          <w:shd w:val="solid" w:color="000000" w:fill="000000"/>
          <w:fitText w:val="-20" w:id="-691334651"/>
          <w14:textFill>
            <w14:solidFill>
              <w14:srgbClr w14:val="000000">
                <w14:alpha w14:val="100000"/>
              </w14:srgbClr>
            </w14:solidFill>
          </w14:textFill>
        </w:rPr>
        <w:t>|</w:t>
      </w:r>
      <w:r w:rsidR="0077631D" w:rsidRPr="00271F88">
        <w:rPr>
          <w:color w:val="000000"/>
          <w:w w:val="15"/>
          <w:shd w:val="solid" w:color="000000" w:fill="000000"/>
          <w:fitText w:val="-20" w:id="-691334651"/>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51"/>
          <w14:textFill>
            <w14:solidFill>
              <w14:srgbClr w14:val="000000">
                <w14:alpha w14:val="100000"/>
              </w14:srgbClr>
            </w14:solidFill>
          </w14:textFill>
        </w:rPr>
        <w:t>|</w:t>
      </w:r>
      <w:r w:rsidRPr="0002252C">
        <w:t xml:space="preserve"> per mg in the July 2024 submission. The PBAC previously considered that the proposed price was very </w:t>
      </w:r>
      <w:r w:rsidR="001647B5" w:rsidRPr="0002252C">
        <w:t>high,</w:t>
      </w:r>
      <w:r w:rsidRPr="0002252C">
        <w:t xml:space="preserve"> and a substantial price reduction would be required (para 7.20, </w:t>
      </w:r>
      <w:proofErr w:type="spellStart"/>
      <w:r w:rsidRPr="0002252C">
        <w:t>zilucoplan</w:t>
      </w:r>
      <w:proofErr w:type="spellEnd"/>
      <w:r w:rsidRPr="0002252C">
        <w:t xml:space="preserve"> </w:t>
      </w:r>
      <w:r w:rsidR="002046F2" w:rsidRPr="0002252C">
        <w:rPr>
          <w:rFonts w:eastAsia="PlantinStd"/>
        </w:rPr>
        <w:t xml:space="preserve">PBAC </w:t>
      </w:r>
      <w:r w:rsidR="00C61ACA">
        <w:rPr>
          <w:rFonts w:eastAsia="PlantinStd"/>
        </w:rPr>
        <w:t>Public Summary Document [PSD]</w:t>
      </w:r>
      <w:r w:rsidRPr="0002252C">
        <w:t>, July 2024 PBAC meeting).</w:t>
      </w:r>
      <w:r w:rsidR="00986FB3" w:rsidRPr="0002252C">
        <w:t xml:space="preserve"> </w:t>
      </w:r>
      <w:r w:rsidR="00055B3E" w:rsidRPr="0002252C">
        <w:t xml:space="preserve">The </w:t>
      </w:r>
      <w:r w:rsidR="00467A4B" w:rsidRPr="00467A4B">
        <w:t xml:space="preserve">Pre-Sub-Committee Response </w:t>
      </w:r>
      <w:r w:rsidR="00467A4B">
        <w:t>(</w:t>
      </w:r>
      <w:r w:rsidR="00055B3E" w:rsidRPr="0002252C">
        <w:t>PSCR</w:t>
      </w:r>
      <w:r w:rsidR="00467A4B">
        <w:t>)</w:t>
      </w:r>
      <w:r w:rsidR="00055B3E" w:rsidRPr="0002252C">
        <w:t xml:space="preserve"> </w:t>
      </w:r>
      <w:r w:rsidR="007B523E" w:rsidRPr="0002252C">
        <w:t>outline</w:t>
      </w:r>
      <w:r w:rsidR="00055B3E" w:rsidRPr="0002252C">
        <w:t xml:space="preserve">d that </w:t>
      </w:r>
      <w:r w:rsidR="00070EAA" w:rsidRPr="0002252C">
        <w:t xml:space="preserve">a higher price was proposed due to the </w:t>
      </w:r>
      <w:r w:rsidR="007B523E" w:rsidRPr="0002252C">
        <w:t xml:space="preserve">higher clinical need </w:t>
      </w:r>
      <w:r w:rsidR="00070EAA" w:rsidRPr="0002252C">
        <w:t xml:space="preserve">in the revised population and a </w:t>
      </w:r>
      <w:r w:rsidR="007B523E" w:rsidRPr="0002252C">
        <w:t xml:space="preserve">smaller </w:t>
      </w:r>
      <w:r w:rsidR="00070EAA" w:rsidRPr="0002252C">
        <w:t xml:space="preserve">target </w:t>
      </w:r>
      <w:r w:rsidR="007B523E" w:rsidRPr="0002252C">
        <w:t>population compared with the July 2024 submission</w:t>
      </w:r>
      <w:r w:rsidR="00070EAA" w:rsidRPr="0002252C">
        <w:t>.</w:t>
      </w:r>
      <w:r w:rsidR="00055B3E" w:rsidRPr="78882673">
        <w:rPr>
          <w:i/>
          <w:iCs/>
        </w:rPr>
        <w:t xml:space="preserve"> </w:t>
      </w:r>
    </w:p>
    <w:p w14:paraId="3E68969B" w14:textId="69E901B5" w:rsidR="00274A79" w:rsidRDefault="00274A79" w:rsidP="00E55FD2">
      <w:pPr>
        <w:pStyle w:val="COMexecsummnumbered"/>
      </w:pPr>
      <w:r w:rsidRPr="00274A79">
        <w:t>The resubmission requested listing in treatment refractory patients only</w:t>
      </w:r>
      <w:r w:rsidR="00A930A8">
        <w:t xml:space="preserve"> given this is the patient group with the highest clinical need</w:t>
      </w:r>
      <w:r w:rsidRPr="00274A79">
        <w:t xml:space="preserve">, however, in its July 2024 consideration the PBAC had expressed a preference for listing the new gMG therapies in a broad population. The July 2024 PBAC </w:t>
      </w:r>
      <w:r w:rsidR="00C61ACA">
        <w:t>PSD</w:t>
      </w:r>
      <w:r w:rsidR="00C61ACA" w:rsidRPr="00274A79">
        <w:t xml:space="preserve"> </w:t>
      </w:r>
      <w:r w:rsidRPr="00274A79">
        <w:t xml:space="preserve">stated that any proposal to list </w:t>
      </w:r>
      <w:proofErr w:type="spellStart"/>
      <w:r>
        <w:t>zilucoplan</w:t>
      </w:r>
      <w:proofErr w:type="spellEnd"/>
      <w:r>
        <w:t xml:space="preserve"> </w:t>
      </w:r>
      <w:r w:rsidRPr="00274A79">
        <w:t xml:space="preserve">in a narrower population (i.e. refractory patients): should be supported by clinical evidence; would need to include an RSA proposal to manage the risk of use outside the intended listing; and could use chronic IVIg/PLEX as a frame of reference for interpreting the cost per patient (paragraph 7.21, </w:t>
      </w:r>
      <w:proofErr w:type="spellStart"/>
      <w:r w:rsidRPr="00274A79">
        <w:t>zilucoplan</w:t>
      </w:r>
      <w:proofErr w:type="spellEnd"/>
      <w:r w:rsidRPr="00274A79">
        <w:t xml:space="preserve"> </w:t>
      </w:r>
      <w:r w:rsidR="00C61ACA">
        <w:t>PSD</w:t>
      </w:r>
      <w:r w:rsidRPr="00274A79">
        <w:t xml:space="preserve">, July 2024 PBAC meeting). The ESC considered that the resubmission had not adequately addressed these issues (e.g. the RSA proposal was based on likely overestimated utilisation estimates, and the frame of reference versus chronic IVIg/PLEX was not addressed) and thus the case for the narrower treatment setting proposed in the resubmission may not have been adequately justified. </w:t>
      </w:r>
    </w:p>
    <w:p w14:paraId="288FA3C9" w14:textId="5A49820E" w:rsidR="001E68C3" w:rsidRPr="001E68C3" w:rsidRDefault="001E68C3" w:rsidP="00E55FD2">
      <w:pPr>
        <w:pStyle w:val="COMexecsummnumbered"/>
        <w:numPr>
          <w:ilvl w:val="0"/>
          <w:numId w:val="0"/>
        </w:numPr>
        <w:outlineLvl w:val="1"/>
        <w:rPr>
          <w:i/>
          <w:iCs/>
          <w:u w:val="single"/>
        </w:rPr>
      </w:pPr>
      <w:r>
        <w:rPr>
          <w:i/>
          <w:iCs/>
          <w:u w:val="single"/>
        </w:rPr>
        <w:t xml:space="preserve">Refractory population proposed in the resubmission </w:t>
      </w:r>
    </w:p>
    <w:p w14:paraId="7A865AA5" w14:textId="3BBECE4E" w:rsidR="00BE7D22" w:rsidRPr="008D55C9" w:rsidRDefault="00BE7D22" w:rsidP="00E55FD2">
      <w:pPr>
        <w:pStyle w:val="COMexecsummnumbered"/>
      </w:pPr>
      <w:r w:rsidRPr="78882673">
        <w:t xml:space="preserve">The proposed PBS restriction in the resubmission </w:t>
      </w:r>
      <w:r w:rsidR="00071E55" w:rsidRPr="78882673">
        <w:t>wa</w:t>
      </w:r>
      <w:r w:rsidRPr="78882673">
        <w:t>s narrower than the TGA indication due to additional clinical criteria for functional impairment, treatment refractory status, co-administered therapies and treatment response.</w:t>
      </w:r>
    </w:p>
    <w:p w14:paraId="6B034A21" w14:textId="613E875C" w:rsidR="008F1149" w:rsidRPr="008D55C9" w:rsidRDefault="008F1149" w:rsidP="00E55FD2">
      <w:pPr>
        <w:pStyle w:val="COMexecsummnumbered"/>
        <w:rPr>
          <w:lang w:val="en-GB"/>
        </w:rPr>
      </w:pPr>
      <w:r w:rsidRPr="008D55C9">
        <w:rPr>
          <w:lang w:val="en-GB"/>
        </w:rPr>
        <w:t xml:space="preserve">The revised restriction proposed in the resubmission </w:t>
      </w:r>
      <w:r w:rsidR="00071E55">
        <w:rPr>
          <w:lang w:val="en-GB"/>
        </w:rPr>
        <w:t>was</w:t>
      </w:r>
      <w:r w:rsidR="00071E55" w:rsidRPr="008D55C9">
        <w:rPr>
          <w:lang w:val="en-GB"/>
        </w:rPr>
        <w:t xml:space="preserve"> </w:t>
      </w:r>
      <w:r w:rsidRPr="008D55C9">
        <w:rPr>
          <w:lang w:val="en-GB"/>
        </w:rPr>
        <w:t>also narrower than the restriction proposed in the July 2024 submission due to additional criteria defining functional impairment and treatment refractory status. Other differences in the proposed restriction include removal of the criteria for concomitant treatment with an acetylcholinesterase inhibitor, a revised response criterion, and revised duration of treatment for balance of supply.</w:t>
      </w:r>
    </w:p>
    <w:p w14:paraId="783FCDAB" w14:textId="7673E470" w:rsidR="008F1149" w:rsidRPr="0002252C" w:rsidRDefault="008F1149" w:rsidP="00E55FD2">
      <w:pPr>
        <w:pStyle w:val="COMexecsummnumbered"/>
        <w:rPr>
          <w:lang w:val="en-GB"/>
        </w:rPr>
      </w:pPr>
      <w:r w:rsidRPr="008D55C9">
        <w:rPr>
          <w:lang w:val="en-GB"/>
        </w:rPr>
        <w:t xml:space="preserve">The resubmission acknowledged that there was no consensus definition of treatment refractory disease for myasthenia gravis. However, the resubmission adapted the criteria from the key clinical trial as a working definition of treatment refractory disease: treatment for </w:t>
      </w:r>
      <w:r w:rsidRPr="0002252C">
        <w:rPr>
          <w:lang w:val="en-GB"/>
        </w:rPr>
        <w:t>at least 1 year with 2 or more of corticosteroids, azathioprine, mycophenolate, ciclosporin, cyclophosphamide, or methotrexate; or history of treatment over the past year of PLEX or IVIg at least every 3 months.</w:t>
      </w:r>
      <w:r w:rsidR="003D1257" w:rsidRPr="0002252C">
        <w:t xml:space="preserve"> </w:t>
      </w:r>
      <w:r w:rsidR="005040D7" w:rsidRPr="0002252C">
        <w:t xml:space="preserve">However, </w:t>
      </w:r>
      <w:r w:rsidR="00051AB5" w:rsidRPr="0002252C">
        <w:t>given</w:t>
      </w:r>
      <w:r w:rsidR="003D1257" w:rsidRPr="0002252C">
        <w:rPr>
          <w:lang w:val="en-GB"/>
        </w:rPr>
        <w:t xml:space="preserve"> the fluctuating nature of symptoms in myasthenia gravis,</w:t>
      </w:r>
      <w:r w:rsidR="00497D9A" w:rsidRPr="0002252C">
        <w:rPr>
          <w:lang w:val="en-GB"/>
        </w:rPr>
        <w:t xml:space="preserve"> the evaluation considered that</w:t>
      </w:r>
      <w:r w:rsidR="003D1257" w:rsidRPr="0002252C">
        <w:rPr>
          <w:lang w:val="en-GB"/>
        </w:rPr>
        <w:t xml:space="preserve"> a prior history of use does not necessarily indicate </w:t>
      </w:r>
      <w:r w:rsidR="00BF0BE3" w:rsidRPr="0002252C">
        <w:rPr>
          <w:lang w:val="en-GB"/>
        </w:rPr>
        <w:t xml:space="preserve">patients are refractory to therapy. </w:t>
      </w:r>
    </w:p>
    <w:p w14:paraId="34236C2A" w14:textId="26E767B3" w:rsidR="007C250F" w:rsidRPr="0002252C" w:rsidRDefault="00291DD1" w:rsidP="00E55FD2">
      <w:pPr>
        <w:pStyle w:val="COMexecsummnumbered"/>
      </w:pPr>
      <w:r w:rsidRPr="0002252C">
        <w:t xml:space="preserve">As outlined in </w:t>
      </w:r>
      <w:r w:rsidR="004344F6">
        <w:t>Section 7</w:t>
      </w:r>
      <w:r w:rsidRPr="0002252C">
        <w:t xml:space="preserve">, </w:t>
      </w:r>
      <w:r w:rsidR="007C250F" w:rsidRPr="0002252C">
        <w:t xml:space="preserve">the ESC considered </w:t>
      </w:r>
      <w:r w:rsidRPr="0002252C">
        <w:t xml:space="preserve">that </w:t>
      </w:r>
      <w:r w:rsidR="007C250F" w:rsidRPr="0002252C">
        <w:t>any PBS restriction</w:t>
      </w:r>
      <w:r w:rsidRPr="0002252C">
        <w:t xml:space="preserve"> for the</w:t>
      </w:r>
      <w:r w:rsidR="007C250F" w:rsidRPr="0002252C">
        <w:t xml:space="preserve"> </w:t>
      </w:r>
      <w:r w:rsidRPr="0002252C">
        <w:t xml:space="preserve">treatment refractory setting </w:t>
      </w:r>
      <w:r w:rsidR="007C250F" w:rsidRPr="0002252C">
        <w:t xml:space="preserve">should require the patient to have prior treatment for at least one </w:t>
      </w:r>
      <w:r w:rsidR="007C250F" w:rsidRPr="0002252C">
        <w:lastRenderedPageBreak/>
        <w:t>year. The ESC considered that further work would be required to determine the specific therapies and durations.</w:t>
      </w:r>
    </w:p>
    <w:p w14:paraId="17C5DEFF" w14:textId="77777777" w:rsidR="0010372F" w:rsidRPr="008D55C9" w:rsidRDefault="008F1149" w:rsidP="00E55FD2">
      <w:pPr>
        <w:pStyle w:val="COMexecsummnumbered"/>
        <w:rPr>
          <w:lang w:val="en-GB"/>
        </w:rPr>
      </w:pPr>
      <w:r w:rsidRPr="0002252C">
        <w:rPr>
          <w:lang w:val="en-GB"/>
        </w:rPr>
        <w:t>International clinical treatment guidelines (Sanders 2016) define treatment refractory patients as having a post-intervention status that was unchanged or worse after corticosteroids and at least 2 other</w:t>
      </w:r>
      <w:r w:rsidRPr="008D55C9">
        <w:rPr>
          <w:lang w:val="en-GB"/>
        </w:rPr>
        <w:t xml:space="preserve"> immunosuppressive agents, used in adequate doses for an adequate duration, with persistent symptoms or side effects that limit functioning (as defined by patient and physician).</w:t>
      </w:r>
    </w:p>
    <w:p w14:paraId="31D710FE" w14:textId="57FCAC78" w:rsidR="0010372F" w:rsidRPr="0002252C" w:rsidRDefault="008F1149" w:rsidP="00E55FD2">
      <w:pPr>
        <w:pStyle w:val="COMexecsummnumbered"/>
        <w:rPr>
          <w:lang w:val="en-GB"/>
        </w:rPr>
      </w:pPr>
      <w:r w:rsidRPr="008D55C9">
        <w:rPr>
          <w:lang w:val="en-GB"/>
        </w:rPr>
        <w:t xml:space="preserve">The PBAC previously noted that, in clinical practice, </w:t>
      </w:r>
      <w:r w:rsidR="00B1420A" w:rsidRPr="008D55C9">
        <w:rPr>
          <w:lang w:val="en-GB"/>
        </w:rPr>
        <w:t>treatment refractory</w:t>
      </w:r>
      <w:r w:rsidRPr="008D55C9">
        <w:rPr>
          <w:lang w:val="en-GB"/>
        </w:rPr>
        <w:t xml:space="preserve"> disease may include patients who: have disease that is unchanged or worse after corticosteroids and at least one other immunosuppressive agent (used at an adequate dose and for an adequate duration) with persistent symptoms or side effects that limit function; need ongoing rescue therapy with IVIg/PLEX or who experience frequent crises while on immunotherapy; or with intolerable adverse reactions or the presence of comorbid illnesses that preclude use of </w:t>
      </w:r>
      <w:r w:rsidRPr="0002252C">
        <w:rPr>
          <w:lang w:val="en-GB"/>
        </w:rPr>
        <w:t>conventional immunotherapies (</w:t>
      </w:r>
      <w:r w:rsidR="004F5960" w:rsidRPr="004F5960">
        <w:t>paragraph</w:t>
      </w:r>
      <w:r w:rsidRPr="0002252C">
        <w:rPr>
          <w:lang w:val="en-GB"/>
        </w:rPr>
        <w:t xml:space="preserve"> 4.12, </w:t>
      </w:r>
      <w:proofErr w:type="spellStart"/>
      <w:r w:rsidRPr="0002252C">
        <w:rPr>
          <w:lang w:val="en-GB"/>
        </w:rPr>
        <w:t>zilucoplan</w:t>
      </w:r>
      <w:proofErr w:type="spellEnd"/>
      <w:r w:rsidRPr="0002252C">
        <w:rPr>
          <w:lang w:val="en-GB"/>
        </w:rPr>
        <w:t xml:space="preserve"> </w:t>
      </w:r>
      <w:r w:rsidR="002046F2" w:rsidRPr="0002252C">
        <w:rPr>
          <w:rFonts w:eastAsia="PlantinStd"/>
        </w:rPr>
        <w:t xml:space="preserve">PBAC </w:t>
      </w:r>
      <w:r w:rsidR="00C61ACA">
        <w:rPr>
          <w:rFonts w:eastAsia="PlantinStd"/>
        </w:rPr>
        <w:t>PSD</w:t>
      </w:r>
      <w:r w:rsidRPr="0002252C">
        <w:rPr>
          <w:lang w:val="en-GB"/>
        </w:rPr>
        <w:t>, July 2024 PBAC meeting).</w:t>
      </w:r>
    </w:p>
    <w:p w14:paraId="5F0D7A7D" w14:textId="01A36F15" w:rsidR="008F1149" w:rsidRPr="008D55C9" w:rsidRDefault="008F1149" w:rsidP="00E55FD2">
      <w:pPr>
        <w:pStyle w:val="COMexecsummnumbered"/>
      </w:pPr>
      <w:r w:rsidRPr="0002252C">
        <w:t xml:space="preserve">The resubmission proposed switching the instrument used to assess functional impairment from the </w:t>
      </w:r>
      <w:r w:rsidR="002E27C8">
        <w:t>M</w:t>
      </w:r>
      <w:r w:rsidR="002E27C8" w:rsidRPr="00B162C2">
        <w:t xml:space="preserve">yasthenia </w:t>
      </w:r>
      <w:r w:rsidR="002E27C8">
        <w:t>G</w:t>
      </w:r>
      <w:r w:rsidR="002E27C8" w:rsidRPr="00B162C2">
        <w:t xml:space="preserve">ravis </w:t>
      </w:r>
      <w:r w:rsidR="002E27C8">
        <w:t>C</w:t>
      </w:r>
      <w:r w:rsidR="002E27C8" w:rsidRPr="00B162C2">
        <w:t>omposite score</w:t>
      </w:r>
      <w:r w:rsidR="002E27C8" w:rsidRPr="0002252C">
        <w:t xml:space="preserve"> </w:t>
      </w:r>
      <w:r w:rsidR="002E27C8">
        <w:t>(</w:t>
      </w:r>
      <w:r w:rsidRPr="0002252C">
        <w:t>MGC</w:t>
      </w:r>
      <w:r w:rsidR="002E27C8">
        <w:t>)</w:t>
      </w:r>
      <w:r w:rsidRPr="0002252C">
        <w:t xml:space="preserve"> instrument used in the July 2024 submission to the Myasthenia Gravis Activities of Daily Living (MG-ADL) instrument. The resubmission claimed that this was reasonable as responder analyses</w:t>
      </w:r>
      <w:r w:rsidRPr="78882673">
        <w:t xml:space="preserve"> from the key clinical trial were based on MG-ADL outcomes and the ESC previously raised concerns regarding the assumed correlation between the MG-ADL and MGC instruments in the July 2024 submission (</w:t>
      </w:r>
      <w:r w:rsidR="004F5960" w:rsidRPr="004F5960">
        <w:t>paragraph</w:t>
      </w:r>
      <w:r w:rsidRPr="78882673">
        <w:t xml:space="preserve"> 3.9, </w:t>
      </w:r>
      <w:proofErr w:type="spellStart"/>
      <w:r w:rsidRPr="78882673">
        <w:t>zilucoplan</w:t>
      </w:r>
      <w:proofErr w:type="spellEnd"/>
      <w:r w:rsidRPr="78882673">
        <w:t xml:space="preserve"> </w:t>
      </w:r>
      <w:r w:rsidR="002046F2" w:rsidRPr="78882673">
        <w:rPr>
          <w:rFonts w:eastAsia="PlantinStd"/>
        </w:rPr>
        <w:t xml:space="preserve">PBAC </w:t>
      </w:r>
      <w:r w:rsidR="00C61ACA">
        <w:rPr>
          <w:rFonts w:eastAsia="PlantinStd"/>
        </w:rPr>
        <w:t>PSD</w:t>
      </w:r>
      <w:r w:rsidRPr="78882673">
        <w:t xml:space="preserve">, July 2024 PBAC meeting). The resubmission also noted expert advice that both the MG-ADL and MGC instruments provided robust estimates of functional impairment. As noted in the July 2024 submission, the MGC instrument is the most widely used measure of functional impairment in Australian clinical practice and this instrument is used in the current National Blood Authority </w:t>
      </w:r>
      <w:r w:rsidR="00FB4559">
        <w:t xml:space="preserve">(NBA) </w:t>
      </w:r>
      <w:r w:rsidRPr="78882673">
        <w:t xml:space="preserve">listing for chronic IVIg for the treatment of myasthenia gravis. Overall, the resubmission did not adequately justify switching from the MGC to MG-ADL as </w:t>
      </w:r>
      <w:r w:rsidR="00AE25AF" w:rsidRPr="78882673">
        <w:t xml:space="preserve">both </w:t>
      </w:r>
      <w:r w:rsidRPr="78882673">
        <w:t>instruments appear potentially relevant to Australian clinical practice.</w:t>
      </w:r>
    </w:p>
    <w:p w14:paraId="2320F5B6" w14:textId="734916B6" w:rsidR="008F1149" w:rsidRPr="0002252C" w:rsidRDefault="008F1149" w:rsidP="00E55FD2">
      <w:pPr>
        <w:pStyle w:val="COMexecsummnumbered"/>
        <w:rPr>
          <w:rFonts w:cs="Calibri"/>
          <w:lang w:val="en-GB"/>
        </w:rPr>
      </w:pPr>
      <w:r w:rsidRPr="008D55C9">
        <w:rPr>
          <w:rFonts w:cstheme="minorHAnsi"/>
          <w:lang w:val="en-GB"/>
        </w:rPr>
        <w:t>The July 2024 submission did not require any assessment of functional impairment for treatment initiation. In contrast, the current resubmission proposed a requirement for patients to have an MG-ADL score of at least 6 in the initial treatment restriction</w:t>
      </w:r>
      <w:r w:rsidRPr="008D55C9">
        <w:rPr>
          <w:rFonts w:cs="Calibri"/>
          <w:lang w:val="en-GB"/>
        </w:rPr>
        <w:t xml:space="preserve">. This change was originally proposed in the pre-PBAC response for the July 2024 submission on the basis that this requirement was </w:t>
      </w:r>
      <w:r w:rsidRPr="0002252C">
        <w:rPr>
          <w:rFonts w:cs="Calibri"/>
          <w:lang w:val="en-GB"/>
        </w:rPr>
        <w:t xml:space="preserve">more closely aligned with the inclusion criteria of the key clinical trial. The </w:t>
      </w:r>
      <w:r w:rsidR="001A2DE5">
        <w:rPr>
          <w:rFonts w:cs="Calibri"/>
          <w:lang w:val="en-GB"/>
        </w:rPr>
        <w:t xml:space="preserve">evaluation considered that the </w:t>
      </w:r>
      <w:r w:rsidRPr="0002252C">
        <w:rPr>
          <w:rFonts w:cs="Calibri"/>
          <w:lang w:val="en-GB"/>
        </w:rPr>
        <w:t xml:space="preserve">proposed initiation criterion was not adequately justified in the resubmission and was inconsistent with </w:t>
      </w:r>
      <w:r w:rsidRPr="0002252C">
        <w:rPr>
          <w:lang w:val="en-GB"/>
        </w:rPr>
        <w:t>the key trial eligibility criteria (</w:t>
      </w:r>
      <w:r w:rsidRPr="0002252C">
        <w:rPr>
          <w:rFonts w:cstheme="minorHAnsi"/>
          <w:lang w:val="en-GB"/>
        </w:rPr>
        <w:t xml:space="preserve">MG-ADL ≥6; QMG ≥12 and 4 or more QMG items scored ≥2) and the current </w:t>
      </w:r>
      <w:r w:rsidR="005D6F08">
        <w:rPr>
          <w:rFonts w:cstheme="minorHAnsi"/>
          <w:lang w:val="en-GB"/>
        </w:rPr>
        <w:t>NBA</w:t>
      </w:r>
      <w:r w:rsidRPr="0002252C">
        <w:rPr>
          <w:rFonts w:cstheme="minorHAnsi"/>
          <w:lang w:val="en-GB"/>
        </w:rPr>
        <w:t xml:space="preserve"> listing for chronic IVIg (MGC ≥4). </w:t>
      </w:r>
      <w:r w:rsidR="003E262D" w:rsidRPr="0002252C">
        <w:rPr>
          <w:rFonts w:cstheme="minorHAnsi"/>
          <w:lang w:val="en-GB"/>
        </w:rPr>
        <w:t>The PSCR outlined that</w:t>
      </w:r>
      <w:r w:rsidR="00F26313" w:rsidRPr="0002252C">
        <w:rPr>
          <w:rFonts w:cstheme="minorHAnsi"/>
          <w:lang w:val="en-GB"/>
        </w:rPr>
        <w:t xml:space="preserve"> th</w:t>
      </w:r>
      <w:r w:rsidR="00236382" w:rsidRPr="0002252C">
        <w:rPr>
          <w:rFonts w:cstheme="minorHAnsi"/>
          <w:lang w:val="en-GB"/>
        </w:rPr>
        <w:t>e proposed criterion</w:t>
      </w:r>
      <w:r w:rsidR="00F26313" w:rsidRPr="0002252C">
        <w:rPr>
          <w:rFonts w:cstheme="minorHAnsi"/>
          <w:lang w:val="en-GB"/>
        </w:rPr>
        <w:t xml:space="preserve"> was intended as a</w:t>
      </w:r>
      <w:r w:rsidR="003E262D" w:rsidRPr="0002252C">
        <w:rPr>
          <w:rFonts w:cstheme="minorHAnsi"/>
          <w:lang w:val="en-GB"/>
        </w:rPr>
        <w:t xml:space="preserve"> </w:t>
      </w:r>
      <w:r w:rsidR="00F26313" w:rsidRPr="0002252C">
        <w:rPr>
          <w:rFonts w:cstheme="minorHAnsi"/>
          <w:lang w:val="en-GB"/>
        </w:rPr>
        <w:t>simplification of the RAISE eligibility criteria since clinicians advised that the QMG was not used in Australian clinical practice.</w:t>
      </w:r>
      <w:r w:rsidR="00274A79">
        <w:rPr>
          <w:rFonts w:cstheme="minorHAnsi"/>
          <w:lang w:val="en-GB"/>
        </w:rPr>
        <w:t xml:space="preserve"> Refer to </w:t>
      </w:r>
      <w:r w:rsidR="00274A79">
        <w:rPr>
          <w:rFonts w:cstheme="minorHAnsi"/>
          <w:lang w:val="en-GB"/>
        </w:rPr>
        <w:lastRenderedPageBreak/>
        <w:t>paragraph</w:t>
      </w:r>
      <w:r w:rsidR="009F0FAA">
        <w:rPr>
          <w:rFonts w:cstheme="minorHAnsi"/>
          <w:lang w:val="en-GB"/>
        </w:rPr>
        <w:t>s</w:t>
      </w:r>
      <w:r w:rsidR="00274A79">
        <w:rPr>
          <w:rFonts w:cstheme="minorHAnsi"/>
          <w:lang w:val="en-GB"/>
        </w:rPr>
        <w:t xml:space="preserve"> </w:t>
      </w:r>
      <w:r w:rsidR="009F0FAA">
        <w:rPr>
          <w:rFonts w:cstheme="minorHAnsi"/>
          <w:lang w:val="en-GB"/>
        </w:rPr>
        <w:fldChar w:fldCharType="begin"/>
      </w:r>
      <w:r w:rsidR="009F0FAA">
        <w:rPr>
          <w:rFonts w:cstheme="minorHAnsi"/>
          <w:lang w:val="en-GB"/>
        </w:rPr>
        <w:instrText xml:space="preserve"> REF _Ref194586694 \r \h </w:instrText>
      </w:r>
      <w:r w:rsidR="009F0FAA">
        <w:rPr>
          <w:rFonts w:cstheme="minorHAnsi"/>
          <w:lang w:val="en-GB"/>
        </w:rPr>
      </w:r>
      <w:r w:rsidR="009F0FAA">
        <w:rPr>
          <w:rFonts w:cstheme="minorHAnsi"/>
          <w:lang w:val="en-GB"/>
        </w:rPr>
        <w:fldChar w:fldCharType="separate"/>
      </w:r>
      <w:r w:rsidR="00271F88">
        <w:rPr>
          <w:rFonts w:cstheme="minorHAnsi"/>
          <w:lang w:val="en-GB"/>
        </w:rPr>
        <w:t>8.7</w:t>
      </w:r>
      <w:r w:rsidR="009F0FAA">
        <w:rPr>
          <w:rFonts w:cstheme="minorHAnsi"/>
          <w:lang w:val="en-GB"/>
        </w:rPr>
        <w:fldChar w:fldCharType="end"/>
      </w:r>
      <w:r w:rsidR="009F0FAA">
        <w:rPr>
          <w:rFonts w:cstheme="minorHAnsi"/>
          <w:lang w:val="en-GB"/>
        </w:rPr>
        <w:t xml:space="preserve"> and </w:t>
      </w:r>
      <w:r w:rsidR="00BC5CC3">
        <w:rPr>
          <w:rFonts w:cstheme="minorHAnsi"/>
          <w:lang w:val="en-GB"/>
        </w:rPr>
        <w:fldChar w:fldCharType="begin"/>
      </w:r>
      <w:r w:rsidR="00BC5CC3">
        <w:rPr>
          <w:rFonts w:cstheme="minorHAnsi"/>
          <w:lang w:val="en-GB"/>
        </w:rPr>
        <w:instrText xml:space="preserve"> REF _Ref194586696 \r \h </w:instrText>
      </w:r>
      <w:r w:rsidR="00BC5CC3">
        <w:rPr>
          <w:rFonts w:cstheme="minorHAnsi"/>
          <w:lang w:val="en-GB"/>
        </w:rPr>
      </w:r>
      <w:r w:rsidR="00BC5CC3">
        <w:rPr>
          <w:rFonts w:cstheme="minorHAnsi"/>
          <w:lang w:val="en-GB"/>
        </w:rPr>
        <w:fldChar w:fldCharType="separate"/>
      </w:r>
      <w:r w:rsidR="00271F88">
        <w:rPr>
          <w:rFonts w:cstheme="minorHAnsi"/>
          <w:lang w:val="en-GB"/>
        </w:rPr>
        <w:t>8.8</w:t>
      </w:r>
      <w:r w:rsidR="00BC5CC3">
        <w:rPr>
          <w:rFonts w:cstheme="minorHAnsi"/>
          <w:lang w:val="en-GB"/>
        </w:rPr>
        <w:fldChar w:fldCharType="end"/>
      </w:r>
      <w:r w:rsidR="00BC5CC3">
        <w:rPr>
          <w:rFonts w:cstheme="minorHAnsi"/>
          <w:lang w:val="en-GB"/>
        </w:rPr>
        <w:t xml:space="preserve"> </w:t>
      </w:r>
      <w:r w:rsidR="00274A79">
        <w:rPr>
          <w:rFonts w:cstheme="minorHAnsi"/>
          <w:lang w:val="en-GB"/>
        </w:rPr>
        <w:t>for the PBAC’s advice regarding criteria for treatment initiation.</w:t>
      </w:r>
    </w:p>
    <w:p w14:paraId="427F1AF6" w14:textId="30993934" w:rsidR="008F1149" w:rsidRPr="008D55C9" w:rsidRDefault="008F1149" w:rsidP="00E55FD2">
      <w:pPr>
        <w:pStyle w:val="COMexecsummnumbered"/>
        <w:rPr>
          <w:lang w:val="en-GB"/>
        </w:rPr>
      </w:pPr>
      <w:r w:rsidRPr="0002252C">
        <w:rPr>
          <w:lang w:val="en-GB"/>
        </w:rPr>
        <w:t>The July 2024 submission required patients to achieve a 3-point reduction in MGC score after 12-16 weeks of treatment to qualify for ongoing therapy</w:t>
      </w:r>
      <w:r w:rsidR="002E0D15" w:rsidRPr="0002252C">
        <w:rPr>
          <w:lang w:val="en-GB"/>
        </w:rPr>
        <w:t xml:space="preserve">, consistent with the current </w:t>
      </w:r>
      <w:r w:rsidR="00A4003A">
        <w:rPr>
          <w:lang w:val="en-GB"/>
        </w:rPr>
        <w:t>NBA</w:t>
      </w:r>
      <w:r w:rsidR="002E0D15" w:rsidRPr="0002252C">
        <w:rPr>
          <w:lang w:val="en-GB"/>
        </w:rPr>
        <w:t xml:space="preserve"> listing for chronic IVIg</w:t>
      </w:r>
      <w:r w:rsidRPr="0002252C">
        <w:rPr>
          <w:lang w:val="en-GB"/>
        </w:rPr>
        <w:t>. However, the current resubmission requires patients to achieve a 3-point reduction in MG-ADL score after 12-16 weeks of treatment (with</w:t>
      </w:r>
      <w:r w:rsidRPr="00755F06">
        <w:rPr>
          <w:lang w:val="en-GB"/>
        </w:rPr>
        <w:t xml:space="preserve"> an additional alternative option for assessment at 24 weeks) on the basis that this was consistent with the reported outcomes from the key clinical trial and extension. </w:t>
      </w:r>
      <w:r w:rsidR="003E1C7A" w:rsidRPr="008D55C9">
        <w:rPr>
          <w:lang w:val="en-GB"/>
        </w:rPr>
        <w:t xml:space="preserve">This was consistent with the continuation criterion proposed in the </w:t>
      </w:r>
      <w:r w:rsidR="004E5EC5" w:rsidRPr="008D55C9">
        <w:rPr>
          <w:lang w:val="en-GB"/>
        </w:rPr>
        <w:t xml:space="preserve">July 2024 </w:t>
      </w:r>
      <w:r w:rsidR="003E1C7A" w:rsidRPr="008D55C9">
        <w:rPr>
          <w:lang w:val="en-GB"/>
        </w:rPr>
        <w:t>pre-PBAC response</w:t>
      </w:r>
      <w:r w:rsidR="00EE4C6B" w:rsidRPr="008D55C9">
        <w:rPr>
          <w:lang w:val="en-GB"/>
        </w:rPr>
        <w:t>,</w:t>
      </w:r>
      <w:r w:rsidR="004E5EC5" w:rsidRPr="008D55C9">
        <w:rPr>
          <w:lang w:val="en-GB"/>
        </w:rPr>
        <w:t xml:space="preserve"> which the </w:t>
      </w:r>
      <w:r w:rsidR="003E1C7A" w:rsidRPr="008D55C9">
        <w:rPr>
          <w:lang w:val="en-GB"/>
        </w:rPr>
        <w:t>PBAC considered required further consideration as it would mean that almost half of the treated population would be continuing based on the placebo effect alone (46.1% of patients in the placebo arm achieved this response level in the RAISE trial) (</w:t>
      </w:r>
      <w:r w:rsidR="004F5960" w:rsidRPr="004F5960">
        <w:rPr>
          <w:lang w:val="en-GB"/>
        </w:rPr>
        <w:t>paragraph</w:t>
      </w:r>
      <w:r w:rsidR="00C61ACA">
        <w:rPr>
          <w:lang w:val="en-GB"/>
        </w:rPr>
        <w:t xml:space="preserve"> 7.7</w:t>
      </w:r>
      <w:r w:rsidR="003E1C7A" w:rsidRPr="008D55C9">
        <w:rPr>
          <w:lang w:val="en-GB"/>
        </w:rPr>
        <w:t xml:space="preserve">, </w:t>
      </w:r>
      <w:proofErr w:type="spellStart"/>
      <w:r w:rsidR="003E1C7A" w:rsidRPr="008D55C9">
        <w:rPr>
          <w:lang w:val="en-GB"/>
        </w:rPr>
        <w:t>zilucoplan</w:t>
      </w:r>
      <w:proofErr w:type="spellEnd"/>
      <w:r w:rsidR="003E1C7A" w:rsidRPr="008D55C9">
        <w:rPr>
          <w:lang w:val="en-GB"/>
        </w:rPr>
        <w:t xml:space="preserve"> </w:t>
      </w:r>
      <w:r w:rsidR="002046F2" w:rsidRPr="008D55C9">
        <w:rPr>
          <w:rFonts w:eastAsia="PlantinStd"/>
        </w:rPr>
        <w:t xml:space="preserve">PBAC </w:t>
      </w:r>
      <w:r w:rsidR="00C61ACA">
        <w:rPr>
          <w:rFonts w:eastAsia="PlantinStd"/>
        </w:rPr>
        <w:t>PSD</w:t>
      </w:r>
      <w:r w:rsidR="003E1C7A" w:rsidRPr="008D55C9">
        <w:rPr>
          <w:lang w:val="en-GB"/>
        </w:rPr>
        <w:t>, July</w:t>
      </w:r>
      <w:r w:rsidR="00C61ACA">
        <w:rPr>
          <w:lang w:val="en-GB"/>
        </w:rPr>
        <w:t> </w:t>
      </w:r>
      <w:r w:rsidR="003E1C7A" w:rsidRPr="008D55C9">
        <w:rPr>
          <w:lang w:val="en-GB"/>
        </w:rPr>
        <w:t>2024 PBAC meeting).</w:t>
      </w:r>
      <w:r w:rsidR="00274A79">
        <w:rPr>
          <w:lang w:val="en-GB"/>
        </w:rPr>
        <w:t xml:space="preserve"> </w:t>
      </w:r>
      <w:r w:rsidR="00274A79">
        <w:rPr>
          <w:rFonts w:cstheme="minorHAnsi"/>
          <w:lang w:val="en-GB"/>
        </w:rPr>
        <w:t xml:space="preserve">Refer to paragraph </w:t>
      </w:r>
      <w:r w:rsidR="009F0FAA">
        <w:rPr>
          <w:rFonts w:cstheme="minorHAnsi"/>
          <w:lang w:val="en-GB"/>
        </w:rPr>
        <w:fldChar w:fldCharType="begin"/>
      </w:r>
      <w:r w:rsidR="009F0FAA">
        <w:rPr>
          <w:rFonts w:cstheme="minorHAnsi"/>
          <w:lang w:val="en-GB"/>
        </w:rPr>
        <w:instrText xml:space="preserve"> REF _Ref194586722 \r \h </w:instrText>
      </w:r>
      <w:r w:rsidR="009F0FAA">
        <w:rPr>
          <w:rFonts w:cstheme="minorHAnsi"/>
          <w:lang w:val="en-GB"/>
        </w:rPr>
      </w:r>
      <w:r w:rsidR="009F0FAA">
        <w:rPr>
          <w:rFonts w:cstheme="minorHAnsi"/>
          <w:lang w:val="en-GB"/>
        </w:rPr>
        <w:fldChar w:fldCharType="separate"/>
      </w:r>
      <w:r w:rsidR="00271F88">
        <w:rPr>
          <w:rFonts w:cstheme="minorHAnsi"/>
          <w:lang w:val="en-GB"/>
        </w:rPr>
        <w:t>8.10</w:t>
      </w:r>
      <w:r w:rsidR="009F0FAA">
        <w:rPr>
          <w:rFonts w:cstheme="minorHAnsi"/>
          <w:lang w:val="en-GB"/>
        </w:rPr>
        <w:fldChar w:fldCharType="end"/>
      </w:r>
      <w:r w:rsidR="00992147">
        <w:rPr>
          <w:rFonts w:cstheme="minorHAnsi"/>
          <w:lang w:val="en-GB"/>
        </w:rPr>
        <w:t xml:space="preserve"> </w:t>
      </w:r>
      <w:r w:rsidR="00274A79">
        <w:rPr>
          <w:rFonts w:cstheme="minorHAnsi"/>
          <w:lang w:val="en-GB"/>
        </w:rPr>
        <w:t>for the PBAC’s advice regarding response criteria.</w:t>
      </w:r>
    </w:p>
    <w:p w14:paraId="50C436FC" w14:textId="120F51E5" w:rsidR="008F1149" w:rsidRPr="00274A79" w:rsidRDefault="008F1149" w:rsidP="00E55FD2">
      <w:pPr>
        <w:pStyle w:val="COMexecsummnumbered"/>
        <w:rPr>
          <w:lang w:val="en-GB"/>
        </w:rPr>
      </w:pPr>
      <w:r w:rsidRPr="00274A79">
        <w:rPr>
          <w:lang w:val="en-GB"/>
        </w:rPr>
        <w:t xml:space="preserve">The resubmission did not propose any stopping rules for the use of </w:t>
      </w:r>
      <w:proofErr w:type="spellStart"/>
      <w:r w:rsidRPr="00274A79">
        <w:rPr>
          <w:lang w:val="en-GB"/>
        </w:rPr>
        <w:t>zilucoplan</w:t>
      </w:r>
      <w:proofErr w:type="spellEnd"/>
      <w:r w:rsidRPr="00274A79">
        <w:rPr>
          <w:lang w:val="en-GB"/>
        </w:rPr>
        <w:t>. This was consistent with advice from the myasthenia gravis stakeholder meeting which suggested a potential stopping rule (total treatment duration of 2 years) in non-refractory populations but did not suggest a stopping rule in treatment refractory populations</w:t>
      </w:r>
      <w:r w:rsidR="00B46407" w:rsidRPr="00274A79">
        <w:rPr>
          <w:lang w:val="en-GB"/>
        </w:rPr>
        <w:t>.</w:t>
      </w:r>
      <w:r w:rsidR="00291DD1" w:rsidRPr="00274A79">
        <w:rPr>
          <w:lang w:val="en-GB"/>
        </w:rPr>
        <w:t xml:space="preserve"> </w:t>
      </w:r>
      <w:r w:rsidR="00274A79" w:rsidRPr="00274A79">
        <w:rPr>
          <w:rFonts w:cstheme="minorHAnsi"/>
          <w:lang w:val="en-GB"/>
        </w:rPr>
        <w:t xml:space="preserve">Refer to </w:t>
      </w:r>
      <w:r w:rsidR="009F0FAA">
        <w:rPr>
          <w:rFonts w:cstheme="minorHAnsi"/>
          <w:lang w:val="en-GB"/>
        </w:rPr>
        <w:t xml:space="preserve">paragraph </w:t>
      </w:r>
      <w:r w:rsidR="009F0FAA">
        <w:rPr>
          <w:rFonts w:cstheme="minorHAnsi"/>
          <w:lang w:val="en-GB"/>
        </w:rPr>
        <w:fldChar w:fldCharType="begin"/>
      </w:r>
      <w:r w:rsidR="009F0FAA">
        <w:rPr>
          <w:rFonts w:cstheme="minorHAnsi"/>
          <w:lang w:val="en-GB"/>
        </w:rPr>
        <w:instrText xml:space="preserve"> REF _Ref194586599 \r \h </w:instrText>
      </w:r>
      <w:r w:rsidR="009F0FAA">
        <w:rPr>
          <w:rFonts w:cstheme="minorHAnsi"/>
          <w:lang w:val="en-GB"/>
        </w:rPr>
      </w:r>
      <w:r w:rsidR="009F0FAA">
        <w:rPr>
          <w:rFonts w:cstheme="minorHAnsi"/>
          <w:lang w:val="en-GB"/>
        </w:rPr>
        <w:fldChar w:fldCharType="separate"/>
      </w:r>
      <w:r w:rsidR="00271F88">
        <w:rPr>
          <w:rFonts w:cstheme="minorHAnsi"/>
          <w:lang w:val="en-GB"/>
        </w:rPr>
        <w:t>8.9</w:t>
      </w:r>
      <w:r w:rsidR="009F0FAA">
        <w:rPr>
          <w:rFonts w:cstheme="minorHAnsi"/>
          <w:lang w:val="en-GB"/>
        </w:rPr>
        <w:fldChar w:fldCharType="end"/>
      </w:r>
      <w:r w:rsidR="009F0FAA">
        <w:rPr>
          <w:rFonts w:cstheme="minorHAnsi"/>
          <w:lang w:val="en-GB"/>
        </w:rPr>
        <w:t xml:space="preserve"> </w:t>
      </w:r>
      <w:r w:rsidR="00274A79" w:rsidRPr="00274A79">
        <w:rPr>
          <w:rFonts w:cstheme="minorHAnsi"/>
          <w:lang w:val="en-GB"/>
        </w:rPr>
        <w:t>for the PBAC’s advice regarding stopping rules</w:t>
      </w:r>
      <w:r w:rsidR="00274A79">
        <w:rPr>
          <w:rFonts w:cstheme="minorHAnsi"/>
          <w:lang w:val="en-GB"/>
        </w:rPr>
        <w:t>.</w:t>
      </w:r>
    </w:p>
    <w:p w14:paraId="53A264EC" w14:textId="77777777" w:rsidR="00274A79" w:rsidRDefault="008F1149" w:rsidP="00E55FD2">
      <w:pPr>
        <w:pStyle w:val="COMexecsummnumbered"/>
        <w:rPr>
          <w:lang w:val="en-GB"/>
        </w:rPr>
      </w:pPr>
      <w:r w:rsidRPr="00755F06">
        <w:rPr>
          <w:lang w:val="en-GB"/>
        </w:rPr>
        <w:t>The July 2024 submission required patients to be receiving concomitant treatment with an anticholinesterase inhibitor (unless intolerant) and at least one immunosuppressive therapy (corticosteroids and/or other immunosuppressants).</w:t>
      </w:r>
      <w:r w:rsidRPr="00755F06">
        <w:rPr>
          <w:rFonts w:eastAsia="Times New Roman"/>
          <w:snapToGrid w:val="0"/>
          <w:lang w:val="en-GB"/>
        </w:rPr>
        <w:t xml:space="preserve"> T</w:t>
      </w:r>
      <w:r w:rsidRPr="00755F06">
        <w:rPr>
          <w:lang w:val="en-GB"/>
        </w:rPr>
        <w:t xml:space="preserve">he revised restriction in the resubmission omits the criterion for patients to be treated with an anticholinesterase inhibitor, with the resubmission arguing that anticholinesterase inhibitors are a first line treatment, which refractory patients may </w:t>
      </w:r>
      <w:r w:rsidRPr="00F36597">
        <w:rPr>
          <w:lang w:val="en-GB"/>
        </w:rPr>
        <w:t>have discontinued due to intolerance or lack of efficacy</w:t>
      </w:r>
      <w:r w:rsidR="00885441">
        <w:rPr>
          <w:lang w:val="en-GB"/>
        </w:rPr>
        <w:t>.</w:t>
      </w:r>
      <w:r w:rsidR="002B6990">
        <w:rPr>
          <w:lang w:val="en-GB"/>
        </w:rPr>
        <w:t xml:space="preserve"> </w:t>
      </w:r>
    </w:p>
    <w:p w14:paraId="127E382B" w14:textId="62A0938A" w:rsidR="008F1149" w:rsidRPr="008D55C9" w:rsidRDefault="00754F44" w:rsidP="00E55FD2">
      <w:pPr>
        <w:pStyle w:val="COMexecsummnumbered"/>
        <w:rPr>
          <w:lang w:val="en-GB"/>
        </w:rPr>
      </w:pPr>
      <w:r>
        <w:rPr>
          <w:lang w:val="en-GB"/>
        </w:rPr>
        <w:t>T</w:t>
      </w:r>
      <w:r w:rsidR="00885441">
        <w:rPr>
          <w:lang w:val="en-GB"/>
        </w:rPr>
        <w:t>he evaluation considered the</w:t>
      </w:r>
      <w:r w:rsidR="00E12411" w:rsidRPr="008D55C9">
        <w:rPr>
          <w:lang w:val="en-GB"/>
        </w:rPr>
        <w:t xml:space="preserve"> generalisability of key trial results to the target PBS population was unclear</w:t>
      </w:r>
      <w:r w:rsidR="00885441">
        <w:rPr>
          <w:lang w:val="en-GB"/>
        </w:rPr>
        <w:t xml:space="preserve"> (refer to paragraph </w:t>
      </w:r>
      <w:r w:rsidR="00885441">
        <w:rPr>
          <w:lang w:val="en-GB"/>
        </w:rPr>
        <w:fldChar w:fldCharType="begin"/>
      </w:r>
      <w:r w:rsidR="00885441">
        <w:rPr>
          <w:lang w:val="en-GB"/>
        </w:rPr>
        <w:instrText xml:space="preserve"> REF _Ref190769765 \r \h </w:instrText>
      </w:r>
      <w:r w:rsidR="00885441">
        <w:rPr>
          <w:lang w:val="en-GB"/>
        </w:rPr>
      </w:r>
      <w:r w:rsidR="00885441">
        <w:rPr>
          <w:lang w:val="en-GB"/>
        </w:rPr>
        <w:fldChar w:fldCharType="separate"/>
      </w:r>
      <w:r w:rsidR="00271F88">
        <w:rPr>
          <w:lang w:val="en-GB"/>
        </w:rPr>
        <w:t>6.12</w:t>
      </w:r>
      <w:r w:rsidR="00885441">
        <w:rPr>
          <w:lang w:val="en-GB"/>
        </w:rPr>
        <w:fldChar w:fldCharType="end"/>
      </w:r>
      <w:r w:rsidR="00885441">
        <w:rPr>
          <w:lang w:val="en-GB"/>
        </w:rPr>
        <w:t xml:space="preserve"> for a discussion </w:t>
      </w:r>
      <w:r w:rsidR="00AA54CB">
        <w:rPr>
          <w:lang w:val="en-GB"/>
        </w:rPr>
        <w:t>of the baseline characteristics of patients enrolled in the trial)</w:t>
      </w:r>
      <w:r w:rsidR="00560679" w:rsidRPr="008D55C9">
        <w:rPr>
          <w:lang w:val="en-GB"/>
        </w:rPr>
        <w:t>.</w:t>
      </w:r>
    </w:p>
    <w:p w14:paraId="0F3D7C33" w14:textId="28739B24" w:rsidR="008F1149" w:rsidRPr="008D55C9" w:rsidRDefault="008F1149" w:rsidP="00E55FD2">
      <w:pPr>
        <w:pStyle w:val="COMexecsummnumbered"/>
        <w:rPr>
          <w:lang w:val="en-GB"/>
        </w:rPr>
      </w:pPr>
      <w:r w:rsidRPr="008D55C9">
        <w:rPr>
          <w:lang w:val="en-GB"/>
        </w:rPr>
        <w:t xml:space="preserve">The proposed clinical criteria for </w:t>
      </w:r>
      <w:proofErr w:type="spellStart"/>
      <w:r w:rsidRPr="008D55C9">
        <w:rPr>
          <w:lang w:val="en-GB"/>
        </w:rPr>
        <w:t>zilucoplan</w:t>
      </w:r>
      <w:proofErr w:type="spellEnd"/>
      <w:r w:rsidRPr="008D55C9">
        <w:rPr>
          <w:lang w:val="en-GB"/>
        </w:rPr>
        <w:t xml:space="preserve"> are more restrictive than the current </w:t>
      </w:r>
      <w:r w:rsidR="005B64C1">
        <w:rPr>
          <w:lang w:val="en-GB"/>
        </w:rPr>
        <w:t>NBA</w:t>
      </w:r>
      <w:r w:rsidRPr="008D55C9">
        <w:rPr>
          <w:lang w:val="en-GB"/>
        </w:rPr>
        <w:t xml:space="preserve"> listing for chronic IVIg, which may affect the utilisation of </w:t>
      </w:r>
      <w:proofErr w:type="spellStart"/>
      <w:r w:rsidRPr="008D55C9">
        <w:rPr>
          <w:lang w:val="en-GB"/>
        </w:rPr>
        <w:t>zilucoplan</w:t>
      </w:r>
      <w:proofErr w:type="spellEnd"/>
      <w:r w:rsidRPr="008D55C9">
        <w:rPr>
          <w:lang w:val="en-GB"/>
        </w:rPr>
        <w:t xml:space="preserve"> in clinical practice as patients may qualify for IVIg/PLEX before becoming eligible for </w:t>
      </w:r>
      <w:proofErr w:type="spellStart"/>
      <w:r w:rsidRPr="008D55C9">
        <w:rPr>
          <w:lang w:val="en-GB"/>
        </w:rPr>
        <w:t>zilucoplan</w:t>
      </w:r>
      <w:proofErr w:type="spellEnd"/>
      <w:r w:rsidRPr="008D55C9">
        <w:rPr>
          <w:lang w:val="en-GB"/>
        </w:rPr>
        <w:t xml:space="preserve"> treatment.</w:t>
      </w:r>
    </w:p>
    <w:p w14:paraId="4C2372A8" w14:textId="7BFD96BB" w:rsidR="008F1149" w:rsidRPr="008D55C9" w:rsidRDefault="008F1149" w:rsidP="00E55FD2">
      <w:pPr>
        <w:pStyle w:val="COMexecsummnumbered"/>
      </w:pPr>
      <w:r w:rsidRPr="78882673">
        <w:t xml:space="preserve">The proposed restriction specifies that </w:t>
      </w:r>
      <w:proofErr w:type="spellStart"/>
      <w:r w:rsidRPr="78882673">
        <w:t>zilucoplan</w:t>
      </w:r>
      <w:proofErr w:type="spellEnd"/>
      <w:r w:rsidRPr="78882673">
        <w:t xml:space="preserve"> treatment must not be in combination with another complement inhibitor, however, it does not preclude combination use with an </w:t>
      </w:r>
      <w:proofErr w:type="spellStart"/>
      <w:r w:rsidRPr="78882673">
        <w:t>FcRn</w:t>
      </w:r>
      <w:proofErr w:type="spellEnd"/>
      <w:r w:rsidRPr="78882673">
        <w:t xml:space="preserve"> blocker.</w:t>
      </w:r>
    </w:p>
    <w:p w14:paraId="50DF3000" w14:textId="3B71235F" w:rsidR="00CC35EA" w:rsidRPr="00140785" w:rsidRDefault="008F1149" w:rsidP="00E55FD2">
      <w:pPr>
        <w:pStyle w:val="COMexecsummnumbered"/>
        <w:rPr>
          <w:color w:val="0066FF"/>
        </w:rPr>
      </w:pPr>
      <w:r w:rsidRPr="78882673">
        <w:t xml:space="preserve">The resubmission proposed a grandfathering restriction that appears to be based on the treatment initiation criteria. It was unclear whether this population would meet the proposed criterion for treatment continuation that applies to non-grandfathered </w:t>
      </w:r>
      <w:r w:rsidRPr="78882673">
        <w:lastRenderedPageBreak/>
        <w:t xml:space="preserve">patients. The resubmission estimated </w:t>
      </w:r>
      <w:r w:rsidR="00E8175C">
        <w:t>&lt;</w:t>
      </w:r>
      <w:r w:rsidR="00730606">
        <w:t> </w:t>
      </w:r>
      <w:r w:rsidR="00E8175C">
        <w:t>500</w:t>
      </w:r>
      <w:r w:rsidRPr="78882673">
        <w:t xml:space="preserve"> patients in the sponsor’s </w:t>
      </w:r>
      <w:r w:rsidR="002C4EF1" w:rsidRPr="78882673">
        <w:t xml:space="preserve">patient </w:t>
      </w:r>
      <w:r w:rsidRPr="78882673">
        <w:t xml:space="preserve">access program </w:t>
      </w:r>
      <w:r w:rsidR="003002BB">
        <w:t>may be eligible for</w:t>
      </w:r>
      <w:r w:rsidRPr="78882673">
        <w:t xml:space="preserve"> grandfathering treatment.</w:t>
      </w:r>
    </w:p>
    <w:p w14:paraId="34F3B777" w14:textId="1C25B26D" w:rsidR="000D16DC" w:rsidRPr="00274A79" w:rsidRDefault="000D16DC" w:rsidP="00E55FD2">
      <w:pPr>
        <w:pStyle w:val="COMexecsummnumbered"/>
        <w:numPr>
          <w:ilvl w:val="0"/>
          <w:numId w:val="0"/>
        </w:numPr>
        <w:outlineLvl w:val="1"/>
        <w:rPr>
          <w:rFonts w:ascii="Calibri" w:hAnsi="Calibri" w:cs="Calibri"/>
          <w:i/>
          <w:iCs/>
          <w:szCs w:val="24"/>
        </w:rPr>
      </w:pPr>
      <w:r>
        <w:rPr>
          <w:rFonts w:ascii="Calibri" w:hAnsi="Calibri" w:cs="Calibri"/>
          <w:i/>
          <w:iCs/>
          <w:szCs w:val="24"/>
          <w:u w:val="single"/>
        </w:rPr>
        <w:t>Bridging</w:t>
      </w:r>
      <w:r w:rsidRPr="00556625">
        <w:rPr>
          <w:rFonts w:ascii="Calibri" w:hAnsi="Calibri" w:cs="Calibri"/>
          <w:i/>
          <w:iCs/>
          <w:szCs w:val="24"/>
          <w:u w:val="single"/>
        </w:rPr>
        <w:t xml:space="preserve"> setting</w:t>
      </w:r>
      <w:r w:rsidR="00291DD1">
        <w:rPr>
          <w:rFonts w:ascii="Calibri" w:hAnsi="Calibri" w:cs="Calibri"/>
          <w:i/>
          <w:iCs/>
          <w:szCs w:val="24"/>
          <w:u w:val="single"/>
        </w:rPr>
        <w:t xml:space="preserve"> </w:t>
      </w:r>
      <w:r w:rsidR="00291DD1" w:rsidRPr="00274A79">
        <w:rPr>
          <w:rFonts w:ascii="Calibri" w:hAnsi="Calibri" w:cs="Calibri"/>
          <w:i/>
          <w:iCs/>
          <w:szCs w:val="24"/>
          <w:u w:val="single"/>
        </w:rPr>
        <w:t>and both settings</w:t>
      </w:r>
    </w:p>
    <w:p w14:paraId="5C95D6E6" w14:textId="002E7D6E" w:rsidR="00291DD1" w:rsidRPr="00274A79" w:rsidRDefault="00291DD1" w:rsidP="00E55FD2">
      <w:pPr>
        <w:pStyle w:val="COMexecsummnumbered"/>
      </w:pPr>
      <w:r w:rsidRPr="00274A79">
        <w:t xml:space="preserve">ESC advice relevant to the bridging setting and both settings is in </w:t>
      </w:r>
      <w:r w:rsidR="004344F6" w:rsidRPr="00274A79">
        <w:t>Section 7</w:t>
      </w:r>
      <w:r w:rsidRPr="00274A79">
        <w:t>.</w:t>
      </w:r>
    </w:p>
    <w:p w14:paraId="4B2AFF1E" w14:textId="2D07FB10" w:rsidR="002933D7" w:rsidRPr="00F26D5A" w:rsidRDefault="001622DB" w:rsidP="00E55FD2">
      <w:pPr>
        <w:pStyle w:val="COMexecsummnumbered"/>
        <w:numPr>
          <w:ilvl w:val="0"/>
          <w:numId w:val="0"/>
        </w:numPr>
        <w:ind w:left="720" w:hanging="720"/>
        <w:outlineLvl w:val="1"/>
        <w:rPr>
          <w:rFonts w:ascii="Calibri" w:hAnsi="Calibri" w:cs="Calibri"/>
          <w:i/>
          <w:iCs/>
          <w:szCs w:val="24"/>
          <w:u w:val="single"/>
        </w:rPr>
      </w:pPr>
      <w:r w:rsidRPr="00F26D5A">
        <w:rPr>
          <w:rFonts w:ascii="Calibri" w:hAnsi="Calibri" w:cs="Calibri"/>
          <w:i/>
          <w:iCs/>
          <w:szCs w:val="24"/>
          <w:u w:val="single"/>
        </w:rPr>
        <w:t>Meningococcal v</w:t>
      </w:r>
      <w:r w:rsidR="002933D7" w:rsidRPr="00F26D5A">
        <w:rPr>
          <w:rFonts w:ascii="Calibri" w:hAnsi="Calibri" w:cs="Calibri"/>
          <w:i/>
          <w:iCs/>
          <w:szCs w:val="24"/>
          <w:u w:val="single"/>
        </w:rPr>
        <w:t xml:space="preserve">accination </w:t>
      </w:r>
    </w:p>
    <w:p w14:paraId="0D68FB92" w14:textId="79F2BFA2" w:rsidR="001622DB" w:rsidRPr="0002252C" w:rsidRDefault="001622DB" w:rsidP="00E55FD2">
      <w:pPr>
        <w:pStyle w:val="COMexecsummnumbered"/>
      </w:pPr>
      <w:r w:rsidRPr="0002252C">
        <w:t xml:space="preserve">The ESC noted that </w:t>
      </w:r>
      <w:r w:rsidR="007C659F" w:rsidRPr="0002252C">
        <w:t>the Product Information states ‘</w:t>
      </w:r>
      <w:r w:rsidR="0020545B" w:rsidRPr="0002252C">
        <w:t>b</w:t>
      </w:r>
      <w:r w:rsidR="007C659F" w:rsidRPr="0002252C">
        <w:t xml:space="preserve">efore starting therapy with </w:t>
      </w:r>
      <w:proofErr w:type="spellStart"/>
      <w:r w:rsidR="007C659F" w:rsidRPr="0002252C">
        <w:t>zilucoplan</w:t>
      </w:r>
      <w:proofErr w:type="spellEnd"/>
      <w:r w:rsidR="007C659F" w:rsidRPr="0002252C">
        <w:t>, patients must be vaccinated against Neisseria meningitidis’</w:t>
      </w:r>
      <w:r w:rsidR="00975698" w:rsidRPr="0002252C">
        <w:t xml:space="preserve"> and ‘v</w:t>
      </w:r>
      <w:r w:rsidR="00975698" w:rsidRPr="0002252C">
        <w:rPr>
          <w:rFonts w:ascii="Calibri" w:hAnsi="Calibri" w:cs="Calibri"/>
        </w:rPr>
        <w:t xml:space="preserve">accines against serogroups A, C, Y, W, and where available, serogroup B, are recommended for preventing the commonly pathogenic meningococcal </w:t>
      </w:r>
      <w:proofErr w:type="gramStart"/>
      <w:r w:rsidR="00975698" w:rsidRPr="0002252C">
        <w:rPr>
          <w:rFonts w:ascii="Calibri" w:hAnsi="Calibri" w:cs="Calibri"/>
        </w:rPr>
        <w:t>serogroups’</w:t>
      </w:r>
      <w:proofErr w:type="gramEnd"/>
      <w:r w:rsidR="00E60721" w:rsidRPr="0002252C">
        <w:rPr>
          <w:rFonts w:ascii="Calibri" w:hAnsi="Calibri" w:cs="Calibri"/>
        </w:rPr>
        <w:t xml:space="preserve"> and vaccination </w:t>
      </w:r>
      <w:r w:rsidR="00C6470A" w:rsidRPr="0002252C">
        <w:rPr>
          <w:rFonts w:ascii="Calibri" w:hAnsi="Calibri" w:cs="Calibri"/>
        </w:rPr>
        <w:t xml:space="preserve">‘should occur according to the most current relevant </w:t>
      </w:r>
      <w:proofErr w:type="gramStart"/>
      <w:r w:rsidR="00C6470A" w:rsidRPr="0002252C">
        <w:rPr>
          <w:rFonts w:ascii="Calibri" w:hAnsi="Calibri" w:cs="Calibri"/>
        </w:rPr>
        <w:t>guidelines’</w:t>
      </w:r>
      <w:proofErr w:type="gramEnd"/>
      <w:r w:rsidR="00C6470A" w:rsidRPr="0002252C">
        <w:rPr>
          <w:rFonts w:ascii="Calibri" w:hAnsi="Calibri" w:cs="Calibri"/>
        </w:rPr>
        <w:t xml:space="preserve">. </w:t>
      </w:r>
      <w:r w:rsidR="009B4CAB" w:rsidRPr="0002252C">
        <w:rPr>
          <w:rFonts w:ascii="Calibri" w:hAnsi="Calibri" w:cs="Calibri"/>
        </w:rPr>
        <w:t>As such, the ESC considered</w:t>
      </w:r>
      <w:r w:rsidR="003A13CE" w:rsidRPr="0002252C">
        <w:rPr>
          <w:rFonts w:ascii="Calibri" w:hAnsi="Calibri" w:cs="Calibri"/>
        </w:rPr>
        <w:t xml:space="preserve"> it would be appropriate to enable patients commencing </w:t>
      </w:r>
      <w:proofErr w:type="spellStart"/>
      <w:r w:rsidR="003A13CE" w:rsidRPr="0002252C">
        <w:rPr>
          <w:rFonts w:ascii="Calibri" w:hAnsi="Calibri" w:cs="Calibri"/>
        </w:rPr>
        <w:t>zilucoplan</w:t>
      </w:r>
      <w:proofErr w:type="spellEnd"/>
      <w:r w:rsidR="003A13CE" w:rsidRPr="0002252C">
        <w:rPr>
          <w:rFonts w:ascii="Calibri" w:hAnsi="Calibri" w:cs="Calibri"/>
        </w:rPr>
        <w:t xml:space="preserve"> (or any PBS-subsidised complement inhibitor) to access the relevant meningococcal vaccinations on the National Immunisation Program.</w:t>
      </w:r>
      <w:r w:rsidR="0077631D">
        <w:rPr>
          <w:rFonts w:ascii="Calibri" w:hAnsi="Calibri" w:cs="Calibri"/>
        </w:rPr>
        <w:t xml:space="preserve"> </w:t>
      </w:r>
    </w:p>
    <w:p w14:paraId="01D88733" w14:textId="3499C88D" w:rsidR="00C311DB" w:rsidRPr="003A13CE" w:rsidRDefault="00C311DB" w:rsidP="00E55FD2">
      <w:pPr>
        <w:pStyle w:val="COMexecsummnumbered"/>
        <w:numPr>
          <w:ilvl w:val="0"/>
          <w:numId w:val="0"/>
        </w:numPr>
        <w:ind w:left="720"/>
        <w:rPr>
          <w:i/>
          <w:iCs/>
        </w:rPr>
      </w:pPr>
      <w:r w:rsidRPr="00C311DB">
        <w:rPr>
          <w:i/>
          <w:iCs/>
        </w:rPr>
        <w:t xml:space="preserve">For more detail on PBAC’s view, see section </w:t>
      </w:r>
      <w:r w:rsidR="004344F6">
        <w:rPr>
          <w:i/>
          <w:iCs/>
        </w:rPr>
        <w:t>8</w:t>
      </w:r>
      <w:r w:rsidRPr="00C311DB">
        <w:rPr>
          <w:i/>
          <w:iCs/>
        </w:rPr>
        <w:t xml:space="preserve"> PBAC outcome.</w:t>
      </w:r>
    </w:p>
    <w:p w14:paraId="7075B85C" w14:textId="62A47B7B" w:rsidR="00B50DB8" w:rsidRPr="00BB59B1" w:rsidDel="00195452" w:rsidRDefault="00203181" w:rsidP="00E55FD2">
      <w:pPr>
        <w:pStyle w:val="COMH1-numbered"/>
      </w:pPr>
      <w:bookmarkStart w:id="14" w:name="_Toc188274678"/>
      <w:r w:rsidRPr="00BB59B1" w:rsidDel="00195452">
        <w:t xml:space="preserve">Population and </w:t>
      </w:r>
      <w:r w:rsidR="008E0D3C" w:rsidRPr="00BB59B1" w:rsidDel="00195452">
        <w:t>d</w:t>
      </w:r>
      <w:r w:rsidRPr="00BB59B1" w:rsidDel="00195452">
        <w:t>isease</w:t>
      </w:r>
      <w:bookmarkEnd w:id="14"/>
    </w:p>
    <w:p w14:paraId="555FDB33" w14:textId="1EAA1F02" w:rsidR="00633792" w:rsidRDefault="00633792" w:rsidP="00E55FD2">
      <w:pPr>
        <w:pStyle w:val="COMexecsummnumbered"/>
      </w:pPr>
      <w:r w:rsidRPr="78882673">
        <w:t xml:space="preserve">Myasthenia gravis is a chronic autoimmune disorder caused by antibodies attacking components of the neuromuscular junction leading to impaired signal transmission between nerves and muscles. Patients can be classified into subgroups based on the antibodies involved, with </w:t>
      </w:r>
      <w:proofErr w:type="gramStart"/>
      <w:r w:rsidRPr="78882673">
        <w:t>the majority of</w:t>
      </w:r>
      <w:proofErr w:type="gramEnd"/>
      <w:r w:rsidRPr="78882673">
        <w:t xml:space="preserve"> patients (approximately 85%) having autoantibodies against </w:t>
      </w:r>
      <w:proofErr w:type="spellStart"/>
      <w:r w:rsidRPr="78882673">
        <w:t>AChR</w:t>
      </w:r>
      <w:proofErr w:type="spellEnd"/>
      <w:r w:rsidRPr="78882673">
        <w:t xml:space="preserve"> (Sciancalepore 2024). </w:t>
      </w:r>
    </w:p>
    <w:p w14:paraId="48A9FF9A" w14:textId="3DDE925F" w:rsidR="00822D84" w:rsidRPr="00B162C2" w:rsidRDefault="00633792" w:rsidP="00E55FD2">
      <w:pPr>
        <w:pStyle w:val="COMexecsumnumberedpara"/>
        <w:numPr>
          <w:ilvl w:val="1"/>
          <w:numId w:val="1"/>
        </w:numPr>
      </w:pPr>
      <w:r w:rsidRPr="78882673">
        <w:t xml:space="preserve">The disease is characterised by muscle weakness which may be localised to ocular muscles (ocular myasthenia gravis) or generalised to include other muscles such as limb, bulbar and respiratory system (generalised myasthenia gravis). The symptoms of myasthenia gravis can develop at any age (including childhood) but more commonly impacts young adult women and older men. </w:t>
      </w:r>
      <w:r w:rsidR="00822D84" w:rsidRPr="78882673">
        <w:t xml:space="preserve">Typical </w:t>
      </w:r>
      <w:r w:rsidR="00D62386" w:rsidRPr="78882673">
        <w:t xml:space="preserve">symptoms </w:t>
      </w:r>
      <w:r w:rsidR="00822D84" w:rsidRPr="78882673">
        <w:t xml:space="preserve">include drooping eyelids, blurred or double vision, shortness of breath, difficulty chewing and swallowing, impaired speech, fatigue, pain, muscle spasms and general muscle weakness. </w:t>
      </w:r>
    </w:p>
    <w:p w14:paraId="59692052" w14:textId="10527996" w:rsidR="00633792" w:rsidRDefault="00633792" w:rsidP="00E55FD2">
      <w:pPr>
        <w:pStyle w:val="COMexecsumnumberedpara"/>
        <w:numPr>
          <w:ilvl w:val="1"/>
          <w:numId w:val="1"/>
        </w:numPr>
      </w:pPr>
      <w:r w:rsidRPr="78882673">
        <w:t xml:space="preserve">The intensity of muscle weakness can fluctuate from day to day and can be worsened due to fatigue, stress, current illness and other factors. The course of disease is highly variable but most patients with ocular myasthenia gravis will develop generalised symptoms over time. The resubmission noted that the mortality of patients with myasthenia gravis has decreased over the </w:t>
      </w:r>
      <w:proofErr w:type="gramStart"/>
      <w:r w:rsidRPr="78882673">
        <w:t>years</w:t>
      </w:r>
      <w:proofErr w:type="gramEnd"/>
      <w:r w:rsidRPr="78882673">
        <w:t xml:space="preserve"> and most patients have a normal lifespan.</w:t>
      </w:r>
    </w:p>
    <w:p w14:paraId="62E71804" w14:textId="338BD85E" w:rsidR="00633792" w:rsidRPr="006042EA" w:rsidRDefault="00633792" w:rsidP="00E55FD2">
      <w:pPr>
        <w:pStyle w:val="COMexecsummnumbered"/>
        <w:rPr>
          <w:color w:val="000000" w:themeColor="text1"/>
        </w:rPr>
      </w:pPr>
      <w:proofErr w:type="gramStart"/>
      <w:r w:rsidRPr="78882673">
        <w:rPr>
          <w:color w:val="000000" w:themeColor="text1"/>
        </w:rPr>
        <w:t>During the course of</w:t>
      </w:r>
      <w:proofErr w:type="gramEnd"/>
      <w:r w:rsidRPr="78882673">
        <w:rPr>
          <w:color w:val="000000" w:themeColor="text1"/>
        </w:rPr>
        <w:t xml:space="preserve"> the disease, patients may experience transient periods of rapid symptom worsening, commonly referred to as disease exacerbations. Of particular concern are myasthenic crises, which are severe, life-threatening exacerbations that </w:t>
      </w:r>
      <w:r w:rsidRPr="78882673">
        <w:rPr>
          <w:color w:val="000000" w:themeColor="text1"/>
        </w:rPr>
        <w:lastRenderedPageBreak/>
        <w:t>are due to weakness in respiratory muscles which results in respiratory failure requiring mechanical ventilation.</w:t>
      </w:r>
      <w:r w:rsidR="00F9453B" w:rsidRPr="78882673">
        <w:rPr>
          <w:color w:val="000000" w:themeColor="text1"/>
        </w:rPr>
        <w:t xml:space="preserve"> </w:t>
      </w:r>
    </w:p>
    <w:p w14:paraId="569131BC" w14:textId="7FE3C3AF" w:rsidR="00633792" w:rsidRPr="008D55C9" w:rsidRDefault="00633792" w:rsidP="00E55FD2">
      <w:pPr>
        <w:pStyle w:val="COMexecsummnumbered"/>
        <w:rPr>
          <w:color w:val="000000" w:themeColor="text1"/>
        </w:rPr>
      </w:pPr>
      <w:r w:rsidRPr="78882673">
        <w:rPr>
          <w:color w:val="000000" w:themeColor="text1"/>
        </w:rPr>
        <w:t>The resubmission noted that the fluctuating and unpredictable nature of generalised myasthenia gravis symptoms substantially impact quality of life, with increased burden associated with planning daily activities to cope with the variable symptoms (Jackson 2023, Twork 2010, Petersson 2021, Law 2021). Persistent fatigue and physical impairments are associated with reduced workforce participation and can prevent patients from performing everyday tasks, contributing to a loss of independence (</w:t>
      </w:r>
      <w:proofErr w:type="spellStart"/>
      <w:r w:rsidRPr="78882673">
        <w:rPr>
          <w:color w:val="000000" w:themeColor="text1"/>
        </w:rPr>
        <w:t>Cleanthous</w:t>
      </w:r>
      <w:proofErr w:type="spellEnd"/>
      <w:r w:rsidRPr="78882673">
        <w:rPr>
          <w:color w:val="000000" w:themeColor="text1"/>
        </w:rPr>
        <w:t xml:space="preserve"> 2021, Blum 2015). Other concerns noted during the evaluation include the social/emotional impacts of the disease (such as anxiety, depression and feeling isolated) as well as the treatment burden associated with current therapies (Nadali 2023, Sansoni 2023).</w:t>
      </w:r>
    </w:p>
    <w:p w14:paraId="1B2DE2CC" w14:textId="77777777" w:rsidR="00633792" w:rsidRPr="006042EA" w:rsidRDefault="00633792" w:rsidP="00E55FD2">
      <w:pPr>
        <w:pStyle w:val="COMexecsummnumbered"/>
        <w:rPr>
          <w:color w:val="000000" w:themeColor="text1"/>
        </w:rPr>
      </w:pPr>
      <w:r w:rsidRPr="006042EA">
        <w:rPr>
          <w:color w:val="000000" w:themeColor="text1"/>
        </w:rPr>
        <w:t>A recent systematic review and meta-analysis of myasthenia gravis epidemiology studies (Sciancalepore 2024) noted that the global incidence has more than doubled from 8.7 (95% CI 5.5, 11.9) cases per million person-years in the period 1967-2007 to 22.9 (95% CI 14.1, 31.7) cases per million person-years in the period 2008-2022; and prevalence has increased from 97.5 (95% CI 59.9, 141.9) cases per million person-years in the period 1952-2007 to 220.1 (95% CI 149.3, 288.1) cases per million person-years in the period 2008-2021. However, the review acknowledged that there was significant variation in frequencies of myasthenia gravis between and within countries because of methodological biases and complex heterogeneity of the disease characterised by several phenotypes and different clinical responses.</w:t>
      </w:r>
    </w:p>
    <w:p w14:paraId="2194E0E3" w14:textId="5BB53868" w:rsidR="00410146" w:rsidRDefault="00410146" w:rsidP="00E55FD2">
      <w:pPr>
        <w:pStyle w:val="COMexecsummnumbered"/>
      </w:pPr>
      <w:r w:rsidRPr="78882673">
        <w:t>Current treatment guidelines (Sanders 2016 updated in Narayanaswami 2021) recommend the use of anti-</w:t>
      </w:r>
      <w:proofErr w:type="spellStart"/>
      <w:r w:rsidRPr="78882673">
        <w:t>cholinesterases</w:t>
      </w:r>
      <w:proofErr w:type="spellEnd"/>
      <w:r w:rsidRPr="78882673">
        <w:t xml:space="preserve"> in most patients with </w:t>
      </w:r>
      <w:proofErr w:type="spellStart"/>
      <w:r w:rsidRPr="78882673">
        <w:t>AChR</w:t>
      </w:r>
      <w:proofErr w:type="spellEnd"/>
      <w:r w:rsidRPr="78882673">
        <w:t xml:space="preserve"> positive generalised myasthenia gravis. However, the guidelines note that </w:t>
      </w:r>
      <w:proofErr w:type="gramStart"/>
      <w:r w:rsidRPr="78882673">
        <w:t>the majority of</w:t>
      </w:r>
      <w:proofErr w:type="gramEnd"/>
      <w:r w:rsidRPr="78882673">
        <w:t xml:space="preserve"> patients will also require immunosuppressive therapy, with corticosteroids used as the main first-line treatment option. The guidelines state that other immunosuppressive agents such as mycophenolate mofetil, azathioprine, methotrexate, tacrolimus and ciclosporin may also be used as monotherapies (for patients who refuse corticosteroids or who are contraindicated to corticosteroids) or in combination with corticosteroids (for patients with an inadequate response, for patients with significant steroid side-effects or who require high corticosteroid doses that cannot be tapered down). The guidelines note that chronic IVIg/PLEX can be used as bridging therapies while patients adjust to other slower-acting immunosuppressive agents. Patients with treatment-refractory disease (variable definitions in the literature) can receive treatment with chronic PLEX/IVIg</w:t>
      </w:r>
      <w:r w:rsidRPr="78882673">
        <w:rPr>
          <w:rStyle w:val="FootnoteReference"/>
        </w:rPr>
        <w:footnoteReference w:id="2"/>
      </w:r>
      <w:r w:rsidRPr="78882673">
        <w:t xml:space="preserve">, eculizumab (not registered </w:t>
      </w:r>
      <w:r w:rsidRPr="78882673">
        <w:lastRenderedPageBreak/>
        <w:t>in Australia for myasthenia gravis), cyclophosphamide or rituximab. Acute management of exacerbations typically involves the use of high dose corticosteroids, IVIg or PLEX in the community or hospital setting depending on severity.</w:t>
      </w:r>
    </w:p>
    <w:p w14:paraId="67841C6F" w14:textId="0FA45672" w:rsidR="00410146" w:rsidRPr="00B162C2" w:rsidRDefault="00410146" w:rsidP="00E55FD2">
      <w:pPr>
        <w:pStyle w:val="COMexecsummnumbered"/>
      </w:pPr>
      <w:r w:rsidRPr="78882673">
        <w:t xml:space="preserve">While these standard therapies have shown good efficacy in improving myasthenia gravis-related symptoms, they can carry a considerable burden of long-term adverse effects. Extended use of corticosteroids can result in the development of diabetes, hypertension and osteoporosis. Most </w:t>
      </w:r>
      <w:r w:rsidR="00584A05" w:rsidRPr="00584A05">
        <w:t>non-steroid</w:t>
      </w:r>
      <w:r w:rsidR="00584A05">
        <w:t>al</w:t>
      </w:r>
      <w:r w:rsidR="00584A05" w:rsidRPr="00584A05">
        <w:t xml:space="preserve"> immunosuppressive therap</w:t>
      </w:r>
      <w:r w:rsidR="00584A05">
        <w:t>ies</w:t>
      </w:r>
      <w:r w:rsidR="00584A05" w:rsidRPr="00584A05">
        <w:t xml:space="preserve"> (</w:t>
      </w:r>
      <w:r w:rsidR="00584A05">
        <w:t>NS-ISTs)</w:t>
      </w:r>
      <w:r w:rsidRPr="78882673">
        <w:t xml:space="preserve"> have a delayed onset of action, requiring several months of treatment before their full benefits appear. Abrupt discontinuation of </w:t>
      </w:r>
      <w:r w:rsidR="00584A05">
        <w:t>NS-ISTs</w:t>
      </w:r>
      <w:r w:rsidRPr="78882673">
        <w:t xml:space="preserve"> may result in a clinical relapse, so slow tapering and discontinuation is required. These treatments also have a risk of adverse effects in the liver and bone marrow. Immunosuppressive therapies also leave patients vulnerable to severe infections, and a small but significant long-term risk of developing malignancies and drug-related toxicity (Iorio 2024; </w:t>
      </w:r>
      <w:proofErr w:type="spellStart"/>
      <w:r w:rsidRPr="78882673">
        <w:t>Alhaidar</w:t>
      </w:r>
      <w:proofErr w:type="spellEnd"/>
      <w:r w:rsidRPr="78882673">
        <w:t xml:space="preserve"> 2022).</w:t>
      </w:r>
    </w:p>
    <w:p w14:paraId="1B5AB68B" w14:textId="2812F851" w:rsidR="008C77D4" w:rsidRPr="008C77D4" w:rsidRDefault="008C77D4" w:rsidP="00E55FD2">
      <w:pPr>
        <w:pStyle w:val="COMexecsummnumbered"/>
        <w:rPr>
          <w:color w:val="808080" w:themeColor="background1" w:themeShade="80"/>
        </w:rPr>
      </w:pPr>
      <w:proofErr w:type="spellStart"/>
      <w:r w:rsidRPr="78882673">
        <w:t>Zilucoplan</w:t>
      </w:r>
      <w:proofErr w:type="spellEnd"/>
      <w:r w:rsidRPr="78882673">
        <w:t xml:space="preserve"> is a PEGylated, macrocyclic peptide that binds to the C5 terminal complement protein and inhibits its cleavage into pro-inflammatory components (C5a and C5b). Additionally, because </w:t>
      </w:r>
      <w:proofErr w:type="spellStart"/>
      <w:r w:rsidRPr="78882673">
        <w:t>zilucoplan</w:t>
      </w:r>
      <w:proofErr w:type="spellEnd"/>
      <w:r w:rsidRPr="78882673">
        <w:t xml:space="preserve"> binds to the C5b moiety it may reduce any residual activity specifically associated with this component. It is presumed that the therapeutic effects of </w:t>
      </w:r>
      <w:proofErr w:type="spellStart"/>
      <w:r w:rsidRPr="78882673">
        <w:t>zilucoplan</w:t>
      </w:r>
      <w:proofErr w:type="spellEnd"/>
      <w:r w:rsidRPr="78882673">
        <w:t xml:space="preserve"> are due to a reduction in inflammation (potentially by reducing membrane attack complex-mediated destruction of the neuromuscular junction), although the exact mechanism of action in generalised myast</w:t>
      </w:r>
      <w:r w:rsidR="006B4165" w:rsidRPr="78882673">
        <w:t>henia gravis is currently unknown.</w:t>
      </w:r>
    </w:p>
    <w:p w14:paraId="3F499D81" w14:textId="2DDC6075" w:rsidR="00633792" w:rsidRPr="00633792" w:rsidRDefault="006B4165" w:rsidP="00E55FD2">
      <w:pPr>
        <w:pStyle w:val="COMexecsummnumbered"/>
        <w:rPr>
          <w:color w:val="808080" w:themeColor="background1" w:themeShade="80"/>
        </w:rPr>
      </w:pPr>
      <w:r>
        <w:t xml:space="preserve">The </w:t>
      </w:r>
      <w:r w:rsidR="00633792" w:rsidRPr="00536065">
        <w:t xml:space="preserve">clinical management algorithm </w:t>
      </w:r>
      <w:r w:rsidR="00376C92">
        <w:t xml:space="preserve">proposed in the resubmission </w:t>
      </w:r>
      <w:r>
        <w:t xml:space="preserve">is presented in </w:t>
      </w:r>
      <w:r>
        <w:fldChar w:fldCharType="begin"/>
      </w:r>
      <w:r>
        <w:instrText xml:space="preserve"> REF _Ref185226692 \h </w:instrText>
      </w:r>
      <w:r>
        <w:fldChar w:fldCharType="separate"/>
      </w:r>
      <w:r w:rsidR="00271F88">
        <w:t xml:space="preserve">Figure </w:t>
      </w:r>
      <w:r w:rsidR="00271F88">
        <w:rPr>
          <w:noProof/>
        </w:rPr>
        <w:t>1</w:t>
      </w:r>
      <w:r>
        <w:fldChar w:fldCharType="end"/>
      </w:r>
      <w:r w:rsidR="00633792" w:rsidRPr="00536065">
        <w:t>.</w:t>
      </w:r>
      <w:r w:rsidR="00633792" w:rsidRPr="00B06405" w:rsidDel="004F1DBA">
        <w:rPr>
          <w:color w:val="000000" w:themeColor="text1"/>
        </w:rPr>
        <w:t xml:space="preserve"> </w:t>
      </w:r>
    </w:p>
    <w:p w14:paraId="0BAE0E53" w14:textId="0EE6D161" w:rsidR="00E11BBE" w:rsidRDefault="00E11BBE" w:rsidP="00E55FD2">
      <w:pPr>
        <w:pStyle w:val="COMTableheadingrow"/>
        <w:keepLines/>
      </w:pPr>
      <w:bookmarkStart w:id="15" w:name="_Ref185226692"/>
      <w:r>
        <w:lastRenderedPageBreak/>
        <w:t xml:space="preserve">Figure </w:t>
      </w:r>
      <w:r>
        <w:fldChar w:fldCharType="begin"/>
      </w:r>
      <w:r>
        <w:instrText xml:space="preserve"> SEQ Figure \* ARABIC </w:instrText>
      </w:r>
      <w:r>
        <w:fldChar w:fldCharType="separate"/>
      </w:r>
      <w:r w:rsidR="00271F88">
        <w:rPr>
          <w:noProof/>
        </w:rPr>
        <w:t>1</w:t>
      </w:r>
      <w:r>
        <w:fldChar w:fldCharType="end"/>
      </w:r>
      <w:bookmarkEnd w:id="15"/>
      <w:r>
        <w:t xml:space="preserve">: Proposed clinical management algorithm for </w:t>
      </w:r>
      <w:proofErr w:type="spellStart"/>
      <w:r>
        <w:t>AChR</w:t>
      </w:r>
      <w:proofErr w:type="spellEnd"/>
      <w:r>
        <w:t xml:space="preserve">-positive </w:t>
      </w:r>
      <w:proofErr w:type="spellStart"/>
      <w:r>
        <w:t>generalised</w:t>
      </w:r>
      <w:proofErr w:type="spellEnd"/>
      <w:r>
        <w:t xml:space="preserve"> myasthenia gravis</w:t>
      </w:r>
      <w:r w:rsidRPr="00863CB4">
        <w:t xml:space="preserve"> </w:t>
      </w:r>
    </w:p>
    <w:p w14:paraId="2F682B8B" w14:textId="77777777" w:rsidR="00E11BBE" w:rsidRDefault="00E11BBE" w:rsidP="00E55FD2">
      <w:pPr>
        <w:keepNext/>
        <w:keepLines/>
        <w:jc w:val="center"/>
      </w:pPr>
      <w:r w:rsidRPr="00E11BBE">
        <w:rPr>
          <w:noProof/>
        </w:rPr>
        <w:drawing>
          <wp:inline distT="0" distB="0" distL="0" distR="0" wp14:anchorId="2C8068A5" wp14:editId="4084F5AC">
            <wp:extent cx="5060516" cy="3005611"/>
            <wp:effectExtent l="0" t="0" r="6985" b="4445"/>
            <wp:docPr id="486282051" name="Picture 2" descr="Figure 1: Flowchart showing proposed clinical management algorithm for AChR-positive generalised myasthenia grav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82051" name="Picture 2" descr="Figure 1: Flowchart showing proposed clinical management algorithm for AChR-positive generalised myasthenia gravi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5013" cy="3085493"/>
                    </a:xfrm>
                    <a:prstGeom prst="rect">
                      <a:avLst/>
                    </a:prstGeom>
                    <a:noFill/>
                  </pic:spPr>
                </pic:pic>
              </a:graphicData>
            </a:graphic>
          </wp:inline>
        </w:drawing>
      </w:r>
    </w:p>
    <w:p w14:paraId="4A5B3F79" w14:textId="77777777" w:rsidR="00E11BBE" w:rsidRDefault="00E11BBE" w:rsidP="00E55FD2">
      <w:pPr>
        <w:pStyle w:val="COMTablefooter"/>
        <w:keepNext/>
        <w:keepLines/>
      </w:pPr>
      <w:r>
        <w:t>Source: Figure 1.2-2, p27 of the resubmission</w:t>
      </w:r>
    </w:p>
    <w:p w14:paraId="299EE5D7" w14:textId="77777777" w:rsidR="00E11BBE" w:rsidRDefault="00E11BBE" w:rsidP="00E55FD2">
      <w:pPr>
        <w:pStyle w:val="COMTablefooter"/>
        <w:keepNext/>
        <w:keepLines/>
      </w:pPr>
      <w:r w:rsidRPr="00B85991">
        <w:t>Abbreviation</w:t>
      </w:r>
      <w:r>
        <w:t>s</w:t>
      </w:r>
      <w:r w:rsidRPr="00B85991">
        <w:t xml:space="preserve">: </w:t>
      </w:r>
      <w:proofErr w:type="spellStart"/>
      <w:r w:rsidRPr="00B85991">
        <w:t>AChR</w:t>
      </w:r>
      <w:proofErr w:type="spellEnd"/>
      <w:r w:rsidRPr="00B85991">
        <w:t xml:space="preserve"> acetylcholine receptor; gMG generalised myasthenia gravis; IVIg intravenous immunoglobulin; PLEX plasma exchange.</w:t>
      </w:r>
    </w:p>
    <w:p w14:paraId="4FE43DA0" w14:textId="77777777" w:rsidR="00E11BBE" w:rsidRDefault="00E11BBE" w:rsidP="00E55FD2">
      <w:pPr>
        <w:pStyle w:val="COMTablefooter"/>
        <w:keepNext/>
        <w:keepLines/>
      </w:pPr>
      <w:r w:rsidRPr="00B85991">
        <w:t>Note that thymectomy and IVIg for myasthenic crisis is not shown in the treatment algorithm</w:t>
      </w:r>
      <w:r>
        <w:t>.</w:t>
      </w:r>
    </w:p>
    <w:p w14:paraId="021CF8C6" w14:textId="422EEAF1" w:rsidR="00E11BBE" w:rsidRDefault="00E11BBE" w:rsidP="00E55FD2">
      <w:pPr>
        <w:pStyle w:val="COMTablefooter"/>
        <w:keepNext/>
        <w:keepLines/>
        <w:rPr>
          <w:rFonts w:eastAsia="SimSun"/>
          <w:lang w:eastAsia="zh-CN"/>
        </w:rPr>
      </w:pPr>
      <w:r w:rsidRPr="78882673">
        <w:t xml:space="preserve">Note that while maintenance/chronic treatment is permitted by the National Blood Authority criteria for IVIg maintenance therapy, the international treatment guidelines only recommend short-term treatment in non-refractory patients. </w:t>
      </w:r>
    </w:p>
    <w:p w14:paraId="675F2827" w14:textId="249B596B" w:rsidR="0087486E" w:rsidRPr="00E90C9F" w:rsidRDefault="0087486E" w:rsidP="00E55FD2">
      <w:pPr>
        <w:pStyle w:val="COMexecsummnumbered"/>
      </w:pPr>
      <w:r w:rsidRPr="78882673">
        <w:t xml:space="preserve">The </w:t>
      </w:r>
      <w:r w:rsidRPr="00E90C9F">
        <w:t xml:space="preserve">revised clinical management algorithm positioned </w:t>
      </w:r>
      <w:proofErr w:type="spellStart"/>
      <w:r w:rsidRPr="00E90C9F">
        <w:t>zilucoplan</w:t>
      </w:r>
      <w:proofErr w:type="spellEnd"/>
      <w:r w:rsidRPr="00E90C9F">
        <w:t xml:space="preserve"> as an alternative to IVIg or PLEX for </w:t>
      </w:r>
      <w:r w:rsidR="00B1420A" w:rsidRPr="00E90C9F">
        <w:t>treatment refractory</w:t>
      </w:r>
      <w:r w:rsidRPr="00E90C9F">
        <w:t xml:space="preserve"> generalised myasthenia gravis patients. The resubmission also noted that for some patients, </w:t>
      </w:r>
      <w:proofErr w:type="spellStart"/>
      <w:r w:rsidRPr="00E90C9F">
        <w:t>zilucoplan</w:t>
      </w:r>
      <w:proofErr w:type="spellEnd"/>
      <w:r w:rsidRPr="00E90C9F">
        <w:t xml:space="preserve"> may be used after IVIg (i.e., in patients with an inadequate response to IVIg). </w:t>
      </w:r>
    </w:p>
    <w:p w14:paraId="4FBE1C97" w14:textId="4C05FCC9" w:rsidR="00FE2B5A" w:rsidRPr="00E90C9F" w:rsidRDefault="00FE2B5A" w:rsidP="00E55FD2">
      <w:pPr>
        <w:pStyle w:val="COMexecsummnumbered"/>
      </w:pPr>
      <w:r w:rsidRPr="00E90C9F">
        <w:t xml:space="preserve">The ESC considered that the </w:t>
      </w:r>
      <w:r w:rsidR="00DA4C11" w:rsidRPr="00E90C9F">
        <w:t>resubmission’s proposal to</w:t>
      </w:r>
      <w:r w:rsidR="003204F3" w:rsidRPr="00E90C9F">
        <w:t xml:space="preserve"> list </w:t>
      </w:r>
      <w:proofErr w:type="spellStart"/>
      <w:r w:rsidR="003204F3" w:rsidRPr="00E90C9F">
        <w:t>zilucoplan</w:t>
      </w:r>
      <w:proofErr w:type="spellEnd"/>
      <w:r w:rsidR="003204F3" w:rsidRPr="00E90C9F">
        <w:t xml:space="preserve"> in the refractory setting only </w:t>
      </w:r>
      <w:r w:rsidR="00951AD4" w:rsidRPr="00E90C9F">
        <w:t>may not have been</w:t>
      </w:r>
      <w:r w:rsidR="0039401B" w:rsidRPr="00E90C9F">
        <w:t xml:space="preserve"> adequately supported</w:t>
      </w:r>
      <w:r w:rsidR="00DA4C11" w:rsidRPr="00E90C9F">
        <w:t>, and that the</w:t>
      </w:r>
      <w:r w:rsidR="0039401B" w:rsidRPr="00E90C9F">
        <w:t xml:space="preserve"> </w:t>
      </w:r>
      <w:r w:rsidRPr="00E90C9F">
        <w:t xml:space="preserve">appropriate place for the new </w:t>
      </w:r>
      <w:r w:rsidR="00DA4C11" w:rsidRPr="00E90C9F">
        <w:t xml:space="preserve">gMG </w:t>
      </w:r>
      <w:r w:rsidRPr="00E90C9F">
        <w:t>therapies</w:t>
      </w:r>
      <w:r w:rsidR="00A47FF8" w:rsidRPr="00E90C9F">
        <w:t xml:space="preserve"> </w:t>
      </w:r>
      <w:r w:rsidR="00650D69" w:rsidRPr="00E90C9F">
        <w:t>may</w:t>
      </w:r>
      <w:r w:rsidR="00A47FF8" w:rsidRPr="00E90C9F">
        <w:t xml:space="preserve"> </w:t>
      </w:r>
      <w:r w:rsidR="00265D2B" w:rsidRPr="00E90C9F">
        <w:t xml:space="preserve">also include </w:t>
      </w:r>
      <w:r w:rsidR="00B7329A" w:rsidRPr="00E90C9F">
        <w:t xml:space="preserve">the </w:t>
      </w:r>
      <w:r w:rsidR="00617B1C" w:rsidRPr="00E90C9F">
        <w:t xml:space="preserve">bridging </w:t>
      </w:r>
      <w:r w:rsidR="00B7329A" w:rsidRPr="00E90C9F">
        <w:t>setting.</w:t>
      </w:r>
      <w:r w:rsidRPr="00E90C9F">
        <w:t xml:space="preserve"> </w:t>
      </w:r>
    </w:p>
    <w:p w14:paraId="48945BCD" w14:textId="379C4CAA" w:rsidR="0087486E" w:rsidRPr="00E90C9F" w:rsidRDefault="0087486E" w:rsidP="00E55FD2">
      <w:pPr>
        <w:pStyle w:val="COMexecsummnumbered"/>
      </w:pPr>
      <w:r w:rsidRPr="00E90C9F">
        <w:t xml:space="preserve">The </w:t>
      </w:r>
      <w:r w:rsidR="00F3349D" w:rsidRPr="00E90C9F">
        <w:t xml:space="preserve">evaluation considered that the </w:t>
      </w:r>
      <w:r w:rsidRPr="00E90C9F">
        <w:t xml:space="preserve">clinical place in therapy for </w:t>
      </w:r>
      <w:proofErr w:type="spellStart"/>
      <w:r w:rsidRPr="00E90C9F">
        <w:t>zilucoplan</w:t>
      </w:r>
      <w:proofErr w:type="spellEnd"/>
      <w:r w:rsidRPr="00E90C9F">
        <w:t xml:space="preserve"> is currently unclear, particularly as the use of newer agents such as complement inhibitors (</w:t>
      </w:r>
      <w:proofErr w:type="spellStart"/>
      <w:r w:rsidRPr="00E90C9F">
        <w:t>zilucoplan</w:t>
      </w:r>
      <w:proofErr w:type="spellEnd"/>
      <w:r w:rsidRPr="00E90C9F">
        <w:t xml:space="preserve">, </w:t>
      </w:r>
      <w:proofErr w:type="spellStart"/>
      <w:r w:rsidRPr="00E90C9F">
        <w:t>ravulizumab</w:t>
      </w:r>
      <w:proofErr w:type="spellEnd"/>
      <w:r w:rsidRPr="00E90C9F">
        <w:t xml:space="preserve">) and </w:t>
      </w:r>
      <w:proofErr w:type="spellStart"/>
      <w:r w:rsidRPr="00E90C9F">
        <w:t>FcRn</w:t>
      </w:r>
      <w:proofErr w:type="spellEnd"/>
      <w:r w:rsidRPr="00E90C9F">
        <w:t xml:space="preserve"> blockers (rozanolixizumab, efgartigimod) have yet to be incorporated into most treatment guidelines.</w:t>
      </w:r>
    </w:p>
    <w:p w14:paraId="7D3DD98E" w14:textId="0BD0B3DD" w:rsidR="00C311DB" w:rsidRPr="00C311DB" w:rsidRDefault="00C311DB" w:rsidP="00E55FD2">
      <w:pPr>
        <w:pStyle w:val="COMexecsummnumbered"/>
        <w:numPr>
          <w:ilvl w:val="0"/>
          <w:numId w:val="0"/>
        </w:numPr>
        <w:ind w:left="720"/>
        <w:rPr>
          <w:i/>
          <w:iCs/>
        </w:rPr>
      </w:pPr>
      <w:r w:rsidRPr="00C311DB">
        <w:rPr>
          <w:i/>
          <w:iCs/>
        </w:rPr>
        <w:t xml:space="preserve">For more detail on PBAC’s view, see section </w:t>
      </w:r>
      <w:r w:rsidR="004344F6">
        <w:rPr>
          <w:i/>
          <w:iCs/>
        </w:rPr>
        <w:t>8</w:t>
      </w:r>
      <w:r w:rsidRPr="00C311DB">
        <w:rPr>
          <w:i/>
          <w:iCs/>
        </w:rPr>
        <w:t xml:space="preserve"> PBAC outcome.</w:t>
      </w:r>
    </w:p>
    <w:p w14:paraId="51E5AE96" w14:textId="136A63B1" w:rsidR="00B50DB8" w:rsidRPr="00BB59B1" w:rsidRDefault="00B50DB8" w:rsidP="00E55FD2">
      <w:pPr>
        <w:pStyle w:val="COMH1-numbered"/>
      </w:pPr>
      <w:bookmarkStart w:id="16" w:name="_Toc188274679"/>
      <w:r w:rsidRPr="00BB59B1">
        <w:t>Comparator</w:t>
      </w:r>
      <w:bookmarkEnd w:id="16"/>
    </w:p>
    <w:p w14:paraId="2F6E6D6B" w14:textId="5E9D5319" w:rsidR="00077134" w:rsidRPr="00E90C9F" w:rsidRDefault="00413F57" w:rsidP="00E55FD2">
      <w:pPr>
        <w:pStyle w:val="COMexecsummnumbered"/>
      </w:pPr>
      <w:r w:rsidRPr="002313DF">
        <w:t xml:space="preserve">The resubmission </w:t>
      </w:r>
      <w:r w:rsidRPr="78882673">
        <w:t xml:space="preserve">positioned </w:t>
      </w:r>
      <w:proofErr w:type="spellStart"/>
      <w:r w:rsidRPr="78882673">
        <w:t>zilucoplan</w:t>
      </w:r>
      <w:proofErr w:type="spellEnd"/>
      <w:r w:rsidRPr="78882673">
        <w:t xml:space="preserve"> as an alternative to chronic IVIg/PLEX in treatment refractory patients, however, it nominated placebo (standard therapy </w:t>
      </w:r>
      <w:r w:rsidR="00C439E0" w:rsidRPr="78882673">
        <w:t>with</w:t>
      </w:r>
      <w:r w:rsidR="00343C7A" w:rsidRPr="78882673">
        <w:t xml:space="preserve"> anti-cholinesterase inhibitors, corticosteroids and other immunosuppressants </w:t>
      </w:r>
      <w:r w:rsidR="00702348" w:rsidRPr="78882673">
        <w:t xml:space="preserve">such as mycophenolate </w:t>
      </w:r>
      <w:r w:rsidR="00702348" w:rsidRPr="00E90C9F">
        <w:t>mofetil, azathioprine, methotrexate, tacrolimus, ciclosporin</w:t>
      </w:r>
      <w:r w:rsidRPr="00E90C9F">
        <w:t>) as the main comparator</w:t>
      </w:r>
      <w:r w:rsidRPr="002313DF">
        <w:t xml:space="preserve"> based on previous advice from the PBAC</w:t>
      </w:r>
      <w:r w:rsidR="00077134" w:rsidRPr="002313DF">
        <w:t>:</w:t>
      </w:r>
    </w:p>
    <w:p w14:paraId="52AFC5B2" w14:textId="1268180F" w:rsidR="00077134" w:rsidRPr="002313DF" w:rsidRDefault="007F0BAE" w:rsidP="00E55FD2">
      <w:pPr>
        <w:pStyle w:val="COMexecsummnumbered"/>
      </w:pPr>
      <w:r w:rsidRPr="002313DF">
        <w:lastRenderedPageBreak/>
        <w:t>For refractory patients</w:t>
      </w:r>
      <w:r w:rsidR="00E54B02" w:rsidRPr="002313DF">
        <w:t>,</w:t>
      </w:r>
      <w:r w:rsidRPr="002313DF">
        <w:t xml:space="preserve"> and those who are unable to use or not responding to existing </w:t>
      </w:r>
      <w:r w:rsidR="00077134" w:rsidRPr="002313DF">
        <w:t xml:space="preserve">therapies, the PBAC acknowledged that there are variations in access to IVIg/PLEX, and that any clinical comparisons may be limited by the lack of evidence for IVIg/PLEX. As such, the PBAC considered that placebo may be a reasonable comparator in this group. However, the PBAC considered that chronic IVIg/PLEX remained a relevant comparator for providing a frame of reference for interpreting the cost per patient of </w:t>
      </w:r>
      <w:proofErr w:type="spellStart"/>
      <w:r w:rsidR="00077134" w:rsidRPr="002313DF">
        <w:t>zilucoplan</w:t>
      </w:r>
      <w:proofErr w:type="spellEnd"/>
      <w:r w:rsidR="00077134" w:rsidRPr="002313DF">
        <w:t xml:space="preserve"> in the refractory setting (</w:t>
      </w:r>
      <w:r w:rsidR="002313DF" w:rsidRPr="00274A79">
        <w:t>paragraph</w:t>
      </w:r>
      <w:r w:rsidR="00077134" w:rsidRPr="002313DF">
        <w:t xml:space="preserve"> 7.9, </w:t>
      </w:r>
      <w:proofErr w:type="spellStart"/>
      <w:r w:rsidR="00077134" w:rsidRPr="002313DF">
        <w:t>zilucoplan</w:t>
      </w:r>
      <w:proofErr w:type="spellEnd"/>
      <w:r w:rsidR="00077134" w:rsidRPr="002313DF">
        <w:t xml:space="preserve"> </w:t>
      </w:r>
      <w:r w:rsidR="002046F2" w:rsidRPr="002313DF">
        <w:t xml:space="preserve">PBAC </w:t>
      </w:r>
      <w:r w:rsidR="00C61ACA">
        <w:t>PSD</w:t>
      </w:r>
      <w:r w:rsidR="00077134" w:rsidRPr="002313DF">
        <w:t>, July</w:t>
      </w:r>
      <w:r w:rsidR="00C61ACA">
        <w:t> </w:t>
      </w:r>
      <w:r w:rsidR="00077134" w:rsidRPr="002313DF">
        <w:t xml:space="preserve">2024 PBAC meeting). </w:t>
      </w:r>
    </w:p>
    <w:p w14:paraId="5A0DD2C6" w14:textId="1F8B1CCA" w:rsidR="003322FD" w:rsidRPr="00E90C9F" w:rsidRDefault="00D26DC8" w:rsidP="00E55FD2">
      <w:pPr>
        <w:pStyle w:val="COMexecsummnumbered"/>
      </w:pPr>
      <w:r w:rsidRPr="00E90C9F">
        <w:t xml:space="preserve">Although nominated as a secondary comparator in the July 2024 submission, the resubmission did not nominate chronic IVIg/PLEX as a comparator. This was not adequately justified in the resubmission. </w:t>
      </w:r>
      <w:r w:rsidR="009F412D" w:rsidRPr="00E90C9F">
        <w:t xml:space="preserve">The ESC </w:t>
      </w:r>
      <w:r w:rsidR="00EF79FB" w:rsidRPr="00E90C9F">
        <w:rPr>
          <w:rFonts w:ascii="Calibri" w:eastAsia="Calibri" w:hAnsi="Calibri" w:cs="Calibri"/>
        </w:rPr>
        <w:t>reiterated the PBAC’s previous advice that chronic IVIg was a relevant comparator for providing a frame of reference for interpreting the cost per patient of the newer gMG therapies in the refractory setting</w:t>
      </w:r>
      <w:r w:rsidR="00683E5B" w:rsidRPr="00E90C9F">
        <w:t>.</w:t>
      </w:r>
    </w:p>
    <w:p w14:paraId="28612019" w14:textId="1CBF7F64" w:rsidR="00413F57" w:rsidRPr="008D55C9" w:rsidRDefault="00413F57" w:rsidP="00E55FD2">
      <w:pPr>
        <w:pStyle w:val="COMexecsummnumbered"/>
      </w:pPr>
      <w:r w:rsidRPr="00E90C9F">
        <w:t>In the financial impact estimates, the resubmission acknowledged</w:t>
      </w:r>
      <w:r w:rsidRPr="78882673">
        <w:t xml:space="preserve"> that chronic IVIg/PLEX therapies are the therapies most likely to be replaced in clinical practice. However, in the economic model, </w:t>
      </w:r>
      <w:proofErr w:type="spellStart"/>
      <w:r w:rsidRPr="78882673">
        <w:t>zilucoplan</w:t>
      </w:r>
      <w:proofErr w:type="spellEnd"/>
      <w:r w:rsidRPr="78882673">
        <w:t xml:space="preserve"> </w:t>
      </w:r>
      <w:r w:rsidR="00054AEE">
        <w:t>wa</w:t>
      </w:r>
      <w:r w:rsidRPr="78882673">
        <w:t xml:space="preserve">s assumed to be primarily used as a subsequent therapy after treatment failure with chronic IVIg/PLEX. </w:t>
      </w:r>
    </w:p>
    <w:p w14:paraId="015A74DB" w14:textId="06331814" w:rsidR="00F41253" w:rsidRPr="00E90C9F" w:rsidRDefault="00413F57" w:rsidP="00E55FD2">
      <w:pPr>
        <w:pStyle w:val="COMexecsummnumbered"/>
      </w:pPr>
      <w:r w:rsidRPr="00E90C9F">
        <w:t xml:space="preserve">The July 2024 submission also nominated </w:t>
      </w:r>
      <w:proofErr w:type="spellStart"/>
      <w:r w:rsidRPr="00E90C9F">
        <w:t>ravulizumab</w:t>
      </w:r>
      <w:proofErr w:type="spellEnd"/>
      <w:r w:rsidRPr="00E90C9F">
        <w:t xml:space="preserve"> (another complement inhibitor) as a near-market comparator, however, the resubmission did not nominate any near market comparators. </w:t>
      </w:r>
      <w:r w:rsidR="00F41253" w:rsidRPr="00E90C9F">
        <w:t xml:space="preserve">The ESC considered that the four gMG therapies being considered at the March 2025 meeting (efgartigimod, rozanolixizumab, </w:t>
      </w:r>
      <w:proofErr w:type="spellStart"/>
      <w:r w:rsidR="00F41253" w:rsidRPr="00E90C9F">
        <w:t>ravulizumab</w:t>
      </w:r>
      <w:proofErr w:type="spellEnd"/>
      <w:r w:rsidR="00F41253" w:rsidRPr="00E90C9F">
        <w:t xml:space="preserve"> and </w:t>
      </w:r>
      <w:proofErr w:type="spellStart"/>
      <w:r w:rsidR="00F41253" w:rsidRPr="00E90C9F">
        <w:t>zilucoplan</w:t>
      </w:r>
      <w:proofErr w:type="spellEnd"/>
      <w:r w:rsidR="00F41253" w:rsidRPr="00E90C9F">
        <w:t>) were all near-market comparators to each other.</w:t>
      </w:r>
    </w:p>
    <w:p w14:paraId="31192298" w14:textId="475A1797" w:rsidR="00413F57" w:rsidRPr="00E90C9F" w:rsidRDefault="00054AEE" w:rsidP="00E55FD2">
      <w:pPr>
        <w:pStyle w:val="COMexecsummnumbered"/>
      </w:pPr>
      <w:proofErr w:type="spellStart"/>
      <w:r>
        <w:t>Z</w:t>
      </w:r>
      <w:r w:rsidR="00413F57" w:rsidRPr="00E90C9F">
        <w:t>ilucoplan</w:t>
      </w:r>
      <w:proofErr w:type="spellEnd"/>
      <w:r w:rsidR="00413F57" w:rsidRPr="00E90C9F">
        <w:t xml:space="preserve"> and rozanolixizumab have the same sponsor but neither submission addressed the potential use of the other medication.</w:t>
      </w:r>
    </w:p>
    <w:p w14:paraId="191BD4EB" w14:textId="30096050" w:rsidR="00C311DB" w:rsidRPr="005500C7" w:rsidRDefault="005500C7" w:rsidP="00E55FD2">
      <w:pPr>
        <w:pStyle w:val="COMexecsummnumbered"/>
        <w:numPr>
          <w:ilvl w:val="0"/>
          <w:numId w:val="0"/>
        </w:numPr>
        <w:ind w:left="720"/>
        <w:rPr>
          <w:i/>
          <w:iCs/>
        </w:rPr>
      </w:pPr>
      <w:r w:rsidRPr="005500C7">
        <w:rPr>
          <w:i/>
          <w:iCs/>
        </w:rPr>
        <w:t xml:space="preserve">For more detail on PBAC’s view, see section </w:t>
      </w:r>
      <w:r w:rsidR="004344F6">
        <w:rPr>
          <w:i/>
          <w:iCs/>
        </w:rPr>
        <w:t>8</w:t>
      </w:r>
      <w:r w:rsidRPr="005500C7">
        <w:rPr>
          <w:i/>
          <w:iCs/>
        </w:rPr>
        <w:t xml:space="preserve"> PBAC outcome.</w:t>
      </w:r>
    </w:p>
    <w:p w14:paraId="7F9C27C8" w14:textId="77777777" w:rsidR="00223D5A" w:rsidRPr="00BB59B1" w:rsidRDefault="00223D5A" w:rsidP="00E55FD2">
      <w:pPr>
        <w:pStyle w:val="COMH1-numbered"/>
        <w:numPr>
          <w:ilvl w:val="0"/>
          <w:numId w:val="1"/>
        </w:numPr>
      </w:pPr>
      <w:bookmarkStart w:id="17" w:name="_Toc188274680"/>
      <w:bookmarkStart w:id="18" w:name="_Toc22897640"/>
      <w:r w:rsidRPr="00BB59B1">
        <w:t>Consideration of the evidence</w:t>
      </w:r>
      <w:bookmarkEnd w:id="17"/>
    </w:p>
    <w:p w14:paraId="4080E6EB" w14:textId="77777777" w:rsidR="00FC3D3E" w:rsidRPr="00FC3D3E" w:rsidRDefault="00FC3D3E" w:rsidP="00E55FD2">
      <w:pPr>
        <w:pStyle w:val="COMH2-non-numbered"/>
      </w:pPr>
      <w:bookmarkStart w:id="19" w:name="_Hlk76375935"/>
      <w:bookmarkStart w:id="20" w:name="_Toc188274681"/>
      <w:r w:rsidRPr="00FC3D3E">
        <w:t>Sponsor hearing</w:t>
      </w:r>
    </w:p>
    <w:p w14:paraId="15B3FE96" w14:textId="178A750D" w:rsidR="00EE61D0" w:rsidRPr="00EE61D0" w:rsidRDefault="00FC3D3E" w:rsidP="00E55FD2">
      <w:pPr>
        <w:numPr>
          <w:ilvl w:val="1"/>
          <w:numId w:val="1"/>
        </w:numPr>
        <w:spacing w:after="120"/>
        <w:rPr>
          <w:rFonts w:cs="Calibri"/>
          <w:bCs/>
          <w:snapToGrid w:val="0"/>
        </w:rPr>
      </w:pPr>
      <w:bookmarkStart w:id="21" w:name="_Hlk76382586"/>
      <w:r w:rsidRPr="00836F75">
        <w:rPr>
          <w:rFonts w:asciiTheme="minorHAnsi" w:hAnsiTheme="minorHAnsi"/>
          <w:bCs/>
          <w:snapToGrid w:val="0"/>
        </w:rPr>
        <w:t xml:space="preserve">The sponsor requested a hearing for this item. </w:t>
      </w:r>
      <w:bookmarkStart w:id="22" w:name="_Hlk193808064"/>
      <w:r w:rsidR="00386FA4">
        <w:rPr>
          <w:rFonts w:asciiTheme="minorHAnsi" w:hAnsiTheme="minorHAnsi"/>
          <w:bCs/>
          <w:snapToGrid w:val="0"/>
        </w:rPr>
        <w:t xml:space="preserve">The sponsor </w:t>
      </w:r>
      <w:r w:rsidR="00EE61D0">
        <w:rPr>
          <w:rFonts w:asciiTheme="minorHAnsi" w:hAnsiTheme="minorHAnsi"/>
          <w:bCs/>
          <w:snapToGrid w:val="0"/>
        </w:rPr>
        <w:t>outlined the clinical positioning of its two agents for gMG</w:t>
      </w:r>
      <w:r w:rsidR="00257D33">
        <w:rPr>
          <w:rFonts w:asciiTheme="minorHAnsi" w:hAnsiTheme="minorHAnsi"/>
          <w:bCs/>
          <w:snapToGrid w:val="0"/>
        </w:rPr>
        <w:t xml:space="preserve"> (</w:t>
      </w:r>
      <w:proofErr w:type="spellStart"/>
      <w:r w:rsidR="00EE61D0">
        <w:rPr>
          <w:rFonts w:asciiTheme="minorHAnsi" w:hAnsiTheme="minorHAnsi"/>
          <w:bCs/>
          <w:snapToGrid w:val="0"/>
        </w:rPr>
        <w:t>zilucoplan</w:t>
      </w:r>
      <w:proofErr w:type="spellEnd"/>
      <w:r w:rsidR="00EE61D0">
        <w:rPr>
          <w:rFonts w:asciiTheme="minorHAnsi" w:hAnsiTheme="minorHAnsi"/>
          <w:bCs/>
          <w:snapToGrid w:val="0"/>
        </w:rPr>
        <w:t xml:space="preserve"> and rozanolixizumab</w:t>
      </w:r>
      <w:r w:rsidR="00257D33">
        <w:rPr>
          <w:rFonts w:asciiTheme="minorHAnsi" w:hAnsiTheme="minorHAnsi"/>
          <w:bCs/>
          <w:snapToGrid w:val="0"/>
        </w:rPr>
        <w:t>)</w:t>
      </w:r>
      <w:r w:rsidR="00EE61D0">
        <w:rPr>
          <w:rFonts w:asciiTheme="minorHAnsi" w:hAnsiTheme="minorHAnsi"/>
          <w:bCs/>
          <w:snapToGrid w:val="0"/>
        </w:rPr>
        <w:t xml:space="preserve">. </w:t>
      </w:r>
      <w:proofErr w:type="spellStart"/>
      <w:r w:rsidR="00257D33">
        <w:rPr>
          <w:rFonts w:asciiTheme="minorHAnsi" w:hAnsiTheme="minorHAnsi"/>
          <w:bCs/>
          <w:snapToGrid w:val="0"/>
        </w:rPr>
        <w:t>Zilucoplan</w:t>
      </w:r>
      <w:proofErr w:type="spellEnd"/>
      <w:r w:rsidR="00257D33">
        <w:rPr>
          <w:rFonts w:asciiTheme="minorHAnsi" w:hAnsiTheme="minorHAnsi"/>
          <w:bCs/>
          <w:snapToGrid w:val="0"/>
        </w:rPr>
        <w:t xml:space="preserve"> </w:t>
      </w:r>
      <w:r w:rsidR="00257D33" w:rsidRPr="00184AD2">
        <w:rPr>
          <w:snapToGrid w:val="0"/>
        </w:rPr>
        <w:t xml:space="preserve">was </w:t>
      </w:r>
      <w:r w:rsidR="00DC3620">
        <w:rPr>
          <w:bCs/>
          <w:snapToGrid w:val="0"/>
        </w:rPr>
        <w:t>proposed for use in</w:t>
      </w:r>
      <w:r w:rsidR="00257D33" w:rsidRPr="00184AD2">
        <w:rPr>
          <w:snapToGrid w:val="0"/>
        </w:rPr>
        <w:t xml:space="preserve"> the</w:t>
      </w:r>
      <w:r w:rsidR="00257D33">
        <w:rPr>
          <w:rFonts w:asciiTheme="minorHAnsi" w:hAnsiTheme="minorHAnsi"/>
          <w:bCs/>
          <w:snapToGrid w:val="0"/>
        </w:rPr>
        <w:t xml:space="preserve"> </w:t>
      </w:r>
      <w:r w:rsidR="00EE61D0">
        <w:rPr>
          <w:rFonts w:asciiTheme="minorHAnsi" w:hAnsiTheme="minorHAnsi"/>
          <w:bCs/>
          <w:snapToGrid w:val="0"/>
        </w:rPr>
        <w:t xml:space="preserve">refractory </w:t>
      </w:r>
      <w:r w:rsidR="00257D33">
        <w:rPr>
          <w:rFonts w:asciiTheme="minorHAnsi" w:hAnsiTheme="minorHAnsi"/>
          <w:bCs/>
          <w:snapToGrid w:val="0"/>
        </w:rPr>
        <w:t>setting</w:t>
      </w:r>
      <w:r w:rsidR="00EE61D0">
        <w:rPr>
          <w:rFonts w:asciiTheme="minorHAnsi" w:hAnsiTheme="minorHAnsi"/>
          <w:bCs/>
          <w:snapToGrid w:val="0"/>
        </w:rPr>
        <w:t xml:space="preserve"> </w:t>
      </w:r>
      <w:bookmarkStart w:id="23" w:name="_Hlk193971715"/>
      <w:r w:rsidR="00391A24">
        <w:rPr>
          <w:rFonts w:asciiTheme="minorHAnsi" w:hAnsiTheme="minorHAnsi"/>
          <w:bCs/>
          <w:snapToGrid w:val="0"/>
        </w:rPr>
        <w:t>given the PBAC’s previous advice to target patients with the highest clinical need</w:t>
      </w:r>
      <w:r w:rsidR="00DC3620">
        <w:rPr>
          <w:rFonts w:asciiTheme="minorHAnsi" w:hAnsiTheme="minorHAnsi"/>
          <w:bCs/>
          <w:snapToGrid w:val="0"/>
        </w:rPr>
        <w:t>,</w:t>
      </w:r>
      <w:r w:rsidR="00391A24">
        <w:rPr>
          <w:rFonts w:asciiTheme="minorHAnsi" w:hAnsiTheme="minorHAnsi"/>
          <w:bCs/>
          <w:snapToGrid w:val="0"/>
        </w:rPr>
        <w:t xml:space="preserve"> and </w:t>
      </w:r>
      <w:r w:rsidR="00257D33">
        <w:rPr>
          <w:rFonts w:asciiTheme="minorHAnsi" w:hAnsiTheme="minorHAnsi"/>
          <w:bCs/>
          <w:snapToGrid w:val="0"/>
        </w:rPr>
        <w:t>because</w:t>
      </w:r>
      <w:r w:rsidR="00EE61D0">
        <w:rPr>
          <w:rFonts w:asciiTheme="minorHAnsi" w:hAnsiTheme="minorHAnsi"/>
          <w:bCs/>
          <w:snapToGrid w:val="0"/>
        </w:rPr>
        <w:t xml:space="preserve"> the trial was not specifically designed to </w:t>
      </w:r>
      <w:r w:rsidR="00257D33">
        <w:rPr>
          <w:rFonts w:asciiTheme="minorHAnsi" w:hAnsiTheme="minorHAnsi"/>
          <w:bCs/>
          <w:snapToGrid w:val="0"/>
        </w:rPr>
        <w:t xml:space="preserve">assess </w:t>
      </w:r>
      <w:r w:rsidR="00EE61D0">
        <w:rPr>
          <w:rFonts w:asciiTheme="minorHAnsi" w:hAnsiTheme="minorHAnsi"/>
          <w:bCs/>
          <w:snapToGrid w:val="0"/>
        </w:rPr>
        <w:t xml:space="preserve">efficacy in the bridging setting. </w:t>
      </w:r>
      <w:bookmarkEnd w:id="23"/>
      <w:r w:rsidR="00257D33">
        <w:rPr>
          <w:rFonts w:asciiTheme="minorHAnsi" w:hAnsiTheme="minorHAnsi"/>
          <w:bCs/>
          <w:snapToGrid w:val="0"/>
        </w:rPr>
        <w:t>On the other hand, the sponsor targeted r</w:t>
      </w:r>
      <w:r w:rsidR="00EE61D0">
        <w:rPr>
          <w:rFonts w:asciiTheme="minorHAnsi" w:hAnsiTheme="minorHAnsi"/>
          <w:bCs/>
          <w:snapToGrid w:val="0"/>
        </w:rPr>
        <w:t xml:space="preserve">ozanolixizumab at </w:t>
      </w:r>
      <w:r w:rsidR="00257D33">
        <w:rPr>
          <w:rFonts w:asciiTheme="minorHAnsi" w:hAnsiTheme="minorHAnsi"/>
          <w:bCs/>
          <w:snapToGrid w:val="0"/>
        </w:rPr>
        <w:t xml:space="preserve">the </w:t>
      </w:r>
      <w:r w:rsidR="00EE61D0">
        <w:rPr>
          <w:rFonts w:asciiTheme="minorHAnsi" w:hAnsiTheme="minorHAnsi"/>
          <w:bCs/>
          <w:snapToGrid w:val="0"/>
        </w:rPr>
        <w:t xml:space="preserve">bridging </w:t>
      </w:r>
      <w:r w:rsidR="00EE61D0" w:rsidRPr="000B1020">
        <w:rPr>
          <w:rFonts w:asciiTheme="minorHAnsi" w:hAnsiTheme="minorHAnsi"/>
          <w:bCs/>
          <w:snapToGrid w:val="0"/>
        </w:rPr>
        <w:t>setting because it is a symptom-led treatment</w:t>
      </w:r>
      <w:r w:rsidR="00C472FA" w:rsidRPr="000B1020">
        <w:rPr>
          <w:rFonts w:asciiTheme="minorHAnsi" w:hAnsiTheme="minorHAnsi"/>
          <w:bCs/>
          <w:snapToGrid w:val="0"/>
        </w:rPr>
        <w:t xml:space="preserve"> </w:t>
      </w:r>
      <w:r w:rsidR="00C472FA" w:rsidRPr="000B1020">
        <w:rPr>
          <w:bCs/>
          <w:snapToGrid w:val="0"/>
        </w:rPr>
        <w:t>that was designed as an IVIg replacement</w:t>
      </w:r>
      <w:r w:rsidR="00257D33" w:rsidRPr="000B1020">
        <w:rPr>
          <w:rFonts w:asciiTheme="minorHAnsi" w:hAnsiTheme="minorHAnsi"/>
          <w:bCs/>
          <w:snapToGrid w:val="0"/>
        </w:rPr>
        <w:t xml:space="preserve">. </w:t>
      </w:r>
      <w:bookmarkEnd w:id="22"/>
      <w:r w:rsidR="00EE61D0" w:rsidRPr="000B1020">
        <w:rPr>
          <w:rFonts w:asciiTheme="minorHAnsi" w:hAnsiTheme="minorHAnsi"/>
          <w:bCs/>
          <w:snapToGrid w:val="0"/>
        </w:rPr>
        <w:t>The sponsor stated that</w:t>
      </w:r>
      <w:r w:rsidR="00257D33" w:rsidRPr="000B1020">
        <w:rPr>
          <w:rFonts w:asciiTheme="minorHAnsi" w:hAnsiTheme="minorHAnsi"/>
          <w:bCs/>
          <w:snapToGrid w:val="0"/>
        </w:rPr>
        <w:t xml:space="preserve"> a price premium should be applied in a</w:t>
      </w:r>
      <w:r w:rsidR="00FF374B" w:rsidRPr="000B1020">
        <w:rPr>
          <w:rFonts w:asciiTheme="minorHAnsi" w:hAnsiTheme="minorHAnsi"/>
          <w:bCs/>
          <w:snapToGrid w:val="0"/>
        </w:rPr>
        <w:t>ny</w:t>
      </w:r>
      <w:r w:rsidR="00257D33" w:rsidRPr="000B1020">
        <w:rPr>
          <w:rFonts w:asciiTheme="minorHAnsi" w:hAnsiTheme="minorHAnsi"/>
          <w:bCs/>
          <w:snapToGrid w:val="0"/>
        </w:rPr>
        <w:t xml:space="preserve"> cost-comparison versus IVIg because</w:t>
      </w:r>
      <w:r w:rsidR="00EE61D0" w:rsidRPr="000B1020">
        <w:rPr>
          <w:rFonts w:asciiTheme="minorHAnsi" w:hAnsiTheme="minorHAnsi"/>
          <w:bCs/>
          <w:snapToGrid w:val="0"/>
        </w:rPr>
        <w:t xml:space="preserve"> </w:t>
      </w:r>
      <w:proofErr w:type="spellStart"/>
      <w:r w:rsidR="00EE61D0" w:rsidRPr="000B1020">
        <w:rPr>
          <w:rFonts w:asciiTheme="minorHAnsi" w:hAnsiTheme="minorHAnsi"/>
          <w:bCs/>
          <w:snapToGrid w:val="0"/>
        </w:rPr>
        <w:t>zilucoplan</w:t>
      </w:r>
      <w:proofErr w:type="spellEnd"/>
      <w:r w:rsidR="00EE61D0" w:rsidRPr="000B1020">
        <w:rPr>
          <w:rFonts w:asciiTheme="minorHAnsi" w:hAnsiTheme="minorHAnsi"/>
          <w:bCs/>
          <w:snapToGrid w:val="0"/>
        </w:rPr>
        <w:t xml:space="preserve"> is intended for patients with </w:t>
      </w:r>
      <w:r w:rsidR="00255216" w:rsidRPr="000B1020">
        <w:rPr>
          <w:rFonts w:asciiTheme="minorHAnsi" w:hAnsiTheme="minorHAnsi"/>
          <w:bCs/>
          <w:snapToGrid w:val="0"/>
        </w:rPr>
        <w:t>a</w:t>
      </w:r>
      <w:r w:rsidR="00EE61D0" w:rsidRPr="000B1020">
        <w:rPr>
          <w:rFonts w:asciiTheme="minorHAnsi" w:hAnsiTheme="minorHAnsi"/>
          <w:bCs/>
          <w:snapToGrid w:val="0"/>
        </w:rPr>
        <w:t xml:space="preserve"> higher clinical need </w:t>
      </w:r>
      <w:r w:rsidR="0088392D" w:rsidRPr="000B1020">
        <w:rPr>
          <w:rFonts w:asciiTheme="minorHAnsi" w:hAnsiTheme="minorHAnsi"/>
          <w:bCs/>
          <w:snapToGrid w:val="0"/>
        </w:rPr>
        <w:t>compared with the clinical place of</w:t>
      </w:r>
      <w:r w:rsidR="00EE61D0" w:rsidRPr="000B1020">
        <w:rPr>
          <w:rFonts w:asciiTheme="minorHAnsi" w:hAnsiTheme="minorHAnsi"/>
          <w:bCs/>
          <w:snapToGrid w:val="0"/>
        </w:rPr>
        <w:t xml:space="preserve"> IVIg. </w:t>
      </w:r>
    </w:p>
    <w:bookmarkEnd w:id="21"/>
    <w:p w14:paraId="5CE6B6A8" w14:textId="64FE4FA5" w:rsidR="00FC3D3E" w:rsidRPr="00FC3D3E" w:rsidRDefault="00FC3D3E" w:rsidP="00E55FD2">
      <w:pPr>
        <w:pStyle w:val="COMH2-numbered"/>
      </w:pPr>
      <w:r w:rsidRPr="00FC3D3E">
        <w:lastRenderedPageBreak/>
        <w:t>Consumer comments</w:t>
      </w:r>
    </w:p>
    <w:p w14:paraId="7A980BF7" w14:textId="5EDD874E" w:rsidR="00FA7CFA" w:rsidRPr="00FA7CFA" w:rsidRDefault="00FA7CFA" w:rsidP="00E55FD2">
      <w:pPr>
        <w:pStyle w:val="COMexecsummnumbered"/>
        <w:rPr>
          <w:rFonts w:eastAsia="Times New Roman" w:cs="Arial"/>
          <w:bCs/>
          <w:snapToGrid w:val="0"/>
          <w:szCs w:val="24"/>
        </w:rPr>
      </w:pPr>
      <w:bookmarkStart w:id="24" w:name="_Hlk76382618"/>
      <w:r w:rsidRPr="00FA7CFA">
        <w:rPr>
          <w:rFonts w:eastAsia="Times New Roman" w:cs="Arial"/>
          <w:bCs/>
          <w:snapToGrid w:val="0"/>
          <w:szCs w:val="24"/>
        </w:rPr>
        <w:t>The PBAC noted and welcomed the input from individuals (1</w:t>
      </w:r>
      <w:r w:rsidR="004753A9">
        <w:rPr>
          <w:rFonts w:eastAsia="Times New Roman" w:cs="Arial"/>
          <w:bCs/>
          <w:snapToGrid w:val="0"/>
          <w:szCs w:val="24"/>
        </w:rPr>
        <w:t>5</w:t>
      </w:r>
      <w:r w:rsidRPr="00FA7CFA">
        <w:rPr>
          <w:rFonts w:eastAsia="Times New Roman" w:cs="Arial"/>
          <w:bCs/>
          <w:snapToGrid w:val="0"/>
          <w:szCs w:val="24"/>
        </w:rPr>
        <w:t>), health care professionals (</w:t>
      </w:r>
      <w:r w:rsidR="00505B6F">
        <w:rPr>
          <w:rFonts w:eastAsia="Times New Roman" w:cs="Arial"/>
          <w:bCs/>
          <w:snapToGrid w:val="0"/>
          <w:szCs w:val="24"/>
        </w:rPr>
        <w:t xml:space="preserve">10 </w:t>
      </w:r>
      <w:bookmarkStart w:id="25" w:name="_Hlk193962146"/>
      <w:r w:rsidR="00505B6F">
        <w:rPr>
          <w:rFonts w:eastAsia="Times New Roman" w:cs="Arial"/>
          <w:bCs/>
          <w:snapToGrid w:val="0"/>
          <w:szCs w:val="24"/>
        </w:rPr>
        <w:t xml:space="preserve">individual health care professionals plus </w:t>
      </w:r>
      <w:r w:rsidR="004753A9">
        <w:rPr>
          <w:snapToGrid w:val="0"/>
        </w:rPr>
        <w:t>a group of 11 neurologists</w:t>
      </w:r>
      <w:bookmarkEnd w:id="25"/>
      <w:r w:rsidRPr="00FA7CFA">
        <w:rPr>
          <w:rFonts w:eastAsia="Times New Roman" w:cs="Arial"/>
          <w:bCs/>
          <w:snapToGrid w:val="0"/>
          <w:szCs w:val="24"/>
        </w:rPr>
        <w:t xml:space="preserve">) and </w:t>
      </w:r>
      <w:r w:rsidR="00992147">
        <w:rPr>
          <w:rFonts w:eastAsia="Times New Roman" w:cs="Arial"/>
          <w:bCs/>
          <w:snapToGrid w:val="0"/>
          <w:szCs w:val="24"/>
        </w:rPr>
        <w:t xml:space="preserve">an </w:t>
      </w:r>
      <w:r w:rsidRPr="00FA7CFA">
        <w:rPr>
          <w:rFonts w:eastAsia="Times New Roman" w:cs="Arial"/>
          <w:bCs/>
          <w:snapToGrid w:val="0"/>
          <w:szCs w:val="24"/>
        </w:rPr>
        <w:t>organisation (</w:t>
      </w:r>
      <w:r w:rsidR="0014083F" w:rsidRPr="00F7368F">
        <w:rPr>
          <w:snapToGrid w:val="0"/>
        </w:rPr>
        <w:t>Myasthenia Alliance Australia (MAA)</w:t>
      </w:r>
      <w:r w:rsidRPr="00FA7CFA">
        <w:rPr>
          <w:rFonts w:eastAsia="Times New Roman" w:cs="Arial"/>
          <w:bCs/>
          <w:snapToGrid w:val="0"/>
          <w:szCs w:val="24"/>
        </w:rPr>
        <w:t>) via the Consumer Comments facility on the PBS website. The comments described the high unmet need for new therapies to treat gMG. The comments outlined the significant impact that gMG can have on quality of life such as an inability to perform daily tasks, work, study, drive or participate in social activities. The comments also described the impact on family, along with the financial burden associated with the condition. The comments also described the limitations of currently available treatment options including adverse events and lengthy administration times. The comments outlined a hope that the new therapies will reduce gMG symptoms, reduce the need for other medications and associated side-effects and reduce hospital visits, contributing to an overall improved quality of life.</w:t>
      </w:r>
    </w:p>
    <w:p w14:paraId="3FDF4FAD" w14:textId="77777777" w:rsidR="003E65DA" w:rsidRDefault="00FA7CFA" w:rsidP="00E55FD2">
      <w:pPr>
        <w:pStyle w:val="COMexecsummnumbered"/>
        <w:rPr>
          <w:snapToGrid w:val="0"/>
        </w:rPr>
      </w:pPr>
      <w:bookmarkStart w:id="26" w:name="_Hlk193962247"/>
      <w:r w:rsidRPr="00BC750B">
        <w:rPr>
          <w:snapToGrid w:val="0"/>
        </w:rPr>
        <w:t xml:space="preserve">The comments noted the efficacy associated with </w:t>
      </w:r>
      <w:proofErr w:type="spellStart"/>
      <w:r w:rsidR="00BC750B" w:rsidRPr="00BC750B">
        <w:rPr>
          <w:snapToGrid w:val="0"/>
        </w:rPr>
        <w:t>zilucoplan</w:t>
      </w:r>
      <w:proofErr w:type="spellEnd"/>
      <w:r w:rsidR="00505B6F">
        <w:rPr>
          <w:snapToGrid w:val="0"/>
        </w:rPr>
        <w:t xml:space="preserve"> and </w:t>
      </w:r>
      <w:r w:rsidRPr="00BC750B">
        <w:rPr>
          <w:snapToGrid w:val="0"/>
        </w:rPr>
        <w:t>the rapid onset of action</w:t>
      </w:r>
      <w:r w:rsidR="00505B6F">
        <w:rPr>
          <w:snapToGrid w:val="0"/>
        </w:rPr>
        <w:t xml:space="preserve">. The comments noted </w:t>
      </w:r>
      <w:r w:rsidR="00BC750B">
        <w:rPr>
          <w:snapToGrid w:val="0"/>
        </w:rPr>
        <w:t xml:space="preserve">the ease of administration </w:t>
      </w:r>
      <w:r w:rsidR="00505B6F">
        <w:rPr>
          <w:snapToGrid w:val="0"/>
        </w:rPr>
        <w:t xml:space="preserve">of </w:t>
      </w:r>
      <w:proofErr w:type="spellStart"/>
      <w:r w:rsidR="00505B6F">
        <w:rPr>
          <w:snapToGrid w:val="0"/>
        </w:rPr>
        <w:t>zilucoplan</w:t>
      </w:r>
      <w:proofErr w:type="spellEnd"/>
      <w:r w:rsidR="00505B6F">
        <w:rPr>
          <w:snapToGrid w:val="0"/>
        </w:rPr>
        <w:t xml:space="preserve"> </w:t>
      </w:r>
      <w:r w:rsidR="00BC750B">
        <w:rPr>
          <w:snapToGrid w:val="0"/>
        </w:rPr>
        <w:t xml:space="preserve">given it is a </w:t>
      </w:r>
      <w:r w:rsidR="00BC750B" w:rsidRPr="00BC750B">
        <w:rPr>
          <w:snapToGrid w:val="0"/>
        </w:rPr>
        <w:t>self-administered daily subcutaneous injection</w:t>
      </w:r>
      <w:r w:rsidR="00505B6F">
        <w:rPr>
          <w:snapToGrid w:val="0"/>
        </w:rPr>
        <w:t>, which would provide flexibility for patients</w:t>
      </w:r>
      <w:r w:rsidR="00BC750B">
        <w:rPr>
          <w:snapToGrid w:val="0"/>
        </w:rPr>
        <w:t xml:space="preserve">. </w:t>
      </w:r>
      <w:r w:rsidRPr="00BC750B">
        <w:rPr>
          <w:snapToGrid w:val="0"/>
        </w:rPr>
        <w:t xml:space="preserve">The input outlined the risk of infection associated with </w:t>
      </w:r>
      <w:proofErr w:type="spellStart"/>
      <w:r w:rsidR="00BC750B" w:rsidRPr="00BC750B">
        <w:rPr>
          <w:snapToGrid w:val="0"/>
        </w:rPr>
        <w:t>zilucoplan</w:t>
      </w:r>
      <w:proofErr w:type="spellEnd"/>
      <w:r w:rsidRPr="00BC750B">
        <w:rPr>
          <w:snapToGrid w:val="0"/>
        </w:rPr>
        <w:t xml:space="preserve"> including the risk of meningococcal infection. However, </w:t>
      </w:r>
      <w:proofErr w:type="gramStart"/>
      <w:r w:rsidRPr="00BC750B">
        <w:rPr>
          <w:snapToGrid w:val="0"/>
        </w:rPr>
        <w:t>the majority of</w:t>
      </w:r>
      <w:proofErr w:type="gramEnd"/>
      <w:r w:rsidRPr="00BC750B">
        <w:rPr>
          <w:snapToGrid w:val="0"/>
        </w:rPr>
        <w:t xml:space="preserve"> contributors expressed an enthusiasm to try </w:t>
      </w:r>
      <w:proofErr w:type="spellStart"/>
      <w:r w:rsidR="00BC750B" w:rsidRPr="00BC750B">
        <w:rPr>
          <w:snapToGrid w:val="0"/>
        </w:rPr>
        <w:t>zilucoplan</w:t>
      </w:r>
      <w:proofErr w:type="spellEnd"/>
      <w:r w:rsidRPr="00BC750B">
        <w:rPr>
          <w:snapToGrid w:val="0"/>
        </w:rPr>
        <w:t xml:space="preserve"> </w:t>
      </w:r>
      <w:r w:rsidRPr="00505B6F">
        <w:rPr>
          <w:snapToGrid w:val="0"/>
        </w:rPr>
        <w:t xml:space="preserve">regardless of potential adverse events due to its reported efficacy. </w:t>
      </w:r>
      <w:r w:rsidR="00BC750B" w:rsidRPr="00505B6F">
        <w:rPr>
          <w:snapToGrid w:val="0"/>
        </w:rPr>
        <w:t>One clinician stated they “</w:t>
      </w:r>
      <w:r w:rsidR="00BC750B" w:rsidRPr="00505B6F">
        <w:rPr>
          <w:rFonts w:eastAsia="Times New Roman" w:cs="Arial"/>
          <w:bCs/>
          <w:snapToGrid w:val="0"/>
          <w:szCs w:val="24"/>
        </w:rPr>
        <w:t>believe this drug is being considered for those with refractory or severe disease only. However, its rapid onset of action gives clinicians the opportunity to gain rapid control of this condition in the acute setting, regardless of refractoriness.</w:t>
      </w:r>
      <w:r w:rsidR="00BC750B" w:rsidRPr="00505B6F">
        <w:t xml:space="preserve"> </w:t>
      </w:r>
      <w:r w:rsidR="00BC750B" w:rsidRPr="00505B6F">
        <w:rPr>
          <w:rFonts w:eastAsia="Times New Roman" w:cs="Arial"/>
          <w:bCs/>
          <w:snapToGrid w:val="0"/>
          <w:szCs w:val="24"/>
        </w:rPr>
        <w:t>Rapid control in this condition is important to minimise side effects from other treatments as outlined above, reduce hospital length of stay, minimise utility of an infusion centre, and prevent disease progression</w:t>
      </w:r>
      <w:r w:rsidR="00505B6F">
        <w:rPr>
          <w:rFonts w:eastAsia="Times New Roman" w:cs="Arial"/>
          <w:bCs/>
          <w:snapToGrid w:val="0"/>
          <w:szCs w:val="24"/>
        </w:rPr>
        <w:t>….</w:t>
      </w:r>
      <w:r w:rsidR="00505B6F" w:rsidRPr="00505B6F">
        <w:t xml:space="preserve"> </w:t>
      </w:r>
      <w:r w:rsidR="00505B6F" w:rsidRPr="00505B6F">
        <w:rPr>
          <w:rFonts w:eastAsia="Times New Roman" w:cs="Arial"/>
          <w:bCs/>
          <w:snapToGrid w:val="0"/>
          <w:szCs w:val="24"/>
        </w:rPr>
        <w:t>I believe there should be a mechanism for appropriate patients to access early treatment</w:t>
      </w:r>
      <w:r w:rsidR="00505B6F">
        <w:rPr>
          <w:rFonts w:eastAsia="Times New Roman" w:cs="Arial"/>
          <w:bCs/>
          <w:snapToGrid w:val="0"/>
          <w:szCs w:val="24"/>
        </w:rPr>
        <w:t>.</w:t>
      </w:r>
      <w:r w:rsidR="00505B6F" w:rsidRPr="00505B6F">
        <w:rPr>
          <w:rFonts w:eastAsia="Times New Roman" w:cs="Arial"/>
          <w:bCs/>
          <w:snapToGrid w:val="0"/>
          <w:szCs w:val="24"/>
        </w:rPr>
        <w:t>”</w:t>
      </w:r>
      <w:r w:rsidR="00BC750B" w:rsidRPr="00505B6F">
        <w:rPr>
          <w:rFonts w:eastAsia="Times New Roman" w:cs="Arial"/>
          <w:bCs/>
          <w:snapToGrid w:val="0"/>
          <w:szCs w:val="24"/>
        </w:rPr>
        <w:t xml:space="preserve"> </w:t>
      </w:r>
    </w:p>
    <w:p w14:paraId="53FBD320" w14:textId="67520566" w:rsidR="0014083F" w:rsidRPr="0014083F" w:rsidRDefault="0014083F" w:rsidP="00E55FD2">
      <w:pPr>
        <w:pStyle w:val="COMexecsummnumbered"/>
        <w:rPr>
          <w:snapToGrid w:val="0"/>
        </w:rPr>
      </w:pPr>
      <w:bookmarkStart w:id="27" w:name="_Ref193199135"/>
      <w:bookmarkStart w:id="28" w:name="_Ref194409142"/>
      <w:r w:rsidRPr="0014083F">
        <w:rPr>
          <w:snapToGrid w:val="0"/>
        </w:rPr>
        <w:t xml:space="preserve">Advice from MAA stated its aim is for each patient to have equitable and timely access to the best available treatment that most benefits them. MAA supported access to the new therapies across the disease severities and settings </w:t>
      </w:r>
      <w:r w:rsidR="00CB2558" w:rsidRPr="0014083F">
        <w:rPr>
          <w:snapToGrid w:val="0"/>
        </w:rPr>
        <w:t>including early</w:t>
      </w:r>
      <w:r w:rsidRPr="0014083F">
        <w:rPr>
          <w:snapToGrid w:val="0"/>
        </w:rPr>
        <w:t xml:space="preserve"> upfront access </w:t>
      </w:r>
      <w:proofErr w:type="gramStart"/>
      <w:r w:rsidRPr="0014083F">
        <w:rPr>
          <w:snapToGrid w:val="0"/>
        </w:rPr>
        <w:t>and also</w:t>
      </w:r>
      <w:proofErr w:type="gramEnd"/>
      <w:r w:rsidRPr="0014083F">
        <w:rPr>
          <w:snapToGrid w:val="0"/>
        </w:rPr>
        <w:t xml:space="preserve"> in patients with refractory disease, noting that refractory patients have a higher unmet need. MAA strongly supported access to a broad range of treatment options. The input received from MAA, and from individual consumers, indicated that the mode of administration is important to consumers, with 63% of participants in a recent survey indicating they are seeking a more manageable or flexible treatment option. MAA outlined that the new therapies represent a substantial improvement in administration time compared with IVIg, </w:t>
      </w:r>
      <w:proofErr w:type="gramStart"/>
      <w:r w:rsidRPr="0014083F">
        <w:rPr>
          <w:snapToGrid w:val="0"/>
        </w:rPr>
        <w:t>and also</w:t>
      </w:r>
      <w:proofErr w:type="gramEnd"/>
      <w:r w:rsidRPr="0014083F">
        <w:rPr>
          <w:snapToGrid w:val="0"/>
        </w:rPr>
        <w:t xml:space="preserve"> shorter travel distances for patients outside metropolitan areas. MAA highlighted that continuous and reliable treatments are important for patients and that a meaningful response would comprise well-controlled symptoms within a reasonably quick timeframe. The comments outlined that even a small improvement in the MG-ADL score can be meaningful for patients </w:t>
      </w:r>
      <w:r w:rsidRPr="0014083F">
        <w:rPr>
          <w:snapToGrid w:val="0"/>
        </w:rPr>
        <w:lastRenderedPageBreak/>
        <w:t xml:space="preserve">e.g. it may represent a capacity to perform a daily activity the patient was previously unable to perform. </w:t>
      </w:r>
    </w:p>
    <w:p w14:paraId="6FF94A15" w14:textId="0F24C955" w:rsidR="00A734BF" w:rsidRPr="003E65DA" w:rsidRDefault="00A734BF" w:rsidP="00E55FD2">
      <w:pPr>
        <w:pStyle w:val="COMexecsummnumbered"/>
        <w:rPr>
          <w:snapToGrid w:val="0"/>
        </w:rPr>
      </w:pPr>
      <w:bookmarkStart w:id="29" w:name="_Ref194588319"/>
      <w:r w:rsidRPr="003E65DA">
        <w:rPr>
          <w:snapToGrid w:val="0"/>
        </w:rPr>
        <w:t xml:space="preserve">Advice from a group of 11 neurologists highlighted the significant unmet need for patients with moderate to severe </w:t>
      </w:r>
      <w:r w:rsidR="007A5E2F">
        <w:rPr>
          <w:snapToGrid w:val="0"/>
        </w:rPr>
        <w:t>g</w:t>
      </w:r>
      <w:r w:rsidRPr="003E65DA">
        <w:rPr>
          <w:snapToGrid w:val="0"/>
        </w:rPr>
        <w:t>MG, including the need for more modes of rapid onset treatments.</w:t>
      </w:r>
      <w:r>
        <w:t xml:space="preserve"> The neurologists outlined that “</w:t>
      </w:r>
      <w:r w:rsidRPr="003E65DA">
        <w:rPr>
          <w:rFonts w:eastAsia="Times New Roman" w:cs="Arial"/>
          <w:bCs/>
          <w:snapToGrid w:val="0"/>
          <w:szCs w:val="24"/>
        </w:rPr>
        <w:t xml:space="preserve">combination therapy right from the start of treatment of a moderate to severe </w:t>
      </w:r>
      <w:r w:rsidR="00DD1700">
        <w:rPr>
          <w:rFonts w:eastAsia="Times New Roman" w:cs="Arial"/>
          <w:bCs/>
          <w:snapToGrid w:val="0"/>
          <w:szCs w:val="24"/>
        </w:rPr>
        <w:t>g</w:t>
      </w:r>
      <w:r w:rsidRPr="003E65DA">
        <w:rPr>
          <w:rFonts w:eastAsia="Times New Roman" w:cs="Arial"/>
          <w:bCs/>
          <w:snapToGrid w:val="0"/>
          <w:szCs w:val="24"/>
        </w:rPr>
        <w:t xml:space="preserve">MG patient is the norm including the use of quick onset pathogenic antibody treatments, currently principally IVIg. Whether in an individual patient one would use IVIG, PLEX; or an </w:t>
      </w:r>
      <w:proofErr w:type="spellStart"/>
      <w:r w:rsidRPr="003E65DA">
        <w:rPr>
          <w:rFonts w:eastAsia="Times New Roman" w:cs="Arial"/>
          <w:bCs/>
          <w:snapToGrid w:val="0"/>
          <w:szCs w:val="24"/>
        </w:rPr>
        <w:t>FcRn</w:t>
      </w:r>
      <w:proofErr w:type="spellEnd"/>
      <w:r w:rsidRPr="003E65DA">
        <w:rPr>
          <w:rFonts w:eastAsia="Times New Roman" w:cs="Arial"/>
          <w:bCs/>
          <w:snapToGrid w:val="0"/>
          <w:szCs w:val="24"/>
        </w:rPr>
        <w:t xml:space="preserve"> or a complement inhibitor if all were equally available would probably depend on individual benefit first, and ease, tolerance and accessibility a significant second.” The neurologists acknowledged that the trials largely included patients with long-standing gMG and significant use of prior </w:t>
      </w:r>
      <w:r w:rsidR="00CB2558" w:rsidRPr="003E65DA">
        <w:rPr>
          <w:rFonts w:eastAsia="Times New Roman" w:cs="Arial"/>
          <w:bCs/>
          <w:snapToGrid w:val="0"/>
          <w:szCs w:val="24"/>
        </w:rPr>
        <w:t>treatments but</w:t>
      </w:r>
      <w:r w:rsidRPr="003E65DA">
        <w:rPr>
          <w:rFonts w:eastAsia="Times New Roman" w:cs="Arial"/>
          <w:bCs/>
          <w:snapToGrid w:val="0"/>
          <w:szCs w:val="24"/>
        </w:rPr>
        <w:t xml:space="preserve"> stated this</w:t>
      </w:r>
      <w:r>
        <w:t xml:space="preserve"> </w:t>
      </w:r>
      <w:r w:rsidRPr="003E65DA">
        <w:rPr>
          <w:rFonts w:eastAsia="Times New Roman" w:cs="Arial"/>
          <w:bCs/>
          <w:snapToGrid w:val="0"/>
          <w:szCs w:val="24"/>
        </w:rPr>
        <w:t>should not be the only group able to access these new treatments. In terms of value optimisation, the neurologists proposed the following:</w:t>
      </w:r>
      <w:bookmarkEnd w:id="27"/>
      <w:bookmarkEnd w:id="28"/>
      <w:bookmarkEnd w:id="29"/>
      <w:r w:rsidRPr="003E65DA">
        <w:rPr>
          <w:rFonts w:eastAsia="Times New Roman" w:cs="Arial"/>
          <w:bCs/>
          <w:snapToGrid w:val="0"/>
          <w:szCs w:val="24"/>
        </w:rPr>
        <w:t xml:space="preserve"> </w:t>
      </w:r>
    </w:p>
    <w:p w14:paraId="499C0A61" w14:textId="77777777" w:rsidR="00A734BF" w:rsidRDefault="00A734BF" w:rsidP="00E55FD2">
      <w:pPr>
        <w:pStyle w:val="COMexecsummbulletlist"/>
        <w:numPr>
          <w:ilvl w:val="0"/>
          <w:numId w:val="45"/>
        </w:numPr>
        <w:snapToGrid w:val="0"/>
        <w:ind w:left="1276" w:hanging="425"/>
        <w:rPr>
          <w:snapToGrid/>
        </w:rPr>
      </w:pPr>
      <w:r>
        <w:t xml:space="preserve">These therapies should be restricted to gMG patients with </w:t>
      </w:r>
      <w:proofErr w:type="spellStart"/>
      <w:r>
        <w:t>AChR</w:t>
      </w:r>
      <w:proofErr w:type="spellEnd"/>
      <w:r>
        <w:t xml:space="preserve"> </w:t>
      </w:r>
      <w:proofErr w:type="gramStart"/>
      <w:r>
        <w:t>antibodies;</w:t>
      </w:r>
      <w:proofErr w:type="gramEnd"/>
    </w:p>
    <w:p w14:paraId="024703BC" w14:textId="77777777" w:rsidR="00A734BF" w:rsidRDefault="00A734BF" w:rsidP="00E55FD2">
      <w:pPr>
        <w:pStyle w:val="COMexecsummbulletlist"/>
        <w:numPr>
          <w:ilvl w:val="0"/>
          <w:numId w:val="45"/>
        </w:numPr>
        <w:snapToGrid w:val="0"/>
        <w:ind w:left="1276" w:hanging="425"/>
      </w:pPr>
      <w:bookmarkStart w:id="30" w:name="_Ref193199650"/>
      <w:r>
        <w:t xml:space="preserve">The severity of MG at commencement should be </w:t>
      </w:r>
      <w:proofErr w:type="gramStart"/>
      <w:r>
        <w:t>similar to</w:t>
      </w:r>
      <w:proofErr w:type="gramEnd"/>
      <w:r>
        <w:t xml:space="preserve"> the trial populations (MG-ADL of 5-6), which is more severe than the NBA criteria for IVIg. There should be a clinician-reported component to assessing the need for therapy and response. The clinician letter stated “this means also using MGC. Corresponding values MG-ADL 5-6 are MGC 10-12” noting the 95% confidence intervals for MGC values in patients entering the pivotal RCTs could help improve accuracy of the correlation.</w:t>
      </w:r>
      <w:bookmarkEnd w:id="30"/>
      <w:r>
        <w:t xml:space="preserve"> </w:t>
      </w:r>
    </w:p>
    <w:p w14:paraId="7966E443" w14:textId="5E06E87D" w:rsidR="00A734BF" w:rsidRDefault="00A734BF" w:rsidP="00E55FD2">
      <w:pPr>
        <w:pStyle w:val="COMexecsummbulletlist"/>
        <w:numPr>
          <w:ilvl w:val="0"/>
          <w:numId w:val="45"/>
        </w:numPr>
        <w:snapToGrid w:val="0"/>
        <w:ind w:left="1276" w:hanging="425"/>
      </w:pPr>
      <w:bookmarkStart w:id="31" w:name="_Ref193199117"/>
      <w:r>
        <w:t>The therapy should be co-administered with two other therapies with remission induction intent, including corticosteroids and NS-ISTs. This does include therapeutic thymectomy which should be treated as equivalent to an NS</w:t>
      </w:r>
      <w:r w:rsidR="0014083F">
        <w:t>-</w:t>
      </w:r>
      <w:r>
        <w:t>IST. This does not include pyridostigmine or other cholinesterase inhibitors.</w:t>
      </w:r>
      <w:bookmarkEnd w:id="31"/>
    </w:p>
    <w:p w14:paraId="7B4FDB8B" w14:textId="77777777" w:rsidR="00A734BF" w:rsidRDefault="00A734BF" w:rsidP="00E55FD2">
      <w:pPr>
        <w:pStyle w:val="COMexecsummbulletlist"/>
        <w:numPr>
          <w:ilvl w:val="0"/>
          <w:numId w:val="45"/>
        </w:numPr>
        <w:snapToGrid w:val="0"/>
        <w:ind w:left="1276" w:hanging="425"/>
      </w:pPr>
      <w:r>
        <w:t>Patients should either have had an adequate dose AND duration of these two other therapies, perhaps one year; OR be taking an adequate dose of these two other therapies without requiring a set duration AND have failed a loading course of IVIg or plasma exchange.</w:t>
      </w:r>
    </w:p>
    <w:p w14:paraId="41A66858" w14:textId="77777777" w:rsidR="00A734BF" w:rsidRDefault="00A734BF" w:rsidP="00E55FD2">
      <w:pPr>
        <w:pStyle w:val="COMexecsummbulletlist"/>
        <w:numPr>
          <w:ilvl w:val="0"/>
          <w:numId w:val="45"/>
        </w:numPr>
        <w:snapToGrid w:val="0"/>
        <w:ind w:left="1276" w:hanging="425"/>
      </w:pPr>
      <w:bookmarkStart w:id="32" w:name="_Ref193201006"/>
      <w:r>
        <w:t xml:space="preserve">Response to therapy should be assessed and the therapy only continued if there is a clear response, at least minimal clinically important differences (MCID) values of MG-ADL improvement by </w:t>
      </w:r>
      <w:r>
        <w:rPr>
          <w:rFonts w:cstheme="minorHAnsi"/>
        </w:rPr>
        <w:t>≥</w:t>
      </w:r>
      <w:r>
        <w:t xml:space="preserve"> 2 points, MGC by </w:t>
      </w:r>
      <w:r>
        <w:rPr>
          <w:rFonts w:cstheme="minorHAnsi"/>
        </w:rPr>
        <w:t xml:space="preserve">≥ </w:t>
      </w:r>
      <w:r>
        <w:t>3 points. The timing of the test of response to therapy should be early (at 2-16 weeks).</w:t>
      </w:r>
      <w:bookmarkEnd w:id="32"/>
    </w:p>
    <w:p w14:paraId="27FDD3C2" w14:textId="77777777" w:rsidR="00A734BF" w:rsidRDefault="00A734BF" w:rsidP="00E55FD2">
      <w:pPr>
        <w:pStyle w:val="COMexecsummbulletlist"/>
        <w:numPr>
          <w:ilvl w:val="0"/>
          <w:numId w:val="45"/>
        </w:numPr>
        <w:snapToGrid w:val="0"/>
        <w:ind w:left="1276" w:hanging="425"/>
      </w:pPr>
      <w:bookmarkStart w:id="33" w:name="_Ref193200938"/>
      <w:r>
        <w:t>“</w:t>
      </w:r>
      <w:proofErr w:type="spellStart"/>
      <w:r>
        <w:t>FcRn</w:t>
      </w:r>
      <w:proofErr w:type="spellEnd"/>
      <w:r>
        <w:t xml:space="preserve"> inhibitors are naturally stopped after 4 (efgartigimod) to 6 (rozanolixizumab) weeks of therapy. These therapies can be restarted if the severity of MG worsens to the minimum commencement threshold. Note on second or subsequent cycles the starting severity score while at or above threshold might be better, the same or worse than the first cycle – the underlying MG severity can worsen over time in some patients. Over the course </w:t>
      </w:r>
      <w:r>
        <w:lastRenderedPageBreak/>
        <w:t>of 6 months therapy these gaps in treatment can be considered intermittent trials of suspension of therapy.”</w:t>
      </w:r>
      <w:bookmarkEnd w:id="33"/>
    </w:p>
    <w:p w14:paraId="4FB18082" w14:textId="77777777" w:rsidR="00A734BF" w:rsidRDefault="00A734BF" w:rsidP="00E55FD2">
      <w:pPr>
        <w:pStyle w:val="COMexecsummbulletlist"/>
        <w:numPr>
          <w:ilvl w:val="0"/>
          <w:numId w:val="45"/>
        </w:numPr>
        <w:snapToGrid w:val="0"/>
        <w:ind w:left="1276" w:hanging="425"/>
      </w:pPr>
      <w:r>
        <w:t>Complement</w:t>
      </w:r>
      <w:r>
        <w:rPr>
          <w:rFonts w:eastAsiaTheme="minorHAnsi" w:cstheme="minorBidi"/>
          <w:szCs w:val="22"/>
        </w:rPr>
        <w:t xml:space="preserve"> inhibitors should be </w:t>
      </w:r>
      <w:proofErr w:type="gramStart"/>
      <w:r>
        <w:rPr>
          <w:rFonts w:eastAsiaTheme="minorHAnsi" w:cstheme="minorBidi"/>
          <w:szCs w:val="22"/>
        </w:rPr>
        <w:t>temporarily suspended</w:t>
      </w:r>
      <w:proofErr w:type="gramEnd"/>
      <w:r>
        <w:t xml:space="preserve"> </w:t>
      </w:r>
      <w:r>
        <w:rPr>
          <w:rFonts w:eastAsiaTheme="minorHAnsi" w:cstheme="minorBidi"/>
          <w:szCs w:val="22"/>
        </w:rPr>
        <w:t>to see if they are still needed after a suitable period of therapy, perhaps one year in the first</w:t>
      </w:r>
      <w:r>
        <w:t xml:space="preserve"> instance and perhaps two years if a patient deteriorates on the initial suspension. “Complement inhibitors should not in our view be continued if they are not needed. There is no good reason to suppose the risks of temporarily stopping complement inhibitors are any greater than the risks of temporarily stopping IVIG, PLEX or </w:t>
      </w:r>
      <w:proofErr w:type="spellStart"/>
      <w:r>
        <w:t>FcRn</w:t>
      </w:r>
      <w:proofErr w:type="spellEnd"/>
      <w:r>
        <w:t xml:space="preserve"> inhibitors all of which routinely stopped. There is little published data on stopping complement inhibitors for </w:t>
      </w:r>
      <w:proofErr w:type="gramStart"/>
      <w:r>
        <w:t>MG</w:t>
      </w:r>
      <w:proofErr w:type="gramEnd"/>
      <w:r>
        <w:t xml:space="preserve"> but we are aware that international colleagues have stopped complement inhibitors in MG patients without ill effects”.</w:t>
      </w:r>
    </w:p>
    <w:p w14:paraId="679BDC8E" w14:textId="77777777" w:rsidR="00A734BF" w:rsidRDefault="00A734BF" w:rsidP="00E55FD2">
      <w:pPr>
        <w:pStyle w:val="COMexecsummbulletlist"/>
        <w:numPr>
          <w:ilvl w:val="0"/>
          <w:numId w:val="45"/>
        </w:numPr>
        <w:snapToGrid w:val="0"/>
        <w:ind w:left="1276" w:hanging="425"/>
      </w:pPr>
      <w:r>
        <w:t xml:space="preserve">Final restriction discussions should include input from a broader range of neurologists </w:t>
      </w:r>
      <w:proofErr w:type="gramStart"/>
      <w:r>
        <w:t>and also</w:t>
      </w:r>
      <w:proofErr w:type="gramEnd"/>
      <w:r>
        <w:t xml:space="preserve"> the patient association.</w:t>
      </w:r>
    </w:p>
    <w:bookmarkEnd w:id="19"/>
    <w:bookmarkEnd w:id="24"/>
    <w:bookmarkEnd w:id="26"/>
    <w:p w14:paraId="609C0765" w14:textId="6C2265EB" w:rsidR="00B60939" w:rsidRPr="00BB59B1" w:rsidRDefault="00B60939" w:rsidP="00E55FD2">
      <w:pPr>
        <w:pStyle w:val="COMH2-non-numbered"/>
      </w:pPr>
      <w:r w:rsidRPr="00BB59B1">
        <w:t>Clinical trials</w:t>
      </w:r>
      <w:bookmarkEnd w:id="18"/>
      <w:bookmarkEnd w:id="20"/>
    </w:p>
    <w:p w14:paraId="724BA1A0" w14:textId="1B1C67E8" w:rsidR="00832932" w:rsidRPr="008D55C9" w:rsidRDefault="00832932" w:rsidP="00E55FD2">
      <w:pPr>
        <w:pStyle w:val="COMexecsummnumbered"/>
      </w:pPr>
      <w:r w:rsidRPr="00191184">
        <w:t xml:space="preserve">The resubmission was based on one head-to-head randomised trial (RAISE) comparing </w:t>
      </w:r>
      <w:proofErr w:type="spellStart"/>
      <w:r w:rsidRPr="00191184">
        <w:t>zilucoplan</w:t>
      </w:r>
      <w:proofErr w:type="spellEnd"/>
      <w:r w:rsidRPr="00191184">
        <w:t xml:space="preserve"> to placebo in </w:t>
      </w:r>
      <w:r w:rsidR="00191184" w:rsidRPr="00191184">
        <w:t>generalised myasthenia gravis</w:t>
      </w:r>
      <w:r w:rsidRPr="00191184">
        <w:t xml:space="preserve"> patients. The resubmission also presented an interim analysis from an open-label extension study of patients previously enrolled in the RAISE trial as supportive data. </w:t>
      </w:r>
      <w:r w:rsidRPr="008D55C9">
        <w:t xml:space="preserve">This evidence was considered by the PBAC </w:t>
      </w:r>
      <w:r w:rsidR="00191184" w:rsidRPr="008D55C9">
        <w:t>at the</w:t>
      </w:r>
      <w:r w:rsidRPr="008D55C9">
        <w:t xml:space="preserve"> July 202</w:t>
      </w:r>
      <w:r w:rsidRPr="008D55C9">
        <w:rPr>
          <w:rFonts w:hint="eastAsia"/>
        </w:rPr>
        <w:t>4</w:t>
      </w:r>
      <w:r w:rsidR="00191184" w:rsidRPr="008D55C9">
        <w:t xml:space="preserve"> meeting</w:t>
      </w:r>
      <w:r w:rsidRPr="008D55C9">
        <w:t>.</w:t>
      </w:r>
    </w:p>
    <w:p w14:paraId="5A846F9C" w14:textId="6C4B50A9" w:rsidR="00832932" w:rsidRPr="008D55C9" w:rsidRDefault="00832932" w:rsidP="00E55FD2">
      <w:pPr>
        <w:pStyle w:val="COMexecsummnumbered"/>
      </w:pPr>
      <w:r w:rsidRPr="78882673">
        <w:t xml:space="preserve">Additionally, the July 2024 submission presented three indirect comparisons of </w:t>
      </w:r>
      <w:proofErr w:type="spellStart"/>
      <w:r w:rsidRPr="78882673">
        <w:t>zilucoplan</w:t>
      </w:r>
      <w:proofErr w:type="spellEnd"/>
      <w:r w:rsidRPr="78882673">
        <w:t xml:space="preserve"> versus chronic IVIg (Bril 2024, Wolfe 2002, Zinman 2007). The July 2024 submission did not identify any trials that would allow for an indirect comparison of </w:t>
      </w:r>
      <w:proofErr w:type="spellStart"/>
      <w:r w:rsidRPr="78882673">
        <w:t>zilucoplan</w:t>
      </w:r>
      <w:proofErr w:type="spellEnd"/>
      <w:r w:rsidRPr="78882673">
        <w:t xml:space="preserve"> with chronic PLEX.</w:t>
      </w:r>
      <w:r w:rsidR="00492BBE" w:rsidRPr="78882673">
        <w:t xml:space="preserve"> </w:t>
      </w:r>
    </w:p>
    <w:p w14:paraId="2B59ABAC" w14:textId="1EEFD590" w:rsidR="00862502" w:rsidRDefault="00832932" w:rsidP="00E55FD2">
      <w:pPr>
        <w:pStyle w:val="COMexecsummnumbered"/>
      </w:pPr>
      <w:r w:rsidRPr="0076762E">
        <w:t>Details of the</w:t>
      </w:r>
      <w:r w:rsidR="0014262A">
        <w:t xml:space="preserve"> included</w:t>
      </w:r>
      <w:r w:rsidRPr="0076762E">
        <w:t xml:space="preserve"> trials are provided in</w:t>
      </w:r>
      <w:r w:rsidR="00591159">
        <w:t xml:space="preserve"> </w:t>
      </w:r>
      <w:r w:rsidR="00591159">
        <w:fldChar w:fldCharType="begin"/>
      </w:r>
      <w:r w:rsidR="00591159">
        <w:instrText xml:space="preserve"> REF _Ref185277033 \h </w:instrText>
      </w:r>
      <w:r w:rsidR="00591159">
        <w:fldChar w:fldCharType="separate"/>
      </w:r>
      <w:r w:rsidR="00271F88" w:rsidRPr="0076762E">
        <w:t xml:space="preserve">Table </w:t>
      </w:r>
      <w:r w:rsidR="00271F88">
        <w:rPr>
          <w:noProof/>
        </w:rPr>
        <w:t>3</w:t>
      </w:r>
      <w:r w:rsidR="00591159">
        <w:fldChar w:fldCharType="end"/>
      </w:r>
      <w:r w:rsidRPr="0076762E">
        <w:t>.</w:t>
      </w:r>
    </w:p>
    <w:p w14:paraId="70D18FE7" w14:textId="643A27F1" w:rsidR="00861B35" w:rsidRDefault="00861B35" w:rsidP="00E55FD2">
      <w:pPr>
        <w:pStyle w:val="COMTableheadingrow"/>
        <w:keepLines/>
      </w:pPr>
      <w:bookmarkStart w:id="34" w:name="_Ref185277033"/>
      <w:r w:rsidRPr="0076762E">
        <w:lastRenderedPageBreak/>
        <w:t xml:space="preserve">Table </w:t>
      </w:r>
      <w:r>
        <w:fldChar w:fldCharType="begin"/>
      </w:r>
      <w:r>
        <w:instrText xml:space="preserve"> SEQ Table \* ARABIC </w:instrText>
      </w:r>
      <w:r>
        <w:fldChar w:fldCharType="separate"/>
      </w:r>
      <w:r w:rsidR="00271F88">
        <w:rPr>
          <w:noProof/>
        </w:rPr>
        <w:t>3</w:t>
      </w:r>
      <w:r>
        <w:rPr>
          <w:noProof/>
        </w:rPr>
        <w:fldChar w:fldCharType="end"/>
      </w:r>
      <w:bookmarkEnd w:id="34"/>
      <w:r w:rsidRPr="0076762E">
        <w:t xml:space="preserve">: </w:t>
      </w:r>
      <w:bookmarkStart w:id="35" w:name="_Hlk183155634"/>
      <w:r w:rsidRPr="0076762E">
        <w:t>Trials</w:t>
      </w:r>
      <w:r>
        <w:t xml:space="preserve"> </w:t>
      </w:r>
      <w:r w:rsidRPr="0076762E">
        <w:t xml:space="preserve">and associated reports presented in the </w:t>
      </w:r>
      <w:r>
        <w:t>re</w:t>
      </w:r>
      <w:r w:rsidRPr="0076762E">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695"/>
        <w:gridCol w:w="4415"/>
        <w:gridCol w:w="2907"/>
      </w:tblGrid>
      <w:tr w:rsidR="00861B35" w:rsidRPr="002669D1" w14:paraId="5E551A92" w14:textId="77777777" w:rsidTr="7FB99A72">
        <w:trPr>
          <w:tblHeader/>
        </w:trPr>
        <w:tc>
          <w:tcPr>
            <w:tcW w:w="940" w:type="pct"/>
            <w:tcBorders>
              <w:top w:val="single" w:sz="4" w:space="0" w:color="auto"/>
              <w:left w:val="single" w:sz="4" w:space="0" w:color="auto"/>
              <w:bottom w:val="single" w:sz="4" w:space="0" w:color="auto"/>
              <w:right w:val="single" w:sz="4" w:space="0" w:color="auto"/>
            </w:tcBorders>
            <w:vAlign w:val="center"/>
          </w:tcPr>
          <w:p w14:paraId="328A9624" w14:textId="77777777" w:rsidR="00861B35" w:rsidRPr="002669D1" w:rsidRDefault="00861B35" w:rsidP="00E55FD2">
            <w:pPr>
              <w:pStyle w:val="COMTableheadingrow"/>
              <w:keepLines/>
              <w:rPr>
                <w:lang w:val="en-AU"/>
              </w:rPr>
            </w:pPr>
            <w:r w:rsidRPr="002669D1">
              <w:rPr>
                <w:lang w:val="en-AU"/>
              </w:rPr>
              <w:t>Trial ID</w:t>
            </w:r>
          </w:p>
        </w:tc>
        <w:tc>
          <w:tcPr>
            <w:tcW w:w="2448" w:type="pct"/>
            <w:tcBorders>
              <w:top w:val="single" w:sz="4" w:space="0" w:color="auto"/>
              <w:left w:val="single" w:sz="4" w:space="0" w:color="auto"/>
              <w:bottom w:val="single" w:sz="4" w:space="0" w:color="auto"/>
              <w:right w:val="single" w:sz="4" w:space="0" w:color="auto"/>
            </w:tcBorders>
            <w:vAlign w:val="center"/>
          </w:tcPr>
          <w:p w14:paraId="09AEBB6C" w14:textId="3778DF4A" w:rsidR="00861B35" w:rsidRPr="002669D1" w:rsidRDefault="00861B35" w:rsidP="00E55FD2">
            <w:pPr>
              <w:pStyle w:val="COMTableheadingrow"/>
              <w:keepLines/>
              <w:rPr>
                <w:lang w:val="en-AU"/>
              </w:rPr>
            </w:pPr>
            <w:r w:rsidRPr="002669D1">
              <w:rPr>
                <w:lang w:val="en-AU"/>
              </w:rPr>
              <w:t>Protocol title/Publication title</w:t>
            </w:r>
          </w:p>
        </w:tc>
        <w:tc>
          <w:tcPr>
            <w:tcW w:w="1612" w:type="pct"/>
            <w:tcBorders>
              <w:top w:val="single" w:sz="4" w:space="0" w:color="auto"/>
              <w:left w:val="single" w:sz="4" w:space="0" w:color="auto"/>
              <w:bottom w:val="single" w:sz="4" w:space="0" w:color="auto"/>
              <w:right w:val="single" w:sz="4" w:space="0" w:color="auto"/>
            </w:tcBorders>
            <w:vAlign w:val="center"/>
          </w:tcPr>
          <w:p w14:paraId="0F58D7A2" w14:textId="77777777" w:rsidR="00861B35" w:rsidRPr="002669D1" w:rsidRDefault="00861B35" w:rsidP="00E55FD2">
            <w:pPr>
              <w:pStyle w:val="COMTableheadingrow"/>
              <w:keepLines/>
              <w:rPr>
                <w:lang w:val="en-AU"/>
              </w:rPr>
            </w:pPr>
            <w:r w:rsidRPr="002669D1">
              <w:rPr>
                <w:lang w:val="en-AU"/>
              </w:rPr>
              <w:t>Publication citation</w:t>
            </w:r>
          </w:p>
        </w:tc>
      </w:tr>
      <w:tr w:rsidR="00861B35" w:rsidRPr="002669D1" w14:paraId="6C4E442C" w14:textId="77777777" w:rsidTr="7FB99A72">
        <w:tc>
          <w:tcPr>
            <w:tcW w:w="5000" w:type="pct"/>
            <w:gridSpan w:val="3"/>
            <w:tcBorders>
              <w:top w:val="single" w:sz="4" w:space="0" w:color="auto"/>
              <w:left w:val="single" w:sz="4" w:space="0" w:color="auto"/>
              <w:right w:val="single" w:sz="4" w:space="0" w:color="auto"/>
            </w:tcBorders>
            <w:vAlign w:val="center"/>
          </w:tcPr>
          <w:p w14:paraId="01E94024" w14:textId="77777777" w:rsidR="00861B35" w:rsidRPr="002669D1" w:rsidRDefault="00861B35" w:rsidP="00E55FD2">
            <w:pPr>
              <w:pStyle w:val="Tabletext0"/>
              <w:keepNext/>
              <w:keepLines/>
              <w:rPr>
                <w:b/>
                <w:bCs/>
              </w:rPr>
            </w:pPr>
            <w:proofErr w:type="spellStart"/>
            <w:r w:rsidRPr="002669D1">
              <w:rPr>
                <w:b/>
                <w:bCs/>
              </w:rPr>
              <w:t>Zilucoplan</w:t>
            </w:r>
            <w:proofErr w:type="spellEnd"/>
            <w:r w:rsidRPr="002669D1">
              <w:rPr>
                <w:b/>
                <w:bCs/>
              </w:rPr>
              <w:t xml:space="preserve"> studies</w:t>
            </w:r>
          </w:p>
        </w:tc>
      </w:tr>
      <w:tr w:rsidR="00717C00" w:rsidRPr="002669D1" w14:paraId="7499A05D" w14:textId="77777777" w:rsidTr="7FB99A72">
        <w:tc>
          <w:tcPr>
            <w:tcW w:w="940" w:type="pct"/>
            <w:vMerge w:val="restart"/>
            <w:tcBorders>
              <w:top w:val="single" w:sz="4" w:space="0" w:color="auto"/>
              <w:left w:val="single" w:sz="4" w:space="0" w:color="auto"/>
              <w:right w:val="single" w:sz="4" w:space="0" w:color="auto"/>
            </w:tcBorders>
            <w:vAlign w:val="center"/>
          </w:tcPr>
          <w:p w14:paraId="119A3471" w14:textId="77777777" w:rsidR="00717C00" w:rsidRPr="002669D1" w:rsidRDefault="00717C00" w:rsidP="00E55FD2">
            <w:pPr>
              <w:pStyle w:val="COMTabletext"/>
              <w:keepLines/>
              <w:rPr>
                <w:rFonts w:eastAsia="SimSun"/>
                <w:lang w:eastAsia="zh-CN"/>
              </w:rPr>
            </w:pPr>
            <w:r w:rsidRPr="002669D1">
              <w:t>RAISE</w:t>
            </w:r>
          </w:p>
          <w:p w14:paraId="63DA7F2F" w14:textId="77777777" w:rsidR="00717C00" w:rsidRPr="002669D1" w:rsidRDefault="00717C00" w:rsidP="00E55FD2">
            <w:pPr>
              <w:pStyle w:val="Tabletext0"/>
              <w:keepNext/>
              <w:keepLines/>
            </w:pPr>
            <w:r w:rsidRPr="002669D1">
              <w:t>NCT04115293</w:t>
            </w:r>
          </w:p>
        </w:tc>
        <w:tc>
          <w:tcPr>
            <w:tcW w:w="2448" w:type="pct"/>
            <w:tcBorders>
              <w:top w:val="single" w:sz="4" w:space="0" w:color="auto"/>
              <w:left w:val="single" w:sz="4" w:space="0" w:color="auto"/>
              <w:bottom w:val="nil"/>
              <w:right w:val="single" w:sz="4" w:space="0" w:color="auto"/>
            </w:tcBorders>
            <w:shd w:val="clear" w:color="auto" w:fill="auto"/>
            <w:vAlign w:val="center"/>
          </w:tcPr>
          <w:p w14:paraId="504E0763" w14:textId="3F753C41" w:rsidR="00717C00" w:rsidRPr="00717C00" w:rsidRDefault="00717C00" w:rsidP="00E55FD2">
            <w:pPr>
              <w:keepNext/>
              <w:keepLines/>
              <w:jc w:val="left"/>
              <w:rPr>
                <w:rFonts w:ascii="Arial Narrow" w:hAnsi="Arial Narrow" w:cs="Times New Roman"/>
                <w:sz w:val="20"/>
                <w:szCs w:val="20"/>
                <w:lang w:eastAsia="en-US"/>
              </w:rPr>
            </w:pPr>
            <w:r w:rsidRPr="5669A5A1">
              <w:rPr>
                <w:rFonts w:ascii="Arial Narrow" w:hAnsi="Arial Narrow"/>
                <w:sz w:val="20"/>
                <w:szCs w:val="20"/>
              </w:rPr>
              <w:t xml:space="preserve">UCB (2022). A Phase 3, </w:t>
            </w:r>
            <w:proofErr w:type="spellStart"/>
            <w:r w:rsidRPr="5669A5A1">
              <w:rPr>
                <w:rFonts w:ascii="Arial Narrow" w:hAnsi="Arial Narrow"/>
                <w:sz w:val="20"/>
                <w:szCs w:val="20"/>
              </w:rPr>
              <w:t>multicenter</w:t>
            </w:r>
            <w:proofErr w:type="spellEnd"/>
            <w:r w:rsidRPr="5669A5A1">
              <w:rPr>
                <w:rFonts w:ascii="Arial Narrow" w:hAnsi="Arial Narrow"/>
                <w:sz w:val="20"/>
                <w:szCs w:val="20"/>
              </w:rPr>
              <w:t xml:space="preserve">, randomized, double blind, </w:t>
            </w:r>
            <w:r w:rsidR="00CB2558" w:rsidRPr="5669A5A1">
              <w:rPr>
                <w:rFonts w:ascii="Arial Narrow" w:hAnsi="Arial Narrow"/>
                <w:sz w:val="20"/>
                <w:szCs w:val="20"/>
              </w:rPr>
              <w:t>placebo-controlled</w:t>
            </w:r>
            <w:r w:rsidRPr="5669A5A1">
              <w:rPr>
                <w:rFonts w:ascii="Arial Narrow" w:hAnsi="Arial Narrow"/>
                <w:sz w:val="20"/>
                <w:szCs w:val="20"/>
              </w:rPr>
              <w:t xml:space="preserve"> study to confirm the safety, tolerability, and efficacy of </w:t>
            </w:r>
            <w:proofErr w:type="spellStart"/>
            <w:r w:rsidRPr="5669A5A1">
              <w:rPr>
                <w:rFonts w:ascii="Arial Narrow" w:hAnsi="Arial Narrow"/>
                <w:sz w:val="20"/>
                <w:szCs w:val="20"/>
              </w:rPr>
              <w:t>zilucoplan</w:t>
            </w:r>
            <w:proofErr w:type="spellEnd"/>
            <w:r w:rsidRPr="5669A5A1">
              <w:rPr>
                <w:rFonts w:ascii="Arial Narrow" w:hAnsi="Arial Narrow"/>
                <w:sz w:val="20"/>
                <w:szCs w:val="20"/>
              </w:rPr>
              <w:t xml:space="preserve"> in subjects with generalized myasthenia gravis.</w:t>
            </w:r>
          </w:p>
        </w:tc>
        <w:tc>
          <w:tcPr>
            <w:tcW w:w="1612" w:type="pct"/>
            <w:tcBorders>
              <w:top w:val="single" w:sz="4" w:space="0" w:color="auto"/>
              <w:left w:val="single" w:sz="4" w:space="0" w:color="auto"/>
              <w:bottom w:val="nil"/>
              <w:right w:val="single" w:sz="4" w:space="0" w:color="auto"/>
            </w:tcBorders>
          </w:tcPr>
          <w:p w14:paraId="5C7E4E95" w14:textId="77C44D0B" w:rsidR="00717C00" w:rsidRPr="002669D1" w:rsidRDefault="00717C00" w:rsidP="00E55FD2">
            <w:pPr>
              <w:pStyle w:val="Tabletext0"/>
              <w:keepNext/>
              <w:keepLines/>
            </w:pPr>
            <w:r w:rsidRPr="002669D1">
              <w:t>Internal study report</w:t>
            </w:r>
            <w:r w:rsidR="00622D97">
              <w:t>.</w:t>
            </w:r>
          </w:p>
        </w:tc>
      </w:tr>
      <w:tr w:rsidR="00717C00" w:rsidRPr="002669D1" w14:paraId="0F2716E9" w14:textId="77777777" w:rsidTr="7FB99A72">
        <w:tc>
          <w:tcPr>
            <w:tcW w:w="940" w:type="pct"/>
            <w:vMerge/>
            <w:vAlign w:val="center"/>
          </w:tcPr>
          <w:p w14:paraId="44AA01C0" w14:textId="77777777" w:rsidR="00717C00" w:rsidRPr="002669D1" w:rsidRDefault="00717C00" w:rsidP="00E55FD2">
            <w:pPr>
              <w:pStyle w:val="Tabletext0"/>
              <w:keepNext/>
              <w:keepLines/>
            </w:pPr>
          </w:p>
        </w:tc>
        <w:tc>
          <w:tcPr>
            <w:tcW w:w="2448" w:type="pct"/>
            <w:tcBorders>
              <w:top w:val="nil"/>
              <w:left w:val="single" w:sz="4" w:space="0" w:color="auto"/>
              <w:bottom w:val="single" w:sz="4" w:space="0" w:color="auto"/>
              <w:right w:val="single" w:sz="4" w:space="0" w:color="auto"/>
            </w:tcBorders>
            <w:vAlign w:val="center"/>
          </w:tcPr>
          <w:p w14:paraId="4912073B" w14:textId="515897C8" w:rsidR="00717C00" w:rsidRPr="00717C00" w:rsidRDefault="00717C00" w:rsidP="00E55FD2">
            <w:pPr>
              <w:pStyle w:val="Tabletext0"/>
              <w:keepNext/>
              <w:keepLines/>
              <w:rPr>
                <w:szCs w:val="20"/>
              </w:rPr>
            </w:pPr>
            <w:r w:rsidRPr="00717C00">
              <w:rPr>
                <w:szCs w:val="20"/>
              </w:rPr>
              <w:t xml:space="preserve">Howard et al (2023). Safety and efficacy of </w:t>
            </w:r>
            <w:proofErr w:type="spellStart"/>
            <w:r w:rsidRPr="00717C00">
              <w:rPr>
                <w:szCs w:val="20"/>
              </w:rPr>
              <w:t>zilucoplan</w:t>
            </w:r>
            <w:proofErr w:type="spellEnd"/>
            <w:r w:rsidRPr="00717C00">
              <w:rPr>
                <w:szCs w:val="20"/>
              </w:rPr>
              <w:t xml:space="preserve"> in patients with generalised myasthenia gravis (RAISE): a randomised, double blind, placebo controlled, phase 3 study</w:t>
            </w:r>
            <w:r w:rsidRPr="00717C00">
              <w:rPr>
                <w:rFonts w:eastAsia="SimSun"/>
                <w:szCs w:val="20"/>
                <w:lang w:eastAsia="zh-CN"/>
              </w:rPr>
              <w:t>.</w:t>
            </w:r>
          </w:p>
        </w:tc>
        <w:tc>
          <w:tcPr>
            <w:tcW w:w="1612" w:type="pct"/>
            <w:tcBorders>
              <w:top w:val="nil"/>
              <w:left w:val="single" w:sz="4" w:space="0" w:color="auto"/>
              <w:bottom w:val="single" w:sz="4" w:space="0" w:color="auto"/>
              <w:right w:val="single" w:sz="4" w:space="0" w:color="auto"/>
            </w:tcBorders>
          </w:tcPr>
          <w:p w14:paraId="53AC2C2A" w14:textId="49E1D565" w:rsidR="00717C00" w:rsidRPr="002669D1" w:rsidRDefault="00717C00" w:rsidP="00E55FD2">
            <w:pPr>
              <w:pStyle w:val="Tabletext0"/>
              <w:keepNext/>
              <w:keepLines/>
            </w:pPr>
            <w:r w:rsidRPr="00717C00">
              <w:rPr>
                <w:i/>
                <w:iCs/>
              </w:rPr>
              <w:t>Lancet: Neurology</w:t>
            </w:r>
            <w:r w:rsidRPr="002669D1">
              <w:t xml:space="preserve"> 22(5): 395-406</w:t>
            </w:r>
            <w:r w:rsidR="00622D97">
              <w:t>.</w:t>
            </w:r>
          </w:p>
        </w:tc>
      </w:tr>
      <w:tr w:rsidR="001A0094" w:rsidRPr="002669D1" w14:paraId="2C807EAF" w14:textId="77777777" w:rsidTr="7FB99A72">
        <w:tc>
          <w:tcPr>
            <w:tcW w:w="940" w:type="pct"/>
            <w:vMerge w:val="restart"/>
            <w:tcBorders>
              <w:left w:val="single" w:sz="4" w:space="0" w:color="auto"/>
              <w:right w:val="single" w:sz="4" w:space="0" w:color="auto"/>
            </w:tcBorders>
            <w:vAlign w:val="center"/>
          </w:tcPr>
          <w:p w14:paraId="69A69F57" w14:textId="77777777" w:rsidR="001A0094" w:rsidRPr="002669D1" w:rsidRDefault="001A0094" w:rsidP="00E55FD2">
            <w:pPr>
              <w:pStyle w:val="COMTabletext"/>
              <w:keepLines/>
              <w:rPr>
                <w:rFonts w:eastAsia="SimSun"/>
                <w:lang w:eastAsia="zh-CN"/>
              </w:rPr>
            </w:pPr>
            <w:r w:rsidRPr="002669D1">
              <w:t>RAISE-XT</w:t>
            </w:r>
          </w:p>
          <w:p w14:paraId="383BBD60" w14:textId="77777777" w:rsidR="001A0094" w:rsidRPr="002669D1" w:rsidRDefault="001A0094" w:rsidP="00E55FD2">
            <w:pPr>
              <w:pStyle w:val="Tabletext0"/>
              <w:keepNext/>
              <w:keepLines/>
            </w:pPr>
            <w:r w:rsidRPr="002669D1">
              <w:t>NCT04225871</w:t>
            </w:r>
          </w:p>
        </w:tc>
        <w:tc>
          <w:tcPr>
            <w:tcW w:w="2448" w:type="pct"/>
            <w:tcBorders>
              <w:top w:val="single" w:sz="4" w:space="0" w:color="auto"/>
              <w:left w:val="single" w:sz="4" w:space="0" w:color="auto"/>
              <w:bottom w:val="nil"/>
              <w:right w:val="single" w:sz="4" w:space="0" w:color="auto"/>
            </w:tcBorders>
          </w:tcPr>
          <w:p w14:paraId="66DCCD83" w14:textId="74CC34A0" w:rsidR="001A0094" w:rsidRPr="002669D1" w:rsidRDefault="5E80E52A" w:rsidP="00E55FD2">
            <w:pPr>
              <w:pStyle w:val="Tabletext0"/>
              <w:keepNext/>
              <w:keepLines/>
            </w:pPr>
            <w:r w:rsidRPr="7FB99A72">
              <w:t xml:space="preserve">UCB (2024). A Phase 3, </w:t>
            </w:r>
            <w:proofErr w:type="spellStart"/>
            <w:r w:rsidRPr="7FB99A72">
              <w:t>multicenter</w:t>
            </w:r>
            <w:proofErr w:type="spellEnd"/>
            <w:r w:rsidRPr="7FB99A72">
              <w:t xml:space="preserve">, open-label extension study of </w:t>
            </w:r>
            <w:proofErr w:type="spellStart"/>
            <w:r w:rsidRPr="7FB99A72">
              <w:t>zilucoplan</w:t>
            </w:r>
            <w:proofErr w:type="spellEnd"/>
            <w:r w:rsidRPr="7FB99A72">
              <w:t xml:space="preserve"> in subjects with generalized myasthenia gravis</w:t>
            </w:r>
            <w:r w:rsidR="2ABFE006" w:rsidRPr="7FB99A72">
              <w:t>.</w:t>
            </w:r>
          </w:p>
        </w:tc>
        <w:tc>
          <w:tcPr>
            <w:tcW w:w="1612" w:type="pct"/>
            <w:tcBorders>
              <w:top w:val="single" w:sz="4" w:space="0" w:color="auto"/>
              <w:left w:val="single" w:sz="4" w:space="0" w:color="auto"/>
              <w:bottom w:val="nil"/>
              <w:right w:val="single" w:sz="4" w:space="0" w:color="auto"/>
            </w:tcBorders>
          </w:tcPr>
          <w:p w14:paraId="028E69E1" w14:textId="40CC9888" w:rsidR="001A0094" w:rsidRPr="002669D1" w:rsidRDefault="001A0094" w:rsidP="00E55FD2">
            <w:pPr>
              <w:pStyle w:val="Tabletext0"/>
              <w:keepNext/>
              <w:keepLines/>
            </w:pPr>
            <w:r w:rsidRPr="002669D1">
              <w:t>Internal study report</w:t>
            </w:r>
            <w:r w:rsidR="00622D97">
              <w:t>.</w:t>
            </w:r>
          </w:p>
        </w:tc>
      </w:tr>
      <w:tr w:rsidR="001A0094" w:rsidRPr="002669D1" w14:paraId="7255EAE5" w14:textId="77777777" w:rsidTr="7FB99A72">
        <w:tc>
          <w:tcPr>
            <w:tcW w:w="940" w:type="pct"/>
            <w:vMerge/>
            <w:vAlign w:val="center"/>
          </w:tcPr>
          <w:p w14:paraId="4C724D4C" w14:textId="77777777" w:rsidR="001A0094" w:rsidRPr="002669D1" w:rsidRDefault="001A0094" w:rsidP="00E55FD2">
            <w:pPr>
              <w:pStyle w:val="COMTabletext"/>
              <w:keepLines/>
            </w:pPr>
          </w:p>
        </w:tc>
        <w:tc>
          <w:tcPr>
            <w:tcW w:w="2448" w:type="pct"/>
            <w:tcBorders>
              <w:top w:val="nil"/>
              <w:left w:val="single" w:sz="4" w:space="0" w:color="auto"/>
              <w:bottom w:val="nil"/>
              <w:right w:val="single" w:sz="4" w:space="0" w:color="auto"/>
            </w:tcBorders>
          </w:tcPr>
          <w:p w14:paraId="580C2AFC" w14:textId="7E22F547" w:rsidR="001A0094" w:rsidRPr="002669D1" w:rsidRDefault="001A0094" w:rsidP="00E55FD2">
            <w:pPr>
              <w:pStyle w:val="Tabletext0"/>
              <w:keepNext/>
              <w:keepLines/>
            </w:pPr>
            <w:r w:rsidRPr="002669D1">
              <w:t xml:space="preserve">Howard et al. (2024). Long-term safety and efficacy of </w:t>
            </w:r>
            <w:proofErr w:type="spellStart"/>
            <w:r w:rsidRPr="002669D1">
              <w:t>zilucoplan</w:t>
            </w:r>
            <w:proofErr w:type="spellEnd"/>
            <w:r w:rsidRPr="002669D1">
              <w:t xml:space="preserve"> in patients with generalized myasthenia gravis: interim analysis of the RAISE-XT open-label extension study.</w:t>
            </w:r>
          </w:p>
        </w:tc>
        <w:tc>
          <w:tcPr>
            <w:tcW w:w="1612" w:type="pct"/>
            <w:tcBorders>
              <w:top w:val="nil"/>
              <w:left w:val="single" w:sz="4" w:space="0" w:color="auto"/>
              <w:bottom w:val="nil"/>
              <w:right w:val="single" w:sz="4" w:space="0" w:color="auto"/>
            </w:tcBorders>
          </w:tcPr>
          <w:p w14:paraId="1E28B22F" w14:textId="6E72EC58" w:rsidR="001A0094" w:rsidRPr="002669D1" w:rsidRDefault="001A0094" w:rsidP="00E55FD2">
            <w:pPr>
              <w:pStyle w:val="COMTabletext"/>
              <w:keepLines/>
              <w:rPr>
                <w:rFonts w:eastAsia="SimSun" w:cs="Times New Roman"/>
                <w:bCs w:val="0"/>
                <w:szCs w:val="22"/>
                <w:lang w:eastAsia="zh-CN"/>
              </w:rPr>
            </w:pPr>
            <w:r w:rsidRPr="002669D1">
              <w:t xml:space="preserve">Therapeutic Advances in Neurological Disorders. </w:t>
            </w:r>
            <w:r w:rsidR="00622D97">
              <w:t>17:1-16</w:t>
            </w:r>
            <w:r w:rsidR="00622D97">
              <w:rPr>
                <w:rFonts w:eastAsia="SimSun" w:cs="Times New Roman"/>
                <w:bCs w:val="0"/>
                <w:szCs w:val="22"/>
                <w:lang w:eastAsia="zh-CN"/>
              </w:rPr>
              <w:t>.</w:t>
            </w:r>
          </w:p>
          <w:p w14:paraId="65D9DF3C" w14:textId="77777777" w:rsidR="001A0094" w:rsidRPr="002669D1" w:rsidRDefault="001A0094" w:rsidP="00E55FD2">
            <w:pPr>
              <w:pStyle w:val="COMTabletext"/>
              <w:keepLines/>
            </w:pPr>
          </w:p>
        </w:tc>
      </w:tr>
      <w:tr w:rsidR="001A0094" w:rsidRPr="002669D1" w14:paraId="291C4CB1" w14:textId="77777777" w:rsidTr="7FB99A72">
        <w:tc>
          <w:tcPr>
            <w:tcW w:w="940" w:type="pct"/>
            <w:vMerge/>
            <w:vAlign w:val="center"/>
          </w:tcPr>
          <w:p w14:paraId="5888BDEA" w14:textId="77777777" w:rsidR="001A0094" w:rsidRPr="002669D1" w:rsidRDefault="001A0094" w:rsidP="00E55FD2">
            <w:pPr>
              <w:pStyle w:val="Tabletext0"/>
              <w:keepNext/>
              <w:keepLines/>
            </w:pPr>
          </w:p>
        </w:tc>
        <w:tc>
          <w:tcPr>
            <w:tcW w:w="2448" w:type="pct"/>
            <w:tcBorders>
              <w:top w:val="nil"/>
              <w:left w:val="single" w:sz="4" w:space="0" w:color="auto"/>
              <w:bottom w:val="single" w:sz="4" w:space="0" w:color="auto"/>
              <w:right w:val="single" w:sz="4" w:space="0" w:color="auto"/>
            </w:tcBorders>
          </w:tcPr>
          <w:p w14:paraId="10EAAFA6" w14:textId="77777777" w:rsidR="001A0094" w:rsidRPr="002669D1" w:rsidRDefault="001A0094" w:rsidP="00E55FD2">
            <w:pPr>
              <w:pStyle w:val="Tabletext0"/>
              <w:keepNext/>
              <w:keepLines/>
              <w:rPr>
                <w:szCs w:val="18"/>
              </w:rPr>
            </w:pPr>
            <w:r w:rsidRPr="002669D1">
              <w:t xml:space="preserve">Weiss et al (2024b). Improvement of fatigue in generalised myasthenia gravis with </w:t>
            </w:r>
            <w:proofErr w:type="spellStart"/>
            <w:r w:rsidRPr="002669D1">
              <w:t>zilucoplan</w:t>
            </w:r>
            <w:proofErr w:type="spellEnd"/>
            <w:r w:rsidRPr="002669D1">
              <w:t>.</w:t>
            </w:r>
          </w:p>
        </w:tc>
        <w:tc>
          <w:tcPr>
            <w:tcW w:w="1612" w:type="pct"/>
            <w:tcBorders>
              <w:top w:val="nil"/>
              <w:left w:val="single" w:sz="4" w:space="0" w:color="auto"/>
              <w:bottom w:val="single" w:sz="4" w:space="0" w:color="auto"/>
              <w:right w:val="single" w:sz="4" w:space="0" w:color="auto"/>
            </w:tcBorders>
          </w:tcPr>
          <w:p w14:paraId="16612D87" w14:textId="489A2155" w:rsidR="001A0094" w:rsidRPr="002669D1" w:rsidRDefault="001A0094" w:rsidP="00E55FD2">
            <w:pPr>
              <w:pStyle w:val="Tabletext0"/>
              <w:keepNext/>
              <w:keepLines/>
            </w:pPr>
            <w:r w:rsidRPr="002669D1">
              <w:t>Journal of Neurology</w:t>
            </w:r>
            <w:r w:rsidRPr="002669D1">
              <w:rPr>
                <w:rFonts w:hint="eastAsia"/>
                <w:lang w:eastAsia="zh-CN"/>
              </w:rPr>
              <w:t xml:space="preserve">. </w:t>
            </w:r>
            <w:r w:rsidRPr="002669D1">
              <w:t>271(5):2758-2767</w:t>
            </w:r>
            <w:r w:rsidR="00622D97">
              <w:t>.</w:t>
            </w:r>
          </w:p>
        </w:tc>
      </w:tr>
      <w:tr w:rsidR="001A0094" w:rsidRPr="002669D1" w14:paraId="2C0B6FC2" w14:textId="77777777" w:rsidTr="7FB99A72">
        <w:tc>
          <w:tcPr>
            <w:tcW w:w="5000" w:type="pct"/>
            <w:gridSpan w:val="3"/>
            <w:tcBorders>
              <w:left w:val="single" w:sz="4" w:space="0" w:color="auto"/>
              <w:right w:val="single" w:sz="4" w:space="0" w:color="auto"/>
            </w:tcBorders>
            <w:shd w:val="clear" w:color="auto" w:fill="auto"/>
            <w:vAlign w:val="center"/>
          </w:tcPr>
          <w:p w14:paraId="3DB6E211" w14:textId="77777777" w:rsidR="001A0094" w:rsidRPr="002669D1" w:rsidRDefault="001A0094" w:rsidP="00E55FD2">
            <w:pPr>
              <w:pStyle w:val="Tabletext0"/>
              <w:keepNext/>
              <w:keepLines/>
              <w:rPr>
                <w:b/>
                <w:bCs/>
              </w:rPr>
            </w:pPr>
            <w:r w:rsidRPr="002669D1">
              <w:rPr>
                <w:b/>
                <w:bCs/>
              </w:rPr>
              <w:t>Chronic IVIg studies</w:t>
            </w:r>
          </w:p>
        </w:tc>
      </w:tr>
      <w:tr w:rsidR="001A0094" w:rsidRPr="002669D1" w14:paraId="3E0DB203" w14:textId="77777777" w:rsidTr="7FB99A72">
        <w:tc>
          <w:tcPr>
            <w:tcW w:w="940" w:type="pct"/>
            <w:tcBorders>
              <w:left w:val="single" w:sz="4" w:space="0" w:color="auto"/>
              <w:right w:val="single" w:sz="4" w:space="0" w:color="auto"/>
            </w:tcBorders>
            <w:shd w:val="clear" w:color="auto" w:fill="FFFFFF" w:themeFill="background1"/>
            <w:vAlign w:val="center"/>
          </w:tcPr>
          <w:p w14:paraId="4DCB2730" w14:textId="77777777" w:rsidR="001A0094" w:rsidRPr="002669D1" w:rsidRDefault="001A0094" w:rsidP="00E55FD2">
            <w:pPr>
              <w:pStyle w:val="Tabletext0"/>
              <w:keepNext/>
              <w:keepLines/>
            </w:pPr>
            <w:r w:rsidRPr="002669D1">
              <w:t>Bril 2024</w:t>
            </w:r>
          </w:p>
          <w:p w14:paraId="05AB41BF" w14:textId="77777777" w:rsidR="001A0094" w:rsidRPr="002669D1" w:rsidRDefault="001A0094" w:rsidP="00E55FD2">
            <w:pPr>
              <w:pStyle w:val="Tabletext0"/>
              <w:keepNext/>
              <w:keepLines/>
            </w:pPr>
            <w:r w:rsidRPr="002669D1">
              <w:t>(NCT02473952)</w:t>
            </w:r>
          </w:p>
        </w:tc>
        <w:tc>
          <w:tcPr>
            <w:tcW w:w="24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5DFAE" w14:textId="42090071" w:rsidR="001A0094" w:rsidRPr="002669D1" w:rsidRDefault="001A0094" w:rsidP="00E55FD2">
            <w:pPr>
              <w:pStyle w:val="Tabletext0"/>
              <w:keepNext/>
              <w:keepLines/>
            </w:pPr>
            <w:r w:rsidRPr="78882673">
              <w:t xml:space="preserve">Bril et al (2024). Efficacy and safety of maintenance intravenous immunoglobulin in generalized myasthenia gravis patients with acetylcholine receptor antibodies: A </w:t>
            </w:r>
            <w:proofErr w:type="spellStart"/>
            <w:r w:rsidRPr="78882673">
              <w:t>multicenter</w:t>
            </w:r>
            <w:proofErr w:type="spellEnd"/>
            <w:r w:rsidRPr="78882673">
              <w:t>, double-blind, placebo-controlled trial.</w:t>
            </w:r>
          </w:p>
        </w:tc>
        <w:tc>
          <w:tcPr>
            <w:tcW w:w="1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2DEE3" w14:textId="5BFD8CE6" w:rsidR="001A0094" w:rsidRPr="002669D1" w:rsidRDefault="001A0094" w:rsidP="00E55FD2">
            <w:pPr>
              <w:pStyle w:val="Tabletext0"/>
              <w:keepNext/>
              <w:keepLines/>
            </w:pPr>
            <w:r w:rsidRPr="00C4760A">
              <w:rPr>
                <w:i/>
                <w:iCs/>
              </w:rPr>
              <w:t>Muscle &amp; Nerve</w:t>
            </w:r>
            <w:r w:rsidRPr="002669D1">
              <w:t xml:space="preserve"> 71(1):43-54</w:t>
            </w:r>
            <w:r w:rsidR="00622D97">
              <w:t>.</w:t>
            </w:r>
          </w:p>
        </w:tc>
      </w:tr>
      <w:tr w:rsidR="001A0094" w:rsidRPr="002669D1" w14:paraId="08E633AC" w14:textId="77777777" w:rsidTr="7FB99A72">
        <w:tc>
          <w:tcPr>
            <w:tcW w:w="940" w:type="pct"/>
            <w:tcBorders>
              <w:left w:val="single" w:sz="4" w:space="0" w:color="auto"/>
              <w:right w:val="single" w:sz="4" w:space="0" w:color="auto"/>
            </w:tcBorders>
            <w:vAlign w:val="center"/>
          </w:tcPr>
          <w:p w14:paraId="2E72E732" w14:textId="77777777" w:rsidR="001A0094" w:rsidRPr="002669D1" w:rsidRDefault="001A0094" w:rsidP="00E55FD2">
            <w:pPr>
              <w:pStyle w:val="Tabletext0"/>
              <w:keepNext/>
              <w:keepLines/>
            </w:pPr>
            <w:r w:rsidRPr="002669D1">
              <w:t>Wolfe (2002)</w:t>
            </w:r>
          </w:p>
        </w:tc>
        <w:tc>
          <w:tcPr>
            <w:tcW w:w="2448" w:type="pct"/>
            <w:tcBorders>
              <w:top w:val="single" w:sz="4" w:space="0" w:color="auto"/>
              <w:left w:val="single" w:sz="4" w:space="0" w:color="auto"/>
              <w:bottom w:val="single" w:sz="4" w:space="0" w:color="auto"/>
              <w:right w:val="single" w:sz="4" w:space="0" w:color="auto"/>
            </w:tcBorders>
            <w:vAlign w:val="center"/>
          </w:tcPr>
          <w:p w14:paraId="091C354B" w14:textId="77777777" w:rsidR="001A0094" w:rsidRPr="002669D1" w:rsidRDefault="001A0094" w:rsidP="00E55FD2">
            <w:pPr>
              <w:pStyle w:val="Tabletext0"/>
              <w:keepNext/>
              <w:keepLines/>
              <w:rPr>
                <w:szCs w:val="18"/>
              </w:rPr>
            </w:pPr>
            <w:r w:rsidRPr="002669D1">
              <w:rPr>
                <w:szCs w:val="18"/>
              </w:rPr>
              <w:t>Wolfe et al (2002). Myasthenia Gravis-IVIg Study Group. Randomised, controlled trial of intravenous immunoglobulin in myasthenia gravis</w:t>
            </w:r>
          </w:p>
        </w:tc>
        <w:tc>
          <w:tcPr>
            <w:tcW w:w="1612" w:type="pct"/>
            <w:tcBorders>
              <w:top w:val="single" w:sz="4" w:space="0" w:color="auto"/>
              <w:left w:val="single" w:sz="4" w:space="0" w:color="auto"/>
              <w:bottom w:val="single" w:sz="4" w:space="0" w:color="auto"/>
              <w:right w:val="single" w:sz="4" w:space="0" w:color="auto"/>
            </w:tcBorders>
            <w:vAlign w:val="center"/>
          </w:tcPr>
          <w:p w14:paraId="1A3546B4" w14:textId="29133749" w:rsidR="001A0094" w:rsidRPr="002669D1" w:rsidRDefault="001A0094" w:rsidP="00E55FD2">
            <w:pPr>
              <w:pStyle w:val="Tabletext0"/>
              <w:keepNext/>
              <w:keepLines/>
            </w:pPr>
            <w:r w:rsidRPr="00C4760A">
              <w:rPr>
                <w:i/>
                <w:iCs/>
              </w:rPr>
              <w:t>Muscle &amp; Nerve</w:t>
            </w:r>
            <w:r w:rsidRPr="002669D1">
              <w:t xml:space="preserve"> 26:549-552</w:t>
            </w:r>
            <w:r w:rsidR="00622D97">
              <w:t>.</w:t>
            </w:r>
          </w:p>
        </w:tc>
      </w:tr>
      <w:tr w:rsidR="001A0094" w:rsidRPr="002669D1" w14:paraId="25B61E15" w14:textId="77777777" w:rsidTr="7FB99A72">
        <w:tc>
          <w:tcPr>
            <w:tcW w:w="940" w:type="pct"/>
            <w:tcBorders>
              <w:left w:val="single" w:sz="4" w:space="0" w:color="auto"/>
              <w:right w:val="single" w:sz="4" w:space="0" w:color="auto"/>
            </w:tcBorders>
            <w:vAlign w:val="center"/>
          </w:tcPr>
          <w:p w14:paraId="0258FD84" w14:textId="77777777" w:rsidR="001A0094" w:rsidRPr="002669D1" w:rsidRDefault="001A0094" w:rsidP="00E55FD2">
            <w:pPr>
              <w:pStyle w:val="Tabletext0"/>
              <w:keepNext/>
              <w:keepLines/>
            </w:pPr>
            <w:r w:rsidRPr="002669D1">
              <w:t>Zinman (2007)</w:t>
            </w:r>
          </w:p>
        </w:tc>
        <w:tc>
          <w:tcPr>
            <w:tcW w:w="2448" w:type="pct"/>
            <w:tcBorders>
              <w:top w:val="single" w:sz="4" w:space="0" w:color="auto"/>
              <w:left w:val="single" w:sz="4" w:space="0" w:color="auto"/>
              <w:bottom w:val="single" w:sz="4" w:space="0" w:color="auto"/>
              <w:right w:val="single" w:sz="4" w:space="0" w:color="auto"/>
            </w:tcBorders>
            <w:vAlign w:val="center"/>
          </w:tcPr>
          <w:p w14:paraId="2B0274FD" w14:textId="77777777" w:rsidR="001A0094" w:rsidRPr="002669D1" w:rsidRDefault="001A0094" w:rsidP="00E55FD2">
            <w:pPr>
              <w:pStyle w:val="Tabletext0"/>
              <w:keepNext/>
              <w:keepLines/>
              <w:rPr>
                <w:szCs w:val="18"/>
              </w:rPr>
            </w:pPr>
            <w:r w:rsidRPr="002669D1">
              <w:rPr>
                <w:szCs w:val="18"/>
              </w:rPr>
              <w:t>Zinman et al (2007). IV immunoglobulin in patients with myasthenia gravis: a randomised controlled trial.</w:t>
            </w:r>
          </w:p>
        </w:tc>
        <w:tc>
          <w:tcPr>
            <w:tcW w:w="1612" w:type="pct"/>
            <w:tcBorders>
              <w:top w:val="single" w:sz="4" w:space="0" w:color="auto"/>
              <w:left w:val="single" w:sz="4" w:space="0" w:color="auto"/>
              <w:bottom w:val="single" w:sz="4" w:space="0" w:color="auto"/>
              <w:right w:val="single" w:sz="4" w:space="0" w:color="auto"/>
            </w:tcBorders>
            <w:vAlign w:val="center"/>
          </w:tcPr>
          <w:p w14:paraId="184EE50F" w14:textId="613CBC4A" w:rsidR="001A0094" w:rsidRPr="002669D1" w:rsidRDefault="001A0094" w:rsidP="00E55FD2">
            <w:pPr>
              <w:pStyle w:val="Tabletext0"/>
              <w:keepNext/>
              <w:keepLines/>
            </w:pPr>
            <w:r w:rsidRPr="00C4760A">
              <w:rPr>
                <w:i/>
                <w:iCs/>
              </w:rPr>
              <w:t>Neurology</w:t>
            </w:r>
            <w:r w:rsidRPr="002669D1">
              <w:t xml:space="preserve"> 68:837-841</w:t>
            </w:r>
            <w:r w:rsidR="00622D97">
              <w:t>.</w:t>
            </w:r>
          </w:p>
        </w:tc>
      </w:tr>
    </w:tbl>
    <w:bookmarkEnd w:id="35"/>
    <w:p w14:paraId="56ACD6DB" w14:textId="77777777" w:rsidR="00861B35" w:rsidRPr="0076762E" w:rsidRDefault="00861B35" w:rsidP="00E55FD2">
      <w:pPr>
        <w:pStyle w:val="COMTablefooter"/>
        <w:keepNext/>
        <w:keepLines/>
        <w:rPr>
          <w:sz w:val="20"/>
        </w:rPr>
      </w:pPr>
      <w:r w:rsidRPr="0076762E">
        <w:t xml:space="preserve">Source: </w:t>
      </w:r>
      <w:r>
        <w:t>Table 2.2-</w:t>
      </w:r>
      <w:r>
        <w:rPr>
          <w:rFonts w:hint="eastAsia"/>
          <w:lang w:eastAsia="zh-CN"/>
        </w:rPr>
        <w:t>2</w:t>
      </w:r>
      <w:r>
        <w:t>, p</w:t>
      </w:r>
      <w:r>
        <w:rPr>
          <w:rFonts w:hint="eastAsia"/>
          <w:lang w:eastAsia="zh-CN"/>
        </w:rPr>
        <w:t>48</w:t>
      </w:r>
      <w:r>
        <w:t xml:space="preserve"> of the resubmission; </w:t>
      </w:r>
      <w:r w:rsidRPr="002669D1">
        <w:t xml:space="preserve">Table 2(a).2-1, p9 of Appendix 4 of the </w:t>
      </w:r>
      <w:r>
        <w:t xml:space="preserve">July 2024 </w:t>
      </w:r>
      <w:r w:rsidRPr="002669D1">
        <w:t>submission</w:t>
      </w:r>
      <w:r>
        <w:t>.</w:t>
      </w:r>
    </w:p>
    <w:p w14:paraId="40710471" w14:textId="19DC7A05" w:rsidR="005F4183" w:rsidRPr="005F4183" w:rsidRDefault="005F4183" w:rsidP="00E55FD2">
      <w:pPr>
        <w:pStyle w:val="COMexecsummnumbered"/>
        <w:rPr>
          <w:color w:val="0066FF"/>
        </w:rPr>
      </w:pPr>
      <w:r w:rsidRPr="0076762E">
        <w:t xml:space="preserve">The key features of the </w:t>
      </w:r>
      <w:r>
        <w:t>included trials</w:t>
      </w:r>
      <w:r w:rsidRPr="0076762E">
        <w:t xml:space="preserve"> are summarised in</w:t>
      </w:r>
      <w:r>
        <w:t xml:space="preserve"> </w:t>
      </w:r>
      <w:r>
        <w:fldChar w:fldCharType="begin"/>
      </w:r>
      <w:r>
        <w:instrText xml:space="preserve"> REF _Ref185107958 \h </w:instrText>
      </w:r>
      <w:r>
        <w:fldChar w:fldCharType="separate"/>
      </w:r>
      <w:r w:rsidR="00271F88" w:rsidRPr="000843BA">
        <w:t xml:space="preserve">Table </w:t>
      </w:r>
      <w:r w:rsidR="00271F88">
        <w:rPr>
          <w:noProof/>
        </w:rPr>
        <w:t>4</w:t>
      </w:r>
      <w:r>
        <w:fldChar w:fldCharType="end"/>
      </w:r>
      <w:r w:rsidRPr="0076762E">
        <w:t>.</w:t>
      </w:r>
    </w:p>
    <w:p w14:paraId="1A518EEB" w14:textId="406810CC" w:rsidR="003B03A8" w:rsidRPr="000843BA" w:rsidRDefault="003B03A8" w:rsidP="00E55FD2">
      <w:pPr>
        <w:pStyle w:val="Caption"/>
      </w:pPr>
      <w:bookmarkStart w:id="36" w:name="_Ref185107958"/>
      <w:r w:rsidRPr="000843BA">
        <w:t xml:space="preserve">Table </w:t>
      </w:r>
      <w:r w:rsidR="00891FF9">
        <w:fldChar w:fldCharType="begin"/>
      </w:r>
      <w:r w:rsidR="00891FF9">
        <w:instrText xml:space="preserve"> SEQ Table \* ARABIC </w:instrText>
      </w:r>
      <w:r w:rsidR="00891FF9">
        <w:fldChar w:fldCharType="separate"/>
      </w:r>
      <w:r w:rsidR="00271F88">
        <w:rPr>
          <w:noProof/>
        </w:rPr>
        <w:t>4</w:t>
      </w:r>
      <w:r w:rsidR="00891FF9">
        <w:rPr>
          <w:noProof/>
        </w:rPr>
        <w:fldChar w:fldCharType="end"/>
      </w:r>
      <w:bookmarkEnd w:id="36"/>
      <w:r w:rsidRPr="000843BA">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846"/>
        <w:gridCol w:w="566"/>
        <w:gridCol w:w="1560"/>
        <w:gridCol w:w="709"/>
        <w:gridCol w:w="1843"/>
        <w:gridCol w:w="1984"/>
        <w:gridCol w:w="1509"/>
      </w:tblGrid>
      <w:tr w:rsidR="003B03A8" w:rsidRPr="00FA1E86" w14:paraId="75722872" w14:textId="77777777" w:rsidTr="00063A56">
        <w:trPr>
          <w:cantSplit/>
          <w:tblHeader/>
        </w:trPr>
        <w:tc>
          <w:tcPr>
            <w:tcW w:w="469" w:type="pct"/>
            <w:shd w:val="clear" w:color="auto" w:fill="auto"/>
            <w:vAlign w:val="center"/>
          </w:tcPr>
          <w:p w14:paraId="45E4A051" w14:textId="77777777" w:rsidR="003B03A8" w:rsidRPr="00FA1E86" w:rsidRDefault="003B03A8" w:rsidP="00E55FD2">
            <w:pPr>
              <w:pStyle w:val="COMTableheadingrow"/>
              <w:rPr>
                <w:lang w:val="en-AU"/>
              </w:rPr>
            </w:pPr>
            <w:r w:rsidRPr="00FA1E86">
              <w:rPr>
                <w:lang w:val="en-AU"/>
              </w:rPr>
              <w:t>Trial</w:t>
            </w:r>
          </w:p>
        </w:tc>
        <w:tc>
          <w:tcPr>
            <w:tcW w:w="314" w:type="pct"/>
            <w:shd w:val="clear" w:color="auto" w:fill="auto"/>
            <w:vAlign w:val="center"/>
          </w:tcPr>
          <w:p w14:paraId="6EE7202F" w14:textId="77777777" w:rsidR="003B03A8" w:rsidRPr="00FA1E86" w:rsidRDefault="003B03A8" w:rsidP="00E55FD2">
            <w:pPr>
              <w:pStyle w:val="COMTableheadingrow"/>
              <w:jc w:val="center"/>
              <w:rPr>
                <w:lang w:val="en-AU"/>
              </w:rPr>
            </w:pPr>
            <w:r w:rsidRPr="00FA1E86">
              <w:rPr>
                <w:lang w:val="en-AU"/>
              </w:rPr>
              <w:t>N</w:t>
            </w:r>
          </w:p>
        </w:tc>
        <w:tc>
          <w:tcPr>
            <w:tcW w:w="865" w:type="pct"/>
            <w:shd w:val="clear" w:color="auto" w:fill="auto"/>
            <w:vAlign w:val="center"/>
          </w:tcPr>
          <w:p w14:paraId="33CAA655" w14:textId="77777777" w:rsidR="003B03A8" w:rsidRPr="00FA1E86" w:rsidRDefault="003B03A8" w:rsidP="00E55FD2">
            <w:pPr>
              <w:pStyle w:val="COMTableheadingrow"/>
              <w:jc w:val="center"/>
              <w:rPr>
                <w:lang w:val="en-AU"/>
              </w:rPr>
            </w:pPr>
            <w:r w:rsidRPr="00FA1E86">
              <w:rPr>
                <w:lang w:val="en-AU"/>
              </w:rPr>
              <w:t>Design/duration</w:t>
            </w:r>
          </w:p>
        </w:tc>
        <w:tc>
          <w:tcPr>
            <w:tcW w:w="393" w:type="pct"/>
            <w:shd w:val="clear" w:color="auto" w:fill="auto"/>
            <w:vAlign w:val="center"/>
          </w:tcPr>
          <w:p w14:paraId="005BDD14" w14:textId="77777777" w:rsidR="003B03A8" w:rsidRPr="00FA1E86" w:rsidRDefault="003B03A8" w:rsidP="00E55FD2">
            <w:pPr>
              <w:pStyle w:val="COMTableheadingrow"/>
              <w:jc w:val="center"/>
              <w:rPr>
                <w:lang w:val="en-AU"/>
              </w:rPr>
            </w:pPr>
            <w:r w:rsidRPr="00FA1E86">
              <w:rPr>
                <w:lang w:val="en-AU"/>
              </w:rPr>
              <w:t>Risk of bias</w:t>
            </w:r>
          </w:p>
        </w:tc>
        <w:tc>
          <w:tcPr>
            <w:tcW w:w="1022" w:type="pct"/>
            <w:shd w:val="clear" w:color="auto" w:fill="auto"/>
            <w:vAlign w:val="center"/>
          </w:tcPr>
          <w:p w14:paraId="5F3D05B5" w14:textId="77777777" w:rsidR="003B03A8" w:rsidRPr="00FA1E86" w:rsidRDefault="003B03A8" w:rsidP="00E55FD2">
            <w:pPr>
              <w:pStyle w:val="COMTableheadingrow"/>
              <w:jc w:val="center"/>
              <w:rPr>
                <w:lang w:val="en-AU"/>
              </w:rPr>
            </w:pPr>
            <w:r w:rsidRPr="00FA1E86">
              <w:rPr>
                <w:lang w:val="en-AU"/>
              </w:rPr>
              <w:t>Patient population</w:t>
            </w:r>
          </w:p>
        </w:tc>
        <w:tc>
          <w:tcPr>
            <w:tcW w:w="1100" w:type="pct"/>
            <w:shd w:val="clear" w:color="auto" w:fill="auto"/>
            <w:vAlign w:val="center"/>
          </w:tcPr>
          <w:p w14:paraId="4310C87F" w14:textId="77777777" w:rsidR="003B03A8" w:rsidRPr="00FA1E86" w:rsidRDefault="003B03A8" w:rsidP="00E55FD2">
            <w:pPr>
              <w:pStyle w:val="COMTableheadingrow"/>
              <w:jc w:val="center"/>
              <w:rPr>
                <w:lang w:val="en-AU"/>
              </w:rPr>
            </w:pPr>
            <w:r w:rsidRPr="00FA1E86">
              <w:rPr>
                <w:lang w:val="en-AU"/>
              </w:rPr>
              <w:t>Outcomes</w:t>
            </w:r>
          </w:p>
        </w:tc>
        <w:tc>
          <w:tcPr>
            <w:tcW w:w="837" w:type="pct"/>
            <w:shd w:val="clear" w:color="auto" w:fill="auto"/>
            <w:vAlign w:val="center"/>
          </w:tcPr>
          <w:p w14:paraId="75E88CE5" w14:textId="77777777" w:rsidR="003B03A8" w:rsidRPr="00FA1E86" w:rsidRDefault="003B03A8" w:rsidP="00E55FD2">
            <w:pPr>
              <w:pStyle w:val="COMTableheadingrow"/>
              <w:jc w:val="center"/>
              <w:rPr>
                <w:lang w:val="en-AU"/>
              </w:rPr>
            </w:pPr>
            <w:r w:rsidRPr="00FA1E86">
              <w:rPr>
                <w:lang w:val="en-AU"/>
              </w:rPr>
              <w:t>Use in modelled evaluation</w:t>
            </w:r>
          </w:p>
        </w:tc>
      </w:tr>
      <w:tr w:rsidR="003B03A8" w:rsidRPr="00FA1E86" w14:paraId="41345556" w14:textId="77777777" w:rsidTr="00063A56">
        <w:trPr>
          <w:cantSplit/>
        </w:trPr>
        <w:tc>
          <w:tcPr>
            <w:tcW w:w="5000" w:type="pct"/>
            <w:gridSpan w:val="7"/>
            <w:shd w:val="clear" w:color="auto" w:fill="auto"/>
            <w:vAlign w:val="center"/>
          </w:tcPr>
          <w:p w14:paraId="378695F9" w14:textId="77777777" w:rsidR="003B03A8" w:rsidRPr="00FA1E86" w:rsidRDefault="003B03A8" w:rsidP="00E55FD2">
            <w:pPr>
              <w:pStyle w:val="COMTableheadingrow"/>
              <w:rPr>
                <w:lang w:val="en-AU"/>
              </w:rPr>
            </w:pPr>
            <w:proofErr w:type="spellStart"/>
            <w:r w:rsidRPr="00B162C2">
              <w:rPr>
                <w:szCs w:val="18"/>
              </w:rPr>
              <w:t>Zilucoplan</w:t>
            </w:r>
            <w:proofErr w:type="spellEnd"/>
            <w:r w:rsidRPr="00FA1E86">
              <w:rPr>
                <w:lang w:val="en-AU"/>
              </w:rPr>
              <w:t xml:space="preserve"> </w:t>
            </w:r>
            <w:r>
              <w:rPr>
                <w:rFonts w:eastAsia="SimSun" w:hint="eastAsia"/>
                <w:lang w:val="en-AU" w:eastAsia="zh-CN"/>
              </w:rPr>
              <w:t>vs.</w:t>
            </w:r>
            <w:r w:rsidRPr="00FA1E86">
              <w:rPr>
                <w:lang w:val="en-AU"/>
              </w:rPr>
              <w:t xml:space="preserve"> </w:t>
            </w:r>
            <w:r>
              <w:rPr>
                <w:rFonts w:eastAsia="SimSun" w:hint="eastAsia"/>
                <w:lang w:val="en-AU" w:eastAsia="zh-CN"/>
              </w:rPr>
              <w:t>p</w:t>
            </w:r>
            <w:r w:rsidRPr="00767114">
              <w:rPr>
                <w:lang w:val="en-AU"/>
              </w:rPr>
              <w:t>lacebo SC</w:t>
            </w:r>
          </w:p>
        </w:tc>
      </w:tr>
      <w:tr w:rsidR="003B03A8" w:rsidRPr="00696423" w14:paraId="27695FD0" w14:textId="77777777" w:rsidTr="00063A56">
        <w:trPr>
          <w:cantSplit/>
        </w:trPr>
        <w:tc>
          <w:tcPr>
            <w:tcW w:w="469" w:type="pct"/>
            <w:shd w:val="clear" w:color="auto" w:fill="auto"/>
            <w:vAlign w:val="center"/>
          </w:tcPr>
          <w:p w14:paraId="0FBAA2F4" w14:textId="77777777" w:rsidR="003B03A8" w:rsidRPr="00FA1E86" w:rsidRDefault="003B03A8" w:rsidP="00E55FD2">
            <w:pPr>
              <w:pStyle w:val="COMTabletext"/>
            </w:pPr>
            <w:r w:rsidRPr="002D6008">
              <w:t>RAISE</w:t>
            </w:r>
          </w:p>
        </w:tc>
        <w:tc>
          <w:tcPr>
            <w:tcW w:w="314" w:type="pct"/>
            <w:shd w:val="clear" w:color="auto" w:fill="auto"/>
            <w:vAlign w:val="center"/>
          </w:tcPr>
          <w:p w14:paraId="060A34E6" w14:textId="77777777" w:rsidR="003B03A8" w:rsidRPr="00FA1E86" w:rsidRDefault="003B03A8" w:rsidP="00E55FD2">
            <w:pPr>
              <w:pStyle w:val="COMTabletext"/>
              <w:jc w:val="center"/>
            </w:pPr>
            <w:r w:rsidRPr="00B162C2">
              <w:t>174</w:t>
            </w:r>
          </w:p>
        </w:tc>
        <w:tc>
          <w:tcPr>
            <w:tcW w:w="865" w:type="pct"/>
            <w:shd w:val="clear" w:color="auto" w:fill="auto"/>
            <w:vAlign w:val="center"/>
          </w:tcPr>
          <w:p w14:paraId="509C0F41" w14:textId="77777777" w:rsidR="003B03A8" w:rsidRPr="00CB1014" w:rsidRDefault="003B03A8" w:rsidP="00E55FD2">
            <w:pPr>
              <w:pStyle w:val="TableText"/>
              <w:widowControl/>
              <w:jc w:val="center"/>
            </w:pPr>
            <w:r w:rsidRPr="00CB1014">
              <w:t xml:space="preserve">Multicentre, randomised, double-blind, placebo-controlled </w:t>
            </w:r>
          </w:p>
          <w:p w14:paraId="0E021732" w14:textId="77777777" w:rsidR="003B03A8" w:rsidRPr="00CB1014" w:rsidRDefault="003B03A8" w:rsidP="00E55FD2">
            <w:pPr>
              <w:pStyle w:val="COMTabletext"/>
              <w:jc w:val="center"/>
              <w:rPr>
                <w:iCs/>
              </w:rPr>
            </w:pPr>
            <w:r w:rsidRPr="00CB1014">
              <w:rPr>
                <w:iCs/>
              </w:rPr>
              <w:t xml:space="preserve">12 weeks duration with an ongoing open-label extension </w:t>
            </w:r>
          </w:p>
        </w:tc>
        <w:tc>
          <w:tcPr>
            <w:tcW w:w="393" w:type="pct"/>
            <w:shd w:val="clear" w:color="auto" w:fill="auto"/>
            <w:vAlign w:val="center"/>
          </w:tcPr>
          <w:p w14:paraId="01407FD5" w14:textId="77777777" w:rsidR="003B03A8" w:rsidRPr="00E32228" w:rsidRDefault="003B03A8" w:rsidP="00E55FD2">
            <w:pPr>
              <w:pStyle w:val="COMTabletext"/>
              <w:jc w:val="center"/>
            </w:pPr>
            <w:r w:rsidRPr="00E32228">
              <w:t>L</w:t>
            </w:r>
            <w:r w:rsidRPr="00E32228">
              <w:rPr>
                <w:rFonts w:hint="eastAsia"/>
              </w:rPr>
              <w:t>ow</w:t>
            </w:r>
          </w:p>
        </w:tc>
        <w:tc>
          <w:tcPr>
            <w:tcW w:w="1022" w:type="pct"/>
            <w:shd w:val="clear" w:color="auto" w:fill="auto"/>
            <w:vAlign w:val="center"/>
          </w:tcPr>
          <w:p w14:paraId="2274B75E" w14:textId="77777777" w:rsidR="003B03A8" w:rsidRPr="00FA1E86" w:rsidRDefault="003B03A8" w:rsidP="00E55FD2">
            <w:pPr>
              <w:pStyle w:val="COMTabletext"/>
              <w:jc w:val="center"/>
            </w:pPr>
            <w:proofErr w:type="spellStart"/>
            <w:r w:rsidRPr="00B162C2">
              <w:t>AChR</w:t>
            </w:r>
            <w:proofErr w:type="spellEnd"/>
            <w:r>
              <w:t>-positive</w:t>
            </w:r>
            <w:r w:rsidRPr="00B162C2">
              <w:t xml:space="preserve"> generalised myasthenia gravis with functional impairment (MG-ADL </w:t>
            </w:r>
            <w:r>
              <w:t>≥</w:t>
            </w:r>
            <w:r w:rsidRPr="00B162C2">
              <w:t>6, QMG ≥12 and four or more QMG items scored ≥2) with stable background therapy</w:t>
            </w:r>
            <w:r w:rsidRPr="00B162C2">
              <w:rPr>
                <w:rStyle w:val="cf01"/>
              </w:rPr>
              <w:t xml:space="preserve"> </w:t>
            </w:r>
          </w:p>
        </w:tc>
        <w:tc>
          <w:tcPr>
            <w:tcW w:w="1100" w:type="pct"/>
            <w:shd w:val="clear" w:color="auto" w:fill="auto"/>
            <w:vAlign w:val="center"/>
          </w:tcPr>
          <w:p w14:paraId="72AB5256" w14:textId="77777777" w:rsidR="003B03A8" w:rsidRPr="00696423" w:rsidRDefault="003B03A8" w:rsidP="00E55FD2">
            <w:pPr>
              <w:pStyle w:val="COMTabletext"/>
              <w:spacing w:after="120"/>
              <w:jc w:val="center"/>
            </w:pPr>
            <w:r w:rsidRPr="00696423">
              <w:t>Primary: Change in MG-ADL score.</w:t>
            </w:r>
          </w:p>
          <w:p w14:paraId="79667CBF" w14:textId="77777777" w:rsidR="003B03A8" w:rsidRPr="00696423" w:rsidRDefault="003B03A8" w:rsidP="00E55FD2">
            <w:pPr>
              <w:pStyle w:val="COMTabletext"/>
              <w:jc w:val="center"/>
            </w:pPr>
            <w:r w:rsidRPr="00696423">
              <w:t>Other outcomes: Change in other functional measures (MGC, QMG), global assessments (MGFA-PIS), quality of life (EQ-5D-5L, MG-QoL15r, Neuro-QoL Fatigue) and time to rescue therapy</w:t>
            </w:r>
          </w:p>
        </w:tc>
        <w:tc>
          <w:tcPr>
            <w:tcW w:w="837" w:type="pct"/>
            <w:shd w:val="clear" w:color="auto" w:fill="auto"/>
            <w:vAlign w:val="center"/>
          </w:tcPr>
          <w:p w14:paraId="6BCCB5DA" w14:textId="77777777" w:rsidR="003B03A8" w:rsidRPr="00696423" w:rsidRDefault="003B03A8" w:rsidP="00E55FD2">
            <w:pPr>
              <w:pStyle w:val="COMTabletext"/>
              <w:jc w:val="center"/>
            </w:pPr>
            <w:r w:rsidRPr="00696423">
              <w:t>Baseline characteristics, treatment response, change in MG-ADL and health state utility values.</w:t>
            </w:r>
          </w:p>
        </w:tc>
      </w:tr>
    </w:tbl>
    <w:p w14:paraId="108D6C88" w14:textId="77777777" w:rsidR="003B03A8" w:rsidRPr="0076762E" w:rsidRDefault="003B03A8" w:rsidP="00E55FD2">
      <w:pPr>
        <w:pStyle w:val="COMTablefooter"/>
      </w:pPr>
      <w:r w:rsidRPr="0076762E">
        <w:t xml:space="preserve">Source: </w:t>
      </w:r>
      <w:r>
        <w:t>Section 2.</w:t>
      </w:r>
      <w:r>
        <w:rPr>
          <w:rFonts w:hint="eastAsia"/>
          <w:lang w:eastAsia="zh-CN"/>
        </w:rPr>
        <w:t>3</w:t>
      </w:r>
      <w:r w:rsidRPr="00E64589">
        <w:t>, p</w:t>
      </w:r>
      <w:r>
        <w:rPr>
          <w:rFonts w:hint="eastAsia"/>
          <w:lang w:eastAsia="zh-CN"/>
        </w:rPr>
        <w:t>49-56</w:t>
      </w:r>
      <w:r w:rsidRPr="00E64589">
        <w:t xml:space="preserve"> of the resubmission</w:t>
      </w:r>
    </w:p>
    <w:p w14:paraId="01A53E8F" w14:textId="1C895934" w:rsidR="005F4183" w:rsidRPr="0076762E" w:rsidRDefault="003B03A8" w:rsidP="00E55FD2">
      <w:pPr>
        <w:pStyle w:val="COMTablefooter"/>
        <w:rPr>
          <w:color w:val="0066FF"/>
        </w:rPr>
      </w:pPr>
      <w:r w:rsidRPr="00B162C2">
        <w:t xml:space="preserve">Abbreviations: </w:t>
      </w:r>
      <w:proofErr w:type="spellStart"/>
      <w:r w:rsidRPr="00B162C2">
        <w:t>AChR</w:t>
      </w:r>
      <w:proofErr w:type="spellEnd"/>
      <w:r w:rsidRPr="00B162C2">
        <w:t>, anti-acetylcholine receptor; MG-ADL, Myasthenia Gravis Activities of Daily Living; MGC, myasthenia gravis composite score; MGFA-PIS, modified Myasthenia Gravis Foundation of America Post-Intervention Status; MG-QoL15r, revised Myasthenia Gravis Quality of Life; Neuro-QoL Fatigue, Quality of Life in Neurological Disorders Fatigue subscale; QMG, Quantitative Myasthenia Gravis score.</w:t>
      </w:r>
    </w:p>
    <w:p w14:paraId="337903DD" w14:textId="4CE8A198" w:rsidR="001F72C8" w:rsidRPr="009C57A2" w:rsidRDefault="001F72C8" w:rsidP="00E55FD2">
      <w:pPr>
        <w:pStyle w:val="COMexecsummnumbered"/>
        <w:rPr>
          <w:i/>
          <w:iCs/>
        </w:rPr>
      </w:pPr>
      <w:r w:rsidRPr="78882673">
        <w:t xml:space="preserve">Trial participants predominantly reported moderate generalised weakness at baseline including ocular, bulbar, limb and respiratory symptoms (mean baseline MGC score: </w:t>
      </w:r>
      <w:r w:rsidRPr="78882673">
        <w:lastRenderedPageBreak/>
        <w:t>20.1-21.6). The average time since diagnosis was 9.2 years and many patients had an extensive history of prior therapy use</w:t>
      </w:r>
      <w:r w:rsidR="00EE365B">
        <w:t>,</w:t>
      </w:r>
      <w:r w:rsidRPr="78882673">
        <w:t xml:space="preserve"> including a substantial proportion who had previously used rescue/chronic IVIg (63.8%), rescue/chronic PLEX (33.9%) or rituximab (9.8%). At baseline, 50.6% of patients were considered </w:t>
      </w:r>
      <w:r w:rsidR="00B1420A" w:rsidRPr="78882673">
        <w:t>treatment refractory</w:t>
      </w:r>
      <w:r w:rsidRPr="78882673">
        <w:t xml:space="preserve"> which was defined as treatment for at least one year with two or more of the following therapies (prednisone, azathioprine, mycophenolate mofetil, c</w:t>
      </w:r>
      <w:r w:rsidR="006466E0" w:rsidRPr="78882673">
        <w:t>i</w:t>
      </w:r>
      <w:r w:rsidRPr="78882673">
        <w:t xml:space="preserve">closporin, cyclophosphamide, methotrexate, tacrolimus, rituximab, eculizumab, other corticosteroids) OR history of treatment with at least one of the above therapies for 1 year or more and required chronic IVIg/PLEX at least every 3 months for the 12 months. </w:t>
      </w:r>
      <w:r w:rsidR="009C57A2" w:rsidRPr="78882673">
        <w:t>The trial definition of treatment refractory did not require patients to have disease that is unchanged or worse after treatment, with persistent symptoms or side effects that limit functioning.</w:t>
      </w:r>
    </w:p>
    <w:p w14:paraId="42C8E2BC" w14:textId="6C8D161C" w:rsidR="004D2938" w:rsidRPr="00DF50B4" w:rsidRDefault="004D2938" w:rsidP="00E55FD2">
      <w:pPr>
        <w:pStyle w:val="COMexecsummnumbered"/>
      </w:pPr>
      <w:r w:rsidRPr="78882673">
        <w:rPr>
          <w:color w:val="000000" w:themeColor="text1"/>
          <w:lang w:eastAsia="zh-CN"/>
        </w:rPr>
        <w:t xml:space="preserve">A comparison of patient characteristics between treatment refractory and non-refractory patients indicated substantial differences between these populations in terms of sex, region, time since diagnosis, history of myasthenic crisis, history of thymectomy and prior use of IVIg, PLEX and rituximab. </w:t>
      </w:r>
    </w:p>
    <w:p w14:paraId="5D960343" w14:textId="4DA2E030" w:rsidR="00E96FBF" w:rsidRPr="00E90C9F" w:rsidRDefault="001F72C8" w:rsidP="00E55FD2">
      <w:pPr>
        <w:pStyle w:val="COMexecsummnumbered"/>
      </w:pPr>
      <w:bookmarkStart w:id="37" w:name="_Ref190769765"/>
      <w:r w:rsidRPr="00B044EC">
        <w:t xml:space="preserve">At baseline, 4.0% of the </w:t>
      </w:r>
      <w:r w:rsidR="00DF50B4">
        <w:t xml:space="preserve">overall RAISE </w:t>
      </w:r>
      <w:r w:rsidRPr="00B044EC">
        <w:t xml:space="preserve">trial population were using no therapy, 19.5% were using </w:t>
      </w:r>
      <w:r w:rsidRPr="00E90C9F">
        <w:t xml:space="preserve">anticholinesterase treatments only, 11.5% were using immunosuppressive therapies only and 64.9% were using anticholinesterase treatment in combination with immunosuppressive treatment (primarily anticholinesterase with corticosteroids; or anticholinesterase with corticosteroids and azathioprine or mycophenolate mofetil). </w:t>
      </w:r>
      <w:r w:rsidR="004A1DBD" w:rsidRPr="00E90C9F">
        <w:t>The PSCR outlined that</w:t>
      </w:r>
      <w:r w:rsidR="00AF7153" w:rsidRPr="00E90C9F">
        <w:t xml:space="preserve"> </w:t>
      </w:r>
      <w:r w:rsidR="00ED687F" w:rsidRPr="00E90C9F">
        <w:t>in the refractory subgroup at baseline: 7</w:t>
      </w:r>
      <w:r w:rsidR="00B46407" w:rsidRPr="00E90C9F">
        <w:t>3</w:t>
      </w:r>
      <w:r w:rsidR="00ED687F" w:rsidRPr="00E90C9F">
        <w:t>% (64/88) of patients were being treated with a corticosteroid; 70% (62/88) were being treated with a</w:t>
      </w:r>
      <w:r w:rsidR="00584A05">
        <w:t>n NS-IST</w:t>
      </w:r>
      <w:r w:rsidR="00ED687F" w:rsidRPr="00E90C9F">
        <w:t xml:space="preserve">; and </w:t>
      </w:r>
      <w:r w:rsidR="004A1DBD" w:rsidRPr="00E90C9F">
        <w:t xml:space="preserve">85% (75/88) were receiving at least one immunosuppressive therapy (corticosteroid and/or </w:t>
      </w:r>
      <w:r w:rsidR="00584A05">
        <w:t>NS-IST</w:t>
      </w:r>
      <w:r w:rsidR="004A1DBD" w:rsidRPr="00E90C9F">
        <w:t>).</w:t>
      </w:r>
      <w:bookmarkEnd w:id="37"/>
      <w:r w:rsidR="004A1DBD" w:rsidRPr="00E90C9F">
        <w:t xml:space="preserve"> </w:t>
      </w:r>
    </w:p>
    <w:p w14:paraId="4495FCD7" w14:textId="002A23E9" w:rsidR="001F72C8" w:rsidRPr="006B5726" w:rsidRDefault="001F72C8" w:rsidP="00E55FD2">
      <w:pPr>
        <w:pStyle w:val="COMexecsummnumbered"/>
      </w:pPr>
      <w:r w:rsidRPr="00E90C9F">
        <w:t>Patients included in the trial were</w:t>
      </w:r>
      <w:r w:rsidRPr="00B044EC">
        <w:t xml:space="preserve"> not allowed to have used IVIg or PLEX in the prior 4 weeks before baseline or rituximab in the prior 12 months before baseline. </w:t>
      </w:r>
      <w:r w:rsidRPr="006B5726">
        <w:t xml:space="preserve">The trial eligibility criteria required patients to be using stable standard therapy doses but did not require patients to be using optimised therapy. </w:t>
      </w:r>
    </w:p>
    <w:p w14:paraId="53B71D69" w14:textId="77777777" w:rsidR="000A02AF" w:rsidRPr="00ED78DF" w:rsidRDefault="000A02AF" w:rsidP="00E55FD2">
      <w:pPr>
        <w:pStyle w:val="COMexecsummnumbered"/>
        <w:rPr>
          <w:i/>
          <w:iCs/>
        </w:rPr>
      </w:pPr>
      <w:r w:rsidRPr="006B5726">
        <w:t>It is unclear whether the results from the overall RAISE trial and refractory subgroup can be generalised to the proposed PBS population given differences in eligibility criteria between the populations (the trial required patients to have MG-ADL ≥6; QMG ≥12 and four or more QMG items scored ≥2 while the restriction only requires patients to have a MG-ADL ≥6).</w:t>
      </w:r>
      <w:r w:rsidRPr="00ED78DF">
        <w:rPr>
          <w:i/>
          <w:iCs/>
        </w:rPr>
        <w:t xml:space="preserve"> </w:t>
      </w:r>
    </w:p>
    <w:p w14:paraId="6E32EE13" w14:textId="720C0E75" w:rsidR="00591C3D" w:rsidRPr="00591C3D" w:rsidRDefault="00591C3D" w:rsidP="00E55FD2">
      <w:pPr>
        <w:pStyle w:val="COMexecsummnumbered"/>
      </w:pPr>
      <w:r w:rsidRPr="78882673">
        <w:t xml:space="preserve">The primary outcome in the submission was mean change in MG-ADL scores from baseline to Week 12. The MG-ADL instrument is an 8-item assessment tool capturing patient-reported outcomes of functional disability related to different domains including ocular (2 items), bulbar (3 items), respiratory (1 item), and gross motor or limb impairment (2 items). Each item is scored on a 0-4 scale, with a total score ranging from 0 to 24, where lower scores indicate better functional outcomes. The instrument </w:t>
      </w:r>
      <w:r w:rsidRPr="78882673">
        <w:lastRenderedPageBreak/>
        <w:t>has been externally validated and has an established minimal clinically important difference of a 2-point change in total score (Muppidi 2011).</w:t>
      </w:r>
    </w:p>
    <w:p w14:paraId="4A4FE085" w14:textId="1C5613CC" w:rsidR="00B60939" w:rsidRPr="00BB59B1" w:rsidRDefault="00B60939" w:rsidP="00E55FD2">
      <w:pPr>
        <w:pStyle w:val="COMH2-non-numbered"/>
      </w:pPr>
      <w:bookmarkStart w:id="38" w:name="_Toc22897641"/>
      <w:bookmarkStart w:id="39" w:name="_Toc188274682"/>
      <w:r w:rsidRPr="00BB59B1">
        <w:t>Comparative effectiveness</w:t>
      </w:r>
      <w:bookmarkEnd w:id="38"/>
      <w:bookmarkEnd w:id="39"/>
    </w:p>
    <w:p w14:paraId="52A68A30" w14:textId="649B3B9F" w:rsidR="00F33538" w:rsidRDefault="00F33538" w:rsidP="00E55FD2">
      <w:pPr>
        <w:pStyle w:val="COMexecsummnumbered"/>
      </w:pPr>
      <w:r w:rsidRPr="00061742">
        <w:t xml:space="preserve">The mean change in </w:t>
      </w:r>
      <w:r w:rsidR="00884D00" w:rsidRPr="00884D00">
        <w:t xml:space="preserve">MG-ADL </w:t>
      </w:r>
      <w:r w:rsidR="00884D00">
        <w:t>fr</w:t>
      </w:r>
      <w:r w:rsidRPr="00061742">
        <w:t xml:space="preserve">om baseline to Week 12 with </w:t>
      </w:r>
      <w:proofErr w:type="spellStart"/>
      <w:r w:rsidRPr="00061742">
        <w:t>zilucoplan</w:t>
      </w:r>
      <w:proofErr w:type="spellEnd"/>
      <w:r w:rsidRPr="00061742">
        <w:t xml:space="preserve"> and placebo in the RAISE trial</w:t>
      </w:r>
      <w:r w:rsidR="00656A79">
        <w:t xml:space="preserve"> and subgroups by refractory status</w:t>
      </w:r>
      <w:r w:rsidRPr="00061742">
        <w:t xml:space="preserve"> are summarised in</w:t>
      </w:r>
      <w:r>
        <w:t xml:space="preserve"> </w:t>
      </w:r>
      <w:r>
        <w:fldChar w:fldCharType="begin"/>
      </w:r>
      <w:r>
        <w:instrText xml:space="preserve"> REF _Ref164431551 \h </w:instrText>
      </w:r>
      <w:r>
        <w:fldChar w:fldCharType="separate"/>
      </w:r>
      <w:r w:rsidR="00271F88" w:rsidRPr="00696423">
        <w:t xml:space="preserve">Table </w:t>
      </w:r>
      <w:r w:rsidR="00271F88">
        <w:rPr>
          <w:noProof/>
        </w:rPr>
        <w:t>5</w:t>
      </w:r>
      <w:r>
        <w:fldChar w:fldCharType="end"/>
      </w:r>
      <w:r w:rsidRPr="00061742">
        <w:t>.</w:t>
      </w:r>
    </w:p>
    <w:p w14:paraId="26B8F498" w14:textId="25DE1839" w:rsidR="00F82CF6" w:rsidRPr="00696423" w:rsidRDefault="00F82CF6" w:rsidP="00E55FD2">
      <w:pPr>
        <w:pStyle w:val="COMtablefigcaption"/>
        <w:keepLines/>
      </w:pPr>
      <w:bookmarkStart w:id="40" w:name="_Ref164431551"/>
      <w:r w:rsidRPr="00696423">
        <w:t xml:space="preserve">Table </w:t>
      </w:r>
      <w:r w:rsidR="00891FF9">
        <w:fldChar w:fldCharType="begin"/>
      </w:r>
      <w:r w:rsidR="00891FF9">
        <w:instrText xml:space="preserve"> SEQ Table \* ARABIC </w:instrText>
      </w:r>
      <w:r w:rsidR="00891FF9">
        <w:fldChar w:fldCharType="separate"/>
      </w:r>
      <w:r w:rsidR="00271F88">
        <w:rPr>
          <w:noProof/>
        </w:rPr>
        <w:t>5</w:t>
      </w:r>
      <w:r w:rsidR="00891FF9">
        <w:rPr>
          <w:noProof/>
        </w:rPr>
        <w:fldChar w:fldCharType="end"/>
      </w:r>
      <w:bookmarkEnd w:id="40"/>
      <w:r w:rsidRPr="00696423">
        <w:t xml:space="preserve">: Mean change in </w:t>
      </w:r>
      <w:r w:rsidR="00572793" w:rsidRPr="00061742">
        <w:t>Myasthenia Gravis Activities of Daily Living (MG-ADL) score [primary outcome]</w:t>
      </w:r>
      <w:r w:rsidR="00572793">
        <w:t xml:space="preserve"> </w:t>
      </w:r>
      <w:r w:rsidRPr="00696423">
        <w:t xml:space="preserve">from baseline to Week 12 </w:t>
      </w:r>
      <w:r w:rsidR="00111AE4">
        <w:t>by treatment refractory status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5: Mean change in Myasthenia Gravis Activities of Daily Living (MG-ADL) score [primary outcome] from baseline to Week 12 by treatment refractory status"/>
      </w:tblPr>
      <w:tblGrid>
        <w:gridCol w:w="2268"/>
        <w:gridCol w:w="1559"/>
        <w:gridCol w:w="1560"/>
        <w:gridCol w:w="1701"/>
        <w:gridCol w:w="1929"/>
      </w:tblGrid>
      <w:tr w:rsidR="00F82CF6" w:rsidRPr="00061742" w14:paraId="634B762B" w14:textId="77777777">
        <w:trPr>
          <w:trHeight w:val="76"/>
          <w:tblHeader/>
        </w:trPr>
        <w:tc>
          <w:tcPr>
            <w:tcW w:w="2268" w:type="dxa"/>
            <w:tcBorders>
              <w:top w:val="single" w:sz="4" w:space="0" w:color="auto"/>
              <w:left w:val="single" w:sz="4" w:space="0" w:color="auto"/>
              <w:right w:val="single" w:sz="4" w:space="0" w:color="auto"/>
            </w:tcBorders>
            <w:vAlign w:val="center"/>
          </w:tcPr>
          <w:p w14:paraId="208C33FA" w14:textId="77777777" w:rsidR="00F82CF6" w:rsidRPr="00061742" w:rsidRDefault="00F82CF6" w:rsidP="00E55FD2">
            <w:pPr>
              <w:pStyle w:val="TableText"/>
              <w:widowControl/>
              <w:rPr>
                <w:b/>
                <w:i/>
                <w:iCs w:val="0"/>
              </w:rPr>
            </w:pPr>
            <w:r w:rsidRPr="00061742">
              <w:rPr>
                <w:b/>
                <w:iCs w:val="0"/>
              </w:rPr>
              <w:t>Treatment arm</w:t>
            </w:r>
          </w:p>
        </w:tc>
        <w:tc>
          <w:tcPr>
            <w:tcW w:w="1559" w:type="dxa"/>
            <w:tcBorders>
              <w:top w:val="single" w:sz="4" w:space="0" w:color="auto"/>
              <w:left w:val="single" w:sz="4" w:space="0" w:color="auto"/>
              <w:right w:val="single" w:sz="4" w:space="0" w:color="auto"/>
            </w:tcBorders>
            <w:vAlign w:val="center"/>
          </w:tcPr>
          <w:p w14:paraId="3DB2BF9C" w14:textId="77777777" w:rsidR="00F82CF6" w:rsidRPr="00061742" w:rsidRDefault="00F82CF6" w:rsidP="00E55FD2">
            <w:pPr>
              <w:pStyle w:val="TableText"/>
              <w:widowControl/>
              <w:jc w:val="center"/>
              <w:rPr>
                <w:b/>
                <w:i/>
                <w:iCs w:val="0"/>
              </w:rPr>
            </w:pPr>
            <w:r w:rsidRPr="00061742">
              <w:rPr>
                <w:b/>
                <w:iCs w:val="0"/>
              </w:rPr>
              <w:t>Baseline,</w:t>
            </w:r>
          </w:p>
          <w:p w14:paraId="0D6D8995" w14:textId="77777777" w:rsidR="00F82CF6" w:rsidRPr="00061742" w:rsidRDefault="00F82CF6" w:rsidP="00E55FD2">
            <w:pPr>
              <w:pStyle w:val="TableText"/>
              <w:widowControl/>
              <w:jc w:val="center"/>
              <w:rPr>
                <w:b/>
                <w:i/>
                <w:iCs w:val="0"/>
              </w:rPr>
            </w:pPr>
            <w:r w:rsidRPr="00061742">
              <w:rPr>
                <w:b/>
                <w:iCs w:val="0"/>
              </w:rPr>
              <w:t>Mean (SD)</w:t>
            </w:r>
          </w:p>
        </w:tc>
        <w:tc>
          <w:tcPr>
            <w:tcW w:w="1560" w:type="dxa"/>
            <w:tcBorders>
              <w:top w:val="single" w:sz="4" w:space="0" w:color="auto"/>
              <w:left w:val="single" w:sz="4" w:space="0" w:color="auto"/>
              <w:right w:val="single" w:sz="4" w:space="0" w:color="auto"/>
            </w:tcBorders>
            <w:vAlign w:val="center"/>
          </w:tcPr>
          <w:p w14:paraId="3E43DEAA" w14:textId="77777777" w:rsidR="00F82CF6" w:rsidRPr="00061742" w:rsidRDefault="00F82CF6" w:rsidP="00E55FD2">
            <w:pPr>
              <w:pStyle w:val="TableText"/>
              <w:widowControl/>
              <w:jc w:val="center"/>
              <w:rPr>
                <w:b/>
                <w:i/>
                <w:iCs w:val="0"/>
              </w:rPr>
            </w:pPr>
            <w:r w:rsidRPr="00061742">
              <w:rPr>
                <w:b/>
                <w:iCs w:val="0"/>
              </w:rPr>
              <w:t>Final,</w:t>
            </w:r>
          </w:p>
          <w:p w14:paraId="4CC1E8D0" w14:textId="77777777" w:rsidR="00F82CF6" w:rsidRPr="00061742" w:rsidRDefault="00F82CF6" w:rsidP="00E55FD2">
            <w:pPr>
              <w:pStyle w:val="TableText"/>
              <w:widowControl/>
              <w:jc w:val="center"/>
              <w:rPr>
                <w:b/>
                <w:i/>
                <w:iCs w:val="0"/>
              </w:rPr>
            </w:pPr>
            <w:r w:rsidRPr="00061742">
              <w:rPr>
                <w:b/>
                <w:iCs w:val="0"/>
              </w:rPr>
              <w:t>Mean (SD)</w:t>
            </w:r>
          </w:p>
        </w:tc>
        <w:tc>
          <w:tcPr>
            <w:tcW w:w="1701" w:type="dxa"/>
            <w:tcBorders>
              <w:top w:val="single" w:sz="4" w:space="0" w:color="auto"/>
              <w:left w:val="single" w:sz="4" w:space="0" w:color="auto"/>
              <w:right w:val="single" w:sz="4" w:space="0" w:color="auto"/>
            </w:tcBorders>
            <w:vAlign w:val="center"/>
          </w:tcPr>
          <w:p w14:paraId="460D5139" w14:textId="77777777" w:rsidR="00F82CF6" w:rsidRPr="00061742" w:rsidRDefault="00F82CF6" w:rsidP="00E55FD2">
            <w:pPr>
              <w:pStyle w:val="TableText"/>
              <w:widowControl/>
              <w:jc w:val="center"/>
              <w:rPr>
                <w:b/>
                <w:i/>
                <w:iCs w:val="0"/>
              </w:rPr>
            </w:pPr>
            <w:r w:rsidRPr="00061742">
              <w:rPr>
                <w:b/>
                <w:iCs w:val="0"/>
              </w:rPr>
              <w:t>LS mean change (95% CI)</w:t>
            </w:r>
          </w:p>
        </w:tc>
        <w:tc>
          <w:tcPr>
            <w:tcW w:w="1929" w:type="dxa"/>
            <w:tcBorders>
              <w:top w:val="single" w:sz="4" w:space="0" w:color="auto"/>
              <w:left w:val="single" w:sz="4" w:space="0" w:color="auto"/>
              <w:right w:val="single" w:sz="4" w:space="0" w:color="auto"/>
            </w:tcBorders>
            <w:vAlign w:val="center"/>
          </w:tcPr>
          <w:p w14:paraId="07F1D37F" w14:textId="77777777" w:rsidR="00F82CF6" w:rsidRPr="00061742" w:rsidRDefault="00F82CF6" w:rsidP="00E55FD2">
            <w:pPr>
              <w:pStyle w:val="TableText"/>
              <w:widowControl/>
              <w:jc w:val="center"/>
              <w:rPr>
                <w:b/>
                <w:i/>
                <w:iCs w:val="0"/>
              </w:rPr>
            </w:pPr>
            <w:r w:rsidRPr="00061742">
              <w:rPr>
                <w:b/>
                <w:iCs w:val="0"/>
              </w:rPr>
              <w:t>Treatment difference (95% CI)</w:t>
            </w:r>
          </w:p>
        </w:tc>
      </w:tr>
      <w:tr w:rsidR="00F82CF6" w:rsidRPr="00061742" w14:paraId="05BFD89C" w14:textId="77777777">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610130F4" w14:textId="0F92E40D" w:rsidR="00F82CF6" w:rsidRPr="00061742" w:rsidRDefault="008A4E8A" w:rsidP="00E55FD2">
            <w:pPr>
              <w:pStyle w:val="TableText"/>
              <w:widowControl/>
              <w:rPr>
                <w:b/>
                <w:i/>
                <w:iCs w:val="0"/>
              </w:rPr>
            </w:pPr>
            <w:r>
              <w:rPr>
                <w:b/>
                <w:iCs w:val="0"/>
              </w:rPr>
              <w:t>Overall population</w:t>
            </w:r>
          </w:p>
        </w:tc>
      </w:tr>
      <w:tr w:rsidR="00F82CF6" w:rsidRPr="00061742" w14:paraId="1DF38A79"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BE59597" w14:textId="77777777" w:rsidR="00F82CF6" w:rsidRPr="00061742" w:rsidRDefault="00F82CF6" w:rsidP="00E55FD2">
            <w:pPr>
              <w:pStyle w:val="TableText"/>
              <w:widowControl/>
              <w:rPr>
                <w:i/>
                <w:iCs w:val="0"/>
              </w:rPr>
            </w:pPr>
            <w:proofErr w:type="spellStart"/>
            <w:r w:rsidRPr="00061742">
              <w:rPr>
                <w:iCs w:val="0"/>
              </w:rPr>
              <w:t>Zilucoplan</w:t>
            </w:r>
            <w:proofErr w:type="spellEnd"/>
            <w:r w:rsidRPr="00061742">
              <w:rPr>
                <w:iCs w:val="0"/>
              </w:rPr>
              <w:t xml:space="preserve"> (N = 86)</w:t>
            </w:r>
          </w:p>
        </w:tc>
        <w:tc>
          <w:tcPr>
            <w:tcW w:w="1559" w:type="dxa"/>
            <w:tcBorders>
              <w:top w:val="single" w:sz="4" w:space="0" w:color="auto"/>
              <w:left w:val="single" w:sz="4" w:space="0" w:color="auto"/>
              <w:bottom w:val="single" w:sz="4" w:space="0" w:color="auto"/>
              <w:right w:val="single" w:sz="4" w:space="0" w:color="auto"/>
            </w:tcBorders>
            <w:vAlign w:val="center"/>
          </w:tcPr>
          <w:p w14:paraId="21A88F2F" w14:textId="77777777" w:rsidR="00F82CF6" w:rsidRPr="00061742" w:rsidRDefault="00F82CF6" w:rsidP="00E55FD2">
            <w:pPr>
              <w:pStyle w:val="TableText"/>
              <w:widowControl/>
              <w:jc w:val="center"/>
              <w:rPr>
                <w:i/>
                <w:iCs w:val="0"/>
              </w:rPr>
            </w:pPr>
            <w:r w:rsidRPr="00061742">
              <w:rPr>
                <w:iCs w:val="0"/>
              </w:rPr>
              <w:t>10.3 (2.5)</w:t>
            </w:r>
          </w:p>
        </w:tc>
        <w:tc>
          <w:tcPr>
            <w:tcW w:w="1560" w:type="dxa"/>
            <w:tcBorders>
              <w:top w:val="single" w:sz="4" w:space="0" w:color="auto"/>
              <w:left w:val="single" w:sz="4" w:space="0" w:color="auto"/>
              <w:bottom w:val="single" w:sz="4" w:space="0" w:color="auto"/>
              <w:right w:val="single" w:sz="4" w:space="0" w:color="auto"/>
            </w:tcBorders>
            <w:vAlign w:val="center"/>
          </w:tcPr>
          <w:p w14:paraId="5A89C2EF" w14:textId="77777777" w:rsidR="00F82CF6" w:rsidRPr="00061742" w:rsidRDefault="00F82CF6" w:rsidP="00E55FD2">
            <w:pPr>
              <w:pStyle w:val="TableText"/>
              <w:widowControl/>
              <w:jc w:val="center"/>
              <w:rPr>
                <w:i/>
                <w:iCs w:val="0"/>
              </w:rPr>
            </w:pPr>
            <w:r w:rsidRPr="00061742">
              <w:rPr>
                <w:iCs w:val="0"/>
              </w:rPr>
              <w:t>5.6 (4.0)</w:t>
            </w:r>
          </w:p>
        </w:tc>
        <w:tc>
          <w:tcPr>
            <w:tcW w:w="1701" w:type="dxa"/>
            <w:tcBorders>
              <w:top w:val="single" w:sz="4" w:space="0" w:color="auto"/>
              <w:left w:val="single" w:sz="4" w:space="0" w:color="auto"/>
              <w:right w:val="single" w:sz="4" w:space="0" w:color="auto"/>
            </w:tcBorders>
            <w:vAlign w:val="center"/>
          </w:tcPr>
          <w:p w14:paraId="720821E3" w14:textId="77777777" w:rsidR="00F82CF6" w:rsidRPr="00061742" w:rsidRDefault="00F82CF6" w:rsidP="00E55FD2">
            <w:pPr>
              <w:pStyle w:val="TableText"/>
              <w:widowControl/>
              <w:jc w:val="center"/>
              <w:rPr>
                <w:i/>
                <w:iCs w:val="0"/>
              </w:rPr>
            </w:pPr>
            <w:r w:rsidRPr="00061742">
              <w:rPr>
                <w:iCs w:val="0"/>
              </w:rPr>
              <w:t>-4.39 (-5.28, -3.50)</w:t>
            </w:r>
          </w:p>
        </w:tc>
        <w:tc>
          <w:tcPr>
            <w:tcW w:w="1929" w:type="dxa"/>
            <w:vMerge w:val="restart"/>
            <w:tcBorders>
              <w:top w:val="single" w:sz="4" w:space="0" w:color="auto"/>
              <w:left w:val="single" w:sz="4" w:space="0" w:color="auto"/>
              <w:right w:val="single" w:sz="4" w:space="0" w:color="auto"/>
            </w:tcBorders>
            <w:vAlign w:val="center"/>
          </w:tcPr>
          <w:p w14:paraId="3D090437" w14:textId="77777777" w:rsidR="00F82CF6" w:rsidRPr="00061742" w:rsidRDefault="00F82CF6" w:rsidP="00E55FD2">
            <w:pPr>
              <w:pStyle w:val="TableText"/>
              <w:widowControl/>
              <w:jc w:val="center"/>
              <w:rPr>
                <w:b/>
                <w:i/>
                <w:iCs w:val="0"/>
              </w:rPr>
            </w:pPr>
            <w:r w:rsidRPr="00061742">
              <w:rPr>
                <w:b/>
                <w:iCs w:val="0"/>
              </w:rPr>
              <w:t>-2.09 (-3.24, -0.95)</w:t>
            </w:r>
          </w:p>
        </w:tc>
      </w:tr>
      <w:tr w:rsidR="00F82CF6" w:rsidRPr="00061742" w14:paraId="4EDACCF9"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3140B4A" w14:textId="77777777" w:rsidR="00F82CF6" w:rsidRPr="00061742" w:rsidRDefault="00F82CF6" w:rsidP="00E55FD2">
            <w:pPr>
              <w:pStyle w:val="TableText"/>
              <w:widowControl/>
              <w:rPr>
                <w:i/>
                <w:iCs w:val="0"/>
              </w:rPr>
            </w:pPr>
            <w:r w:rsidRPr="00061742">
              <w:rPr>
                <w:iCs w:val="0"/>
              </w:rPr>
              <w:t>Placebo (N = 88)</w:t>
            </w:r>
          </w:p>
        </w:tc>
        <w:tc>
          <w:tcPr>
            <w:tcW w:w="1559" w:type="dxa"/>
            <w:tcBorders>
              <w:top w:val="single" w:sz="4" w:space="0" w:color="auto"/>
              <w:left w:val="single" w:sz="4" w:space="0" w:color="auto"/>
              <w:bottom w:val="single" w:sz="4" w:space="0" w:color="auto"/>
              <w:right w:val="single" w:sz="4" w:space="0" w:color="auto"/>
            </w:tcBorders>
            <w:vAlign w:val="center"/>
          </w:tcPr>
          <w:p w14:paraId="5301ECB9" w14:textId="77777777" w:rsidR="00F82CF6" w:rsidRPr="00061742" w:rsidRDefault="00F82CF6" w:rsidP="00E55FD2">
            <w:pPr>
              <w:pStyle w:val="TableText"/>
              <w:widowControl/>
              <w:jc w:val="center"/>
              <w:rPr>
                <w:i/>
                <w:iCs w:val="0"/>
              </w:rPr>
            </w:pPr>
            <w:r w:rsidRPr="00061742">
              <w:rPr>
                <w:iCs w:val="0"/>
              </w:rPr>
              <w:t>10.9 (3.4)</w:t>
            </w:r>
          </w:p>
        </w:tc>
        <w:tc>
          <w:tcPr>
            <w:tcW w:w="1560" w:type="dxa"/>
            <w:tcBorders>
              <w:top w:val="single" w:sz="4" w:space="0" w:color="auto"/>
              <w:left w:val="single" w:sz="4" w:space="0" w:color="auto"/>
              <w:bottom w:val="single" w:sz="4" w:space="0" w:color="auto"/>
              <w:right w:val="single" w:sz="4" w:space="0" w:color="auto"/>
            </w:tcBorders>
            <w:vAlign w:val="center"/>
          </w:tcPr>
          <w:p w14:paraId="0BE3630E" w14:textId="77777777" w:rsidR="00F82CF6" w:rsidRPr="00061742" w:rsidRDefault="00F82CF6" w:rsidP="00E55FD2">
            <w:pPr>
              <w:pStyle w:val="TableText"/>
              <w:widowControl/>
              <w:jc w:val="center"/>
              <w:rPr>
                <w:i/>
                <w:iCs w:val="0"/>
              </w:rPr>
            </w:pPr>
            <w:r w:rsidRPr="00061742">
              <w:rPr>
                <w:iCs w:val="0"/>
              </w:rPr>
              <w:t>8.0 (4.5)</w:t>
            </w:r>
          </w:p>
        </w:tc>
        <w:tc>
          <w:tcPr>
            <w:tcW w:w="1701" w:type="dxa"/>
            <w:tcBorders>
              <w:left w:val="single" w:sz="4" w:space="0" w:color="auto"/>
              <w:right w:val="single" w:sz="4" w:space="0" w:color="auto"/>
            </w:tcBorders>
            <w:vAlign w:val="center"/>
          </w:tcPr>
          <w:p w14:paraId="2D5BCE81" w14:textId="77777777" w:rsidR="00F82CF6" w:rsidRPr="00061742" w:rsidRDefault="00F82CF6" w:rsidP="00E55FD2">
            <w:pPr>
              <w:pStyle w:val="TableText"/>
              <w:widowControl/>
              <w:jc w:val="center"/>
              <w:rPr>
                <w:i/>
                <w:iCs w:val="0"/>
              </w:rPr>
            </w:pPr>
            <w:r w:rsidRPr="00061742">
              <w:rPr>
                <w:iCs w:val="0"/>
              </w:rPr>
              <w:t>-2.30 (-3.17, -1.43)</w:t>
            </w:r>
          </w:p>
        </w:tc>
        <w:tc>
          <w:tcPr>
            <w:tcW w:w="1929" w:type="dxa"/>
            <w:vMerge/>
            <w:vAlign w:val="center"/>
          </w:tcPr>
          <w:p w14:paraId="360DEA1B" w14:textId="77777777" w:rsidR="00F82CF6" w:rsidRPr="00061742" w:rsidRDefault="00F82CF6" w:rsidP="00E55FD2">
            <w:pPr>
              <w:pStyle w:val="TableText"/>
              <w:widowControl/>
              <w:jc w:val="center"/>
              <w:rPr>
                <w:i/>
                <w:iCs w:val="0"/>
              </w:rPr>
            </w:pPr>
          </w:p>
        </w:tc>
      </w:tr>
      <w:tr w:rsidR="007F0A76" w:rsidRPr="00061742" w14:paraId="15A8BB23" w14:textId="77777777">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3AF64B04" w14:textId="7E1EBAB1" w:rsidR="007F0A76" w:rsidRPr="00061742" w:rsidRDefault="007F0A76" w:rsidP="00E55FD2">
            <w:pPr>
              <w:pStyle w:val="TableText"/>
              <w:widowControl/>
              <w:rPr>
                <w:b/>
                <w:bCs w:val="0"/>
                <w:i/>
                <w:iCs w:val="0"/>
              </w:rPr>
            </w:pPr>
            <w:r w:rsidRPr="006A12F3">
              <w:rPr>
                <w:b/>
                <w:bCs w:val="0"/>
                <w:iCs w:val="0"/>
                <w:color w:val="000000" w:themeColor="text1"/>
              </w:rPr>
              <w:t>Treatment refractory patients</w:t>
            </w:r>
          </w:p>
        </w:tc>
      </w:tr>
      <w:tr w:rsidR="007F0A76" w:rsidRPr="00061742" w14:paraId="7AB0F3CB"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051FE9A9" w14:textId="1A3E18D5" w:rsidR="007F0A76" w:rsidRPr="00061742" w:rsidRDefault="007F0A76" w:rsidP="00E55FD2">
            <w:pPr>
              <w:pStyle w:val="TableText"/>
              <w:widowControl/>
              <w:rPr>
                <w:i/>
                <w:iCs w:val="0"/>
              </w:rPr>
            </w:pPr>
            <w:proofErr w:type="spellStart"/>
            <w:r w:rsidRPr="006A12F3">
              <w:rPr>
                <w:iCs w:val="0"/>
                <w:color w:val="000000" w:themeColor="text1"/>
              </w:rPr>
              <w:t>Zilucoplan</w:t>
            </w:r>
            <w:proofErr w:type="spellEnd"/>
            <w:r w:rsidRPr="006A12F3">
              <w:rPr>
                <w:iCs w:val="0"/>
                <w:color w:val="000000" w:themeColor="text1"/>
              </w:rPr>
              <w:t xml:space="preserve"> (N = 44)</w:t>
            </w:r>
          </w:p>
        </w:tc>
        <w:tc>
          <w:tcPr>
            <w:tcW w:w="1559" w:type="dxa"/>
            <w:tcBorders>
              <w:top w:val="single" w:sz="4" w:space="0" w:color="auto"/>
              <w:left w:val="single" w:sz="4" w:space="0" w:color="auto"/>
              <w:bottom w:val="single" w:sz="4" w:space="0" w:color="auto"/>
              <w:right w:val="single" w:sz="4" w:space="0" w:color="auto"/>
            </w:tcBorders>
            <w:vAlign w:val="center"/>
          </w:tcPr>
          <w:p w14:paraId="3453B7DC" w14:textId="5B4B5B33" w:rsidR="007F0A76" w:rsidRPr="00061742" w:rsidRDefault="007F0A76" w:rsidP="00E55FD2">
            <w:pPr>
              <w:pStyle w:val="TableText"/>
              <w:widowControl/>
              <w:jc w:val="center"/>
              <w:rPr>
                <w:i/>
                <w:iCs w:val="0"/>
              </w:rPr>
            </w:pPr>
            <w:r w:rsidRPr="006A12F3">
              <w:rPr>
                <w:iCs w:val="0"/>
                <w:color w:val="000000" w:themeColor="text1"/>
              </w:rPr>
              <w:t>10.3 (2.6)</w:t>
            </w:r>
          </w:p>
        </w:tc>
        <w:tc>
          <w:tcPr>
            <w:tcW w:w="1560" w:type="dxa"/>
            <w:tcBorders>
              <w:top w:val="single" w:sz="4" w:space="0" w:color="auto"/>
              <w:left w:val="single" w:sz="4" w:space="0" w:color="auto"/>
              <w:bottom w:val="single" w:sz="4" w:space="0" w:color="auto"/>
              <w:right w:val="single" w:sz="4" w:space="0" w:color="auto"/>
            </w:tcBorders>
            <w:vAlign w:val="center"/>
          </w:tcPr>
          <w:p w14:paraId="0AC146FF" w14:textId="74F699BA" w:rsidR="007F0A76" w:rsidRPr="00061742" w:rsidRDefault="007F0A76" w:rsidP="00E55FD2">
            <w:pPr>
              <w:pStyle w:val="TableText"/>
              <w:widowControl/>
              <w:jc w:val="center"/>
              <w:rPr>
                <w:i/>
                <w:iCs w:val="0"/>
              </w:rPr>
            </w:pPr>
            <w:r w:rsidRPr="006A12F3">
              <w:rPr>
                <w:iCs w:val="0"/>
                <w:color w:val="000000" w:themeColor="text1"/>
              </w:rPr>
              <w:t>5.4 (4.0)</w:t>
            </w:r>
          </w:p>
        </w:tc>
        <w:tc>
          <w:tcPr>
            <w:tcW w:w="1701" w:type="dxa"/>
            <w:tcBorders>
              <w:left w:val="single" w:sz="4" w:space="0" w:color="auto"/>
              <w:right w:val="single" w:sz="4" w:space="0" w:color="auto"/>
            </w:tcBorders>
            <w:vAlign w:val="center"/>
          </w:tcPr>
          <w:p w14:paraId="33CD5079" w14:textId="33746B7C" w:rsidR="007F0A76" w:rsidRPr="00061742" w:rsidRDefault="007F0A76" w:rsidP="00E55FD2">
            <w:pPr>
              <w:pStyle w:val="TableText"/>
              <w:widowControl/>
              <w:jc w:val="center"/>
              <w:rPr>
                <w:i/>
                <w:iCs w:val="0"/>
              </w:rPr>
            </w:pPr>
            <w:r w:rsidRPr="006A12F3">
              <w:rPr>
                <w:iCs w:val="0"/>
                <w:color w:val="000000" w:themeColor="text1"/>
              </w:rPr>
              <w:t>-4.72 (-5.88, -3.57)</w:t>
            </w:r>
          </w:p>
        </w:tc>
        <w:tc>
          <w:tcPr>
            <w:tcW w:w="1929" w:type="dxa"/>
            <w:vMerge w:val="restart"/>
            <w:tcBorders>
              <w:left w:val="single" w:sz="4" w:space="0" w:color="auto"/>
              <w:right w:val="single" w:sz="4" w:space="0" w:color="auto"/>
            </w:tcBorders>
            <w:vAlign w:val="center"/>
          </w:tcPr>
          <w:p w14:paraId="6694EF65" w14:textId="15562D3C" w:rsidR="007F0A76" w:rsidRPr="00061742" w:rsidRDefault="007F0A76" w:rsidP="00E55FD2">
            <w:pPr>
              <w:pStyle w:val="TableText"/>
              <w:widowControl/>
              <w:jc w:val="center"/>
              <w:rPr>
                <w:b/>
                <w:i/>
                <w:iCs w:val="0"/>
              </w:rPr>
            </w:pPr>
            <w:r w:rsidRPr="006A12F3">
              <w:rPr>
                <w:iCs w:val="0"/>
                <w:color w:val="000000" w:themeColor="text1"/>
              </w:rPr>
              <w:t>-3.11 (-4.69, -1.52)</w:t>
            </w:r>
          </w:p>
        </w:tc>
      </w:tr>
      <w:tr w:rsidR="007F0A76" w:rsidRPr="00061742" w14:paraId="4527163A"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7185A77B" w14:textId="144C31B7" w:rsidR="007F0A76" w:rsidRPr="00061742" w:rsidRDefault="007F0A76" w:rsidP="00E55FD2">
            <w:pPr>
              <w:pStyle w:val="TableText"/>
              <w:widowControl/>
              <w:rPr>
                <w:i/>
                <w:iCs w:val="0"/>
              </w:rPr>
            </w:pPr>
            <w:r w:rsidRPr="006A12F3">
              <w:rPr>
                <w:iCs w:val="0"/>
                <w:color w:val="000000" w:themeColor="text1"/>
              </w:rPr>
              <w:t>Placebo (N = 44)</w:t>
            </w:r>
          </w:p>
        </w:tc>
        <w:tc>
          <w:tcPr>
            <w:tcW w:w="1559" w:type="dxa"/>
            <w:tcBorders>
              <w:top w:val="single" w:sz="4" w:space="0" w:color="auto"/>
              <w:left w:val="single" w:sz="4" w:space="0" w:color="auto"/>
              <w:bottom w:val="single" w:sz="4" w:space="0" w:color="auto"/>
              <w:right w:val="single" w:sz="4" w:space="0" w:color="auto"/>
            </w:tcBorders>
            <w:vAlign w:val="center"/>
          </w:tcPr>
          <w:p w14:paraId="2F7719E3" w14:textId="4A1BFFC3" w:rsidR="007F0A76" w:rsidRPr="00061742" w:rsidRDefault="007F0A76" w:rsidP="00E55FD2">
            <w:pPr>
              <w:pStyle w:val="TableText"/>
              <w:widowControl/>
              <w:jc w:val="center"/>
              <w:rPr>
                <w:i/>
                <w:iCs w:val="0"/>
              </w:rPr>
            </w:pPr>
            <w:r w:rsidRPr="006A12F3">
              <w:rPr>
                <w:iCs w:val="0"/>
                <w:color w:val="000000" w:themeColor="text1"/>
              </w:rPr>
              <w:t>11.0 (3.4)</w:t>
            </w:r>
          </w:p>
        </w:tc>
        <w:tc>
          <w:tcPr>
            <w:tcW w:w="1560" w:type="dxa"/>
            <w:tcBorders>
              <w:top w:val="single" w:sz="4" w:space="0" w:color="auto"/>
              <w:left w:val="single" w:sz="4" w:space="0" w:color="auto"/>
              <w:bottom w:val="single" w:sz="4" w:space="0" w:color="auto"/>
              <w:right w:val="single" w:sz="4" w:space="0" w:color="auto"/>
            </w:tcBorders>
            <w:vAlign w:val="center"/>
          </w:tcPr>
          <w:p w14:paraId="0728EB37" w14:textId="2F2FC437" w:rsidR="007F0A76" w:rsidRPr="00061742" w:rsidRDefault="007F0A76" w:rsidP="00E55FD2">
            <w:pPr>
              <w:pStyle w:val="TableText"/>
              <w:widowControl/>
              <w:jc w:val="center"/>
              <w:rPr>
                <w:i/>
                <w:iCs w:val="0"/>
              </w:rPr>
            </w:pPr>
            <w:r w:rsidRPr="006A12F3">
              <w:rPr>
                <w:iCs w:val="0"/>
                <w:color w:val="000000" w:themeColor="text1"/>
              </w:rPr>
              <w:t>8.7 (3.8)</w:t>
            </w:r>
          </w:p>
        </w:tc>
        <w:tc>
          <w:tcPr>
            <w:tcW w:w="1701" w:type="dxa"/>
            <w:tcBorders>
              <w:left w:val="single" w:sz="4" w:space="0" w:color="auto"/>
              <w:right w:val="single" w:sz="4" w:space="0" w:color="auto"/>
            </w:tcBorders>
            <w:vAlign w:val="center"/>
          </w:tcPr>
          <w:p w14:paraId="47D456FA" w14:textId="56874CCB" w:rsidR="007F0A76" w:rsidRPr="00061742" w:rsidRDefault="007F0A76" w:rsidP="00E55FD2">
            <w:pPr>
              <w:pStyle w:val="TableText"/>
              <w:widowControl/>
              <w:jc w:val="center"/>
              <w:rPr>
                <w:i/>
                <w:iCs w:val="0"/>
              </w:rPr>
            </w:pPr>
            <w:r w:rsidRPr="006A12F3">
              <w:rPr>
                <w:iCs w:val="0"/>
                <w:color w:val="000000" w:themeColor="text1"/>
              </w:rPr>
              <w:t>-1.62 (-2.77, -0.47)</w:t>
            </w:r>
          </w:p>
        </w:tc>
        <w:tc>
          <w:tcPr>
            <w:tcW w:w="1929" w:type="dxa"/>
            <w:vMerge/>
            <w:vAlign w:val="center"/>
          </w:tcPr>
          <w:p w14:paraId="38197EED" w14:textId="77777777" w:rsidR="007F0A76" w:rsidRPr="00061742" w:rsidRDefault="007F0A76" w:rsidP="00E55FD2">
            <w:pPr>
              <w:pStyle w:val="TableText"/>
              <w:widowControl/>
              <w:jc w:val="center"/>
              <w:rPr>
                <w:i/>
                <w:iCs w:val="0"/>
              </w:rPr>
            </w:pPr>
          </w:p>
        </w:tc>
      </w:tr>
      <w:tr w:rsidR="007F0A76" w:rsidRPr="00061742" w14:paraId="32D24252" w14:textId="77777777">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078C7788" w14:textId="3F02A465" w:rsidR="007F0A76" w:rsidRPr="00061742" w:rsidRDefault="007F0A76" w:rsidP="00E55FD2">
            <w:pPr>
              <w:pStyle w:val="TableText"/>
              <w:widowControl/>
              <w:rPr>
                <w:b/>
                <w:bCs w:val="0"/>
                <w:i/>
                <w:iCs w:val="0"/>
              </w:rPr>
            </w:pPr>
            <w:r w:rsidRPr="006A12F3">
              <w:rPr>
                <w:b/>
                <w:bCs w:val="0"/>
                <w:iCs w:val="0"/>
                <w:color w:val="000000" w:themeColor="text1"/>
              </w:rPr>
              <w:t>Treatment non-refractory patients</w:t>
            </w:r>
          </w:p>
        </w:tc>
      </w:tr>
      <w:tr w:rsidR="007F0A76" w:rsidRPr="00061742" w14:paraId="1602995D"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47471A2E" w14:textId="47F20D01" w:rsidR="007F0A76" w:rsidRPr="00061742" w:rsidRDefault="007F0A76" w:rsidP="00E55FD2">
            <w:pPr>
              <w:pStyle w:val="TableText"/>
              <w:widowControl/>
              <w:rPr>
                <w:i/>
                <w:iCs w:val="0"/>
              </w:rPr>
            </w:pPr>
            <w:proofErr w:type="spellStart"/>
            <w:r w:rsidRPr="006A12F3">
              <w:rPr>
                <w:iCs w:val="0"/>
                <w:color w:val="000000" w:themeColor="text1"/>
              </w:rPr>
              <w:t>Zilucoplan</w:t>
            </w:r>
            <w:proofErr w:type="spellEnd"/>
            <w:r w:rsidRPr="006A12F3">
              <w:rPr>
                <w:iCs w:val="0"/>
                <w:color w:val="000000" w:themeColor="text1"/>
              </w:rPr>
              <w:t xml:space="preserve"> (N = 42)</w:t>
            </w:r>
          </w:p>
        </w:tc>
        <w:tc>
          <w:tcPr>
            <w:tcW w:w="1559" w:type="dxa"/>
            <w:tcBorders>
              <w:top w:val="single" w:sz="4" w:space="0" w:color="auto"/>
              <w:left w:val="single" w:sz="4" w:space="0" w:color="auto"/>
              <w:bottom w:val="single" w:sz="4" w:space="0" w:color="auto"/>
              <w:right w:val="single" w:sz="4" w:space="0" w:color="auto"/>
            </w:tcBorders>
            <w:vAlign w:val="center"/>
          </w:tcPr>
          <w:p w14:paraId="0DC4411D" w14:textId="2BE9CA5D" w:rsidR="007F0A76" w:rsidRPr="00061742" w:rsidRDefault="007F0A76" w:rsidP="00E55FD2">
            <w:pPr>
              <w:pStyle w:val="TableText"/>
              <w:widowControl/>
              <w:jc w:val="center"/>
              <w:rPr>
                <w:i/>
                <w:iCs w:val="0"/>
              </w:rPr>
            </w:pPr>
            <w:r w:rsidRPr="006A12F3">
              <w:rPr>
                <w:iCs w:val="0"/>
                <w:color w:val="000000" w:themeColor="text1"/>
              </w:rPr>
              <w:t>10.3 (2.5)</w:t>
            </w:r>
          </w:p>
        </w:tc>
        <w:tc>
          <w:tcPr>
            <w:tcW w:w="1560" w:type="dxa"/>
            <w:tcBorders>
              <w:top w:val="single" w:sz="4" w:space="0" w:color="auto"/>
              <w:left w:val="single" w:sz="4" w:space="0" w:color="auto"/>
              <w:bottom w:val="single" w:sz="4" w:space="0" w:color="auto"/>
              <w:right w:val="single" w:sz="4" w:space="0" w:color="auto"/>
            </w:tcBorders>
            <w:vAlign w:val="center"/>
          </w:tcPr>
          <w:p w14:paraId="3D02A650" w14:textId="430513F2" w:rsidR="007F0A76" w:rsidRPr="00061742" w:rsidRDefault="007F0A76" w:rsidP="00E55FD2">
            <w:pPr>
              <w:pStyle w:val="TableText"/>
              <w:widowControl/>
              <w:jc w:val="center"/>
              <w:rPr>
                <w:i/>
                <w:iCs w:val="0"/>
              </w:rPr>
            </w:pPr>
            <w:r w:rsidRPr="006A12F3">
              <w:rPr>
                <w:iCs w:val="0"/>
                <w:color w:val="000000" w:themeColor="text1"/>
              </w:rPr>
              <w:t>5.7 (4.1)</w:t>
            </w:r>
          </w:p>
        </w:tc>
        <w:tc>
          <w:tcPr>
            <w:tcW w:w="1701" w:type="dxa"/>
            <w:tcBorders>
              <w:left w:val="single" w:sz="4" w:space="0" w:color="auto"/>
              <w:right w:val="single" w:sz="4" w:space="0" w:color="auto"/>
            </w:tcBorders>
            <w:vAlign w:val="center"/>
          </w:tcPr>
          <w:p w14:paraId="29B32E6B" w14:textId="34DB13AA" w:rsidR="007F0A76" w:rsidRPr="00061742" w:rsidRDefault="007F0A76" w:rsidP="00E55FD2">
            <w:pPr>
              <w:pStyle w:val="TableText"/>
              <w:widowControl/>
              <w:jc w:val="center"/>
              <w:rPr>
                <w:i/>
                <w:iCs w:val="0"/>
              </w:rPr>
            </w:pPr>
            <w:r w:rsidRPr="006A12F3">
              <w:rPr>
                <w:iCs w:val="0"/>
                <w:color w:val="000000" w:themeColor="text1"/>
              </w:rPr>
              <w:t>-3.30 (-5.05, -1.56)</w:t>
            </w:r>
          </w:p>
        </w:tc>
        <w:tc>
          <w:tcPr>
            <w:tcW w:w="1929" w:type="dxa"/>
            <w:vMerge w:val="restart"/>
            <w:tcBorders>
              <w:left w:val="single" w:sz="4" w:space="0" w:color="auto"/>
              <w:right w:val="single" w:sz="4" w:space="0" w:color="auto"/>
            </w:tcBorders>
            <w:vAlign w:val="center"/>
          </w:tcPr>
          <w:p w14:paraId="5A08932A" w14:textId="30E931B2" w:rsidR="007F0A76" w:rsidRPr="00061742" w:rsidRDefault="007F0A76" w:rsidP="00E55FD2">
            <w:pPr>
              <w:pStyle w:val="TableText"/>
              <w:widowControl/>
              <w:jc w:val="center"/>
              <w:rPr>
                <w:b/>
                <w:i/>
                <w:iCs w:val="0"/>
              </w:rPr>
            </w:pPr>
            <w:r w:rsidRPr="006A12F3">
              <w:rPr>
                <w:iCs w:val="0"/>
                <w:color w:val="000000" w:themeColor="text1"/>
              </w:rPr>
              <w:t>-1.12 (-2.79, 0.54)</w:t>
            </w:r>
          </w:p>
        </w:tc>
      </w:tr>
      <w:tr w:rsidR="007F0A76" w:rsidRPr="00061742" w14:paraId="4487C312"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573827C8" w14:textId="538E380C" w:rsidR="007F0A76" w:rsidRPr="00061742" w:rsidRDefault="007F0A76" w:rsidP="00E55FD2">
            <w:pPr>
              <w:pStyle w:val="TableText"/>
              <w:widowControl/>
              <w:rPr>
                <w:i/>
                <w:iCs w:val="0"/>
              </w:rPr>
            </w:pPr>
            <w:r w:rsidRPr="006A12F3">
              <w:rPr>
                <w:iCs w:val="0"/>
                <w:color w:val="000000" w:themeColor="text1"/>
              </w:rPr>
              <w:t>Placebo (N = 44)</w:t>
            </w:r>
          </w:p>
        </w:tc>
        <w:tc>
          <w:tcPr>
            <w:tcW w:w="1559" w:type="dxa"/>
            <w:tcBorders>
              <w:top w:val="single" w:sz="4" w:space="0" w:color="auto"/>
              <w:left w:val="single" w:sz="4" w:space="0" w:color="auto"/>
              <w:bottom w:val="single" w:sz="4" w:space="0" w:color="auto"/>
              <w:right w:val="single" w:sz="4" w:space="0" w:color="auto"/>
            </w:tcBorders>
            <w:vAlign w:val="center"/>
          </w:tcPr>
          <w:p w14:paraId="205B128D" w14:textId="120915A7" w:rsidR="007F0A76" w:rsidRPr="00061742" w:rsidRDefault="007F0A76" w:rsidP="00E55FD2">
            <w:pPr>
              <w:pStyle w:val="TableText"/>
              <w:widowControl/>
              <w:jc w:val="center"/>
              <w:rPr>
                <w:i/>
                <w:iCs w:val="0"/>
              </w:rPr>
            </w:pPr>
            <w:r w:rsidRPr="006A12F3">
              <w:rPr>
                <w:iCs w:val="0"/>
                <w:color w:val="000000" w:themeColor="text1"/>
              </w:rPr>
              <w:t>10.7 (3.5)</w:t>
            </w:r>
          </w:p>
        </w:tc>
        <w:tc>
          <w:tcPr>
            <w:tcW w:w="1560" w:type="dxa"/>
            <w:tcBorders>
              <w:top w:val="single" w:sz="4" w:space="0" w:color="auto"/>
              <w:left w:val="single" w:sz="4" w:space="0" w:color="auto"/>
              <w:bottom w:val="single" w:sz="4" w:space="0" w:color="auto"/>
              <w:right w:val="single" w:sz="4" w:space="0" w:color="auto"/>
            </w:tcBorders>
            <w:vAlign w:val="center"/>
          </w:tcPr>
          <w:p w14:paraId="60E37E77" w14:textId="019073B9" w:rsidR="007F0A76" w:rsidRPr="00061742" w:rsidRDefault="007F0A76" w:rsidP="00E55FD2">
            <w:pPr>
              <w:pStyle w:val="TableText"/>
              <w:widowControl/>
              <w:jc w:val="center"/>
              <w:rPr>
                <w:i/>
                <w:iCs w:val="0"/>
              </w:rPr>
            </w:pPr>
            <w:r w:rsidRPr="006A12F3">
              <w:rPr>
                <w:iCs w:val="0"/>
                <w:color w:val="000000" w:themeColor="text1"/>
              </w:rPr>
              <w:t>7.4 (5.1)</w:t>
            </w:r>
          </w:p>
        </w:tc>
        <w:tc>
          <w:tcPr>
            <w:tcW w:w="1701" w:type="dxa"/>
            <w:tcBorders>
              <w:left w:val="single" w:sz="4" w:space="0" w:color="auto"/>
              <w:right w:val="single" w:sz="4" w:space="0" w:color="auto"/>
            </w:tcBorders>
            <w:vAlign w:val="center"/>
          </w:tcPr>
          <w:p w14:paraId="127793DE" w14:textId="1DB441B2" w:rsidR="007F0A76" w:rsidRPr="00061742" w:rsidRDefault="007F0A76" w:rsidP="00E55FD2">
            <w:pPr>
              <w:pStyle w:val="TableText"/>
              <w:widowControl/>
              <w:jc w:val="center"/>
              <w:rPr>
                <w:i/>
                <w:iCs w:val="0"/>
              </w:rPr>
            </w:pPr>
            <w:r w:rsidRPr="006A12F3">
              <w:rPr>
                <w:iCs w:val="0"/>
                <w:color w:val="000000" w:themeColor="text1"/>
              </w:rPr>
              <w:t>-2.18 (-3.90, -0.45)</w:t>
            </w:r>
          </w:p>
        </w:tc>
        <w:tc>
          <w:tcPr>
            <w:tcW w:w="1929" w:type="dxa"/>
            <w:vMerge/>
            <w:tcBorders>
              <w:left w:val="single" w:sz="4" w:space="0" w:color="auto"/>
              <w:right w:val="single" w:sz="4" w:space="0" w:color="auto"/>
            </w:tcBorders>
            <w:vAlign w:val="center"/>
          </w:tcPr>
          <w:p w14:paraId="10707010" w14:textId="77777777" w:rsidR="007F0A76" w:rsidRPr="00061742" w:rsidRDefault="007F0A76" w:rsidP="00E55FD2">
            <w:pPr>
              <w:pStyle w:val="TableText"/>
              <w:widowControl/>
              <w:jc w:val="center"/>
              <w:rPr>
                <w:b/>
                <w:i/>
                <w:iCs w:val="0"/>
              </w:rPr>
            </w:pPr>
          </w:p>
        </w:tc>
      </w:tr>
    </w:tbl>
    <w:p w14:paraId="7CC235DC" w14:textId="617EE531" w:rsidR="00F82CF6" w:rsidRPr="00976FAC" w:rsidRDefault="00F82CF6" w:rsidP="00E55FD2">
      <w:pPr>
        <w:pStyle w:val="COMTablefooter"/>
        <w:rPr>
          <w:lang w:eastAsia="zh-CN"/>
        </w:rPr>
      </w:pPr>
      <w:r w:rsidRPr="00976FAC">
        <w:rPr>
          <w:lang w:eastAsia="zh-CN"/>
        </w:rPr>
        <w:t>Source: Table 2</w:t>
      </w:r>
      <w:r w:rsidR="007F0A76">
        <w:rPr>
          <w:lang w:eastAsia="zh-CN"/>
        </w:rPr>
        <w:t>.</w:t>
      </w:r>
      <w:r w:rsidRPr="00976FAC">
        <w:rPr>
          <w:lang w:eastAsia="zh-CN"/>
        </w:rPr>
        <w:t>5-1, p7</w:t>
      </w:r>
      <w:r>
        <w:rPr>
          <w:lang w:eastAsia="zh-CN"/>
        </w:rPr>
        <w:t>8</w:t>
      </w:r>
      <w:r w:rsidRPr="00976FAC">
        <w:rPr>
          <w:lang w:eastAsia="zh-CN"/>
        </w:rPr>
        <w:t xml:space="preserve">; </w:t>
      </w:r>
      <w:r w:rsidR="00D75E50">
        <w:rPr>
          <w:lang w:eastAsia="zh-CN"/>
        </w:rPr>
        <w:t>Table 2.6</w:t>
      </w:r>
      <w:r w:rsidR="00C52E6E">
        <w:rPr>
          <w:lang w:eastAsia="zh-CN"/>
        </w:rPr>
        <w:t>-</w:t>
      </w:r>
      <w:r w:rsidR="00D75E50">
        <w:rPr>
          <w:lang w:eastAsia="zh-CN"/>
        </w:rPr>
        <w:t>2, p100 of the</w:t>
      </w:r>
      <w:r w:rsidRPr="00976FAC">
        <w:rPr>
          <w:lang w:eastAsia="zh-CN"/>
        </w:rPr>
        <w:t xml:space="preserve"> </w:t>
      </w:r>
      <w:r>
        <w:rPr>
          <w:lang w:eastAsia="zh-CN"/>
        </w:rPr>
        <w:t>re</w:t>
      </w:r>
      <w:r w:rsidRPr="00976FAC">
        <w:rPr>
          <w:lang w:eastAsia="zh-CN"/>
        </w:rPr>
        <w:t>submission</w:t>
      </w:r>
    </w:p>
    <w:p w14:paraId="41993826" w14:textId="55AB60FB" w:rsidR="00F82CF6" w:rsidRPr="00976FAC" w:rsidRDefault="00F82CF6" w:rsidP="00E55FD2">
      <w:pPr>
        <w:pStyle w:val="COMTablefooter"/>
        <w:rPr>
          <w:lang w:eastAsia="zh-CN"/>
        </w:rPr>
      </w:pPr>
      <w:r w:rsidRPr="00976FAC">
        <w:rPr>
          <w:lang w:eastAsia="zh-CN"/>
        </w:rPr>
        <w:t>Abbreviations: CI, confidence interval; LS, least squares; MG-ADL, Myasthenia Gravis Activities of Daily Living; SD, standard deviation</w:t>
      </w:r>
    </w:p>
    <w:p w14:paraId="2E0BF421" w14:textId="4533032A" w:rsidR="00F82CF6" w:rsidRPr="00976FAC" w:rsidRDefault="00F82CF6" w:rsidP="00E55FD2">
      <w:pPr>
        <w:pStyle w:val="COMTablefooter"/>
        <w:rPr>
          <w:lang w:eastAsia="zh-CN"/>
        </w:rPr>
      </w:pPr>
      <w:r w:rsidRPr="78882673">
        <w:rPr>
          <w:lang w:eastAsia="zh-CN"/>
        </w:rPr>
        <w:t>Note: MG-ADL scores range from 0 to 24 with lower scores indicating better functional outcomes. The nominated minimal clinically important difference was a 2-point change in total score.</w:t>
      </w:r>
    </w:p>
    <w:p w14:paraId="1FE336DA" w14:textId="09FFD37B" w:rsidR="00F33538" w:rsidRPr="00061742" w:rsidRDefault="00F82CF6" w:rsidP="00E55FD2">
      <w:pPr>
        <w:pStyle w:val="COMTablefooter"/>
      </w:pPr>
      <w:r w:rsidRPr="78882673">
        <w:rPr>
          <w:lang w:eastAsia="zh-CN"/>
        </w:rPr>
        <w:t xml:space="preserve">Note: Bolding indicates statistically significant </w:t>
      </w:r>
      <w:r w:rsidR="00656A79" w:rsidRPr="78882673">
        <w:rPr>
          <w:lang w:eastAsia="zh-CN"/>
        </w:rPr>
        <w:t>differences</w:t>
      </w:r>
    </w:p>
    <w:p w14:paraId="4167F84E" w14:textId="5F212622" w:rsidR="005E4475" w:rsidRDefault="009A2CF9" w:rsidP="00E55FD2">
      <w:pPr>
        <w:pStyle w:val="COMexecsummnumbered"/>
      </w:pPr>
      <w:r w:rsidRPr="78882673">
        <w:t xml:space="preserve">Treatment with </w:t>
      </w:r>
      <w:proofErr w:type="spellStart"/>
      <w:r w:rsidRPr="78882673">
        <w:t>zilucoplan</w:t>
      </w:r>
      <w:proofErr w:type="spellEnd"/>
      <w:r w:rsidRPr="78882673">
        <w:t xml:space="preserve"> was associated with a statistically significant improvement in MG-ADL scores compared to placebo over 12 weeks, with the point estimate exceeding the nominated minimal clinically important difference (2-point reduction in MG-ADL score). </w:t>
      </w:r>
      <w:r w:rsidR="00016FCB" w:rsidRPr="78882673">
        <w:t xml:space="preserve">Statistically significant differences </w:t>
      </w:r>
      <w:r w:rsidR="000E4845" w:rsidRPr="78882673">
        <w:t xml:space="preserve">favouring </w:t>
      </w:r>
      <w:proofErr w:type="spellStart"/>
      <w:r w:rsidR="000E4845" w:rsidRPr="78882673">
        <w:t>zilucoplan</w:t>
      </w:r>
      <w:proofErr w:type="spellEnd"/>
      <w:r w:rsidR="000E4845" w:rsidRPr="78882673">
        <w:t xml:space="preserve"> </w:t>
      </w:r>
      <w:r w:rsidR="00016FCB" w:rsidRPr="78882673">
        <w:t>were also observed based on QMG and MGC scores.</w:t>
      </w:r>
      <w:r w:rsidR="005E4475" w:rsidRPr="78882673">
        <w:t xml:space="preserve"> The </w:t>
      </w:r>
      <w:r w:rsidR="003045DA" w:rsidRPr="78882673">
        <w:t>re</w:t>
      </w:r>
      <w:r w:rsidR="005E4475" w:rsidRPr="78882673">
        <w:t xml:space="preserve">submission claimed that data from the ongoing extension study suggest that scores continued to improve with </w:t>
      </w:r>
      <w:proofErr w:type="spellStart"/>
      <w:r w:rsidR="005E4475" w:rsidRPr="78882673">
        <w:t>zilucoplan</w:t>
      </w:r>
      <w:proofErr w:type="spellEnd"/>
      <w:r w:rsidR="005E4475" w:rsidRPr="78882673">
        <w:t xml:space="preserve"> treatment beyond the randomised period, reaching a plateau after approximately 20 weeks of treatment (least squares mean change in MG-ADL score from baseline to Week 20 in the </w:t>
      </w:r>
      <w:proofErr w:type="spellStart"/>
      <w:r w:rsidR="005E4475" w:rsidRPr="78882673">
        <w:t>zilucoplan</w:t>
      </w:r>
      <w:proofErr w:type="spellEnd"/>
      <w:r w:rsidR="005E4475" w:rsidRPr="78882673">
        <w:t>/</w:t>
      </w:r>
      <w:proofErr w:type="spellStart"/>
      <w:r w:rsidR="005E4475" w:rsidRPr="78882673">
        <w:t>zilucoplan</w:t>
      </w:r>
      <w:proofErr w:type="spellEnd"/>
      <w:r w:rsidR="005E4475" w:rsidRPr="78882673">
        <w:t xml:space="preserve"> arm was -5.97; 95% CI </w:t>
      </w:r>
      <w:r w:rsidR="005E4475">
        <w:noBreakHyphen/>
      </w:r>
      <w:r w:rsidR="005E4475" w:rsidRPr="78882673">
        <w:t xml:space="preserve">6.89, </w:t>
      </w:r>
      <w:r w:rsidR="005E4475">
        <w:noBreakHyphen/>
      </w:r>
      <w:r w:rsidR="005E4475" w:rsidRPr="78882673">
        <w:t>5.05). Additional follow-up data extending to 120 weeks suggested no loss of effect with ongoing therapy.</w:t>
      </w:r>
    </w:p>
    <w:p w14:paraId="35D1F880" w14:textId="6E7C9C59" w:rsidR="000630B3" w:rsidRPr="007669F0" w:rsidRDefault="007669F0" w:rsidP="00E55FD2">
      <w:pPr>
        <w:pStyle w:val="COMexecsummnumbered"/>
        <w:rPr>
          <w:color w:val="0066FF"/>
        </w:rPr>
      </w:pPr>
      <w:r w:rsidRPr="78882673">
        <w:t>Results by treatment refractory status</w:t>
      </w:r>
      <w:r w:rsidR="000630B3" w:rsidRPr="78882673">
        <w:t xml:space="preserve"> suggest that the improvement in MG-ADL associated with </w:t>
      </w:r>
      <w:proofErr w:type="spellStart"/>
      <w:r w:rsidR="000630B3" w:rsidRPr="78882673">
        <w:t>zilucoplan</w:t>
      </w:r>
      <w:proofErr w:type="spellEnd"/>
      <w:r w:rsidR="000630B3" w:rsidRPr="78882673">
        <w:t xml:space="preserve"> treatment compared to placebo may be larger in treatment refractory patients compared to treatment non-refractory patients. A similar pattern of results was observed with QMG and MGC scores.</w:t>
      </w:r>
    </w:p>
    <w:p w14:paraId="64D5B629" w14:textId="5DC08EF9" w:rsidR="00E33676" w:rsidRPr="006B5726" w:rsidRDefault="00E33676" w:rsidP="00E55FD2">
      <w:pPr>
        <w:pStyle w:val="COMexecsummnumbered"/>
      </w:pPr>
      <w:r w:rsidRPr="78882673">
        <w:t xml:space="preserve">A </w:t>
      </w:r>
      <w:r w:rsidRPr="78882673">
        <w:rPr>
          <w:i/>
          <w:iCs/>
        </w:rPr>
        <w:t>post hoc</w:t>
      </w:r>
      <w:r w:rsidRPr="78882673">
        <w:t xml:space="preserve"> test for treatment-effect interaction showed that refractory status was not a treatment effect modifier for the primary outcome of change in MG-ADL from baseline to Week 12 (p=0.737). The PBAC previously noted that this was a </w:t>
      </w:r>
      <w:r w:rsidRPr="78882673">
        <w:rPr>
          <w:i/>
          <w:iCs/>
        </w:rPr>
        <w:t>post hoc</w:t>
      </w:r>
      <w:r w:rsidRPr="78882673">
        <w:t xml:space="preserve"> analysis and stated that it was unclear whether there was sufficient sample size to detect a significant difference for this interaction term (</w:t>
      </w:r>
      <w:r w:rsidR="00FB174B" w:rsidRPr="00FB174B">
        <w:t>paragraph</w:t>
      </w:r>
      <w:r w:rsidRPr="78882673">
        <w:t xml:space="preserve"> 7.13, </w:t>
      </w:r>
      <w:proofErr w:type="spellStart"/>
      <w:r w:rsidRPr="78882673">
        <w:t>zilucoplan</w:t>
      </w:r>
      <w:proofErr w:type="spellEnd"/>
      <w:r w:rsidRPr="78882673">
        <w:t xml:space="preserve"> </w:t>
      </w:r>
      <w:r w:rsidR="002046F2" w:rsidRPr="78882673">
        <w:rPr>
          <w:rFonts w:eastAsia="PlantinStd"/>
        </w:rPr>
        <w:t xml:space="preserve">PBAC </w:t>
      </w:r>
      <w:r w:rsidR="00B32871">
        <w:rPr>
          <w:rFonts w:eastAsia="PlantinStd"/>
        </w:rPr>
        <w:t>PSD</w:t>
      </w:r>
      <w:r w:rsidRPr="78882673">
        <w:t>, July 2024 PBAC meeting).</w:t>
      </w:r>
    </w:p>
    <w:p w14:paraId="519904D3" w14:textId="3A23E71F" w:rsidR="002304FC" w:rsidRPr="00B162C2" w:rsidRDefault="00911252" w:rsidP="00E55FD2">
      <w:pPr>
        <w:pStyle w:val="COMexecsummnumbered"/>
      </w:pPr>
      <w:r>
        <w:lastRenderedPageBreak/>
        <w:fldChar w:fldCharType="begin"/>
      </w:r>
      <w:r>
        <w:instrText xml:space="preserve"> REF _Ref185108278 \h </w:instrText>
      </w:r>
      <w:r>
        <w:fldChar w:fldCharType="separate"/>
      </w:r>
      <w:r w:rsidR="00271F88" w:rsidRPr="00B55EC2">
        <w:rPr>
          <w:color w:val="000000" w:themeColor="text1"/>
          <w:szCs w:val="20"/>
        </w:rPr>
        <w:t xml:space="preserve">Table </w:t>
      </w:r>
      <w:r w:rsidR="00271F88">
        <w:rPr>
          <w:noProof/>
          <w:szCs w:val="20"/>
        </w:rPr>
        <w:t>6</w:t>
      </w:r>
      <w:r>
        <w:fldChar w:fldCharType="end"/>
      </w:r>
      <w:r>
        <w:t xml:space="preserve"> </w:t>
      </w:r>
      <w:r w:rsidR="00C67282" w:rsidRPr="00C67282">
        <w:t xml:space="preserve">summarises the proportion of patients achieving a </w:t>
      </w:r>
      <w:r w:rsidR="00C67282">
        <w:t>3-</w:t>
      </w:r>
      <w:r w:rsidR="00C67282" w:rsidRPr="00C67282">
        <w:t>point reduction in MG-ADL scores from baseline in each treatment arm</w:t>
      </w:r>
      <w:r w:rsidR="002304FC">
        <w:t>, in the overall population and subgroups by treatment refractory status.</w:t>
      </w:r>
    </w:p>
    <w:p w14:paraId="25039EDC" w14:textId="5CB9EA99" w:rsidR="002304FC" w:rsidRPr="00414AA2" w:rsidRDefault="002304FC" w:rsidP="00E55FD2">
      <w:pPr>
        <w:pStyle w:val="COMTableheadingrow"/>
      </w:pPr>
      <w:bookmarkStart w:id="41" w:name="_Ref185108278"/>
      <w:r w:rsidRPr="00B55EC2">
        <w:rPr>
          <w:color w:val="000000" w:themeColor="text1"/>
          <w:szCs w:val="20"/>
        </w:rPr>
        <w:t xml:space="preserve">Table </w:t>
      </w:r>
      <w:bookmarkStart w:id="42" w:name="_Ref185105369"/>
      <w:r w:rsidRPr="00B55EC2">
        <w:rPr>
          <w:szCs w:val="20"/>
        </w:rPr>
        <w:fldChar w:fldCharType="begin"/>
      </w:r>
      <w:r w:rsidRPr="00B55EC2">
        <w:rPr>
          <w:szCs w:val="20"/>
        </w:rPr>
        <w:instrText xml:space="preserve"> SEQ Table \* ARABIC </w:instrText>
      </w:r>
      <w:r w:rsidRPr="00B55EC2">
        <w:rPr>
          <w:szCs w:val="20"/>
        </w:rPr>
        <w:fldChar w:fldCharType="separate"/>
      </w:r>
      <w:r w:rsidR="00271F88">
        <w:rPr>
          <w:noProof/>
          <w:szCs w:val="20"/>
        </w:rPr>
        <w:t>6</w:t>
      </w:r>
      <w:r w:rsidRPr="00B55EC2">
        <w:rPr>
          <w:szCs w:val="20"/>
        </w:rPr>
        <w:fldChar w:fldCharType="end"/>
      </w:r>
      <w:bookmarkEnd w:id="41"/>
      <w:bookmarkEnd w:id="42"/>
      <w:r w:rsidRPr="00B55EC2">
        <w:rPr>
          <w:szCs w:val="20"/>
        </w:rPr>
        <w:t xml:space="preserve">: </w:t>
      </w:r>
      <w:r w:rsidRPr="00414AA2">
        <w:t>MG-ADL responders at Week 12</w:t>
      </w:r>
      <w:r>
        <w:t xml:space="preserve"> (3-point reduction in MG-ADL score) </w:t>
      </w:r>
      <w:r w:rsidRPr="00414AA2">
        <w:t xml:space="preserve">by </w:t>
      </w:r>
      <w:r>
        <w:t xml:space="preserve">treatment </w:t>
      </w:r>
      <w:r w:rsidRPr="00414AA2">
        <w:t xml:space="preserve">refractory status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6: MG-ADL responders at Week 12 (3-point reduction in MG-ADL score) by treatment refractory status "/>
      </w:tblPr>
      <w:tblGrid>
        <w:gridCol w:w="2835"/>
        <w:gridCol w:w="1985"/>
        <w:gridCol w:w="1984"/>
        <w:gridCol w:w="2213"/>
      </w:tblGrid>
      <w:tr w:rsidR="002304FC" w:rsidRPr="00414AA2" w14:paraId="071EFA45" w14:textId="77777777" w:rsidTr="00506905">
        <w:trPr>
          <w:trHeight w:val="231"/>
          <w:tblHeader/>
        </w:trPr>
        <w:tc>
          <w:tcPr>
            <w:tcW w:w="2835" w:type="dxa"/>
            <w:tcBorders>
              <w:top w:val="single" w:sz="4" w:space="0" w:color="auto"/>
              <w:left w:val="single" w:sz="4" w:space="0" w:color="auto"/>
              <w:right w:val="single" w:sz="4" w:space="0" w:color="auto"/>
            </w:tcBorders>
            <w:vAlign w:val="center"/>
          </w:tcPr>
          <w:p w14:paraId="16F231FF" w14:textId="77777777" w:rsidR="002304FC" w:rsidRPr="00414AA2" w:rsidRDefault="002304FC" w:rsidP="00E55FD2">
            <w:pPr>
              <w:pStyle w:val="COMTabletext"/>
              <w:rPr>
                <w:b/>
                <w:bCs w:val="0"/>
              </w:rPr>
            </w:pPr>
            <w:r w:rsidRPr="00414AA2">
              <w:rPr>
                <w:b/>
                <w:bCs w:val="0"/>
              </w:rPr>
              <w:t>Subgroup</w:t>
            </w:r>
          </w:p>
        </w:tc>
        <w:tc>
          <w:tcPr>
            <w:tcW w:w="1985" w:type="dxa"/>
            <w:tcBorders>
              <w:top w:val="single" w:sz="4" w:space="0" w:color="auto"/>
              <w:left w:val="single" w:sz="4" w:space="0" w:color="auto"/>
              <w:right w:val="single" w:sz="4" w:space="0" w:color="auto"/>
            </w:tcBorders>
            <w:vAlign w:val="center"/>
          </w:tcPr>
          <w:p w14:paraId="6474AF78" w14:textId="77777777" w:rsidR="002304FC" w:rsidRPr="00414AA2" w:rsidRDefault="002304FC" w:rsidP="00E55FD2">
            <w:pPr>
              <w:pStyle w:val="COMTabletext"/>
              <w:jc w:val="center"/>
              <w:rPr>
                <w:b/>
                <w:bCs w:val="0"/>
              </w:rPr>
            </w:pPr>
            <w:proofErr w:type="spellStart"/>
            <w:r w:rsidRPr="00414AA2">
              <w:rPr>
                <w:b/>
                <w:bCs w:val="0"/>
              </w:rPr>
              <w:t>Zilucoplan</w:t>
            </w:r>
            <w:proofErr w:type="spellEnd"/>
          </w:p>
          <w:p w14:paraId="6B7C7265" w14:textId="77777777" w:rsidR="002304FC" w:rsidRPr="00414AA2" w:rsidRDefault="002304FC" w:rsidP="00E55FD2">
            <w:pPr>
              <w:pStyle w:val="COMTabletext"/>
              <w:jc w:val="center"/>
              <w:rPr>
                <w:b/>
                <w:bCs w:val="0"/>
              </w:rPr>
            </w:pPr>
            <w:r w:rsidRPr="00414AA2">
              <w:rPr>
                <w:b/>
                <w:bCs w:val="0"/>
              </w:rPr>
              <w:t>n/N (%)</w:t>
            </w:r>
          </w:p>
        </w:tc>
        <w:tc>
          <w:tcPr>
            <w:tcW w:w="1984" w:type="dxa"/>
            <w:tcBorders>
              <w:top w:val="single" w:sz="4" w:space="0" w:color="auto"/>
              <w:left w:val="single" w:sz="4" w:space="0" w:color="auto"/>
              <w:right w:val="single" w:sz="4" w:space="0" w:color="auto"/>
            </w:tcBorders>
            <w:vAlign w:val="center"/>
          </w:tcPr>
          <w:p w14:paraId="203D8ACC" w14:textId="77777777" w:rsidR="002304FC" w:rsidRPr="00414AA2" w:rsidRDefault="002304FC" w:rsidP="00E55FD2">
            <w:pPr>
              <w:pStyle w:val="COMTabletext"/>
              <w:jc w:val="center"/>
              <w:rPr>
                <w:b/>
                <w:bCs w:val="0"/>
              </w:rPr>
            </w:pPr>
            <w:r w:rsidRPr="00414AA2">
              <w:rPr>
                <w:b/>
                <w:bCs w:val="0"/>
              </w:rPr>
              <w:t>Placebo</w:t>
            </w:r>
          </w:p>
          <w:p w14:paraId="7402828E" w14:textId="77777777" w:rsidR="002304FC" w:rsidRPr="00414AA2" w:rsidRDefault="002304FC" w:rsidP="00E55FD2">
            <w:pPr>
              <w:pStyle w:val="COMTabletext"/>
              <w:jc w:val="center"/>
              <w:rPr>
                <w:b/>
                <w:bCs w:val="0"/>
              </w:rPr>
            </w:pPr>
            <w:r w:rsidRPr="00414AA2">
              <w:rPr>
                <w:b/>
                <w:bCs w:val="0"/>
              </w:rPr>
              <w:t>n/N (%)</w:t>
            </w:r>
          </w:p>
        </w:tc>
        <w:tc>
          <w:tcPr>
            <w:tcW w:w="2213" w:type="dxa"/>
            <w:tcBorders>
              <w:top w:val="single" w:sz="4" w:space="0" w:color="auto"/>
              <w:left w:val="single" w:sz="4" w:space="0" w:color="auto"/>
              <w:right w:val="single" w:sz="4" w:space="0" w:color="auto"/>
            </w:tcBorders>
            <w:vAlign w:val="center"/>
          </w:tcPr>
          <w:p w14:paraId="7C20886F" w14:textId="1E60E0F1" w:rsidR="002304FC" w:rsidRPr="00414AA2" w:rsidRDefault="006174C3" w:rsidP="00E55FD2">
            <w:pPr>
              <w:pStyle w:val="COMTabletext"/>
              <w:jc w:val="center"/>
              <w:rPr>
                <w:b/>
                <w:bCs w:val="0"/>
              </w:rPr>
            </w:pPr>
            <w:r>
              <w:rPr>
                <w:b/>
                <w:bCs w:val="0"/>
              </w:rPr>
              <w:t>Treatment difference</w:t>
            </w:r>
          </w:p>
        </w:tc>
      </w:tr>
      <w:tr w:rsidR="002304FC" w:rsidRPr="00414AA2" w14:paraId="5E28D006" w14:textId="77777777" w:rsidTr="00506905">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4A73EAEE" w14:textId="77777777" w:rsidR="002304FC" w:rsidRPr="00414AA2" w:rsidRDefault="002304FC" w:rsidP="00E55FD2">
            <w:pPr>
              <w:pStyle w:val="COMTabletext"/>
            </w:pPr>
            <w:r w:rsidRPr="00B162C2">
              <w:t>Overall</w:t>
            </w:r>
            <w:r>
              <w:t xml:space="preserve"> population</w:t>
            </w:r>
          </w:p>
        </w:tc>
        <w:tc>
          <w:tcPr>
            <w:tcW w:w="1985" w:type="dxa"/>
            <w:tcBorders>
              <w:top w:val="single" w:sz="4" w:space="0" w:color="auto"/>
              <w:left w:val="single" w:sz="4" w:space="0" w:color="auto"/>
              <w:bottom w:val="single" w:sz="4" w:space="0" w:color="auto"/>
              <w:right w:val="single" w:sz="4" w:space="0" w:color="auto"/>
            </w:tcBorders>
            <w:vAlign w:val="center"/>
          </w:tcPr>
          <w:p w14:paraId="5C087956" w14:textId="4B0DA325" w:rsidR="002304FC" w:rsidRPr="00414AA2" w:rsidRDefault="002304FC" w:rsidP="00E55FD2">
            <w:pPr>
              <w:pStyle w:val="COMTabletext"/>
              <w:jc w:val="center"/>
            </w:pPr>
            <w:r w:rsidRPr="00B162C2">
              <w:t>62/84 (73.</w:t>
            </w:r>
            <w:r w:rsidR="007E7BA9">
              <w:t>1</w:t>
            </w:r>
            <w:r w:rsidRPr="00B162C2">
              <w:t>%)</w:t>
            </w:r>
          </w:p>
        </w:tc>
        <w:tc>
          <w:tcPr>
            <w:tcW w:w="1984" w:type="dxa"/>
            <w:tcBorders>
              <w:left w:val="single" w:sz="4" w:space="0" w:color="auto"/>
              <w:right w:val="single" w:sz="4" w:space="0" w:color="auto"/>
            </w:tcBorders>
            <w:shd w:val="clear" w:color="auto" w:fill="auto"/>
            <w:vAlign w:val="center"/>
          </w:tcPr>
          <w:p w14:paraId="4C23C004" w14:textId="11B365CE" w:rsidR="002304FC" w:rsidRPr="00414AA2" w:rsidRDefault="002304FC" w:rsidP="00E55FD2">
            <w:pPr>
              <w:pStyle w:val="COMTabletext"/>
              <w:jc w:val="center"/>
            </w:pPr>
            <w:r w:rsidRPr="00B162C2">
              <w:t>40/85 (4</w:t>
            </w:r>
            <w:r w:rsidR="00DF437C">
              <w:t>6</w:t>
            </w:r>
            <w:r w:rsidRPr="00B162C2">
              <w:t>.1%)</w:t>
            </w:r>
          </w:p>
        </w:tc>
        <w:tc>
          <w:tcPr>
            <w:tcW w:w="2213" w:type="dxa"/>
            <w:tcBorders>
              <w:left w:val="single" w:sz="4" w:space="0" w:color="auto"/>
              <w:right w:val="single" w:sz="4" w:space="0" w:color="auto"/>
            </w:tcBorders>
            <w:vAlign w:val="center"/>
          </w:tcPr>
          <w:p w14:paraId="2454C9B8" w14:textId="77777777" w:rsidR="006174C3" w:rsidRDefault="005A660C" w:rsidP="00E55FD2">
            <w:pPr>
              <w:pStyle w:val="TableText"/>
              <w:widowControl/>
              <w:jc w:val="center"/>
            </w:pPr>
            <w:r>
              <w:t>OR</w:t>
            </w:r>
            <w:r w:rsidR="006174C3">
              <w:t xml:space="preserve"> (95% CI)</w:t>
            </w:r>
          </w:p>
          <w:p w14:paraId="128A4940" w14:textId="73C69526" w:rsidR="002304FC" w:rsidRPr="00414AA2" w:rsidRDefault="002304FC" w:rsidP="00E55FD2">
            <w:pPr>
              <w:pStyle w:val="TableText"/>
              <w:widowControl/>
              <w:jc w:val="center"/>
            </w:pPr>
            <w:r w:rsidRPr="00BB17E0">
              <w:t>3.184 (1.662, 6.101)</w:t>
            </w:r>
          </w:p>
        </w:tc>
      </w:tr>
      <w:tr w:rsidR="002304FC" w:rsidRPr="00414AA2" w14:paraId="3C1B9F7A" w14:textId="77777777">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5EC163B9" w14:textId="77777777" w:rsidR="002304FC" w:rsidRPr="00414AA2" w:rsidRDefault="002304FC" w:rsidP="00E55FD2">
            <w:pPr>
              <w:pStyle w:val="COMTabletext"/>
            </w:pPr>
            <w:r>
              <w:rPr>
                <w:b/>
                <w:bCs w:val="0"/>
              </w:rPr>
              <w:t>Treatment refractory status</w:t>
            </w:r>
          </w:p>
        </w:tc>
      </w:tr>
      <w:tr w:rsidR="002304FC" w:rsidRPr="00414AA2" w14:paraId="7EA2515A" w14:textId="77777777" w:rsidTr="00506905">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0AC1DB0C" w14:textId="77777777" w:rsidR="002304FC" w:rsidRPr="00414AA2" w:rsidRDefault="002304FC" w:rsidP="00E55FD2">
            <w:pPr>
              <w:pStyle w:val="COMTabletext"/>
            </w:pPr>
            <w:r>
              <w:t>Treatment refractory</w:t>
            </w:r>
            <w:r w:rsidRPr="00414AA2">
              <w:t xml:space="preserve"> patients</w:t>
            </w:r>
          </w:p>
        </w:tc>
        <w:tc>
          <w:tcPr>
            <w:tcW w:w="1985" w:type="dxa"/>
            <w:tcBorders>
              <w:top w:val="single" w:sz="4" w:space="0" w:color="auto"/>
              <w:left w:val="single" w:sz="4" w:space="0" w:color="auto"/>
              <w:bottom w:val="single" w:sz="4" w:space="0" w:color="auto"/>
              <w:right w:val="single" w:sz="4" w:space="0" w:color="auto"/>
            </w:tcBorders>
            <w:vAlign w:val="center"/>
          </w:tcPr>
          <w:p w14:paraId="49FD1906" w14:textId="77777777" w:rsidR="002304FC" w:rsidRPr="00414AA2" w:rsidRDefault="002304FC" w:rsidP="00E55FD2">
            <w:pPr>
              <w:pStyle w:val="COMTabletext"/>
              <w:jc w:val="center"/>
            </w:pPr>
            <w:r w:rsidRPr="00414AA2">
              <w:t>33/44 (75.0%)</w:t>
            </w:r>
          </w:p>
        </w:tc>
        <w:tc>
          <w:tcPr>
            <w:tcW w:w="1984" w:type="dxa"/>
            <w:tcBorders>
              <w:left w:val="single" w:sz="4" w:space="0" w:color="auto"/>
              <w:right w:val="single" w:sz="4" w:space="0" w:color="auto"/>
            </w:tcBorders>
            <w:shd w:val="clear" w:color="auto" w:fill="FBD4B4" w:themeFill="accent6" w:themeFillTint="66"/>
            <w:vAlign w:val="center"/>
          </w:tcPr>
          <w:p w14:paraId="0DB5E7D4" w14:textId="77777777" w:rsidR="002304FC" w:rsidRPr="00414AA2" w:rsidRDefault="002304FC" w:rsidP="00E55FD2">
            <w:pPr>
              <w:pStyle w:val="COMTabletext"/>
              <w:jc w:val="center"/>
            </w:pPr>
            <w:r w:rsidRPr="00414AA2">
              <w:t>17/42 (40.5%)</w:t>
            </w:r>
          </w:p>
        </w:tc>
        <w:tc>
          <w:tcPr>
            <w:tcW w:w="2213" w:type="dxa"/>
            <w:tcBorders>
              <w:left w:val="single" w:sz="4" w:space="0" w:color="auto"/>
              <w:right w:val="single" w:sz="4" w:space="0" w:color="auto"/>
            </w:tcBorders>
            <w:vAlign w:val="center"/>
          </w:tcPr>
          <w:p w14:paraId="168B7208" w14:textId="3E673B5D" w:rsidR="002304FC" w:rsidRPr="00590CD1" w:rsidRDefault="006174C3" w:rsidP="00E55FD2">
            <w:pPr>
              <w:pStyle w:val="COMTabletext"/>
              <w:jc w:val="center"/>
            </w:pPr>
            <w:r w:rsidRPr="00590CD1">
              <w:t xml:space="preserve">Difference: </w:t>
            </w:r>
            <w:r w:rsidR="004956D8" w:rsidRPr="00590CD1">
              <w:t>34.5%</w:t>
            </w:r>
          </w:p>
        </w:tc>
      </w:tr>
      <w:tr w:rsidR="002304FC" w:rsidRPr="00414AA2" w14:paraId="01C20DB9" w14:textId="77777777" w:rsidTr="00506905">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3417EF98" w14:textId="77777777" w:rsidR="002304FC" w:rsidRPr="00414AA2" w:rsidRDefault="002304FC" w:rsidP="00E55FD2">
            <w:pPr>
              <w:pStyle w:val="COMTabletext"/>
            </w:pPr>
            <w:r w:rsidRPr="00414AA2">
              <w:t>Treatment non-refractory patients</w:t>
            </w:r>
          </w:p>
        </w:tc>
        <w:tc>
          <w:tcPr>
            <w:tcW w:w="1985" w:type="dxa"/>
            <w:tcBorders>
              <w:top w:val="single" w:sz="4" w:space="0" w:color="auto"/>
              <w:left w:val="single" w:sz="4" w:space="0" w:color="auto"/>
              <w:bottom w:val="single" w:sz="4" w:space="0" w:color="auto"/>
              <w:right w:val="single" w:sz="4" w:space="0" w:color="auto"/>
            </w:tcBorders>
            <w:vAlign w:val="center"/>
          </w:tcPr>
          <w:p w14:paraId="154F647A" w14:textId="77777777" w:rsidR="002304FC" w:rsidRPr="00414AA2" w:rsidRDefault="002304FC" w:rsidP="00E55FD2">
            <w:pPr>
              <w:pStyle w:val="COMTabletext"/>
              <w:jc w:val="center"/>
            </w:pPr>
            <w:r w:rsidRPr="00414AA2">
              <w:t>29/40 (72.5%)</w:t>
            </w:r>
          </w:p>
        </w:tc>
        <w:tc>
          <w:tcPr>
            <w:tcW w:w="1984" w:type="dxa"/>
            <w:tcBorders>
              <w:left w:val="single" w:sz="4" w:space="0" w:color="auto"/>
              <w:right w:val="single" w:sz="4" w:space="0" w:color="auto"/>
            </w:tcBorders>
            <w:shd w:val="clear" w:color="auto" w:fill="FBD4B4" w:themeFill="accent6" w:themeFillTint="66"/>
            <w:vAlign w:val="center"/>
          </w:tcPr>
          <w:p w14:paraId="21CE5006" w14:textId="77777777" w:rsidR="002304FC" w:rsidRPr="00414AA2" w:rsidRDefault="002304FC" w:rsidP="00E55FD2">
            <w:pPr>
              <w:pStyle w:val="COMTabletext"/>
              <w:jc w:val="center"/>
            </w:pPr>
            <w:r w:rsidRPr="00414AA2">
              <w:t>23/43 (53.5%)</w:t>
            </w:r>
          </w:p>
        </w:tc>
        <w:tc>
          <w:tcPr>
            <w:tcW w:w="2213" w:type="dxa"/>
            <w:tcBorders>
              <w:left w:val="single" w:sz="4" w:space="0" w:color="auto"/>
              <w:right w:val="single" w:sz="4" w:space="0" w:color="auto"/>
            </w:tcBorders>
            <w:vAlign w:val="center"/>
          </w:tcPr>
          <w:p w14:paraId="02E0B666" w14:textId="195D41EB" w:rsidR="002304FC" w:rsidRPr="00590CD1" w:rsidRDefault="006174C3" w:rsidP="00E55FD2">
            <w:pPr>
              <w:pStyle w:val="COMTabletext"/>
              <w:jc w:val="center"/>
            </w:pPr>
            <w:r w:rsidRPr="00590CD1">
              <w:t xml:space="preserve">Difference: </w:t>
            </w:r>
            <w:r w:rsidR="008B2591" w:rsidRPr="00590CD1">
              <w:t>19.0%</w:t>
            </w:r>
          </w:p>
        </w:tc>
      </w:tr>
    </w:tbl>
    <w:p w14:paraId="0C951B33" w14:textId="77777777" w:rsidR="002304FC" w:rsidRPr="00414AA2" w:rsidRDefault="002304FC" w:rsidP="00E55FD2">
      <w:pPr>
        <w:pStyle w:val="COMTablefooter"/>
      </w:pPr>
      <w:r w:rsidRPr="00414AA2">
        <w:t>Source: Table 14.2.6.4, pp847-871 of the RAISE trial report</w:t>
      </w:r>
    </w:p>
    <w:p w14:paraId="4F412559" w14:textId="70155652" w:rsidR="002304FC" w:rsidRPr="00414AA2" w:rsidRDefault="002304FC" w:rsidP="00E55FD2">
      <w:pPr>
        <w:pStyle w:val="COMTablefooter"/>
      </w:pPr>
      <w:r w:rsidRPr="78882673">
        <w:t xml:space="preserve">Abbreviations: </w:t>
      </w:r>
      <w:r w:rsidR="006174C3" w:rsidRPr="78882673">
        <w:t xml:space="preserve">CI, confidence interval; </w:t>
      </w:r>
      <w:r w:rsidRPr="78882673">
        <w:t>MG-ADL, Myasthenia Gravis Activities of Daily Living; NR, not reported</w:t>
      </w:r>
      <w:r w:rsidR="006174C3" w:rsidRPr="78882673">
        <w:t xml:space="preserve">; </w:t>
      </w:r>
      <w:r w:rsidR="00CB2558" w:rsidRPr="78882673">
        <w:t>OR</w:t>
      </w:r>
      <w:r w:rsidR="006174C3" w:rsidRPr="78882673">
        <w:t xml:space="preserve"> odds ratio</w:t>
      </w:r>
    </w:p>
    <w:p w14:paraId="1142B7E5" w14:textId="7851C1BC" w:rsidR="002304FC" w:rsidRPr="00414AA2" w:rsidRDefault="002304FC" w:rsidP="00E55FD2">
      <w:pPr>
        <w:pStyle w:val="COMTablefooter"/>
      </w:pPr>
      <w:r w:rsidRPr="78882673">
        <w:t xml:space="preserve">Note: </w:t>
      </w:r>
      <w:r w:rsidRPr="78882673">
        <w:rPr>
          <w:shd w:val="clear" w:color="auto" w:fill="FBD4B4" w:themeFill="accent6" w:themeFillTint="66"/>
        </w:rPr>
        <w:t>Shading</w:t>
      </w:r>
      <w:r w:rsidRPr="78882673">
        <w:t xml:space="preserve"> indicates a difference of +/- 10% in response between patient subgroups</w:t>
      </w:r>
    </w:p>
    <w:p w14:paraId="42EEAC43" w14:textId="6BB05F02" w:rsidR="00BA0EBE" w:rsidRPr="00B16283" w:rsidRDefault="00911252" w:rsidP="00E55FD2">
      <w:pPr>
        <w:pStyle w:val="COMexecsummnumbered"/>
        <w:rPr>
          <w:i/>
          <w:iCs/>
        </w:rPr>
      </w:pPr>
      <w:r w:rsidRPr="00911252">
        <w:t xml:space="preserve">Treatment with </w:t>
      </w:r>
      <w:proofErr w:type="spellStart"/>
      <w:r w:rsidRPr="00911252">
        <w:t>zilucoplan</w:t>
      </w:r>
      <w:proofErr w:type="spellEnd"/>
      <w:r w:rsidRPr="00911252">
        <w:t xml:space="preserve"> was associated with a statistically significant increase in the proportion of patients achieving a 3-point reduction in MG-ADL scores compared to placebo at Week 12. </w:t>
      </w:r>
      <w:r w:rsidR="00BA0EBE" w:rsidRPr="00880D45">
        <w:rPr>
          <w:rFonts w:eastAsia="Times New Roman"/>
        </w:rPr>
        <w:t>Subgroup analyses suggest variations in response rates across subgroups defined by treatment refractory status.</w:t>
      </w:r>
    </w:p>
    <w:p w14:paraId="3600ABF9" w14:textId="29810805" w:rsidR="006470F8" w:rsidRPr="006B5726" w:rsidRDefault="00BB16CD" w:rsidP="00E55FD2">
      <w:pPr>
        <w:pStyle w:val="COMexecsummnumbered"/>
      </w:pPr>
      <w:r w:rsidRPr="006B5726">
        <w:t>The PBAC previously considered that the outcomes for the refractory and non-refractory subgroups were difficult to interpret based on the information provided</w:t>
      </w:r>
      <w:r w:rsidR="00AE010D" w:rsidRPr="006B5726">
        <w:t xml:space="preserve"> (</w:t>
      </w:r>
      <w:r w:rsidR="00FB174B" w:rsidRPr="00FB174B">
        <w:t>paragraph</w:t>
      </w:r>
      <w:r w:rsidR="00B32871">
        <w:t xml:space="preserve"> 7.13</w:t>
      </w:r>
      <w:r w:rsidR="00AE010D" w:rsidRPr="006B5726">
        <w:t xml:space="preserve">, </w:t>
      </w:r>
      <w:proofErr w:type="spellStart"/>
      <w:r w:rsidR="00AE010D" w:rsidRPr="006B5726">
        <w:t>zilucoplan</w:t>
      </w:r>
      <w:proofErr w:type="spellEnd"/>
      <w:r w:rsidR="00AE010D" w:rsidRPr="006B5726">
        <w:t xml:space="preserve"> </w:t>
      </w:r>
      <w:r w:rsidR="002046F2" w:rsidRPr="006B5726">
        <w:rPr>
          <w:rFonts w:eastAsia="PlantinStd"/>
        </w:rPr>
        <w:t xml:space="preserve">PBAC </w:t>
      </w:r>
      <w:r w:rsidR="00B32871">
        <w:rPr>
          <w:rFonts w:eastAsia="PlantinStd"/>
        </w:rPr>
        <w:t>PSD</w:t>
      </w:r>
      <w:r w:rsidR="00AE010D" w:rsidRPr="006B5726">
        <w:t>, July 2024 PBAC meeting)</w:t>
      </w:r>
      <w:r w:rsidR="002C2A6D" w:rsidRPr="006B5726">
        <w:t xml:space="preserve">. </w:t>
      </w:r>
    </w:p>
    <w:p w14:paraId="4CAB6991" w14:textId="512CCA6B" w:rsidR="00413090" w:rsidRPr="006B5726" w:rsidRDefault="00413090" w:rsidP="00E55FD2">
      <w:pPr>
        <w:pStyle w:val="COMexecsummnumbered"/>
        <w:rPr>
          <w:lang w:eastAsia="zh-CN"/>
        </w:rPr>
      </w:pPr>
      <w:r w:rsidRPr="78882673">
        <w:rPr>
          <w:lang w:eastAsia="zh-CN"/>
        </w:rPr>
        <w:t xml:space="preserve">The </w:t>
      </w:r>
      <w:r w:rsidR="008E3691" w:rsidRPr="78882673">
        <w:rPr>
          <w:lang w:eastAsia="zh-CN"/>
        </w:rPr>
        <w:t>resubmission did not present an</w:t>
      </w:r>
      <w:r w:rsidR="00EA3A21" w:rsidRPr="78882673">
        <w:rPr>
          <w:lang w:eastAsia="zh-CN"/>
        </w:rPr>
        <w:t>y</w:t>
      </w:r>
      <w:r w:rsidR="008E3691" w:rsidRPr="78882673">
        <w:rPr>
          <w:lang w:eastAsia="zh-CN"/>
        </w:rPr>
        <w:t xml:space="preserve"> </w:t>
      </w:r>
      <w:r w:rsidRPr="78882673">
        <w:rPr>
          <w:lang w:eastAsia="zh-CN"/>
        </w:rPr>
        <w:t>additional analyses</w:t>
      </w:r>
      <w:r w:rsidR="008E3691" w:rsidRPr="78882673">
        <w:rPr>
          <w:lang w:eastAsia="zh-CN"/>
        </w:rPr>
        <w:t xml:space="preserve"> to</w:t>
      </w:r>
      <w:r w:rsidRPr="78882673">
        <w:rPr>
          <w:lang w:eastAsia="zh-CN"/>
        </w:rPr>
        <w:t xml:space="preserve"> provide further clarity on treatment outcomes in patient subgroups.</w:t>
      </w:r>
    </w:p>
    <w:p w14:paraId="4F963734" w14:textId="4D959615" w:rsidR="00413090" w:rsidRPr="00413090" w:rsidRDefault="003821CF" w:rsidP="00E55FD2">
      <w:pPr>
        <w:pStyle w:val="COMexecsummnumbered"/>
        <w:rPr>
          <w:color w:val="0066FF"/>
        </w:rPr>
      </w:pPr>
      <w:r>
        <w:fldChar w:fldCharType="begin"/>
      </w:r>
      <w:r>
        <w:instrText xml:space="preserve"> REF _Ref185105695 \h  \* MERGEFORMAT </w:instrText>
      </w:r>
      <w:r>
        <w:fldChar w:fldCharType="separate"/>
      </w:r>
      <w:r w:rsidR="00271F88" w:rsidRPr="00B162C2">
        <w:t xml:space="preserve">Table </w:t>
      </w:r>
      <w:r w:rsidR="00271F88">
        <w:rPr>
          <w:noProof/>
        </w:rPr>
        <w:t>7</w:t>
      </w:r>
      <w:r>
        <w:fldChar w:fldCharType="end"/>
      </w:r>
      <w:r>
        <w:t xml:space="preserve"> summarises results for </w:t>
      </w:r>
      <w:r w:rsidR="00413090" w:rsidRPr="00B162C2">
        <w:t xml:space="preserve">mean change in </w:t>
      </w:r>
      <w:r w:rsidRPr="003821CF">
        <w:t xml:space="preserve">Revised Myasthenia Gravis Quality of Life score (MG-QoL15r) from baseline to Week 12 </w:t>
      </w:r>
      <w:r w:rsidR="00413090" w:rsidRPr="00B162C2">
        <w:t xml:space="preserve">with </w:t>
      </w:r>
      <w:proofErr w:type="spellStart"/>
      <w:r w:rsidR="00413090" w:rsidRPr="00B162C2">
        <w:t>zilucoplan</w:t>
      </w:r>
      <w:proofErr w:type="spellEnd"/>
      <w:r w:rsidR="00413090" w:rsidRPr="00B162C2">
        <w:t xml:space="preserve"> and placebo in the RAISE trial </w:t>
      </w:r>
      <w:r w:rsidR="00A45C32">
        <w:t>and subgroups by refractory status.</w:t>
      </w:r>
    </w:p>
    <w:p w14:paraId="301DD4C9" w14:textId="57A4FE88" w:rsidR="007A2539" w:rsidRPr="00B162C2" w:rsidRDefault="007A2539" w:rsidP="00E55FD2">
      <w:pPr>
        <w:pStyle w:val="Caption"/>
      </w:pPr>
      <w:bookmarkStart w:id="43" w:name="_Ref164436533"/>
      <w:bookmarkStart w:id="44" w:name="_Ref185105695"/>
      <w:r w:rsidRPr="00B162C2">
        <w:t xml:space="preserve">Table </w:t>
      </w:r>
      <w:bookmarkEnd w:id="43"/>
      <w:r>
        <w:fldChar w:fldCharType="begin"/>
      </w:r>
      <w:r>
        <w:instrText xml:space="preserve"> SEQ Table \* ARABIC </w:instrText>
      </w:r>
      <w:r>
        <w:fldChar w:fldCharType="separate"/>
      </w:r>
      <w:r w:rsidR="00271F88">
        <w:rPr>
          <w:noProof/>
        </w:rPr>
        <w:t>7</w:t>
      </w:r>
      <w:r>
        <w:fldChar w:fldCharType="end"/>
      </w:r>
      <w:bookmarkEnd w:id="44"/>
      <w:r w:rsidRPr="00B162C2">
        <w:t xml:space="preserve">: Mean change in </w:t>
      </w:r>
      <w:r w:rsidR="00294F70">
        <w:t>Revised Myasthenia Gravis Quality of Life score (MG-QoL15r)</w:t>
      </w:r>
      <w:r w:rsidRPr="00B162C2">
        <w:t xml:space="preserve"> from baseline to Week 12 with </w:t>
      </w:r>
      <w:proofErr w:type="spellStart"/>
      <w:r w:rsidRPr="00B162C2">
        <w:t>zilucoplan</w:t>
      </w:r>
      <w:proofErr w:type="spellEnd"/>
      <w:r w:rsidRPr="00B162C2">
        <w:t xml:space="preserve">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7: Mean change in Revised Myasthenia Gravis Quality of Life score (MG-QoL15r) from baseline to Week 12 with zilucoplan and placebo"/>
      </w:tblPr>
      <w:tblGrid>
        <w:gridCol w:w="2268"/>
        <w:gridCol w:w="1559"/>
        <w:gridCol w:w="1560"/>
        <w:gridCol w:w="1701"/>
        <w:gridCol w:w="1929"/>
      </w:tblGrid>
      <w:tr w:rsidR="007A2539" w:rsidRPr="00EA2B87" w14:paraId="1EEF4B4C" w14:textId="77777777">
        <w:trPr>
          <w:trHeight w:val="76"/>
          <w:tblHeader/>
        </w:trPr>
        <w:tc>
          <w:tcPr>
            <w:tcW w:w="2268" w:type="dxa"/>
            <w:tcBorders>
              <w:top w:val="single" w:sz="4" w:space="0" w:color="auto"/>
              <w:left w:val="single" w:sz="4" w:space="0" w:color="auto"/>
              <w:right w:val="single" w:sz="4" w:space="0" w:color="auto"/>
            </w:tcBorders>
            <w:vAlign w:val="center"/>
          </w:tcPr>
          <w:p w14:paraId="0378FE23" w14:textId="77777777" w:rsidR="007A2539" w:rsidRPr="00EA2B87" w:rsidRDefault="007A2539" w:rsidP="00E55FD2">
            <w:pPr>
              <w:pStyle w:val="TableText"/>
              <w:widowControl/>
              <w:rPr>
                <w:b/>
                <w:i/>
                <w:iCs w:val="0"/>
              </w:rPr>
            </w:pPr>
            <w:r w:rsidRPr="00EA2B87">
              <w:rPr>
                <w:b/>
                <w:iCs w:val="0"/>
              </w:rPr>
              <w:t>Treatment arm</w:t>
            </w:r>
          </w:p>
        </w:tc>
        <w:tc>
          <w:tcPr>
            <w:tcW w:w="1559" w:type="dxa"/>
            <w:tcBorders>
              <w:top w:val="single" w:sz="4" w:space="0" w:color="auto"/>
              <w:left w:val="single" w:sz="4" w:space="0" w:color="auto"/>
              <w:right w:val="single" w:sz="4" w:space="0" w:color="auto"/>
            </w:tcBorders>
            <w:vAlign w:val="center"/>
          </w:tcPr>
          <w:p w14:paraId="53BA3365" w14:textId="77777777" w:rsidR="007A2539" w:rsidRPr="00EA2B87" w:rsidRDefault="007A2539" w:rsidP="00E55FD2">
            <w:pPr>
              <w:pStyle w:val="TableText"/>
              <w:widowControl/>
              <w:jc w:val="center"/>
              <w:rPr>
                <w:b/>
                <w:i/>
                <w:iCs w:val="0"/>
              </w:rPr>
            </w:pPr>
            <w:r w:rsidRPr="00EA2B87">
              <w:rPr>
                <w:b/>
                <w:iCs w:val="0"/>
              </w:rPr>
              <w:t>Baseline,</w:t>
            </w:r>
          </w:p>
          <w:p w14:paraId="295289C0" w14:textId="77777777" w:rsidR="007A2539" w:rsidRPr="00EA2B87" w:rsidRDefault="007A2539" w:rsidP="00E55FD2">
            <w:pPr>
              <w:pStyle w:val="TableText"/>
              <w:widowControl/>
              <w:jc w:val="center"/>
              <w:rPr>
                <w:b/>
                <w:i/>
                <w:iCs w:val="0"/>
              </w:rPr>
            </w:pPr>
            <w:r w:rsidRPr="00EA2B87">
              <w:rPr>
                <w:b/>
                <w:iCs w:val="0"/>
              </w:rPr>
              <w:t>Mean (SD)</w:t>
            </w:r>
          </w:p>
        </w:tc>
        <w:tc>
          <w:tcPr>
            <w:tcW w:w="1560" w:type="dxa"/>
            <w:tcBorders>
              <w:top w:val="single" w:sz="4" w:space="0" w:color="auto"/>
              <w:left w:val="single" w:sz="4" w:space="0" w:color="auto"/>
              <w:right w:val="single" w:sz="4" w:space="0" w:color="auto"/>
            </w:tcBorders>
            <w:vAlign w:val="center"/>
          </w:tcPr>
          <w:p w14:paraId="5E7B5F58" w14:textId="77777777" w:rsidR="007A2539" w:rsidRPr="00EA2B87" w:rsidRDefault="007A2539" w:rsidP="00E55FD2">
            <w:pPr>
              <w:pStyle w:val="TableText"/>
              <w:widowControl/>
              <w:jc w:val="center"/>
              <w:rPr>
                <w:b/>
                <w:i/>
                <w:iCs w:val="0"/>
              </w:rPr>
            </w:pPr>
            <w:r w:rsidRPr="00EA2B87">
              <w:rPr>
                <w:b/>
                <w:iCs w:val="0"/>
              </w:rPr>
              <w:t>Final,</w:t>
            </w:r>
          </w:p>
          <w:p w14:paraId="3E058F95" w14:textId="77777777" w:rsidR="007A2539" w:rsidRPr="00EA2B87" w:rsidRDefault="007A2539" w:rsidP="00E55FD2">
            <w:pPr>
              <w:pStyle w:val="TableText"/>
              <w:widowControl/>
              <w:jc w:val="center"/>
              <w:rPr>
                <w:b/>
                <w:i/>
                <w:iCs w:val="0"/>
              </w:rPr>
            </w:pPr>
            <w:r w:rsidRPr="00EA2B87">
              <w:rPr>
                <w:b/>
                <w:iCs w:val="0"/>
              </w:rPr>
              <w:t>Mean (SD)</w:t>
            </w:r>
          </w:p>
        </w:tc>
        <w:tc>
          <w:tcPr>
            <w:tcW w:w="1701" w:type="dxa"/>
            <w:tcBorders>
              <w:top w:val="single" w:sz="4" w:space="0" w:color="auto"/>
              <w:left w:val="single" w:sz="4" w:space="0" w:color="auto"/>
              <w:right w:val="single" w:sz="4" w:space="0" w:color="auto"/>
            </w:tcBorders>
            <w:vAlign w:val="center"/>
          </w:tcPr>
          <w:p w14:paraId="76620E15" w14:textId="77777777" w:rsidR="007A2539" w:rsidRPr="00EA2B87" w:rsidRDefault="007A2539" w:rsidP="00E55FD2">
            <w:pPr>
              <w:pStyle w:val="TableText"/>
              <w:widowControl/>
              <w:jc w:val="center"/>
              <w:rPr>
                <w:b/>
                <w:i/>
                <w:iCs w:val="0"/>
              </w:rPr>
            </w:pPr>
            <w:r w:rsidRPr="00EA2B87">
              <w:rPr>
                <w:b/>
                <w:iCs w:val="0"/>
              </w:rPr>
              <w:t>LS mean change (95% CI)</w:t>
            </w:r>
          </w:p>
        </w:tc>
        <w:tc>
          <w:tcPr>
            <w:tcW w:w="1929" w:type="dxa"/>
            <w:tcBorders>
              <w:top w:val="single" w:sz="4" w:space="0" w:color="auto"/>
              <w:left w:val="single" w:sz="4" w:space="0" w:color="auto"/>
              <w:right w:val="single" w:sz="4" w:space="0" w:color="auto"/>
            </w:tcBorders>
            <w:vAlign w:val="center"/>
          </w:tcPr>
          <w:p w14:paraId="2AC33C5B" w14:textId="77777777" w:rsidR="007A2539" w:rsidRPr="00EA2B87" w:rsidRDefault="007A2539" w:rsidP="00E55FD2">
            <w:pPr>
              <w:pStyle w:val="TableText"/>
              <w:widowControl/>
              <w:jc w:val="center"/>
              <w:rPr>
                <w:b/>
                <w:i/>
                <w:iCs w:val="0"/>
              </w:rPr>
            </w:pPr>
            <w:r w:rsidRPr="00EA2B87">
              <w:rPr>
                <w:b/>
                <w:iCs w:val="0"/>
              </w:rPr>
              <w:t>Treatment difference (95% CI)</w:t>
            </w:r>
          </w:p>
        </w:tc>
      </w:tr>
      <w:tr w:rsidR="007A2539" w:rsidRPr="00EA2B87" w14:paraId="72EDD3F5" w14:textId="77777777">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5D286D16" w14:textId="45C01C89" w:rsidR="007A2539" w:rsidRPr="00EA2B87" w:rsidRDefault="00A45C32" w:rsidP="00E55FD2">
            <w:pPr>
              <w:pStyle w:val="TableText"/>
              <w:widowControl/>
              <w:rPr>
                <w:b/>
                <w:i/>
                <w:iCs w:val="0"/>
              </w:rPr>
            </w:pPr>
            <w:r>
              <w:rPr>
                <w:b/>
                <w:iCs w:val="0"/>
              </w:rPr>
              <w:t>Overall population</w:t>
            </w:r>
          </w:p>
        </w:tc>
      </w:tr>
      <w:tr w:rsidR="007A2539" w:rsidRPr="00EA2B87" w14:paraId="059C669B"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8E95E95" w14:textId="77777777" w:rsidR="007A2539" w:rsidRPr="00EA2B87" w:rsidRDefault="007A2539" w:rsidP="00E55FD2">
            <w:pPr>
              <w:pStyle w:val="TableText"/>
              <w:widowControl/>
              <w:rPr>
                <w:i/>
                <w:iCs w:val="0"/>
              </w:rPr>
            </w:pPr>
            <w:proofErr w:type="spellStart"/>
            <w:r w:rsidRPr="00EA2B87">
              <w:rPr>
                <w:iCs w:val="0"/>
              </w:rPr>
              <w:t>Zilucoplan</w:t>
            </w:r>
            <w:proofErr w:type="spellEnd"/>
            <w:r w:rsidRPr="00EA2B87">
              <w:rPr>
                <w:iCs w:val="0"/>
              </w:rPr>
              <w:t xml:space="preserve"> (N = 86)</w:t>
            </w:r>
          </w:p>
        </w:tc>
        <w:tc>
          <w:tcPr>
            <w:tcW w:w="1559" w:type="dxa"/>
            <w:tcBorders>
              <w:top w:val="single" w:sz="4" w:space="0" w:color="auto"/>
              <w:left w:val="single" w:sz="4" w:space="0" w:color="auto"/>
              <w:bottom w:val="single" w:sz="4" w:space="0" w:color="auto"/>
              <w:right w:val="single" w:sz="4" w:space="0" w:color="auto"/>
            </w:tcBorders>
            <w:vAlign w:val="center"/>
          </w:tcPr>
          <w:p w14:paraId="1BDE4848" w14:textId="77777777" w:rsidR="007A2539" w:rsidRPr="00EA2B87" w:rsidRDefault="007A2539" w:rsidP="00E55FD2">
            <w:pPr>
              <w:pStyle w:val="TableText"/>
              <w:widowControl/>
              <w:jc w:val="center"/>
              <w:rPr>
                <w:i/>
                <w:iCs w:val="0"/>
              </w:rPr>
            </w:pPr>
            <w:r w:rsidRPr="00EA2B87">
              <w:rPr>
                <w:iCs w:val="0"/>
              </w:rPr>
              <w:t>18.6 (6.6)</w:t>
            </w:r>
          </w:p>
        </w:tc>
        <w:tc>
          <w:tcPr>
            <w:tcW w:w="1560" w:type="dxa"/>
            <w:tcBorders>
              <w:top w:val="single" w:sz="4" w:space="0" w:color="auto"/>
              <w:left w:val="single" w:sz="4" w:space="0" w:color="auto"/>
              <w:bottom w:val="single" w:sz="4" w:space="0" w:color="auto"/>
              <w:right w:val="single" w:sz="4" w:space="0" w:color="auto"/>
            </w:tcBorders>
            <w:vAlign w:val="center"/>
          </w:tcPr>
          <w:p w14:paraId="3987B6F1" w14:textId="77777777" w:rsidR="007A2539" w:rsidRPr="00EA2B87" w:rsidRDefault="007A2539" w:rsidP="00E55FD2">
            <w:pPr>
              <w:pStyle w:val="TableText"/>
              <w:widowControl/>
              <w:jc w:val="center"/>
              <w:rPr>
                <w:i/>
                <w:iCs w:val="0"/>
              </w:rPr>
            </w:pPr>
            <w:r w:rsidRPr="00EA2B87">
              <w:rPr>
                <w:iCs w:val="0"/>
              </w:rPr>
              <w:t>12.5 (8.0)</w:t>
            </w:r>
          </w:p>
        </w:tc>
        <w:tc>
          <w:tcPr>
            <w:tcW w:w="1701" w:type="dxa"/>
            <w:tcBorders>
              <w:top w:val="single" w:sz="4" w:space="0" w:color="auto"/>
              <w:left w:val="single" w:sz="4" w:space="0" w:color="auto"/>
              <w:right w:val="single" w:sz="4" w:space="0" w:color="auto"/>
            </w:tcBorders>
            <w:vAlign w:val="center"/>
          </w:tcPr>
          <w:p w14:paraId="26820BA7" w14:textId="77777777" w:rsidR="007A2539" w:rsidRPr="00EA2B87" w:rsidRDefault="007A2539" w:rsidP="00E55FD2">
            <w:pPr>
              <w:pStyle w:val="TableText"/>
              <w:widowControl/>
              <w:jc w:val="center"/>
              <w:rPr>
                <w:i/>
                <w:iCs w:val="0"/>
              </w:rPr>
            </w:pPr>
            <w:r w:rsidRPr="00EA2B87">
              <w:rPr>
                <w:iCs w:val="0"/>
              </w:rPr>
              <w:t>-5.65 (-7.17, -4.12)</w:t>
            </w:r>
          </w:p>
        </w:tc>
        <w:tc>
          <w:tcPr>
            <w:tcW w:w="1929" w:type="dxa"/>
            <w:vMerge w:val="restart"/>
            <w:tcBorders>
              <w:top w:val="single" w:sz="4" w:space="0" w:color="auto"/>
              <w:left w:val="single" w:sz="4" w:space="0" w:color="auto"/>
              <w:right w:val="single" w:sz="4" w:space="0" w:color="auto"/>
            </w:tcBorders>
            <w:vAlign w:val="center"/>
          </w:tcPr>
          <w:p w14:paraId="6605BFCF" w14:textId="77777777" w:rsidR="007A2539" w:rsidRPr="00EA2B87" w:rsidRDefault="007A2539" w:rsidP="00E55FD2">
            <w:pPr>
              <w:pStyle w:val="TableText"/>
              <w:widowControl/>
              <w:jc w:val="center"/>
              <w:rPr>
                <w:b/>
                <w:i/>
                <w:iCs w:val="0"/>
              </w:rPr>
            </w:pPr>
            <w:r w:rsidRPr="00EA2B87">
              <w:rPr>
                <w:b/>
                <w:iCs w:val="0"/>
              </w:rPr>
              <w:t>-2.49 (-4.45, -0.54)</w:t>
            </w:r>
          </w:p>
        </w:tc>
      </w:tr>
      <w:tr w:rsidR="007A2539" w:rsidRPr="00EA2B87" w14:paraId="147DE6C0"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5C190C31" w14:textId="77777777" w:rsidR="007A2539" w:rsidRPr="00EA2B87" w:rsidRDefault="007A2539" w:rsidP="00E55FD2">
            <w:pPr>
              <w:pStyle w:val="TableText"/>
              <w:widowControl/>
              <w:rPr>
                <w:i/>
                <w:iCs w:val="0"/>
              </w:rPr>
            </w:pPr>
            <w:r w:rsidRPr="00EA2B87">
              <w:rPr>
                <w:iCs w:val="0"/>
              </w:rPr>
              <w:t>Placebo (N = 88)</w:t>
            </w:r>
          </w:p>
        </w:tc>
        <w:tc>
          <w:tcPr>
            <w:tcW w:w="1559" w:type="dxa"/>
            <w:tcBorders>
              <w:top w:val="single" w:sz="4" w:space="0" w:color="auto"/>
              <w:left w:val="single" w:sz="4" w:space="0" w:color="auto"/>
              <w:bottom w:val="single" w:sz="4" w:space="0" w:color="auto"/>
              <w:right w:val="single" w:sz="4" w:space="0" w:color="auto"/>
            </w:tcBorders>
            <w:vAlign w:val="center"/>
          </w:tcPr>
          <w:p w14:paraId="47F5A35E" w14:textId="77777777" w:rsidR="007A2539" w:rsidRPr="00EA2B87" w:rsidRDefault="007A2539" w:rsidP="00E55FD2">
            <w:pPr>
              <w:pStyle w:val="TableText"/>
              <w:widowControl/>
              <w:jc w:val="center"/>
              <w:rPr>
                <w:i/>
                <w:iCs w:val="0"/>
              </w:rPr>
            </w:pPr>
            <w:r w:rsidRPr="00EA2B87">
              <w:rPr>
                <w:iCs w:val="0"/>
              </w:rPr>
              <w:t>18.9 (6.8)</w:t>
            </w:r>
          </w:p>
        </w:tc>
        <w:tc>
          <w:tcPr>
            <w:tcW w:w="1560" w:type="dxa"/>
            <w:tcBorders>
              <w:top w:val="single" w:sz="4" w:space="0" w:color="auto"/>
              <w:left w:val="single" w:sz="4" w:space="0" w:color="auto"/>
              <w:bottom w:val="single" w:sz="4" w:space="0" w:color="auto"/>
              <w:right w:val="single" w:sz="4" w:space="0" w:color="auto"/>
            </w:tcBorders>
            <w:vAlign w:val="center"/>
          </w:tcPr>
          <w:p w14:paraId="358938BF" w14:textId="77777777" w:rsidR="007A2539" w:rsidRPr="00EA2B87" w:rsidRDefault="007A2539" w:rsidP="00E55FD2">
            <w:pPr>
              <w:pStyle w:val="TableText"/>
              <w:widowControl/>
              <w:jc w:val="center"/>
              <w:rPr>
                <w:i/>
                <w:iCs w:val="0"/>
              </w:rPr>
            </w:pPr>
            <w:r w:rsidRPr="00EA2B87">
              <w:rPr>
                <w:iCs w:val="0"/>
              </w:rPr>
              <w:t>15.3 (8.1)</w:t>
            </w:r>
          </w:p>
        </w:tc>
        <w:tc>
          <w:tcPr>
            <w:tcW w:w="1701" w:type="dxa"/>
            <w:tcBorders>
              <w:left w:val="single" w:sz="4" w:space="0" w:color="auto"/>
              <w:right w:val="single" w:sz="4" w:space="0" w:color="auto"/>
            </w:tcBorders>
            <w:vAlign w:val="center"/>
          </w:tcPr>
          <w:p w14:paraId="6C52CAEE" w14:textId="77777777" w:rsidR="007A2539" w:rsidRPr="00EA2B87" w:rsidRDefault="007A2539" w:rsidP="00E55FD2">
            <w:pPr>
              <w:pStyle w:val="TableText"/>
              <w:widowControl/>
              <w:jc w:val="center"/>
              <w:rPr>
                <w:i/>
                <w:iCs w:val="0"/>
              </w:rPr>
            </w:pPr>
            <w:r w:rsidRPr="00EA2B87">
              <w:rPr>
                <w:iCs w:val="0"/>
              </w:rPr>
              <w:t>-3.16 (-4.65, -1.67)</w:t>
            </w:r>
          </w:p>
        </w:tc>
        <w:tc>
          <w:tcPr>
            <w:tcW w:w="1929" w:type="dxa"/>
            <w:vMerge/>
            <w:vAlign w:val="center"/>
          </w:tcPr>
          <w:p w14:paraId="3F3FFA9B" w14:textId="77777777" w:rsidR="007A2539" w:rsidRPr="00EA2B87" w:rsidRDefault="007A2539" w:rsidP="00E55FD2">
            <w:pPr>
              <w:pStyle w:val="TableText"/>
              <w:widowControl/>
              <w:jc w:val="center"/>
              <w:rPr>
                <w:i/>
                <w:iCs w:val="0"/>
              </w:rPr>
            </w:pPr>
          </w:p>
        </w:tc>
      </w:tr>
      <w:tr w:rsidR="00E341C3" w:rsidRPr="00E341C3" w14:paraId="46259DD6" w14:textId="77777777">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3D0A1071" w14:textId="774BD7B6" w:rsidR="00AC16A1" w:rsidRPr="00E341C3" w:rsidRDefault="00AC16A1" w:rsidP="00E55FD2">
            <w:pPr>
              <w:pStyle w:val="TableText"/>
              <w:widowControl/>
              <w:rPr>
                <w:b/>
                <w:i/>
                <w:iCs w:val="0"/>
              </w:rPr>
            </w:pPr>
            <w:r w:rsidRPr="00E341C3">
              <w:rPr>
                <w:b/>
              </w:rPr>
              <w:t>Treatment refractory patients</w:t>
            </w:r>
          </w:p>
        </w:tc>
      </w:tr>
      <w:tr w:rsidR="00E341C3" w:rsidRPr="00E341C3" w14:paraId="6B85C0B4"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C24EBF7" w14:textId="14FBC35A" w:rsidR="00AC16A1" w:rsidRPr="00E341C3" w:rsidRDefault="00AC16A1" w:rsidP="00E55FD2">
            <w:pPr>
              <w:pStyle w:val="TableText"/>
              <w:widowControl/>
              <w:rPr>
                <w:i/>
                <w:iCs w:val="0"/>
              </w:rPr>
            </w:pPr>
            <w:proofErr w:type="spellStart"/>
            <w:r w:rsidRPr="00E341C3">
              <w:t>Zilucoplan</w:t>
            </w:r>
            <w:proofErr w:type="spellEnd"/>
            <w:r w:rsidRPr="00E341C3">
              <w:t xml:space="preserve"> (N = 44)</w:t>
            </w:r>
          </w:p>
        </w:tc>
        <w:tc>
          <w:tcPr>
            <w:tcW w:w="1559" w:type="dxa"/>
            <w:tcBorders>
              <w:top w:val="single" w:sz="4" w:space="0" w:color="auto"/>
              <w:left w:val="single" w:sz="4" w:space="0" w:color="auto"/>
              <w:bottom w:val="single" w:sz="4" w:space="0" w:color="auto"/>
              <w:right w:val="single" w:sz="4" w:space="0" w:color="auto"/>
            </w:tcBorders>
            <w:vAlign w:val="center"/>
          </w:tcPr>
          <w:p w14:paraId="1F7D38AD" w14:textId="198204B3" w:rsidR="00AC16A1" w:rsidRPr="00E341C3" w:rsidRDefault="00AC16A1" w:rsidP="00E55FD2">
            <w:pPr>
              <w:pStyle w:val="TableText"/>
              <w:widowControl/>
              <w:jc w:val="center"/>
              <w:rPr>
                <w:i/>
                <w:iCs w:val="0"/>
              </w:rPr>
            </w:pPr>
            <w:r w:rsidRPr="00E341C3">
              <w:t>18.3 (6.9)</w:t>
            </w:r>
          </w:p>
        </w:tc>
        <w:tc>
          <w:tcPr>
            <w:tcW w:w="1560" w:type="dxa"/>
            <w:tcBorders>
              <w:top w:val="single" w:sz="4" w:space="0" w:color="auto"/>
              <w:left w:val="single" w:sz="4" w:space="0" w:color="auto"/>
              <w:bottom w:val="single" w:sz="4" w:space="0" w:color="auto"/>
              <w:right w:val="single" w:sz="4" w:space="0" w:color="auto"/>
            </w:tcBorders>
            <w:vAlign w:val="center"/>
          </w:tcPr>
          <w:p w14:paraId="21F40570" w14:textId="2BFB18ED" w:rsidR="00AC16A1" w:rsidRPr="00E341C3" w:rsidRDefault="00AC16A1" w:rsidP="00E55FD2">
            <w:pPr>
              <w:pStyle w:val="TableText"/>
              <w:widowControl/>
              <w:jc w:val="center"/>
              <w:rPr>
                <w:i/>
                <w:iCs w:val="0"/>
              </w:rPr>
            </w:pPr>
            <w:r w:rsidRPr="00E341C3">
              <w:t>12.3 (7.9)</w:t>
            </w:r>
          </w:p>
        </w:tc>
        <w:tc>
          <w:tcPr>
            <w:tcW w:w="1701" w:type="dxa"/>
            <w:tcBorders>
              <w:left w:val="single" w:sz="4" w:space="0" w:color="auto"/>
              <w:right w:val="single" w:sz="4" w:space="0" w:color="auto"/>
            </w:tcBorders>
            <w:vAlign w:val="center"/>
          </w:tcPr>
          <w:p w14:paraId="29816332" w14:textId="5AF80407" w:rsidR="00AC16A1" w:rsidRPr="00E341C3" w:rsidRDefault="00AC16A1" w:rsidP="00E55FD2">
            <w:pPr>
              <w:pStyle w:val="TableText"/>
              <w:widowControl/>
              <w:jc w:val="center"/>
              <w:rPr>
                <w:i/>
                <w:iCs w:val="0"/>
              </w:rPr>
            </w:pPr>
            <w:r w:rsidRPr="00E341C3">
              <w:t>-5.63 (-7.53, -3.73)</w:t>
            </w:r>
          </w:p>
        </w:tc>
        <w:tc>
          <w:tcPr>
            <w:tcW w:w="1929" w:type="dxa"/>
            <w:vMerge w:val="restart"/>
            <w:tcBorders>
              <w:left w:val="single" w:sz="4" w:space="0" w:color="auto"/>
              <w:right w:val="single" w:sz="4" w:space="0" w:color="auto"/>
            </w:tcBorders>
            <w:vAlign w:val="center"/>
          </w:tcPr>
          <w:p w14:paraId="63C72FE8" w14:textId="4FE55974" w:rsidR="00AC16A1" w:rsidRPr="00E341C3" w:rsidRDefault="00AC16A1" w:rsidP="00E55FD2">
            <w:pPr>
              <w:pStyle w:val="TableText"/>
              <w:widowControl/>
              <w:jc w:val="center"/>
              <w:rPr>
                <w:i/>
                <w:iCs w:val="0"/>
              </w:rPr>
            </w:pPr>
            <w:r w:rsidRPr="00E341C3">
              <w:t>-3.28 (-5.89, -0.67)</w:t>
            </w:r>
          </w:p>
        </w:tc>
      </w:tr>
      <w:tr w:rsidR="00E341C3" w:rsidRPr="00E341C3" w14:paraId="13035EA4"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053EA90A" w14:textId="77BF68C4" w:rsidR="00AC16A1" w:rsidRPr="00E341C3" w:rsidRDefault="00AC16A1" w:rsidP="00E55FD2">
            <w:pPr>
              <w:pStyle w:val="TableText"/>
              <w:widowControl/>
              <w:rPr>
                <w:i/>
                <w:iCs w:val="0"/>
              </w:rPr>
            </w:pPr>
            <w:r w:rsidRPr="00E341C3">
              <w:t>Placebo (N = 44)</w:t>
            </w:r>
          </w:p>
        </w:tc>
        <w:tc>
          <w:tcPr>
            <w:tcW w:w="1559" w:type="dxa"/>
            <w:tcBorders>
              <w:top w:val="single" w:sz="4" w:space="0" w:color="auto"/>
              <w:left w:val="single" w:sz="4" w:space="0" w:color="auto"/>
              <w:bottom w:val="single" w:sz="4" w:space="0" w:color="auto"/>
              <w:right w:val="single" w:sz="4" w:space="0" w:color="auto"/>
            </w:tcBorders>
            <w:vAlign w:val="center"/>
          </w:tcPr>
          <w:p w14:paraId="4FE78A9F" w14:textId="05231A72" w:rsidR="00AC16A1" w:rsidRPr="00E341C3" w:rsidRDefault="00AC16A1" w:rsidP="00E55FD2">
            <w:pPr>
              <w:pStyle w:val="TableText"/>
              <w:widowControl/>
              <w:jc w:val="center"/>
              <w:rPr>
                <w:i/>
                <w:iCs w:val="0"/>
              </w:rPr>
            </w:pPr>
            <w:r w:rsidRPr="00E341C3">
              <w:t>18.9 (6.9)</w:t>
            </w:r>
          </w:p>
        </w:tc>
        <w:tc>
          <w:tcPr>
            <w:tcW w:w="1560" w:type="dxa"/>
            <w:tcBorders>
              <w:top w:val="single" w:sz="4" w:space="0" w:color="auto"/>
              <w:left w:val="single" w:sz="4" w:space="0" w:color="auto"/>
              <w:bottom w:val="single" w:sz="4" w:space="0" w:color="auto"/>
              <w:right w:val="single" w:sz="4" w:space="0" w:color="auto"/>
            </w:tcBorders>
            <w:vAlign w:val="center"/>
          </w:tcPr>
          <w:p w14:paraId="00BDD320" w14:textId="2EBA48FA" w:rsidR="00AC16A1" w:rsidRPr="00E341C3" w:rsidRDefault="00AC16A1" w:rsidP="00E55FD2">
            <w:pPr>
              <w:pStyle w:val="TableText"/>
              <w:widowControl/>
              <w:jc w:val="center"/>
              <w:rPr>
                <w:i/>
                <w:iCs w:val="0"/>
              </w:rPr>
            </w:pPr>
            <w:r w:rsidRPr="00E341C3">
              <w:t>16.4 (7.4)</w:t>
            </w:r>
          </w:p>
        </w:tc>
        <w:tc>
          <w:tcPr>
            <w:tcW w:w="1701" w:type="dxa"/>
            <w:tcBorders>
              <w:left w:val="single" w:sz="4" w:space="0" w:color="auto"/>
              <w:right w:val="single" w:sz="4" w:space="0" w:color="auto"/>
            </w:tcBorders>
            <w:vAlign w:val="center"/>
          </w:tcPr>
          <w:p w14:paraId="0D59328B" w14:textId="3B8E7630" w:rsidR="00AC16A1" w:rsidRPr="00E341C3" w:rsidRDefault="00AC16A1" w:rsidP="00E55FD2">
            <w:pPr>
              <w:pStyle w:val="TableText"/>
              <w:widowControl/>
              <w:jc w:val="center"/>
              <w:rPr>
                <w:i/>
                <w:iCs w:val="0"/>
              </w:rPr>
            </w:pPr>
            <w:r w:rsidRPr="00E341C3">
              <w:t>-2.36 (-4.24, -0.47)</w:t>
            </w:r>
          </w:p>
        </w:tc>
        <w:tc>
          <w:tcPr>
            <w:tcW w:w="1929" w:type="dxa"/>
            <w:vMerge/>
            <w:vAlign w:val="center"/>
          </w:tcPr>
          <w:p w14:paraId="31F4AFA7" w14:textId="77777777" w:rsidR="00AC16A1" w:rsidRPr="00E341C3" w:rsidRDefault="00AC16A1" w:rsidP="00E55FD2">
            <w:pPr>
              <w:pStyle w:val="TableText"/>
              <w:widowControl/>
              <w:jc w:val="center"/>
              <w:rPr>
                <w:i/>
                <w:iCs w:val="0"/>
              </w:rPr>
            </w:pPr>
          </w:p>
        </w:tc>
      </w:tr>
      <w:tr w:rsidR="00E341C3" w:rsidRPr="00E341C3" w14:paraId="10350566" w14:textId="77777777">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035287EB" w14:textId="0F963CEF" w:rsidR="00AC16A1" w:rsidRPr="00E341C3" w:rsidRDefault="00AC16A1" w:rsidP="00E55FD2">
            <w:pPr>
              <w:pStyle w:val="TableText"/>
              <w:widowControl/>
              <w:rPr>
                <w:b/>
                <w:i/>
                <w:iCs w:val="0"/>
              </w:rPr>
            </w:pPr>
            <w:r w:rsidRPr="00E341C3">
              <w:rPr>
                <w:b/>
              </w:rPr>
              <w:t>Treatment non-refractory patients</w:t>
            </w:r>
          </w:p>
        </w:tc>
      </w:tr>
      <w:tr w:rsidR="00E341C3" w:rsidRPr="00E341C3" w14:paraId="630A38AA" w14:textId="77777777">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5D1CCCAB" w14:textId="35E29061" w:rsidR="00AC16A1" w:rsidRPr="00E341C3" w:rsidRDefault="00AC16A1" w:rsidP="00E55FD2">
            <w:pPr>
              <w:pStyle w:val="TableText"/>
              <w:widowControl/>
              <w:rPr>
                <w:i/>
                <w:iCs w:val="0"/>
              </w:rPr>
            </w:pPr>
            <w:proofErr w:type="spellStart"/>
            <w:r w:rsidRPr="00E341C3">
              <w:t>Zilucoplan</w:t>
            </w:r>
            <w:proofErr w:type="spellEnd"/>
            <w:r w:rsidRPr="00E341C3">
              <w:t xml:space="preserve"> (N = 42)</w:t>
            </w:r>
          </w:p>
        </w:tc>
        <w:tc>
          <w:tcPr>
            <w:tcW w:w="1559" w:type="dxa"/>
            <w:tcBorders>
              <w:top w:val="single" w:sz="4" w:space="0" w:color="auto"/>
              <w:left w:val="single" w:sz="4" w:space="0" w:color="auto"/>
              <w:bottom w:val="single" w:sz="4" w:space="0" w:color="auto"/>
              <w:right w:val="single" w:sz="4" w:space="0" w:color="auto"/>
            </w:tcBorders>
            <w:vAlign w:val="center"/>
          </w:tcPr>
          <w:p w14:paraId="34E4B492" w14:textId="4FC9A152" w:rsidR="00AC16A1" w:rsidRPr="00E341C3" w:rsidRDefault="00AC16A1" w:rsidP="00E55FD2">
            <w:pPr>
              <w:pStyle w:val="TableText"/>
              <w:widowControl/>
              <w:jc w:val="center"/>
              <w:rPr>
                <w:i/>
                <w:iCs w:val="0"/>
              </w:rPr>
            </w:pPr>
            <w:r w:rsidRPr="00E341C3">
              <w:t>18.9 (6.2)</w:t>
            </w:r>
          </w:p>
        </w:tc>
        <w:tc>
          <w:tcPr>
            <w:tcW w:w="1560" w:type="dxa"/>
            <w:tcBorders>
              <w:top w:val="single" w:sz="4" w:space="0" w:color="auto"/>
              <w:left w:val="single" w:sz="4" w:space="0" w:color="auto"/>
              <w:bottom w:val="single" w:sz="4" w:space="0" w:color="auto"/>
              <w:right w:val="single" w:sz="4" w:space="0" w:color="auto"/>
            </w:tcBorders>
            <w:vAlign w:val="center"/>
          </w:tcPr>
          <w:p w14:paraId="44F00B2C" w14:textId="053E9697" w:rsidR="00AC16A1" w:rsidRPr="00E341C3" w:rsidRDefault="00AC16A1" w:rsidP="00E55FD2">
            <w:pPr>
              <w:pStyle w:val="TableText"/>
              <w:widowControl/>
              <w:jc w:val="center"/>
              <w:rPr>
                <w:i/>
                <w:iCs w:val="0"/>
              </w:rPr>
            </w:pPr>
            <w:r w:rsidRPr="00E341C3">
              <w:t>12.6 (8.1)</w:t>
            </w:r>
          </w:p>
        </w:tc>
        <w:tc>
          <w:tcPr>
            <w:tcW w:w="1701" w:type="dxa"/>
            <w:tcBorders>
              <w:left w:val="single" w:sz="4" w:space="0" w:color="auto"/>
              <w:right w:val="single" w:sz="4" w:space="0" w:color="auto"/>
            </w:tcBorders>
            <w:vAlign w:val="center"/>
          </w:tcPr>
          <w:p w14:paraId="47E9716C" w14:textId="4D23E37D" w:rsidR="00AC16A1" w:rsidRPr="00E341C3" w:rsidRDefault="00AC16A1" w:rsidP="00E55FD2">
            <w:pPr>
              <w:pStyle w:val="TableText"/>
              <w:widowControl/>
              <w:jc w:val="center"/>
              <w:rPr>
                <w:i/>
                <w:iCs w:val="0"/>
              </w:rPr>
            </w:pPr>
            <w:r w:rsidRPr="00E341C3">
              <w:t>-4.73 (-7.88, -1.58)</w:t>
            </w:r>
          </w:p>
        </w:tc>
        <w:tc>
          <w:tcPr>
            <w:tcW w:w="1929" w:type="dxa"/>
            <w:vMerge w:val="restart"/>
            <w:tcBorders>
              <w:left w:val="single" w:sz="4" w:space="0" w:color="auto"/>
              <w:right w:val="single" w:sz="4" w:space="0" w:color="auto"/>
            </w:tcBorders>
            <w:vAlign w:val="center"/>
          </w:tcPr>
          <w:p w14:paraId="61B11F4A" w14:textId="16C895C1" w:rsidR="00AC16A1" w:rsidRPr="00E341C3" w:rsidRDefault="00AC16A1" w:rsidP="00E55FD2">
            <w:pPr>
              <w:pStyle w:val="TableText"/>
              <w:widowControl/>
              <w:jc w:val="center"/>
              <w:rPr>
                <w:i/>
                <w:iCs w:val="0"/>
              </w:rPr>
            </w:pPr>
            <w:r w:rsidRPr="00E341C3">
              <w:t>-1.73 (-4.66, 1.19)</w:t>
            </w:r>
          </w:p>
        </w:tc>
      </w:tr>
      <w:tr w:rsidR="00E341C3" w:rsidRPr="00E341C3" w14:paraId="284EEF82" w14:textId="77777777" w:rsidTr="00112013">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1A2CC959" w14:textId="74DB1AEF" w:rsidR="00AC16A1" w:rsidRPr="00E341C3" w:rsidRDefault="00AC16A1" w:rsidP="00E55FD2">
            <w:pPr>
              <w:pStyle w:val="TableText"/>
              <w:widowControl/>
              <w:rPr>
                <w:i/>
                <w:iCs w:val="0"/>
              </w:rPr>
            </w:pPr>
            <w:r w:rsidRPr="00E341C3">
              <w:t>Placebo (N = 44)</w:t>
            </w:r>
          </w:p>
        </w:tc>
        <w:tc>
          <w:tcPr>
            <w:tcW w:w="1559" w:type="dxa"/>
            <w:tcBorders>
              <w:top w:val="single" w:sz="4" w:space="0" w:color="auto"/>
              <w:left w:val="single" w:sz="4" w:space="0" w:color="auto"/>
              <w:bottom w:val="single" w:sz="4" w:space="0" w:color="auto"/>
              <w:right w:val="single" w:sz="4" w:space="0" w:color="auto"/>
            </w:tcBorders>
            <w:vAlign w:val="center"/>
          </w:tcPr>
          <w:p w14:paraId="43350AE9" w14:textId="14A52B94" w:rsidR="00AC16A1" w:rsidRPr="00E341C3" w:rsidRDefault="00AC16A1" w:rsidP="00E55FD2">
            <w:pPr>
              <w:pStyle w:val="TableText"/>
              <w:widowControl/>
              <w:jc w:val="center"/>
              <w:rPr>
                <w:i/>
                <w:iCs w:val="0"/>
              </w:rPr>
            </w:pPr>
            <w:r w:rsidRPr="00E341C3">
              <w:t>18.9 (6.8)</w:t>
            </w:r>
          </w:p>
        </w:tc>
        <w:tc>
          <w:tcPr>
            <w:tcW w:w="1560" w:type="dxa"/>
            <w:tcBorders>
              <w:top w:val="single" w:sz="4" w:space="0" w:color="auto"/>
              <w:left w:val="single" w:sz="4" w:space="0" w:color="auto"/>
              <w:bottom w:val="single" w:sz="4" w:space="0" w:color="auto"/>
              <w:right w:val="single" w:sz="4" w:space="0" w:color="auto"/>
            </w:tcBorders>
            <w:vAlign w:val="center"/>
          </w:tcPr>
          <w:p w14:paraId="64F07398" w14:textId="1F857DD9" w:rsidR="00AC16A1" w:rsidRPr="00E341C3" w:rsidRDefault="00AC16A1" w:rsidP="00E55FD2">
            <w:pPr>
              <w:pStyle w:val="TableText"/>
              <w:widowControl/>
              <w:jc w:val="center"/>
              <w:rPr>
                <w:i/>
                <w:iCs w:val="0"/>
              </w:rPr>
            </w:pPr>
            <w:r w:rsidRPr="00E341C3">
              <w:t>14.3 (8.8)</w:t>
            </w:r>
          </w:p>
        </w:tc>
        <w:tc>
          <w:tcPr>
            <w:tcW w:w="1701" w:type="dxa"/>
            <w:tcBorders>
              <w:left w:val="single" w:sz="4" w:space="0" w:color="auto"/>
              <w:right w:val="single" w:sz="4" w:space="0" w:color="auto"/>
            </w:tcBorders>
            <w:vAlign w:val="center"/>
          </w:tcPr>
          <w:p w14:paraId="778F7E15" w14:textId="5F39A055" w:rsidR="00AC16A1" w:rsidRPr="00E341C3" w:rsidRDefault="00AC16A1" w:rsidP="00E55FD2">
            <w:pPr>
              <w:pStyle w:val="TableText"/>
              <w:widowControl/>
              <w:jc w:val="center"/>
              <w:rPr>
                <w:i/>
                <w:iCs w:val="0"/>
              </w:rPr>
            </w:pPr>
            <w:r w:rsidRPr="00E341C3">
              <w:t>-3.00 (-6.11, 0.12)</w:t>
            </w:r>
          </w:p>
        </w:tc>
        <w:tc>
          <w:tcPr>
            <w:tcW w:w="1929" w:type="dxa"/>
            <w:vMerge/>
            <w:vAlign w:val="center"/>
          </w:tcPr>
          <w:p w14:paraId="56E4F319" w14:textId="77777777" w:rsidR="00AC16A1" w:rsidRPr="00E341C3" w:rsidRDefault="00AC16A1" w:rsidP="00E55FD2">
            <w:pPr>
              <w:pStyle w:val="TableText"/>
              <w:widowControl/>
              <w:jc w:val="center"/>
              <w:rPr>
                <w:i/>
                <w:iCs w:val="0"/>
              </w:rPr>
            </w:pPr>
          </w:p>
        </w:tc>
      </w:tr>
    </w:tbl>
    <w:p w14:paraId="77471781" w14:textId="264BFE26" w:rsidR="007A2539" w:rsidRPr="00B162C2" w:rsidRDefault="007A2539" w:rsidP="00E55FD2">
      <w:pPr>
        <w:pStyle w:val="COMTablefooter"/>
      </w:pPr>
      <w:r w:rsidRPr="00B162C2">
        <w:t xml:space="preserve">Source: Table 2.5-6, p77; </w:t>
      </w:r>
      <w:r w:rsidR="00AC16A1">
        <w:t>Table 2.6</w:t>
      </w:r>
      <w:r w:rsidR="004E5FC5">
        <w:t>-</w:t>
      </w:r>
      <w:r w:rsidR="00E341C3">
        <w:t>5</w:t>
      </w:r>
      <w:r w:rsidR="00AC16A1">
        <w:t>, p103 of the resubmission.</w:t>
      </w:r>
    </w:p>
    <w:p w14:paraId="7D5DA26D" w14:textId="760134D4" w:rsidR="007A2539" w:rsidRPr="00B162C2" w:rsidRDefault="007A2539" w:rsidP="00E55FD2">
      <w:pPr>
        <w:pStyle w:val="COMTablefooter"/>
      </w:pPr>
      <w:r w:rsidRPr="00B162C2">
        <w:t xml:space="preserve">Abbreviations: CI, confidence interval; LS, least squares; MG-QoL15r, revised Myasthenia Gravis Quality of Life; NR, not reported; SD, standard deviation </w:t>
      </w:r>
    </w:p>
    <w:p w14:paraId="0C2D2577" w14:textId="39ED1F90" w:rsidR="007A2539" w:rsidRPr="00B162C2" w:rsidRDefault="22647C06" w:rsidP="00E55FD2">
      <w:pPr>
        <w:pStyle w:val="COMTablefooter"/>
      </w:pPr>
      <w:r w:rsidRPr="7FB99A72">
        <w:t>Note: MG-QOL15r scores range from 0 to 30 with lower scores indicating better quality of life. There was no nominated minimal clinically important difference for this outcome</w:t>
      </w:r>
    </w:p>
    <w:p w14:paraId="6D254AC5" w14:textId="4E3111DC" w:rsidR="00413090" w:rsidRPr="00413090" w:rsidRDefault="22647C06" w:rsidP="00E55FD2">
      <w:pPr>
        <w:pStyle w:val="COMTablefooter"/>
        <w:rPr>
          <w:color w:val="0066FF"/>
        </w:rPr>
      </w:pPr>
      <w:r w:rsidRPr="7FB99A72">
        <w:t>Note: Bolding indicates statistically significant differences after accounting for multiplicity of testing</w:t>
      </w:r>
    </w:p>
    <w:p w14:paraId="269AAA37" w14:textId="7DCB2146" w:rsidR="00F84B8D" w:rsidRDefault="00F84B8D" w:rsidP="00E55FD2">
      <w:pPr>
        <w:pStyle w:val="COMexecsummnumbered"/>
      </w:pPr>
      <w:r w:rsidRPr="00B162C2">
        <w:t xml:space="preserve">Treatment with </w:t>
      </w:r>
      <w:proofErr w:type="spellStart"/>
      <w:r w:rsidRPr="00B162C2">
        <w:t>zilucoplan</w:t>
      </w:r>
      <w:proofErr w:type="spellEnd"/>
      <w:r w:rsidRPr="00B162C2">
        <w:t xml:space="preserve"> was associated with statistically significant improvements </w:t>
      </w:r>
      <w:r w:rsidR="004D1EBC">
        <w:t xml:space="preserve">in </w:t>
      </w:r>
      <w:r w:rsidR="00711EBF">
        <w:t>MG-Q</w:t>
      </w:r>
      <w:r w:rsidR="00CF511A">
        <w:t>o</w:t>
      </w:r>
      <w:r w:rsidR="00711EBF">
        <w:t xml:space="preserve">L15r </w:t>
      </w:r>
      <w:r w:rsidRPr="00B162C2">
        <w:t>compared to placebo at Week 12.</w:t>
      </w:r>
      <w:r w:rsidR="004D1EBC">
        <w:t xml:space="preserve"> </w:t>
      </w:r>
      <w:proofErr w:type="spellStart"/>
      <w:r w:rsidR="004D1EBC">
        <w:t>Zilucoplan</w:t>
      </w:r>
      <w:proofErr w:type="spellEnd"/>
      <w:r w:rsidR="004D1EBC">
        <w:t xml:space="preserve"> was also associated with </w:t>
      </w:r>
      <w:r w:rsidR="004D1EBC">
        <w:lastRenderedPageBreak/>
        <w:t>statistically significant improvements in Quality of Life in Neurological Disorders Fatigue score</w:t>
      </w:r>
      <w:r w:rsidR="004E2DF6">
        <w:t xml:space="preserve"> compared to placebo.</w:t>
      </w:r>
    </w:p>
    <w:p w14:paraId="04617E96" w14:textId="2B97B4D6" w:rsidR="00CF511A" w:rsidRPr="00B162C2" w:rsidRDefault="00CF511A" w:rsidP="00E55FD2">
      <w:pPr>
        <w:pStyle w:val="COMexecsummnumbered"/>
      </w:pPr>
      <w:r w:rsidRPr="00CF511A">
        <w:t xml:space="preserve">Results </w:t>
      </w:r>
      <w:r>
        <w:t>by</w:t>
      </w:r>
      <w:r w:rsidRPr="00CF511A">
        <w:t xml:space="preserve"> treatment refractory status suggest that the improvement in </w:t>
      </w:r>
      <w:r>
        <w:t>MG-QoL15r</w:t>
      </w:r>
      <w:r w:rsidRPr="00CF511A">
        <w:t xml:space="preserve"> associated with </w:t>
      </w:r>
      <w:proofErr w:type="spellStart"/>
      <w:r w:rsidRPr="00CF511A">
        <w:t>zilucoplan</w:t>
      </w:r>
      <w:proofErr w:type="spellEnd"/>
      <w:r w:rsidRPr="00CF511A">
        <w:t xml:space="preserve"> treatment compared to placebo may be larger in treatment refractory patients compared to treatment non-refractory patients.</w:t>
      </w:r>
    </w:p>
    <w:p w14:paraId="1680B9AE" w14:textId="3CB73DB2" w:rsidR="00F84B8D" w:rsidRPr="006B5726" w:rsidRDefault="00F84B8D" w:rsidP="00E55FD2">
      <w:pPr>
        <w:pStyle w:val="COMexecsummnumbered"/>
      </w:pPr>
      <w:r w:rsidRPr="006B5726">
        <w:t>The trial report did not provide any statistical analysis of EQ-5D-5L data. However, EQ</w:t>
      </w:r>
      <w:r w:rsidRPr="006B5726">
        <w:noBreakHyphen/>
        <w:t xml:space="preserve">5D-5L data from the RAISE trial were used to inform a </w:t>
      </w:r>
      <w:r w:rsidRPr="005F4376">
        <w:rPr>
          <w:i/>
          <w:iCs/>
        </w:rPr>
        <w:t>post hoc</w:t>
      </w:r>
      <w:r w:rsidRPr="006B5726">
        <w:t xml:space="preserve"> analysis of the association between change in MG-ADL score and change in EQ-5D utility scores over time used in the economic model. Therefore, the data should </w:t>
      </w:r>
      <w:r w:rsidR="00AB57B1">
        <w:t xml:space="preserve">have </w:t>
      </w:r>
      <w:r w:rsidRPr="006B5726">
        <w:t>be</w:t>
      </w:r>
      <w:r w:rsidR="00AB57B1">
        <w:t>en</w:t>
      </w:r>
      <w:r w:rsidRPr="006B5726">
        <w:t xml:space="preserve"> available to allow a comparison of the change in EQ-5D-5L scores (visual analogue scale, health state index) between treatment arms over time. </w:t>
      </w:r>
    </w:p>
    <w:p w14:paraId="28335585" w14:textId="77777777" w:rsidR="00DA3169" w:rsidRDefault="00DA3169" w:rsidP="00E55FD2">
      <w:pPr>
        <w:pStyle w:val="COMexecsummnumbered"/>
      </w:pPr>
      <w:r w:rsidRPr="00BF4C64">
        <w:t xml:space="preserve">The resubmission did not present a comparison of the incidence of exacerbation events between treatment arms of the RAISE trial. </w:t>
      </w:r>
    </w:p>
    <w:p w14:paraId="5464A662" w14:textId="4A82449E" w:rsidR="00DA3169" w:rsidRPr="006B5726" w:rsidRDefault="00DA3169" w:rsidP="00E55FD2">
      <w:pPr>
        <w:pStyle w:val="COMexecsummnumbered"/>
        <w:rPr>
          <w:rFonts w:ascii="Calibri" w:eastAsia="Times New Roman" w:hAnsi="Calibri" w:cs="Arial"/>
          <w:snapToGrid w:val="0"/>
        </w:rPr>
      </w:pPr>
      <w:r w:rsidRPr="78882673">
        <w:rPr>
          <w:rFonts w:ascii="Calibri" w:eastAsia="Times New Roman" w:hAnsi="Calibri" w:cs="Arial"/>
          <w:snapToGrid w:val="0"/>
        </w:rPr>
        <w:t xml:space="preserve">The July 2024 submission reported that there was no statistically significant difference in use of rescue medication (with IVIg, PLEX or eculizumab) between treatment arms in the RAISE trial although results numerically favoured </w:t>
      </w:r>
      <w:proofErr w:type="spellStart"/>
      <w:r w:rsidRPr="78882673">
        <w:rPr>
          <w:rFonts w:ascii="Calibri" w:eastAsia="Times New Roman" w:hAnsi="Calibri" w:cs="Arial"/>
          <w:snapToGrid w:val="0"/>
        </w:rPr>
        <w:t>zilucoplan</w:t>
      </w:r>
      <w:proofErr w:type="spellEnd"/>
      <w:r w:rsidRPr="78882673">
        <w:rPr>
          <w:rFonts w:ascii="Calibri" w:eastAsia="Times New Roman" w:hAnsi="Calibri" w:cs="Arial"/>
          <w:snapToGrid w:val="0"/>
        </w:rPr>
        <w:t xml:space="preserve"> (cumulative proportion of patients receiving rescue therapy by week 12, </w:t>
      </w:r>
      <w:proofErr w:type="spellStart"/>
      <w:r w:rsidRPr="78882673">
        <w:rPr>
          <w:rFonts w:ascii="Calibri" w:eastAsia="Times New Roman" w:hAnsi="Calibri" w:cs="Arial"/>
          <w:snapToGrid w:val="0"/>
        </w:rPr>
        <w:t>zilucoplan</w:t>
      </w:r>
      <w:proofErr w:type="spellEnd"/>
      <w:r w:rsidRPr="78882673">
        <w:rPr>
          <w:rFonts w:ascii="Calibri" w:eastAsia="Times New Roman" w:hAnsi="Calibri" w:cs="Arial"/>
          <w:snapToGrid w:val="0"/>
        </w:rPr>
        <w:t xml:space="preserve"> 4.7% versus placebo 11.4%: HR 0.42; 95% CI 0.12, 1.20). The PBAC previously noted that this equated to a number needed to treat </w:t>
      </w:r>
      <w:r w:rsidR="0026293A" w:rsidRPr="78882673">
        <w:rPr>
          <w:rFonts w:ascii="Calibri" w:eastAsia="Times New Roman" w:hAnsi="Calibri" w:cs="Arial"/>
          <w:snapToGrid w:val="0"/>
        </w:rPr>
        <w:t xml:space="preserve">to avoid one patient requiring rescue therapy of </w:t>
      </w:r>
      <w:r w:rsidRPr="78882673">
        <w:rPr>
          <w:rFonts w:ascii="Calibri" w:eastAsia="Times New Roman" w:hAnsi="Calibri" w:cs="Arial"/>
          <w:snapToGrid w:val="0"/>
        </w:rPr>
        <w:t>15</w:t>
      </w:r>
      <w:r w:rsidR="0026293A" w:rsidRPr="78882673">
        <w:rPr>
          <w:rFonts w:ascii="Calibri" w:eastAsia="Times New Roman" w:hAnsi="Calibri" w:cs="Arial"/>
          <w:snapToGrid w:val="0"/>
        </w:rPr>
        <w:t xml:space="preserve"> in the total trial population and 11 in the treatment refractory subgroup</w:t>
      </w:r>
      <w:r w:rsidR="009502B4" w:rsidRPr="78882673">
        <w:rPr>
          <w:rFonts w:ascii="Calibri" w:eastAsia="Times New Roman" w:hAnsi="Calibri" w:cs="Arial"/>
          <w:snapToGrid w:val="0"/>
        </w:rPr>
        <w:t xml:space="preserve"> (</w:t>
      </w:r>
      <w:r w:rsidR="00FB174B" w:rsidRPr="00FB174B">
        <w:rPr>
          <w:rFonts w:ascii="Calibri" w:eastAsia="Times New Roman" w:hAnsi="Calibri" w:cs="Arial"/>
          <w:snapToGrid w:val="0"/>
        </w:rPr>
        <w:t>paragraph</w:t>
      </w:r>
      <w:r w:rsidR="009502B4" w:rsidRPr="78882673">
        <w:rPr>
          <w:rFonts w:ascii="Calibri" w:eastAsia="Times New Roman" w:hAnsi="Calibri" w:cs="Arial"/>
          <w:snapToGrid w:val="0"/>
        </w:rPr>
        <w:t xml:space="preserve"> </w:t>
      </w:r>
      <w:r w:rsidR="00D14787" w:rsidRPr="78882673">
        <w:rPr>
          <w:rFonts w:ascii="Calibri" w:eastAsia="Times New Roman" w:hAnsi="Calibri" w:cs="Arial"/>
          <w:snapToGrid w:val="0"/>
        </w:rPr>
        <w:t>7.11</w:t>
      </w:r>
      <w:r w:rsidR="009502B4" w:rsidRPr="78882673">
        <w:rPr>
          <w:rFonts w:ascii="Calibri" w:eastAsia="Times New Roman" w:hAnsi="Calibri" w:cs="Arial"/>
          <w:snapToGrid w:val="0"/>
        </w:rPr>
        <w:t xml:space="preserve">, </w:t>
      </w:r>
      <w:proofErr w:type="spellStart"/>
      <w:r w:rsidR="009502B4" w:rsidRPr="78882673">
        <w:rPr>
          <w:rFonts w:ascii="Calibri" w:eastAsia="Times New Roman" w:hAnsi="Calibri" w:cs="Arial"/>
          <w:snapToGrid w:val="0"/>
        </w:rPr>
        <w:t>zilucoplan</w:t>
      </w:r>
      <w:proofErr w:type="spellEnd"/>
      <w:r w:rsidR="009502B4" w:rsidRPr="78882673">
        <w:rPr>
          <w:rFonts w:ascii="Calibri" w:eastAsia="Times New Roman" w:hAnsi="Calibri" w:cs="Arial"/>
          <w:snapToGrid w:val="0"/>
        </w:rPr>
        <w:t xml:space="preserve"> </w:t>
      </w:r>
      <w:r w:rsidR="002046F2" w:rsidRPr="78882673">
        <w:rPr>
          <w:rFonts w:eastAsia="PlantinStd"/>
        </w:rPr>
        <w:t xml:space="preserve">PBAC </w:t>
      </w:r>
      <w:r w:rsidR="00B32871">
        <w:rPr>
          <w:rFonts w:eastAsia="PlantinStd"/>
        </w:rPr>
        <w:t>PSD</w:t>
      </w:r>
      <w:r w:rsidR="009502B4" w:rsidRPr="78882673">
        <w:rPr>
          <w:rFonts w:ascii="Calibri" w:eastAsia="Times New Roman" w:hAnsi="Calibri" w:cs="Arial"/>
          <w:snapToGrid w:val="0"/>
        </w:rPr>
        <w:t>, July 2024 PBAC meeting)</w:t>
      </w:r>
      <w:r w:rsidRPr="78882673">
        <w:rPr>
          <w:rFonts w:ascii="Calibri" w:eastAsia="Times New Roman" w:hAnsi="Calibri" w:cs="Arial"/>
          <w:snapToGrid w:val="0"/>
        </w:rPr>
        <w:t>.</w:t>
      </w:r>
    </w:p>
    <w:p w14:paraId="344FD9FD" w14:textId="0D89E518" w:rsidR="00DA3169" w:rsidRPr="00F42F36" w:rsidRDefault="00DA3169" w:rsidP="00E55FD2">
      <w:pPr>
        <w:pStyle w:val="COMexecsummnumbered"/>
      </w:pPr>
      <w:r w:rsidRPr="78882673">
        <w:t>Corticosteroid doses were required to remain stable during the RAISE trial and the first 12 weeks of the extension study (total 24 weeks). After this period, corticosteroid doses were allowed to be modified based on physician discretion.</w:t>
      </w:r>
    </w:p>
    <w:p w14:paraId="766A9753" w14:textId="45C51569" w:rsidR="00DA3169" w:rsidRDefault="00DA3169" w:rsidP="00E55FD2">
      <w:pPr>
        <w:pStyle w:val="COMexecsummnumbered"/>
      </w:pPr>
      <w:r w:rsidRPr="78882673">
        <w:t xml:space="preserve">Based on all available data from the extension study for the </w:t>
      </w:r>
      <w:proofErr w:type="spellStart"/>
      <w:r w:rsidRPr="78882673">
        <w:t>zilucoplan</w:t>
      </w:r>
      <w:proofErr w:type="spellEnd"/>
      <w:r w:rsidRPr="78882673">
        <w:t>/</w:t>
      </w:r>
      <w:proofErr w:type="spellStart"/>
      <w:r w:rsidRPr="78882673">
        <w:t>zilucoplan</w:t>
      </w:r>
      <w:proofErr w:type="spellEnd"/>
      <w:r w:rsidRPr="78882673">
        <w:t xml:space="preserve"> group, 50.8% (33/65) of patients using corticosteroids at baseline were able to reduce or discontinue their corticosteroid dose (mean reduction of -16.28 mg per day; from a mean baseline dose of 23.86 mg per day to 7.58 mg per day). Additionally, 6.5% (6/93) of patients either initiated or increased their corticosteroid dose during the extension study (mean increase of 11.08 mg per day; from a mean baseline dose of 14.67 mg per day to 25.75 mg per day).</w:t>
      </w:r>
    </w:p>
    <w:p w14:paraId="1B949E9E" w14:textId="4D72D2BA" w:rsidR="00DA3169" w:rsidRPr="006B5726" w:rsidRDefault="00DA3169" w:rsidP="00E55FD2">
      <w:pPr>
        <w:pStyle w:val="COMexecsummnumbered"/>
        <w:rPr>
          <w:color w:val="0066FF"/>
        </w:rPr>
      </w:pPr>
      <w:r w:rsidRPr="78882673">
        <w:rPr>
          <w:rFonts w:ascii="Calibri" w:eastAsia="Times New Roman" w:hAnsi="Calibri"/>
        </w:rPr>
        <w:t xml:space="preserve">It is unclear whether </w:t>
      </w:r>
      <w:proofErr w:type="spellStart"/>
      <w:r w:rsidRPr="78882673">
        <w:rPr>
          <w:rFonts w:ascii="Calibri" w:eastAsia="Times New Roman" w:hAnsi="Calibri"/>
        </w:rPr>
        <w:t>zilucoplan</w:t>
      </w:r>
      <w:proofErr w:type="spellEnd"/>
      <w:r w:rsidRPr="78882673">
        <w:rPr>
          <w:rFonts w:ascii="Calibri" w:eastAsia="Times New Roman" w:hAnsi="Calibri"/>
        </w:rPr>
        <w:t xml:space="preserve"> is steroid-sparing as there are no comparative data on steroid use without </w:t>
      </w:r>
      <w:proofErr w:type="spellStart"/>
      <w:r w:rsidRPr="78882673">
        <w:rPr>
          <w:rFonts w:ascii="Calibri" w:eastAsia="Times New Roman" w:hAnsi="Calibri"/>
        </w:rPr>
        <w:t>zilucoplan</w:t>
      </w:r>
      <w:proofErr w:type="spellEnd"/>
      <w:r w:rsidRPr="78882673">
        <w:t xml:space="preserve"> in </w:t>
      </w:r>
      <w:r w:rsidR="00095ED0" w:rsidRPr="78882673">
        <w:t xml:space="preserve">the </w:t>
      </w:r>
      <w:r w:rsidRPr="78882673">
        <w:t xml:space="preserve">extension study. </w:t>
      </w:r>
      <w:r w:rsidRPr="78882673">
        <w:rPr>
          <w:rFonts w:ascii="Calibri" w:eastAsia="Times New Roman" w:hAnsi="Calibri" w:cs="Arial"/>
          <w:snapToGrid w:val="0"/>
        </w:rPr>
        <w:t xml:space="preserve">The ESC previously noted that the natural history of generalised myasthenia gravis is for its severity to wane over time and reducing of corticosteroid doses is standard practice with current treatments. Thus, the ESC </w:t>
      </w:r>
      <w:r w:rsidR="00271678" w:rsidRPr="78882673">
        <w:rPr>
          <w:rFonts w:ascii="Calibri" w:eastAsia="Times New Roman" w:hAnsi="Calibri" w:cs="Arial"/>
        </w:rPr>
        <w:t xml:space="preserve">previously </w:t>
      </w:r>
      <w:r w:rsidRPr="78882673">
        <w:rPr>
          <w:rFonts w:ascii="Calibri" w:eastAsia="Times New Roman" w:hAnsi="Calibri" w:cs="Arial"/>
          <w:snapToGrid w:val="0"/>
        </w:rPr>
        <w:t>considered it was unclear whether similar reductions in corticosteroid use would have occurred with standard therapy alone (</w:t>
      </w:r>
      <w:r w:rsidR="00FB174B" w:rsidRPr="00FB174B">
        <w:rPr>
          <w:rFonts w:ascii="Calibri" w:eastAsia="Times New Roman" w:hAnsi="Calibri" w:cs="Arial"/>
          <w:snapToGrid w:val="0"/>
        </w:rPr>
        <w:t>paragraph</w:t>
      </w:r>
      <w:r w:rsidRPr="78882673">
        <w:rPr>
          <w:rFonts w:ascii="Calibri" w:eastAsia="Times New Roman" w:hAnsi="Calibri" w:cs="Arial"/>
          <w:snapToGrid w:val="0"/>
        </w:rPr>
        <w:t xml:space="preserve"> 6.30, </w:t>
      </w:r>
      <w:proofErr w:type="spellStart"/>
      <w:r w:rsidRPr="78882673">
        <w:t>zilucoplan</w:t>
      </w:r>
      <w:proofErr w:type="spellEnd"/>
      <w:r w:rsidRPr="78882673">
        <w:t xml:space="preserve"> </w:t>
      </w:r>
      <w:r w:rsidR="002046F2" w:rsidRPr="78882673">
        <w:rPr>
          <w:rFonts w:eastAsia="PlantinStd"/>
        </w:rPr>
        <w:t xml:space="preserve">PBAC </w:t>
      </w:r>
      <w:r w:rsidR="00B32871">
        <w:rPr>
          <w:rFonts w:eastAsia="PlantinStd"/>
        </w:rPr>
        <w:t>PSD</w:t>
      </w:r>
      <w:r w:rsidRPr="78882673">
        <w:t>, July 2024 PBAC meeting</w:t>
      </w:r>
      <w:r w:rsidRPr="78882673">
        <w:rPr>
          <w:rFonts w:ascii="Calibri" w:eastAsia="Times New Roman" w:hAnsi="Calibri" w:cs="Arial"/>
          <w:snapToGrid w:val="0"/>
        </w:rPr>
        <w:t>).</w:t>
      </w:r>
    </w:p>
    <w:p w14:paraId="5ABFFC0F" w14:textId="50A1E71C" w:rsidR="00F2482F" w:rsidRPr="006B5726" w:rsidRDefault="00F2482F" w:rsidP="00E55FD2">
      <w:pPr>
        <w:pStyle w:val="COMexecsummnumbered"/>
      </w:pPr>
      <w:r w:rsidRPr="006B5726">
        <w:t>During the evaluation, summary details were presented of 5 published network meta-analyses</w:t>
      </w:r>
      <w:r w:rsidR="006220EA">
        <w:t xml:space="preserve"> (NMAs)</w:t>
      </w:r>
      <w:r w:rsidRPr="006B5726">
        <w:t xml:space="preserve"> that compared </w:t>
      </w:r>
      <w:proofErr w:type="spellStart"/>
      <w:r w:rsidRPr="006B5726">
        <w:t>zilucoplan</w:t>
      </w:r>
      <w:proofErr w:type="spellEnd"/>
      <w:r w:rsidRPr="006B5726">
        <w:t xml:space="preserve"> and near market comparators </w:t>
      </w:r>
      <w:r w:rsidRPr="006B5726">
        <w:lastRenderedPageBreak/>
        <w:t xml:space="preserve">efgartigimod, </w:t>
      </w:r>
      <w:proofErr w:type="spellStart"/>
      <w:r w:rsidRPr="006B5726">
        <w:t>ravulizumab</w:t>
      </w:r>
      <w:proofErr w:type="spellEnd"/>
      <w:r w:rsidRPr="006B5726">
        <w:t xml:space="preserve">, and rozanolixizumab (Chen 2023, Gu 2024, Sacca 2023, Smith 2024, Zhong 2024) and one published matching adjusted indirect comparison that compared efgartigimod and </w:t>
      </w:r>
      <w:proofErr w:type="spellStart"/>
      <w:r w:rsidRPr="006B5726">
        <w:t>ravulizumab</w:t>
      </w:r>
      <w:proofErr w:type="spellEnd"/>
      <w:r w:rsidRPr="006B5726">
        <w:t xml:space="preserve"> (van Steen 2024). </w:t>
      </w:r>
    </w:p>
    <w:p w14:paraId="1235B972" w14:textId="3C4F7E0F" w:rsidR="00F2482F" w:rsidRPr="006B5726" w:rsidRDefault="002D6C8F" w:rsidP="00E55FD2">
      <w:pPr>
        <w:pStyle w:val="COMexecsummnumbered"/>
      </w:pPr>
      <w:r w:rsidRPr="78882673">
        <w:t>The evaluation noted that r</w:t>
      </w:r>
      <w:r w:rsidR="00F2482F" w:rsidRPr="78882673">
        <w:t xml:space="preserve">esults of the indirect treatment comparisons suggest that </w:t>
      </w:r>
      <w:proofErr w:type="spellStart"/>
      <w:r w:rsidR="00F2482F" w:rsidRPr="78882673">
        <w:t>FcRn</w:t>
      </w:r>
      <w:proofErr w:type="spellEnd"/>
      <w:r w:rsidR="00F2482F" w:rsidRPr="78882673">
        <w:t xml:space="preserve"> blockers (e.g. efgartigimod, rozanolixizumab) may provide improved outcomes for patients with generalised myasthenia gravis, compared to complement inhibitors (e.g. </w:t>
      </w:r>
      <w:proofErr w:type="spellStart"/>
      <w:r w:rsidR="00F2482F" w:rsidRPr="78882673">
        <w:t>ravulizumab</w:t>
      </w:r>
      <w:proofErr w:type="spellEnd"/>
      <w:r w:rsidR="00F2482F" w:rsidRPr="78882673">
        <w:t xml:space="preserve">, </w:t>
      </w:r>
      <w:proofErr w:type="spellStart"/>
      <w:r w:rsidR="00F2482F" w:rsidRPr="78882673">
        <w:t>zilucoplan</w:t>
      </w:r>
      <w:proofErr w:type="spellEnd"/>
      <w:r w:rsidR="00F2482F" w:rsidRPr="78882673">
        <w:t>). However, the published analyses acknowledge the difficulties in comparing the different therapies due to differences between treatments administered with fixed dosing intervals compared to treatments administered as on/off treatment cycles, which does not account for the treatment effects waning over time during the off-treatment period. The publications also noted other limitations, including differences between trials in patient characteristics and prior and concomitant therapies, and the lack of direct evidence resulting in reliance on indirect estimates.</w:t>
      </w:r>
    </w:p>
    <w:p w14:paraId="12EACA7B" w14:textId="088738C1" w:rsidR="00085195" w:rsidRDefault="00F2482F" w:rsidP="00E55FD2">
      <w:pPr>
        <w:pStyle w:val="COMexecsummnumbered"/>
      </w:pPr>
      <w:r w:rsidRPr="006B5726">
        <w:t>None of the indirect treatment comparisons included IVIg or PLEX trials.</w:t>
      </w:r>
    </w:p>
    <w:p w14:paraId="2552B889" w14:textId="3B25A430" w:rsidR="004D7AAD" w:rsidRPr="006B5726" w:rsidRDefault="004D7AAD" w:rsidP="00E55FD2">
      <w:pPr>
        <w:pStyle w:val="COMexecsummnumbered"/>
      </w:pPr>
      <w:bookmarkStart w:id="45" w:name="_Hlk194042138"/>
      <w:r>
        <w:t xml:space="preserve">The resubmission did not include a clinical comparison versus chronic </w:t>
      </w:r>
      <w:r w:rsidR="00CB2558">
        <w:t>IVIg;</w:t>
      </w:r>
      <w:r>
        <w:t xml:space="preserve"> </w:t>
      </w:r>
      <w:r w:rsidR="0077631D">
        <w:t>however,</w:t>
      </w:r>
      <w:r>
        <w:t xml:space="preserve"> the previous submission </w:t>
      </w:r>
      <w:r w:rsidR="003D06F8" w:rsidRPr="003D06F8">
        <w:t xml:space="preserve">presented </w:t>
      </w:r>
      <w:bookmarkEnd w:id="45"/>
      <w:r w:rsidR="007268E5">
        <w:t xml:space="preserve">three </w:t>
      </w:r>
      <w:r w:rsidR="003D06F8" w:rsidRPr="003D06F8">
        <w:t xml:space="preserve">individual indirect comparisons between </w:t>
      </w:r>
      <w:proofErr w:type="spellStart"/>
      <w:r w:rsidR="003D06F8" w:rsidRPr="003D06F8">
        <w:t>zilucoplan</w:t>
      </w:r>
      <w:proofErr w:type="spellEnd"/>
      <w:r w:rsidR="003D06F8" w:rsidRPr="003D06F8">
        <w:t xml:space="preserve"> and chronic IVIg based on the argument that </w:t>
      </w:r>
      <w:r w:rsidR="007268E5">
        <w:t>the three</w:t>
      </w:r>
      <w:r w:rsidR="003D06F8" w:rsidRPr="003D06F8">
        <w:t xml:space="preserve"> IVIg trials were not sufficiently </w:t>
      </w:r>
      <w:proofErr w:type="gramStart"/>
      <w:r w:rsidR="003D06F8" w:rsidRPr="003D06F8">
        <w:t>similar to</w:t>
      </w:r>
      <w:proofErr w:type="gramEnd"/>
      <w:r w:rsidR="003D06F8" w:rsidRPr="003D06F8">
        <w:t xml:space="preserve"> justify a meta-analysis of results.</w:t>
      </w:r>
      <w:r w:rsidR="003D06F8">
        <w:t xml:space="preserve"> The indirect comparison versus </w:t>
      </w:r>
      <w:bookmarkStart w:id="46" w:name="_Hlk194042239"/>
      <w:r w:rsidR="003D06F8" w:rsidRPr="003D06F8">
        <w:t>NCT02473952</w:t>
      </w:r>
      <w:r w:rsidR="003D06F8">
        <w:t xml:space="preserve"> (subsequently published as Bril 2024</w:t>
      </w:r>
      <w:r w:rsidR="003D06F8" w:rsidRPr="003D06F8">
        <w:t xml:space="preserve">) </w:t>
      </w:r>
      <w:r w:rsidR="003D06F8">
        <w:t xml:space="preserve">found </w:t>
      </w:r>
      <w:r w:rsidR="003D06F8" w:rsidRPr="003D06F8">
        <w:t>no statistically significant difference</w:t>
      </w:r>
      <w:r w:rsidR="00E642D5">
        <w:t>s</w:t>
      </w:r>
      <w:r w:rsidR="003D06F8" w:rsidRPr="003D06F8">
        <w:t xml:space="preserve"> in functional outcomes (i.e. MG-ADL and QMG scores) </w:t>
      </w:r>
      <w:r w:rsidR="00992147">
        <w:t>between</w:t>
      </w:r>
      <w:r w:rsidR="003D06F8" w:rsidRPr="003D06F8">
        <w:t xml:space="preserve"> </w:t>
      </w:r>
      <w:proofErr w:type="spellStart"/>
      <w:r w:rsidR="003D06F8" w:rsidRPr="003D06F8">
        <w:t>zilucoplan</w:t>
      </w:r>
      <w:proofErr w:type="spellEnd"/>
      <w:r w:rsidR="003D06F8" w:rsidRPr="003D06F8">
        <w:t xml:space="preserve"> and chronic IVIg</w:t>
      </w:r>
      <w:bookmarkEnd w:id="46"/>
      <w:r w:rsidR="003D06F8" w:rsidRPr="003D06F8">
        <w:t xml:space="preserve">. </w:t>
      </w:r>
      <w:r w:rsidR="003D06F8">
        <w:t>However, t</w:t>
      </w:r>
      <w:r w:rsidR="003D06F8" w:rsidRPr="003D06F8">
        <w:t>he IVIg dosing regimen used in the trial was more intensive than recommended in the Australian product information</w:t>
      </w:r>
      <w:r w:rsidR="003D06F8">
        <w:t xml:space="preserve">. The commentary for the previous submission considered that this was the </w:t>
      </w:r>
      <w:r w:rsidR="003D06F8" w:rsidRPr="003D06F8">
        <w:t xml:space="preserve">most robust comparison currently available between </w:t>
      </w:r>
      <w:proofErr w:type="spellStart"/>
      <w:r w:rsidR="003D06F8" w:rsidRPr="003D06F8">
        <w:t>zilucoplan</w:t>
      </w:r>
      <w:proofErr w:type="spellEnd"/>
      <w:r w:rsidR="003D06F8" w:rsidRPr="003D06F8">
        <w:t xml:space="preserve"> and chronic IVIg </w:t>
      </w:r>
      <w:r w:rsidR="003D06F8">
        <w:t xml:space="preserve">(e.g. </w:t>
      </w:r>
      <w:r w:rsidR="00FA7CFA">
        <w:t xml:space="preserve">key issues with the other </w:t>
      </w:r>
      <w:r w:rsidR="007268E5">
        <w:t>two</w:t>
      </w:r>
      <w:r w:rsidR="00FA7CFA">
        <w:t xml:space="preserve"> studies assessing IVIg were</w:t>
      </w:r>
      <w:r w:rsidR="007268E5">
        <w:t xml:space="preserve"> that</w:t>
      </w:r>
      <w:r w:rsidR="00FA7CFA">
        <w:t xml:space="preserve">: </w:t>
      </w:r>
      <w:r w:rsidR="003D06F8" w:rsidRPr="003D06F8">
        <w:t xml:space="preserve">Wolfe </w:t>
      </w:r>
      <w:r w:rsidR="003D06F8">
        <w:t xml:space="preserve">et al </w:t>
      </w:r>
      <w:r w:rsidR="003D06F8" w:rsidRPr="003D06F8">
        <w:t>2002 was stopped prematurely due to a lack of IVIg availability</w:t>
      </w:r>
      <w:r w:rsidR="00FA7CFA">
        <w:t>;</w:t>
      </w:r>
      <w:r w:rsidR="003D06F8">
        <w:t xml:space="preserve"> and</w:t>
      </w:r>
      <w:r w:rsidR="003D06F8" w:rsidRPr="003D06F8">
        <w:t xml:space="preserve"> Zinman</w:t>
      </w:r>
      <w:r w:rsidR="003D06F8">
        <w:t xml:space="preserve"> et al 2007 </w:t>
      </w:r>
      <w:r w:rsidR="003D06F8" w:rsidRPr="003D06F8">
        <w:t>only assessed the efficacy of a single loading dose of IVIg rather than ongoing chronic therapy</w:t>
      </w:r>
      <w:r w:rsidR="00E642D5">
        <w:t>).</w:t>
      </w:r>
      <w:r w:rsidR="003D06F8" w:rsidRPr="003D06F8">
        <w:t xml:space="preserve"> </w:t>
      </w:r>
      <w:bookmarkStart w:id="47" w:name="_Hlk194042315"/>
      <w:r w:rsidR="001C0F60">
        <w:t>The</w:t>
      </w:r>
      <w:r w:rsidR="003D06F8" w:rsidRPr="003D06F8">
        <w:t xml:space="preserve"> </w:t>
      </w:r>
      <w:r w:rsidR="00E642D5">
        <w:t xml:space="preserve">previous </w:t>
      </w:r>
      <w:r w:rsidR="003D06F8" w:rsidRPr="003D06F8">
        <w:t>submission considered that i</w:t>
      </w:r>
      <w:r w:rsidR="007268E5">
        <w:t>t was</w:t>
      </w:r>
      <w:r w:rsidR="003D06F8" w:rsidRPr="003D06F8">
        <w:t xml:space="preserve"> likely that </w:t>
      </w:r>
      <w:proofErr w:type="spellStart"/>
      <w:r w:rsidR="003D06F8" w:rsidRPr="003D06F8">
        <w:t>zilucoplan</w:t>
      </w:r>
      <w:proofErr w:type="spellEnd"/>
      <w:r w:rsidR="003D06F8" w:rsidRPr="003D06F8">
        <w:t xml:space="preserve"> is at least non-inferior in terms of efficacy and safety compared to chronic IVIg/PLEX</w:t>
      </w:r>
      <w:r w:rsidR="001C0F60">
        <w:t xml:space="preserve">, albeit noting </w:t>
      </w:r>
      <w:r w:rsidR="00992147">
        <w:t xml:space="preserve">that </w:t>
      </w:r>
      <w:r w:rsidR="001C0F60" w:rsidRPr="003D06F8">
        <w:t xml:space="preserve">the limited evidence base available for chronic IVIg/PLEX precludes any robust clinical conclusion on the comparative efficacy and safety of </w:t>
      </w:r>
      <w:proofErr w:type="spellStart"/>
      <w:r w:rsidR="001C0F60">
        <w:t>zilucoplan</w:t>
      </w:r>
      <w:proofErr w:type="spellEnd"/>
      <w:r w:rsidR="001C0F60">
        <w:t xml:space="preserve"> versus IVIg.</w:t>
      </w:r>
      <w:bookmarkEnd w:id="47"/>
    </w:p>
    <w:p w14:paraId="1452C351" w14:textId="0D19F1B0" w:rsidR="00B60939" w:rsidRPr="00BB59B1" w:rsidRDefault="00B60939" w:rsidP="00E55FD2">
      <w:pPr>
        <w:pStyle w:val="COMH2-non-numbered"/>
      </w:pPr>
      <w:bookmarkStart w:id="48" w:name="_Toc22897642"/>
      <w:bookmarkStart w:id="49" w:name="_Toc188274683"/>
      <w:r w:rsidRPr="00BB59B1">
        <w:t>Comparative harms</w:t>
      </w:r>
      <w:bookmarkEnd w:id="48"/>
      <w:bookmarkEnd w:id="49"/>
    </w:p>
    <w:p w14:paraId="1B7D400C" w14:textId="5B8FB631" w:rsidR="007D28EC" w:rsidRDefault="007D28EC" w:rsidP="00E55FD2">
      <w:pPr>
        <w:pStyle w:val="COMexecsummnumbered"/>
      </w:pPr>
      <w:r w:rsidRPr="00B162C2">
        <w:t xml:space="preserve">An overall summary of the adverse events reported in the RAISE trial is presented in </w:t>
      </w:r>
      <w:r>
        <w:fldChar w:fldCharType="begin"/>
      </w:r>
      <w:r>
        <w:instrText xml:space="preserve"> REF _Ref185106081 \h  \* MERGEFORMAT </w:instrText>
      </w:r>
      <w:r>
        <w:fldChar w:fldCharType="separate"/>
      </w:r>
      <w:r w:rsidR="00271F88" w:rsidRPr="00B162C2">
        <w:t>Table</w:t>
      </w:r>
      <w:r w:rsidR="00271F88">
        <w:t xml:space="preserve"> </w:t>
      </w:r>
      <w:r w:rsidR="00271F88">
        <w:rPr>
          <w:noProof/>
        </w:rPr>
        <w:t>8</w:t>
      </w:r>
      <w:r>
        <w:fldChar w:fldCharType="end"/>
      </w:r>
      <w:r w:rsidRPr="00B162C2">
        <w:t>.</w:t>
      </w:r>
    </w:p>
    <w:p w14:paraId="7C40D77D" w14:textId="7B0DF11D" w:rsidR="0004411F" w:rsidRPr="00B162C2" w:rsidRDefault="0004411F" w:rsidP="00E55FD2">
      <w:pPr>
        <w:pStyle w:val="Caption"/>
      </w:pPr>
      <w:bookmarkStart w:id="50" w:name="_Ref164670383"/>
      <w:bookmarkStart w:id="51" w:name="_Ref185106081"/>
      <w:r w:rsidRPr="00B162C2">
        <w:lastRenderedPageBreak/>
        <w:t>Table</w:t>
      </w:r>
      <w:bookmarkEnd w:id="50"/>
      <w:r>
        <w:t xml:space="preserve"> </w:t>
      </w:r>
      <w:r w:rsidR="00891FF9">
        <w:fldChar w:fldCharType="begin"/>
      </w:r>
      <w:r w:rsidR="00891FF9">
        <w:instrText xml:space="preserve"> SEQ Table \* ARABIC </w:instrText>
      </w:r>
      <w:r w:rsidR="00891FF9">
        <w:fldChar w:fldCharType="separate"/>
      </w:r>
      <w:r w:rsidR="00271F88">
        <w:rPr>
          <w:noProof/>
        </w:rPr>
        <w:t>8</w:t>
      </w:r>
      <w:r w:rsidR="00891FF9">
        <w:rPr>
          <w:noProof/>
        </w:rPr>
        <w:fldChar w:fldCharType="end"/>
      </w:r>
      <w:bookmarkEnd w:id="51"/>
      <w:r w:rsidRPr="00B162C2">
        <w:t>: Summary of key adverse events in the RAISE trial</w:t>
      </w:r>
      <w:r>
        <w:t xml:space="preserve"> after 12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Summary of key adverse events in the RAISE trial after 12 weeks"/>
      </w:tblPr>
      <w:tblGrid>
        <w:gridCol w:w="4167"/>
        <w:gridCol w:w="2425"/>
        <w:gridCol w:w="2425"/>
      </w:tblGrid>
      <w:tr w:rsidR="0004411F" w:rsidRPr="00B162C2" w14:paraId="7B90D36C" w14:textId="77777777" w:rsidTr="00063A56">
        <w:trPr>
          <w:tblHeader/>
        </w:trPr>
        <w:tc>
          <w:tcPr>
            <w:tcW w:w="4167" w:type="dxa"/>
            <w:vAlign w:val="center"/>
          </w:tcPr>
          <w:p w14:paraId="5E97C6F3" w14:textId="77777777" w:rsidR="0004411F" w:rsidRPr="00B162C2" w:rsidRDefault="0004411F" w:rsidP="00E55FD2">
            <w:pPr>
              <w:pStyle w:val="COMTableheadingrow"/>
              <w:rPr>
                <w:lang w:val="en-AU"/>
              </w:rPr>
            </w:pPr>
            <w:r w:rsidRPr="00B162C2">
              <w:rPr>
                <w:lang w:val="en-AU"/>
              </w:rPr>
              <w:t>Patients, n (%) [number of events]</w:t>
            </w:r>
          </w:p>
        </w:tc>
        <w:tc>
          <w:tcPr>
            <w:tcW w:w="2425" w:type="dxa"/>
            <w:vAlign w:val="center"/>
          </w:tcPr>
          <w:p w14:paraId="7FB851E2" w14:textId="77777777" w:rsidR="0004411F" w:rsidRPr="00BB2D76" w:rsidRDefault="0004411F" w:rsidP="00E55FD2">
            <w:pPr>
              <w:pStyle w:val="TableText"/>
              <w:widowControl/>
              <w:jc w:val="center"/>
              <w:rPr>
                <w:b/>
                <w:iCs w:val="0"/>
              </w:rPr>
            </w:pPr>
            <w:proofErr w:type="spellStart"/>
            <w:r w:rsidRPr="00BB2D76">
              <w:rPr>
                <w:b/>
                <w:iCs w:val="0"/>
              </w:rPr>
              <w:t>Zilucoplan</w:t>
            </w:r>
            <w:proofErr w:type="spellEnd"/>
          </w:p>
          <w:p w14:paraId="5D2A43BC" w14:textId="77777777" w:rsidR="0004411F" w:rsidRPr="00BB2D76" w:rsidRDefault="0004411F" w:rsidP="00E55FD2">
            <w:pPr>
              <w:pStyle w:val="COMTableheadingrow"/>
              <w:jc w:val="center"/>
              <w:rPr>
                <w:bCs/>
                <w:lang w:val="en-AU"/>
              </w:rPr>
            </w:pPr>
            <w:r w:rsidRPr="00BB2D76">
              <w:rPr>
                <w:bCs/>
                <w:lang w:val="en-AU"/>
              </w:rPr>
              <w:t>N = 86</w:t>
            </w:r>
          </w:p>
        </w:tc>
        <w:tc>
          <w:tcPr>
            <w:tcW w:w="2425" w:type="dxa"/>
            <w:vAlign w:val="center"/>
          </w:tcPr>
          <w:p w14:paraId="39756E38" w14:textId="77777777" w:rsidR="0004411F" w:rsidRPr="00BB2D76" w:rsidRDefault="0004411F" w:rsidP="00E55FD2">
            <w:pPr>
              <w:pStyle w:val="TableText"/>
              <w:widowControl/>
              <w:jc w:val="center"/>
              <w:rPr>
                <w:b/>
                <w:iCs w:val="0"/>
              </w:rPr>
            </w:pPr>
            <w:r w:rsidRPr="00BB2D76">
              <w:rPr>
                <w:b/>
                <w:iCs w:val="0"/>
              </w:rPr>
              <w:t>Placebo</w:t>
            </w:r>
          </w:p>
          <w:p w14:paraId="69123BE6" w14:textId="77777777" w:rsidR="0004411F" w:rsidRPr="00BB2D76" w:rsidRDefault="0004411F" w:rsidP="00E55FD2">
            <w:pPr>
              <w:pStyle w:val="COMTableheadingrow"/>
              <w:jc w:val="center"/>
              <w:rPr>
                <w:bCs/>
                <w:lang w:val="en-AU"/>
              </w:rPr>
            </w:pPr>
            <w:r w:rsidRPr="00BB2D76">
              <w:rPr>
                <w:bCs/>
                <w:lang w:val="en-AU"/>
              </w:rPr>
              <w:t>N = 88</w:t>
            </w:r>
          </w:p>
        </w:tc>
      </w:tr>
      <w:tr w:rsidR="0004411F" w:rsidRPr="00B162C2" w14:paraId="09A293C1" w14:textId="77777777" w:rsidTr="00063A56">
        <w:tc>
          <w:tcPr>
            <w:tcW w:w="4167" w:type="dxa"/>
            <w:vAlign w:val="center"/>
          </w:tcPr>
          <w:p w14:paraId="7E0BD383" w14:textId="77777777" w:rsidR="0004411F" w:rsidRPr="00B162C2" w:rsidRDefault="0004411F" w:rsidP="00E55FD2">
            <w:pPr>
              <w:pStyle w:val="COMTabletext"/>
            </w:pPr>
            <w:r w:rsidRPr="00B162C2">
              <w:t>Any adverse event</w:t>
            </w:r>
          </w:p>
        </w:tc>
        <w:tc>
          <w:tcPr>
            <w:tcW w:w="2425" w:type="dxa"/>
            <w:vAlign w:val="center"/>
          </w:tcPr>
          <w:p w14:paraId="26BE3D68" w14:textId="77777777" w:rsidR="0004411F" w:rsidRPr="00B162C2" w:rsidRDefault="0004411F" w:rsidP="00E55FD2">
            <w:pPr>
              <w:pStyle w:val="COMTabletext"/>
              <w:jc w:val="center"/>
            </w:pPr>
            <w:r w:rsidRPr="00B162C2">
              <w:t>66 (76.7%) [291 events]</w:t>
            </w:r>
          </w:p>
        </w:tc>
        <w:tc>
          <w:tcPr>
            <w:tcW w:w="2425" w:type="dxa"/>
            <w:vAlign w:val="center"/>
          </w:tcPr>
          <w:p w14:paraId="6B467926" w14:textId="77777777" w:rsidR="0004411F" w:rsidRPr="00B162C2" w:rsidRDefault="0004411F" w:rsidP="00E55FD2">
            <w:pPr>
              <w:pStyle w:val="COMTabletext"/>
              <w:jc w:val="center"/>
            </w:pPr>
            <w:r w:rsidRPr="00B162C2">
              <w:t>62 (70.5%) [222 events]</w:t>
            </w:r>
          </w:p>
        </w:tc>
      </w:tr>
      <w:tr w:rsidR="0004411F" w:rsidRPr="00B162C2" w14:paraId="5FB0DFFA" w14:textId="77777777" w:rsidTr="00063A56">
        <w:tc>
          <w:tcPr>
            <w:tcW w:w="4167" w:type="dxa"/>
            <w:vAlign w:val="center"/>
          </w:tcPr>
          <w:p w14:paraId="3D0B0AC9" w14:textId="77777777" w:rsidR="0004411F" w:rsidRPr="00B162C2" w:rsidRDefault="0004411F" w:rsidP="00E55FD2">
            <w:pPr>
              <w:pStyle w:val="COMTabletext"/>
            </w:pPr>
            <w:r w:rsidRPr="00B162C2">
              <w:t>Treatment-related adverse event</w:t>
            </w:r>
          </w:p>
        </w:tc>
        <w:tc>
          <w:tcPr>
            <w:tcW w:w="2425" w:type="dxa"/>
            <w:vAlign w:val="center"/>
          </w:tcPr>
          <w:p w14:paraId="6BA99948" w14:textId="77777777" w:rsidR="0004411F" w:rsidRPr="00B162C2" w:rsidRDefault="0004411F" w:rsidP="00E55FD2">
            <w:pPr>
              <w:pStyle w:val="COMTabletext"/>
              <w:jc w:val="center"/>
            </w:pPr>
            <w:r w:rsidRPr="00B162C2">
              <w:t>28 (32.6%) [55 events]</w:t>
            </w:r>
          </w:p>
        </w:tc>
        <w:tc>
          <w:tcPr>
            <w:tcW w:w="2425" w:type="dxa"/>
            <w:vAlign w:val="center"/>
          </w:tcPr>
          <w:p w14:paraId="646A5E4F" w14:textId="77777777" w:rsidR="0004411F" w:rsidRPr="00B162C2" w:rsidRDefault="0004411F" w:rsidP="00E55FD2">
            <w:pPr>
              <w:pStyle w:val="COMTabletext"/>
              <w:jc w:val="center"/>
            </w:pPr>
            <w:r w:rsidRPr="00B162C2">
              <w:t>22 (25.0%) [34 events]</w:t>
            </w:r>
          </w:p>
        </w:tc>
      </w:tr>
      <w:tr w:rsidR="0004411F" w:rsidRPr="00B162C2" w14:paraId="2F6EFBDB" w14:textId="77777777" w:rsidTr="00063A56">
        <w:tc>
          <w:tcPr>
            <w:tcW w:w="4167" w:type="dxa"/>
            <w:vAlign w:val="center"/>
          </w:tcPr>
          <w:p w14:paraId="1F8D6D83" w14:textId="77777777" w:rsidR="0004411F" w:rsidRPr="00B162C2" w:rsidRDefault="0004411F" w:rsidP="00E55FD2">
            <w:pPr>
              <w:pStyle w:val="COMTabletext"/>
            </w:pPr>
            <w:r w:rsidRPr="00B162C2">
              <w:t>Serious adverse event</w:t>
            </w:r>
          </w:p>
        </w:tc>
        <w:tc>
          <w:tcPr>
            <w:tcW w:w="2425" w:type="dxa"/>
            <w:vAlign w:val="center"/>
          </w:tcPr>
          <w:p w14:paraId="0FAEFF74" w14:textId="77777777" w:rsidR="0004411F" w:rsidRPr="00B162C2" w:rsidRDefault="0004411F" w:rsidP="00E55FD2">
            <w:pPr>
              <w:pStyle w:val="COMTabletext"/>
              <w:jc w:val="center"/>
            </w:pPr>
            <w:r w:rsidRPr="00B162C2">
              <w:t>11 (12.8%) [15 events]</w:t>
            </w:r>
          </w:p>
        </w:tc>
        <w:tc>
          <w:tcPr>
            <w:tcW w:w="2425" w:type="dxa"/>
            <w:vAlign w:val="center"/>
          </w:tcPr>
          <w:p w14:paraId="478AB5D8" w14:textId="77777777" w:rsidR="0004411F" w:rsidRPr="00B162C2" w:rsidRDefault="0004411F" w:rsidP="00E55FD2">
            <w:pPr>
              <w:pStyle w:val="COMTabletext"/>
              <w:jc w:val="center"/>
            </w:pPr>
            <w:r w:rsidRPr="00B162C2">
              <w:t>13 (14.8%) [18 events]</w:t>
            </w:r>
          </w:p>
        </w:tc>
      </w:tr>
      <w:tr w:rsidR="0004411F" w:rsidRPr="00B162C2" w14:paraId="1AF93BBE" w14:textId="77777777" w:rsidTr="00063A56">
        <w:tc>
          <w:tcPr>
            <w:tcW w:w="4167" w:type="dxa"/>
            <w:vAlign w:val="center"/>
          </w:tcPr>
          <w:p w14:paraId="4FC0D8F9" w14:textId="77777777" w:rsidR="0004411F" w:rsidRPr="00B162C2" w:rsidRDefault="0004411F" w:rsidP="00E55FD2">
            <w:pPr>
              <w:pStyle w:val="COMTabletext"/>
            </w:pPr>
            <w:r w:rsidRPr="00B162C2">
              <w:t>Adverse events leading to treatment discontinuation</w:t>
            </w:r>
          </w:p>
        </w:tc>
        <w:tc>
          <w:tcPr>
            <w:tcW w:w="2425" w:type="dxa"/>
            <w:vAlign w:val="center"/>
          </w:tcPr>
          <w:p w14:paraId="3450AF2F" w14:textId="77777777" w:rsidR="0004411F" w:rsidRPr="00B162C2" w:rsidRDefault="0004411F" w:rsidP="00E55FD2">
            <w:pPr>
              <w:pStyle w:val="COMTabletext"/>
              <w:jc w:val="center"/>
            </w:pPr>
            <w:r w:rsidRPr="00B162C2">
              <w:t>4 (4.7%) [4 events]</w:t>
            </w:r>
          </w:p>
        </w:tc>
        <w:tc>
          <w:tcPr>
            <w:tcW w:w="2425" w:type="dxa"/>
            <w:vAlign w:val="center"/>
          </w:tcPr>
          <w:p w14:paraId="165D790A" w14:textId="77777777" w:rsidR="0004411F" w:rsidRPr="00B162C2" w:rsidRDefault="0004411F" w:rsidP="00E55FD2">
            <w:pPr>
              <w:pStyle w:val="COMTabletext"/>
              <w:jc w:val="center"/>
            </w:pPr>
            <w:r w:rsidRPr="00B162C2">
              <w:t>2 (2.3%) [2 events]</w:t>
            </w:r>
          </w:p>
        </w:tc>
      </w:tr>
      <w:tr w:rsidR="0004411F" w:rsidRPr="00B162C2" w14:paraId="5EFDBC3C" w14:textId="77777777" w:rsidTr="00063A56">
        <w:tc>
          <w:tcPr>
            <w:tcW w:w="4167" w:type="dxa"/>
            <w:vAlign w:val="center"/>
          </w:tcPr>
          <w:p w14:paraId="6675A9F5" w14:textId="77777777" w:rsidR="0004411F" w:rsidRPr="00B162C2" w:rsidRDefault="0004411F" w:rsidP="00E55FD2">
            <w:pPr>
              <w:pStyle w:val="COMTabletext"/>
            </w:pPr>
            <w:r w:rsidRPr="00B162C2">
              <w:t>Deaths</w:t>
            </w:r>
          </w:p>
        </w:tc>
        <w:tc>
          <w:tcPr>
            <w:tcW w:w="2425" w:type="dxa"/>
            <w:vAlign w:val="center"/>
          </w:tcPr>
          <w:p w14:paraId="4B061636" w14:textId="77777777" w:rsidR="0004411F" w:rsidRPr="00B162C2" w:rsidRDefault="0004411F" w:rsidP="00E55FD2">
            <w:pPr>
              <w:pStyle w:val="COMTabletext"/>
              <w:jc w:val="center"/>
            </w:pPr>
            <w:r w:rsidRPr="00B162C2">
              <w:t>1 (1.2%)</w:t>
            </w:r>
          </w:p>
        </w:tc>
        <w:tc>
          <w:tcPr>
            <w:tcW w:w="2425" w:type="dxa"/>
            <w:vAlign w:val="center"/>
          </w:tcPr>
          <w:p w14:paraId="438EF946" w14:textId="77777777" w:rsidR="0004411F" w:rsidRPr="00B162C2" w:rsidRDefault="0004411F" w:rsidP="00E55FD2">
            <w:pPr>
              <w:pStyle w:val="COMTabletext"/>
              <w:jc w:val="center"/>
            </w:pPr>
            <w:r w:rsidRPr="00B162C2">
              <w:t>1 (1.1%)</w:t>
            </w:r>
          </w:p>
        </w:tc>
      </w:tr>
      <w:tr w:rsidR="0004411F" w:rsidRPr="00B162C2" w14:paraId="5C875B72" w14:textId="77777777" w:rsidTr="00063A56">
        <w:tc>
          <w:tcPr>
            <w:tcW w:w="9017" w:type="dxa"/>
            <w:gridSpan w:val="3"/>
            <w:vAlign w:val="center"/>
          </w:tcPr>
          <w:p w14:paraId="472B206A" w14:textId="77777777" w:rsidR="0004411F" w:rsidRPr="00B162C2" w:rsidRDefault="0004411F" w:rsidP="00E55FD2">
            <w:pPr>
              <w:pStyle w:val="COMTableheadingrow"/>
              <w:rPr>
                <w:lang w:val="en-AU"/>
              </w:rPr>
            </w:pPr>
            <w:r w:rsidRPr="00B162C2">
              <w:rPr>
                <w:lang w:val="en-AU"/>
              </w:rPr>
              <w:t>Adverse events of special interest</w:t>
            </w:r>
          </w:p>
        </w:tc>
      </w:tr>
      <w:tr w:rsidR="0004411F" w:rsidRPr="00B162C2" w14:paraId="611469EE" w14:textId="77777777" w:rsidTr="00063A56">
        <w:tc>
          <w:tcPr>
            <w:tcW w:w="4167" w:type="dxa"/>
            <w:vAlign w:val="center"/>
          </w:tcPr>
          <w:p w14:paraId="4FCC158E" w14:textId="77777777" w:rsidR="0004411F" w:rsidRPr="00B162C2" w:rsidRDefault="0004411F" w:rsidP="00E55FD2">
            <w:pPr>
              <w:pStyle w:val="COMTabletext"/>
            </w:pPr>
            <w:r w:rsidRPr="00B162C2">
              <w:t>Infections</w:t>
            </w:r>
          </w:p>
        </w:tc>
        <w:tc>
          <w:tcPr>
            <w:tcW w:w="2425" w:type="dxa"/>
            <w:vAlign w:val="center"/>
          </w:tcPr>
          <w:p w14:paraId="6363CD10" w14:textId="77777777" w:rsidR="0004411F" w:rsidRPr="00B162C2" w:rsidRDefault="0004411F" w:rsidP="00E55FD2">
            <w:pPr>
              <w:pStyle w:val="COMTabletext"/>
              <w:jc w:val="center"/>
            </w:pPr>
            <w:r w:rsidRPr="00B162C2">
              <w:t>23 (26.7%)</w:t>
            </w:r>
          </w:p>
        </w:tc>
        <w:tc>
          <w:tcPr>
            <w:tcW w:w="2425" w:type="dxa"/>
            <w:vAlign w:val="center"/>
          </w:tcPr>
          <w:p w14:paraId="06BECEE9" w14:textId="77777777" w:rsidR="0004411F" w:rsidRPr="00B162C2" w:rsidRDefault="0004411F" w:rsidP="00E55FD2">
            <w:pPr>
              <w:pStyle w:val="COMTabletext"/>
              <w:jc w:val="center"/>
            </w:pPr>
            <w:r w:rsidRPr="00B162C2">
              <w:t>16 (18.2%)</w:t>
            </w:r>
          </w:p>
        </w:tc>
      </w:tr>
      <w:tr w:rsidR="0004411F" w:rsidRPr="00B162C2" w14:paraId="12AD2AD3" w14:textId="77777777" w:rsidTr="00063A56">
        <w:tc>
          <w:tcPr>
            <w:tcW w:w="4167" w:type="dxa"/>
            <w:vAlign w:val="center"/>
          </w:tcPr>
          <w:p w14:paraId="6730AC85" w14:textId="77777777" w:rsidR="0004411F" w:rsidRPr="00B162C2" w:rsidRDefault="0004411F" w:rsidP="00E55FD2">
            <w:pPr>
              <w:pStyle w:val="COMTabletext"/>
            </w:pPr>
            <w:r w:rsidRPr="00B162C2">
              <w:t>Malignancies</w:t>
            </w:r>
          </w:p>
        </w:tc>
        <w:tc>
          <w:tcPr>
            <w:tcW w:w="2425" w:type="dxa"/>
            <w:vAlign w:val="center"/>
          </w:tcPr>
          <w:p w14:paraId="51575B15" w14:textId="77777777" w:rsidR="0004411F" w:rsidRPr="00B162C2" w:rsidRDefault="0004411F" w:rsidP="00E55FD2">
            <w:pPr>
              <w:pStyle w:val="COMTabletext"/>
              <w:jc w:val="center"/>
            </w:pPr>
            <w:r w:rsidRPr="00B162C2">
              <w:t>1 (1.2%)</w:t>
            </w:r>
          </w:p>
        </w:tc>
        <w:tc>
          <w:tcPr>
            <w:tcW w:w="2425" w:type="dxa"/>
            <w:vAlign w:val="center"/>
          </w:tcPr>
          <w:p w14:paraId="1F4E1CA2" w14:textId="77777777" w:rsidR="0004411F" w:rsidRPr="00B162C2" w:rsidRDefault="0004411F" w:rsidP="00E55FD2">
            <w:pPr>
              <w:pStyle w:val="COMTabletext"/>
              <w:jc w:val="center"/>
            </w:pPr>
            <w:r w:rsidRPr="00B162C2">
              <w:t>1 (1.1%)</w:t>
            </w:r>
          </w:p>
        </w:tc>
      </w:tr>
      <w:tr w:rsidR="0004411F" w:rsidRPr="00B162C2" w14:paraId="6C4EDF6A" w14:textId="77777777" w:rsidTr="00063A56">
        <w:tc>
          <w:tcPr>
            <w:tcW w:w="4167" w:type="dxa"/>
            <w:vAlign w:val="center"/>
          </w:tcPr>
          <w:p w14:paraId="1850AE6E" w14:textId="77777777" w:rsidR="0004411F" w:rsidRPr="00B162C2" w:rsidRDefault="0004411F" w:rsidP="00E55FD2">
            <w:pPr>
              <w:pStyle w:val="COMTabletext"/>
            </w:pPr>
            <w:r w:rsidRPr="00B162C2">
              <w:t>Hypersensitivity</w:t>
            </w:r>
          </w:p>
        </w:tc>
        <w:tc>
          <w:tcPr>
            <w:tcW w:w="2425" w:type="dxa"/>
            <w:vAlign w:val="center"/>
          </w:tcPr>
          <w:p w14:paraId="6A407A44" w14:textId="77777777" w:rsidR="0004411F" w:rsidRPr="00B162C2" w:rsidRDefault="0004411F" w:rsidP="00E55FD2">
            <w:pPr>
              <w:pStyle w:val="COMTabletext"/>
              <w:jc w:val="center"/>
            </w:pPr>
            <w:r w:rsidRPr="00B162C2">
              <w:t>8 (9.3%)</w:t>
            </w:r>
          </w:p>
        </w:tc>
        <w:tc>
          <w:tcPr>
            <w:tcW w:w="2425" w:type="dxa"/>
            <w:vAlign w:val="center"/>
          </w:tcPr>
          <w:p w14:paraId="469F6768" w14:textId="77777777" w:rsidR="0004411F" w:rsidRPr="00B162C2" w:rsidRDefault="0004411F" w:rsidP="00E55FD2">
            <w:pPr>
              <w:pStyle w:val="COMTabletext"/>
              <w:jc w:val="center"/>
            </w:pPr>
            <w:r w:rsidRPr="00B162C2">
              <w:t>8 (9.1%)</w:t>
            </w:r>
          </w:p>
        </w:tc>
      </w:tr>
      <w:tr w:rsidR="0004411F" w:rsidRPr="00B162C2" w14:paraId="56CD6EE7" w14:textId="77777777" w:rsidTr="00063A56">
        <w:tc>
          <w:tcPr>
            <w:tcW w:w="4167" w:type="dxa"/>
            <w:vAlign w:val="center"/>
          </w:tcPr>
          <w:p w14:paraId="28DDCF29" w14:textId="77777777" w:rsidR="0004411F" w:rsidRPr="00B162C2" w:rsidRDefault="0004411F" w:rsidP="00E55FD2">
            <w:pPr>
              <w:pStyle w:val="COMTabletext"/>
            </w:pPr>
            <w:r w:rsidRPr="00B162C2">
              <w:t>Injection site reactions</w:t>
            </w:r>
          </w:p>
        </w:tc>
        <w:tc>
          <w:tcPr>
            <w:tcW w:w="2425" w:type="dxa"/>
            <w:vAlign w:val="center"/>
          </w:tcPr>
          <w:p w14:paraId="60610FDD" w14:textId="77777777" w:rsidR="0004411F" w:rsidRPr="00B162C2" w:rsidRDefault="0004411F" w:rsidP="00E55FD2">
            <w:pPr>
              <w:pStyle w:val="COMTabletext"/>
              <w:jc w:val="center"/>
            </w:pPr>
            <w:r w:rsidRPr="00B162C2">
              <w:t>23 (26.7%)</w:t>
            </w:r>
          </w:p>
        </w:tc>
        <w:tc>
          <w:tcPr>
            <w:tcW w:w="2425" w:type="dxa"/>
            <w:vAlign w:val="center"/>
          </w:tcPr>
          <w:p w14:paraId="06AA856E" w14:textId="77777777" w:rsidR="0004411F" w:rsidRPr="00B162C2" w:rsidRDefault="0004411F" w:rsidP="00E55FD2">
            <w:pPr>
              <w:pStyle w:val="COMTabletext"/>
              <w:jc w:val="center"/>
            </w:pPr>
            <w:r w:rsidRPr="00B162C2">
              <w:t>13 (14.8%)</w:t>
            </w:r>
          </w:p>
        </w:tc>
      </w:tr>
      <w:tr w:rsidR="0004411F" w:rsidRPr="00B162C2" w14:paraId="63C25DF0" w14:textId="77777777" w:rsidTr="00063A56">
        <w:tc>
          <w:tcPr>
            <w:tcW w:w="4167" w:type="dxa"/>
            <w:vAlign w:val="center"/>
          </w:tcPr>
          <w:p w14:paraId="222478A0" w14:textId="77777777" w:rsidR="0004411F" w:rsidRPr="00B162C2" w:rsidRDefault="0004411F" w:rsidP="00E55FD2">
            <w:pPr>
              <w:pStyle w:val="COMTabletext"/>
            </w:pPr>
            <w:r w:rsidRPr="00B162C2">
              <w:t>Hepatic events</w:t>
            </w:r>
          </w:p>
        </w:tc>
        <w:tc>
          <w:tcPr>
            <w:tcW w:w="2425" w:type="dxa"/>
            <w:vAlign w:val="center"/>
          </w:tcPr>
          <w:p w14:paraId="6C344A65" w14:textId="77777777" w:rsidR="0004411F" w:rsidRPr="00B162C2" w:rsidRDefault="0004411F" w:rsidP="00E55FD2">
            <w:pPr>
              <w:pStyle w:val="COMTabletext"/>
              <w:jc w:val="center"/>
            </w:pPr>
            <w:r w:rsidRPr="00B162C2">
              <w:t>3 (3.5%)</w:t>
            </w:r>
          </w:p>
        </w:tc>
        <w:tc>
          <w:tcPr>
            <w:tcW w:w="2425" w:type="dxa"/>
            <w:vAlign w:val="center"/>
          </w:tcPr>
          <w:p w14:paraId="2D16EE57" w14:textId="77777777" w:rsidR="0004411F" w:rsidRPr="00B162C2" w:rsidRDefault="0004411F" w:rsidP="00E55FD2">
            <w:pPr>
              <w:pStyle w:val="COMTabletext"/>
              <w:jc w:val="center"/>
            </w:pPr>
            <w:r w:rsidRPr="00B162C2">
              <w:t>1 (1.1%)</w:t>
            </w:r>
          </w:p>
        </w:tc>
      </w:tr>
    </w:tbl>
    <w:p w14:paraId="329AB454" w14:textId="77777777" w:rsidR="0004411F" w:rsidRPr="00B162C2" w:rsidRDefault="0004411F" w:rsidP="00E55FD2">
      <w:pPr>
        <w:pStyle w:val="TableFigureFooter"/>
      </w:pPr>
      <w:r w:rsidRPr="00B162C2">
        <w:t>Source: Table 2.5-11, p91 of the submission; Table 9-2, p193; Table 14.3.14.1, pp1884-1902 of the RAISE trial report</w:t>
      </w:r>
    </w:p>
    <w:p w14:paraId="3E40D072" w14:textId="1CD27840" w:rsidR="0055590B" w:rsidRPr="00B162C2" w:rsidRDefault="0055590B" w:rsidP="00E55FD2">
      <w:pPr>
        <w:pStyle w:val="COMexecsummnumbered"/>
      </w:pPr>
      <w:r w:rsidRPr="78882673">
        <w:t>All patients in the RAISE trial received a meningococcal vaccination before commencing study drug treatment and no meningococcal infections were reported during the trial.</w:t>
      </w:r>
    </w:p>
    <w:p w14:paraId="57898386" w14:textId="4767B6EF" w:rsidR="0055590B" w:rsidRPr="00B162C2" w:rsidRDefault="0055590B" w:rsidP="00E55FD2">
      <w:pPr>
        <w:pStyle w:val="COMexecsummnumbered"/>
      </w:pPr>
      <w:r w:rsidRPr="78882673">
        <w:t>The most frequently reported adverse events (&gt;</w:t>
      </w:r>
      <w:r w:rsidR="007F0326">
        <w:t xml:space="preserve"> </w:t>
      </w:r>
      <w:r w:rsidRPr="78882673">
        <w:t>5% of patients) in either treatment arm were injection site reactions, headache, myasthenia gravis worsening, upper respiratory tract infections, urinary tract infections, diarrhoea, nausea and vomiting, rash, skin injuries, and digestive enzyme investigations.</w:t>
      </w:r>
    </w:p>
    <w:p w14:paraId="51878AEA" w14:textId="47B2E127" w:rsidR="0055590B" w:rsidRPr="00B162C2" w:rsidRDefault="0055590B" w:rsidP="00E55FD2">
      <w:pPr>
        <w:pStyle w:val="COMexecsummnumbered"/>
      </w:pPr>
      <w:r w:rsidRPr="78882673">
        <w:t xml:space="preserve">Treatment with </w:t>
      </w:r>
      <w:proofErr w:type="spellStart"/>
      <w:r w:rsidRPr="78882673">
        <w:t>zilucoplan</w:t>
      </w:r>
      <w:proofErr w:type="spellEnd"/>
      <w:r w:rsidRPr="78882673">
        <w:t xml:space="preserve"> was associated with a higher rate of any adverse event and treatment-related adverse events compared to placebo. This difference was primarily due to an increase in mild-to-moderate injection site reactions. </w:t>
      </w:r>
      <w:proofErr w:type="gramStart"/>
      <w:r w:rsidRPr="78882673">
        <w:t>In regard to</w:t>
      </w:r>
      <w:proofErr w:type="gramEnd"/>
      <w:r w:rsidRPr="78882673">
        <w:t xml:space="preserve"> adverse events of special interest, </w:t>
      </w:r>
      <w:proofErr w:type="spellStart"/>
      <w:r w:rsidRPr="78882673">
        <w:t>zilucoplan</w:t>
      </w:r>
      <w:proofErr w:type="spellEnd"/>
      <w:r w:rsidRPr="78882673">
        <w:t xml:space="preserve"> was associated with an increase incidence of non-serious infections and injection-site reactions.</w:t>
      </w:r>
    </w:p>
    <w:p w14:paraId="57E907AD" w14:textId="77777777" w:rsidR="0055590B" w:rsidRPr="00E75A07" w:rsidRDefault="0055590B" w:rsidP="00E55FD2">
      <w:pPr>
        <w:pStyle w:val="COMexecsummnumbered"/>
      </w:pPr>
      <w:r>
        <w:t>A</w:t>
      </w:r>
      <w:r w:rsidRPr="005F76AC">
        <w:t xml:space="preserve">dverse events by treatment refractory status </w:t>
      </w:r>
      <w:r>
        <w:t xml:space="preserve">suggest that </w:t>
      </w:r>
      <w:r w:rsidRPr="005F76AC">
        <w:t xml:space="preserve">patients in the treatment refractory subgroup were more likely to experience an adverse event compared to patients in the non-refractory subgroup. In the refractory subgroup, numerically greater proportions of patients on </w:t>
      </w:r>
      <w:proofErr w:type="spellStart"/>
      <w:r w:rsidRPr="005F76AC">
        <w:t>zilucoplan</w:t>
      </w:r>
      <w:proofErr w:type="spellEnd"/>
      <w:r w:rsidRPr="005F76AC">
        <w:t xml:space="preserve"> </w:t>
      </w:r>
      <w:r>
        <w:t xml:space="preserve">compared with placebo </w:t>
      </w:r>
      <w:r w:rsidRPr="005F76AC">
        <w:t xml:space="preserve">reported any adverse event </w:t>
      </w:r>
      <w:r>
        <w:t xml:space="preserve">(88.6% versus 77.3%) </w:t>
      </w:r>
      <w:r w:rsidRPr="005F76AC">
        <w:t>and</w:t>
      </w:r>
      <w:r w:rsidRPr="00C605FF">
        <w:t xml:space="preserve"> treatment-related adverse events</w:t>
      </w:r>
      <w:r>
        <w:t xml:space="preserve"> (36.4% versus 29.5%)</w:t>
      </w:r>
      <w:r w:rsidRPr="00C605FF">
        <w:t xml:space="preserve">. </w:t>
      </w:r>
      <w:r>
        <w:t>Similarly, i</w:t>
      </w:r>
      <w:r w:rsidRPr="00C605FF">
        <w:t xml:space="preserve">n the non-refractory subgroup, numerically greater proportions of patients on </w:t>
      </w:r>
      <w:proofErr w:type="spellStart"/>
      <w:r w:rsidRPr="00C605FF">
        <w:t>zilucoplan</w:t>
      </w:r>
      <w:proofErr w:type="spellEnd"/>
      <w:r w:rsidRPr="00C605FF">
        <w:t xml:space="preserve"> </w:t>
      </w:r>
      <w:r>
        <w:t xml:space="preserve">compared with placebo </w:t>
      </w:r>
      <w:r w:rsidRPr="00C605FF">
        <w:t>reported any adverse event</w:t>
      </w:r>
      <w:r>
        <w:t xml:space="preserve"> (64.3% versus 63.6%) </w:t>
      </w:r>
      <w:r w:rsidRPr="00C605FF">
        <w:t xml:space="preserve">and treatment-related adverse events </w:t>
      </w:r>
      <w:r>
        <w:t>(28.6% versus 20.5%)</w:t>
      </w:r>
      <w:r w:rsidRPr="00C605FF">
        <w:t>.</w:t>
      </w:r>
    </w:p>
    <w:p w14:paraId="21D85B6E" w14:textId="38092D25" w:rsidR="0055590B" w:rsidRPr="00B162C2" w:rsidRDefault="0055590B" w:rsidP="00E55FD2">
      <w:pPr>
        <w:pStyle w:val="COMexecsummnumbered"/>
      </w:pPr>
      <w:r w:rsidRPr="78882673">
        <w:t xml:space="preserve">The interim analysis of the RAISE open-label extension study (mean exposure 2.1 years) was suggestive of declining adverse event rates over time and did not identify any additional safety concerns with </w:t>
      </w:r>
      <w:proofErr w:type="spellStart"/>
      <w:r w:rsidRPr="78882673">
        <w:t>zilucoplan</w:t>
      </w:r>
      <w:proofErr w:type="spellEnd"/>
      <w:r w:rsidRPr="78882673">
        <w:t xml:space="preserve"> treatment.</w:t>
      </w:r>
    </w:p>
    <w:p w14:paraId="04384DCD" w14:textId="77777777" w:rsidR="0055590B" w:rsidRPr="00334CF7" w:rsidRDefault="0055590B" w:rsidP="00E55FD2">
      <w:pPr>
        <w:pStyle w:val="COMexecsummnumbered"/>
      </w:pPr>
      <w:r w:rsidRPr="00334CF7">
        <w:t>The resubmission provided a Periodic Safety Update Report (25 September 2023 to 24 March 2024)</w:t>
      </w:r>
      <w:r>
        <w:t>, which included</w:t>
      </w:r>
      <w:r w:rsidRPr="00334CF7">
        <w:t xml:space="preserve"> the use of </w:t>
      </w:r>
      <w:proofErr w:type="spellStart"/>
      <w:r w:rsidRPr="00334CF7">
        <w:t>zilucoplan</w:t>
      </w:r>
      <w:proofErr w:type="spellEnd"/>
      <w:r w:rsidRPr="00334CF7">
        <w:t xml:space="preserve"> for generalised myasthenia gravis in adult patients who are </w:t>
      </w:r>
      <w:proofErr w:type="spellStart"/>
      <w:r w:rsidRPr="00334CF7">
        <w:t>AChR</w:t>
      </w:r>
      <w:proofErr w:type="spellEnd"/>
      <w:r w:rsidRPr="00334CF7">
        <w:t xml:space="preserve">-positive. Important identified risks include serious hypersensitivity reactions, and pancreatitis and severe pancreatic events. Important potential risks include </w:t>
      </w:r>
      <w:r w:rsidRPr="00680F69">
        <w:rPr>
          <w:i/>
        </w:rPr>
        <w:t>Neisseria</w:t>
      </w:r>
      <w:r w:rsidRPr="00334CF7">
        <w:t xml:space="preserve"> infections (particularly meningococcal infections), and </w:t>
      </w:r>
      <w:r w:rsidRPr="00334CF7">
        <w:lastRenderedPageBreak/>
        <w:t>serious infections. Missing information includes use during pregnancy and lactation, and long-term safety.</w:t>
      </w:r>
    </w:p>
    <w:p w14:paraId="7F0D65D8" w14:textId="77777777" w:rsidR="0055590B" w:rsidRPr="006B5726" w:rsidRDefault="0055590B" w:rsidP="00E55FD2">
      <w:pPr>
        <w:pStyle w:val="COMexecsummnumbered"/>
        <w:rPr>
          <w:iCs/>
        </w:rPr>
      </w:pPr>
      <w:r w:rsidRPr="006B5726">
        <w:rPr>
          <w:iCs/>
        </w:rPr>
        <w:t xml:space="preserve">A more detailed assessment of the safety of complement inhibitors in general would have been informative given the limited safety data available for </w:t>
      </w:r>
      <w:proofErr w:type="spellStart"/>
      <w:r w:rsidRPr="006B5726">
        <w:rPr>
          <w:iCs/>
        </w:rPr>
        <w:t>zilucoplan</w:t>
      </w:r>
      <w:proofErr w:type="spellEnd"/>
      <w:r w:rsidRPr="006B5726">
        <w:rPr>
          <w:iCs/>
        </w:rPr>
        <w:t>.</w:t>
      </w:r>
    </w:p>
    <w:p w14:paraId="04908C7F" w14:textId="415B9B7D" w:rsidR="007F1017" w:rsidRPr="00BB59B1" w:rsidRDefault="007F1017" w:rsidP="00E55FD2">
      <w:pPr>
        <w:pStyle w:val="COMH2-non-numbered"/>
      </w:pPr>
      <w:bookmarkStart w:id="52" w:name="_Toc22897643"/>
      <w:bookmarkStart w:id="53" w:name="_Toc188274684"/>
      <w:r w:rsidRPr="00BB59B1">
        <w:t>Benefits/harms</w:t>
      </w:r>
      <w:bookmarkEnd w:id="52"/>
      <w:bookmarkEnd w:id="53"/>
    </w:p>
    <w:p w14:paraId="770EEB13" w14:textId="04739229" w:rsidR="00EE7B3F" w:rsidRDefault="00EE7B3F" w:rsidP="00E55FD2">
      <w:pPr>
        <w:pStyle w:val="COMexecsummnumbered"/>
      </w:pPr>
      <w:r w:rsidRPr="00B162C2">
        <w:t xml:space="preserve">A summary of the comparative benefits and harms for </w:t>
      </w:r>
      <w:proofErr w:type="spellStart"/>
      <w:r w:rsidRPr="00B162C2">
        <w:t>zilucoplan</w:t>
      </w:r>
      <w:proofErr w:type="spellEnd"/>
      <w:r w:rsidRPr="00B162C2">
        <w:t xml:space="preserve"> versus placebo is presented in </w:t>
      </w:r>
      <w:r>
        <w:fldChar w:fldCharType="begin"/>
      </w:r>
      <w:r>
        <w:instrText xml:space="preserve"> REF _Ref164671255 \h  \* MERGEFORMAT </w:instrText>
      </w:r>
      <w:r>
        <w:fldChar w:fldCharType="separate"/>
      </w:r>
      <w:r w:rsidR="00271F88" w:rsidRPr="00B162C2">
        <w:t xml:space="preserve">Table </w:t>
      </w:r>
      <w:r w:rsidR="00271F88">
        <w:rPr>
          <w:noProof/>
        </w:rPr>
        <w:t>9</w:t>
      </w:r>
      <w:r>
        <w:fldChar w:fldCharType="end"/>
      </w:r>
      <w:r w:rsidRPr="00B162C2">
        <w:t>.</w:t>
      </w:r>
    </w:p>
    <w:p w14:paraId="3CD8C587" w14:textId="2DF74B0F" w:rsidR="00CA723F" w:rsidRPr="00B162C2" w:rsidRDefault="00CA723F" w:rsidP="00E55FD2">
      <w:pPr>
        <w:pStyle w:val="COMtablefigcaption"/>
        <w:rPr>
          <w:color w:val="3366FF"/>
        </w:rPr>
      </w:pPr>
      <w:bookmarkStart w:id="54" w:name="_Ref164671255"/>
      <w:bookmarkStart w:id="55" w:name="_Ref155874101"/>
      <w:r w:rsidRPr="00B162C2">
        <w:t xml:space="preserve">Table </w:t>
      </w:r>
      <w:r>
        <w:fldChar w:fldCharType="begin"/>
      </w:r>
      <w:r>
        <w:instrText>SEQ Table \* ARABIC</w:instrText>
      </w:r>
      <w:r>
        <w:fldChar w:fldCharType="separate"/>
      </w:r>
      <w:r w:rsidR="00271F88">
        <w:rPr>
          <w:noProof/>
        </w:rPr>
        <w:t>9</w:t>
      </w:r>
      <w:r>
        <w:fldChar w:fldCharType="end"/>
      </w:r>
      <w:bookmarkEnd w:id="54"/>
      <w:r w:rsidRPr="00B162C2">
        <w:rPr>
          <w:snapToGrid w:val="0"/>
        </w:rPr>
        <w:t xml:space="preserve">: Summary of comparative benefits and harms for </w:t>
      </w:r>
      <w:proofErr w:type="spellStart"/>
      <w:r w:rsidRPr="00B162C2">
        <w:rPr>
          <w:snapToGrid w:val="0"/>
        </w:rPr>
        <w:t>zilucoplan</w:t>
      </w:r>
      <w:proofErr w:type="spellEnd"/>
      <w:r w:rsidRPr="00B162C2">
        <w:rPr>
          <w:snapToGrid w:val="0"/>
        </w:rPr>
        <w:t xml:space="preserve"> and placebo</w:t>
      </w:r>
      <w:bookmarkEnd w:id="55"/>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9: Summary of comparative benefits and harms for zilucoplan and placebo"/>
      </w:tblPr>
      <w:tblGrid>
        <w:gridCol w:w="3969"/>
        <w:gridCol w:w="1591"/>
        <w:gridCol w:w="1592"/>
        <w:gridCol w:w="1865"/>
      </w:tblGrid>
      <w:tr w:rsidR="00CA723F" w:rsidRPr="00B162C2" w14:paraId="04C01BE1" w14:textId="77777777">
        <w:trPr>
          <w:cantSplit/>
          <w:tblHeader/>
        </w:trPr>
        <w:tc>
          <w:tcPr>
            <w:tcW w:w="2201" w:type="pct"/>
            <w:tcBorders>
              <w:right w:val="single" w:sz="4" w:space="0" w:color="auto"/>
            </w:tcBorders>
            <w:shd w:val="clear" w:color="auto" w:fill="auto"/>
            <w:vAlign w:val="center"/>
          </w:tcPr>
          <w:p w14:paraId="631EA3C8" w14:textId="77777777" w:rsidR="00CA723F" w:rsidRPr="00B162C2" w:rsidRDefault="00CA723F" w:rsidP="00E55FD2">
            <w:pPr>
              <w:pStyle w:val="COMTableheadingrow"/>
              <w:keepNext w:val="0"/>
              <w:rPr>
                <w:snapToGrid w:val="0"/>
                <w:lang w:val="en-AU"/>
              </w:rPr>
            </w:pPr>
            <w:r>
              <w:rPr>
                <w:snapToGrid w:val="0"/>
                <w:lang w:val="en-AU"/>
              </w:rPr>
              <w:t xml:space="preserve">Outcome </w:t>
            </w:r>
          </w:p>
        </w:tc>
        <w:tc>
          <w:tcPr>
            <w:tcW w:w="882" w:type="pct"/>
            <w:tcBorders>
              <w:left w:val="single" w:sz="4" w:space="0" w:color="auto"/>
              <w:right w:val="single" w:sz="4" w:space="0" w:color="auto"/>
            </w:tcBorders>
            <w:shd w:val="clear" w:color="auto" w:fill="auto"/>
            <w:vAlign w:val="center"/>
          </w:tcPr>
          <w:p w14:paraId="297E2465" w14:textId="77777777" w:rsidR="00CA723F" w:rsidRPr="00B162C2" w:rsidRDefault="00CA723F" w:rsidP="00E55FD2">
            <w:pPr>
              <w:pStyle w:val="COMTableheadingrow"/>
              <w:keepNext w:val="0"/>
              <w:jc w:val="center"/>
              <w:rPr>
                <w:snapToGrid w:val="0"/>
                <w:lang w:val="en-AU"/>
              </w:rPr>
            </w:pPr>
            <w:proofErr w:type="spellStart"/>
            <w:r w:rsidRPr="00B162C2">
              <w:rPr>
                <w:snapToGrid w:val="0"/>
                <w:lang w:val="en-AU"/>
              </w:rPr>
              <w:t>Zilucoplan</w:t>
            </w:r>
            <w:proofErr w:type="spellEnd"/>
          </w:p>
        </w:tc>
        <w:tc>
          <w:tcPr>
            <w:tcW w:w="883" w:type="pct"/>
            <w:tcBorders>
              <w:left w:val="single" w:sz="4" w:space="0" w:color="auto"/>
              <w:right w:val="single" w:sz="4" w:space="0" w:color="auto"/>
            </w:tcBorders>
            <w:shd w:val="clear" w:color="auto" w:fill="auto"/>
            <w:vAlign w:val="center"/>
          </w:tcPr>
          <w:p w14:paraId="67471061" w14:textId="77777777" w:rsidR="00CA723F" w:rsidRPr="00B162C2" w:rsidRDefault="00CA723F" w:rsidP="00E55FD2">
            <w:pPr>
              <w:pStyle w:val="COMTableheadingrow"/>
              <w:keepNext w:val="0"/>
              <w:jc w:val="center"/>
              <w:rPr>
                <w:snapToGrid w:val="0"/>
                <w:lang w:val="en-AU"/>
              </w:rPr>
            </w:pPr>
            <w:r w:rsidRPr="00B162C2">
              <w:rPr>
                <w:snapToGrid w:val="0"/>
                <w:lang w:val="en-AU"/>
              </w:rPr>
              <w:t>Placebo</w:t>
            </w:r>
          </w:p>
        </w:tc>
        <w:tc>
          <w:tcPr>
            <w:tcW w:w="1034" w:type="pct"/>
            <w:tcBorders>
              <w:left w:val="single" w:sz="4" w:space="0" w:color="auto"/>
            </w:tcBorders>
            <w:shd w:val="clear" w:color="auto" w:fill="auto"/>
            <w:vAlign w:val="center"/>
          </w:tcPr>
          <w:p w14:paraId="2C4C4357" w14:textId="77777777" w:rsidR="00CA723F" w:rsidRPr="00B162C2" w:rsidRDefault="00CA723F" w:rsidP="00E55FD2">
            <w:pPr>
              <w:pStyle w:val="COMTableheadingrow"/>
              <w:keepNext w:val="0"/>
              <w:jc w:val="center"/>
              <w:rPr>
                <w:snapToGrid w:val="0"/>
                <w:lang w:val="en-AU"/>
              </w:rPr>
            </w:pPr>
            <w:r w:rsidRPr="00B162C2">
              <w:rPr>
                <w:snapToGrid w:val="0"/>
                <w:lang w:val="en-AU"/>
              </w:rPr>
              <w:t>Treatment difference</w:t>
            </w:r>
          </w:p>
        </w:tc>
      </w:tr>
      <w:tr w:rsidR="00CA723F" w:rsidRPr="00B162C2" w14:paraId="36BF26B7" w14:textId="77777777">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58FA2DDA" w14:textId="4A331205" w:rsidR="00CA723F" w:rsidRPr="00B162C2" w:rsidRDefault="00CA723F" w:rsidP="00E55FD2">
            <w:pPr>
              <w:pStyle w:val="COMTabletext"/>
              <w:keepNext w:val="0"/>
              <w:rPr>
                <w:snapToGrid w:val="0"/>
              </w:rPr>
            </w:pPr>
            <w:r w:rsidRPr="00B162C2">
              <w:rPr>
                <w:snapToGrid w:val="0"/>
              </w:rPr>
              <w:t>Proportion of patients with ≥2-point reduction in MG-ADL scores from baseline to Week 12</w:t>
            </w:r>
          </w:p>
        </w:tc>
        <w:tc>
          <w:tcPr>
            <w:tcW w:w="882" w:type="pct"/>
            <w:tcBorders>
              <w:top w:val="single" w:sz="4" w:space="0" w:color="auto"/>
              <w:left w:val="single" w:sz="4" w:space="0" w:color="auto"/>
              <w:bottom w:val="single" w:sz="4" w:space="0" w:color="auto"/>
              <w:right w:val="single" w:sz="4" w:space="0" w:color="auto"/>
            </w:tcBorders>
            <w:vAlign w:val="center"/>
          </w:tcPr>
          <w:p w14:paraId="10BDD6FF" w14:textId="77777777" w:rsidR="00CA723F" w:rsidRPr="00B162C2" w:rsidRDefault="00CA723F" w:rsidP="00E55FD2">
            <w:pPr>
              <w:pStyle w:val="COMTabletext"/>
              <w:keepNext w:val="0"/>
              <w:jc w:val="center"/>
              <w:rPr>
                <w:snapToGrid w:val="0"/>
              </w:rPr>
            </w:pPr>
            <w:r w:rsidRPr="00B162C2">
              <w:t>74.4%</w:t>
            </w:r>
          </w:p>
        </w:tc>
        <w:tc>
          <w:tcPr>
            <w:tcW w:w="883" w:type="pct"/>
            <w:tcBorders>
              <w:top w:val="single" w:sz="4" w:space="0" w:color="auto"/>
              <w:left w:val="single" w:sz="4" w:space="0" w:color="auto"/>
              <w:bottom w:val="single" w:sz="4" w:space="0" w:color="auto"/>
              <w:right w:val="single" w:sz="4" w:space="0" w:color="auto"/>
            </w:tcBorders>
            <w:vAlign w:val="center"/>
          </w:tcPr>
          <w:p w14:paraId="5DED9D19" w14:textId="77777777" w:rsidR="00CA723F" w:rsidRPr="00B162C2" w:rsidRDefault="00CA723F" w:rsidP="00E55FD2">
            <w:pPr>
              <w:pStyle w:val="COMTabletext"/>
              <w:keepNext w:val="0"/>
              <w:jc w:val="center"/>
              <w:rPr>
                <w:snapToGrid w:val="0"/>
              </w:rPr>
            </w:pPr>
            <w:r w:rsidRPr="00B162C2">
              <w:t>57.9%</w:t>
            </w:r>
          </w:p>
        </w:tc>
        <w:tc>
          <w:tcPr>
            <w:tcW w:w="1034" w:type="pct"/>
            <w:tcBorders>
              <w:top w:val="single" w:sz="4" w:space="0" w:color="auto"/>
              <w:left w:val="single" w:sz="4" w:space="0" w:color="auto"/>
              <w:bottom w:val="single" w:sz="4" w:space="0" w:color="auto"/>
              <w:right w:val="single" w:sz="4" w:space="0" w:color="auto"/>
            </w:tcBorders>
            <w:vAlign w:val="center"/>
          </w:tcPr>
          <w:p w14:paraId="7FB0A537" w14:textId="77777777" w:rsidR="00CA723F" w:rsidRPr="00B162C2" w:rsidRDefault="00CA723F" w:rsidP="00E55FD2">
            <w:pPr>
              <w:pStyle w:val="COMTabletext"/>
              <w:keepNext w:val="0"/>
              <w:jc w:val="center"/>
              <w:rPr>
                <w:snapToGrid w:val="0"/>
              </w:rPr>
            </w:pPr>
            <w:r w:rsidRPr="00B162C2">
              <w:rPr>
                <w:snapToGrid w:val="0"/>
              </w:rPr>
              <w:t>16.5%</w:t>
            </w:r>
          </w:p>
        </w:tc>
      </w:tr>
      <w:tr w:rsidR="00CA723F" w:rsidRPr="00B162C2" w14:paraId="0C114DD4" w14:textId="77777777">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5E3D1E82" w14:textId="24473291" w:rsidR="00CA723F" w:rsidRPr="00B162C2" w:rsidRDefault="00CA723F" w:rsidP="00E55FD2">
            <w:pPr>
              <w:pStyle w:val="COMTabletext"/>
              <w:keepNext w:val="0"/>
              <w:rPr>
                <w:snapToGrid w:val="0"/>
              </w:rPr>
            </w:pPr>
            <w:r w:rsidRPr="00B162C2">
              <w:rPr>
                <w:snapToGrid w:val="0"/>
              </w:rPr>
              <w:t>Proportion of patients with ≥3-point reduction in MG-ADL scores from baseline to Week 12</w:t>
            </w:r>
          </w:p>
        </w:tc>
        <w:tc>
          <w:tcPr>
            <w:tcW w:w="882" w:type="pct"/>
            <w:tcBorders>
              <w:top w:val="single" w:sz="4" w:space="0" w:color="auto"/>
              <w:left w:val="single" w:sz="4" w:space="0" w:color="auto"/>
              <w:bottom w:val="single" w:sz="4" w:space="0" w:color="auto"/>
              <w:right w:val="single" w:sz="4" w:space="0" w:color="auto"/>
            </w:tcBorders>
            <w:vAlign w:val="center"/>
          </w:tcPr>
          <w:p w14:paraId="69C84DDF" w14:textId="77777777" w:rsidR="00CA723F" w:rsidRPr="00B162C2" w:rsidRDefault="00CA723F" w:rsidP="00E55FD2">
            <w:pPr>
              <w:pStyle w:val="COMTabletext"/>
              <w:keepNext w:val="0"/>
              <w:jc w:val="center"/>
              <w:rPr>
                <w:snapToGrid w:val="0"/>
              </w:rPr>
            </w:pPr>
            <w:r w:rsidRPr="00B162C2">
              <w:t>73.1%</w:t>
            </w:r>
          </w:p>
        </w:tc>
        <w:tc>
          <w:tcPr>
            <w:tcW w:w="883" w:type="pct"/>
            <w:tcBorders>
              <w:top w:val="single" w:sz="4" w:space="0" w:color="auto"/>
              <w:left w:val="single" w:sz="4" w:space="0" w:color="auto"/>
              <w:bottom w:val="single" w:sz="4" w:space="0" w:color="auto"/>
              <w:right w:val="single" w:sz="4" w:space="0" w:color="auto"/>
            </w:tcBorders>
            <w:vAlign w:val="center"/>
          </w:tcPr>
          <w:p w14:paraId="44604C63" w14:textId="77777777" w:rsidR="00CA723F" w:rsidRPr="00B162C2" w:rsidRDefault="00CA723F" w:rsidP="00E55FD2">
            <w:pPr>
              <w:pStyle w:val="COMTabletext"/>
              <w:keepNext w:val="0"/>
              <w:jc w:val="center"/>
              <w:rPr>
                <w:snapToGrid w:val="0"/>
              </w:rPr>
            </w:pPr>
            <w:r w:rsidRPr="00B162C2">
              <w:t>46.1%</w:t>
            </w:r>
          </w:p>
        </w:tc>
        <w:tc>
          <w:tcPr>
            <w:tcW w:w="1034" w:type="pct"/>
            <w:tcBorders>
              <w:top w:val="single" w:sz="4" w:space="0" w:color="auto"/>
              <w:left w:val="single" w:sz="4" w:space="0" w:color="auto"/>
              <w:bottom w:val="single" w:sz="4" w:space="0" w:color="auto"/>
              <w:right w:val="single" w:sz="4" w:space="0" w:color="auto"/>
            </w:tcBorders>
            <w:vAlign w:val="center"/>
          </w:tcPr>
          <w:p w14:paraId="3D5F4CC7" w14:textId="77777777" w:rsidR="00CA723F" w:rsidRPr="00B162C2" w:rsidRDefault="00CA723F" w:rsidP="00E55FD2">
            <w:pPr>
              <w:pStyle w:val="COMTabletext"/>
              <w:keepNext w:val="0"/>
              <w:jc w:val="center"/>
              <w:rPr>
                <w:snapToGrid w:val="0"/>
              </w:rPr>
            </w:pPr>
            <w:r w:rsidRPr="00B162C2">
              <w:rPr>
                <w:snapToGrid w:val="0"/>
              </w:rPr>
              <w:t>27.0%</w:t>
            </w:r>
          </w:p>
        </w:tc>
      </w:tr>
      <w:tr w:rsidR="00CA723F" w:rsidRPr="00B162C2" w14:paraId="61CC915E" w14:textId="77777777">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0EE38833" w14:textId="5A6BBBF7" w:rsidR="00CA723F" w:rsidRPr="00B162C2" w:rsidRDefault="00CA723F" w:rsidP="00E55FD2">
            <w:pPr>
              <w:pStyle w:val="COMTabletext"/>
              <w:keepNext w:val="0"/>
              <w:rPr>
                <w:snapToGrid w:val="0"/>
              </w:rPr>
            </w:pPr>
            <w:r w:rsidRPr="00B162C2">
              <w:rPr>
                <w:snapToGrid w:val="0"/>
              </w:rPr>
              <w:t>Proportion of patients with ≥3-point reduction in QMG scores from baseline to Week 12</w:t>
            </w:r>
          </w:p>
        </w:tc>
        <w:tc>
          <w:tcPr>
            <w:tcW w:w="882" w:type="pct"/>
            <w:tcBorders>
              <w:top w:val="single" w:sz="4" w:space="0" w:color="auto"/>
              <w:left w:val="single" w:sz="4" w:space="0" w:color="auto"/>
              <w:bottom w:val="single" w:sz="4" w:space="0" w:color="auto"/>
              <w:right w:val="single" w:sz="4" w:space="0" w:color="auto"/>
            </w:tcBorders>
            <w:vAlign w:val="center"/>
          </w:tcPr>
          <w:p w14:paraId="49ECB942" w14:textId="77777777" w:rsidR="00CA723F" w:rsidRPr="00B162C2" w:rsidRDefault="00CA723F" w:rsidP="00E55FD2">
            <w:pPr>
              <w:pStyle w:val="COMTabletext"/>
              <w:keepNext w:val="0"/>
              <w:jc w:val="center"/>
              <w:rPr>
                <w:snapToGrid w:val="0"/>
              </w:rPr>
            </w:pPr>
            <w:r w:rsidRPr="00B162C2">
              <w:t>72.5%</w:t>
            </w:r>
          </w:p>
        </w:tc>
        <w:tc>
          <w:tcPr>
            <w:tcW w:w="883" w:type="pct"/>
            <w:tcBorders>
              <w:top w:val="single" w:sz="4" w:space="0" w:color="auto"/>
              <w:left w:val="single" w:sz="4" w:space="0" w:color="auto"/>
              <w:bottom w:val="single" w:sz="4" w:space="0" w:color="auto"/>
              <w:right w:val="single" w:sz="4" w:space="0" w:color="auto"/>
            </w:tcBorders>
            <w:vAlign w:val="center"/>
          </w:tcPr>
          <w:p w14:paraId="198C03AD" w14:textId="77777777" w:rsidR="00CA723F" w:rsidRPr="00B162C2" w:rsidRDefault="00CA723F" w:rsidP="00E55FD2">
            <w:pPr>
              <w:pStyle w:val="COMTabletext"/>
              <w:keepNext w:val="0"/>
              <w:jc w:val="center"/>
              <w:rPr>
                <w:snapToGrid w:val="0"/>
              </w:rPr>
            </w:pPr>
            <w:r w:rsidRPr="00B162C2">
              <w:t>48.5%</w:t>
            </w:r>
          </w:p>
        </w:tc>
        <w:tc>
          <w:tcPr>
            <w:tcW w:w="1034" w:type="pct"/>
            <w:tcBorders>
              <w:top w:val="single" w:sz="4" w:space="0" w:color="auto"/>
              <w:left w:val="single" w:sz="4" w:space="0" w:color="auto"/>
              <w:bottom w:val="single" w:sz="4" w:space="0" w:color="auto"/>
              <w:right w:val="single" w:sz="4" w:space="0" w:color="auto"/>
            </w:tcBorders>
            <w:vAlign w:val="center"/>
          </w:tcPr>
          <w:p w14:paraId="2B75D080" w14:textId="77777777" w:rsidR="00CA723F" w:rsidRPr="00B162C2" w:rsidRDefault="00CA723F" w:rsidP="00E55FD2">
            <w:pPr>
              <w:pStyle w:val="COMTabletext"/>
              <w:keepNext w:val="0"/>
              <w:jc w:val="center"/>
              <w:rPr>
                <w:snapToGrid w:val="0"/>
              </w:rPr>
            </w:pPr>
            <w:r w:rsidRPr="00B162C2">
              <w:rPr>
                <w:snapToGrid w:val="0"/>
              </w:rPr>
              <w:t>24.0%</w:t>
            </w:r>
          </w:p>
        </w:tc>
      </w:tr>
      <w:tr w:rsidR="00CA723F" w:rsidRPr="00B162C2" w14:paraId="7CA3731E" w14:textId="77777777">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7FF1BF4D" w14:textId="7216E405" w:rsidR="00CA723F" w:rsidRPr="00B162C2" w:rsidRDefault="00CA723F" w:rsidP="00E55FD2">
            <w:pPr>
              <w:pStyle w:val="COMTabletext"/>
              <w:keepNext w:val="0"/>
              <w:rPr>
                <w:snapToGrid w:val="0"/>
              </w:rPr>
            </w:pPr>
            <w:r w:rsidRPr="00B162C2">
              <w:rPr>
                <w:snapToGrid w:val="0"/>
              </w:rPr>
              <w:t>Proportion of patients with ≥5-point reduction in QMG scores from baseline to Week 12</w:t>
            </w:r>
          </w:p>
        </w:tc>
        <w:tc>
          <w:tcPr>
            <w:tcW w:w="882" w:type="pct"/>
            <w:tcBorders>
              <w:top w:val="single" w:sz="4" w:space="0" w:color="auto"/>
              <w:left w:val="single" w:sz="4" w:space="0" w:color="auto"/>
              <w:bottom w:val="single" w:sz="4" w:space="0" w:color="auto"/>
              <w:right w:val="single" w:sz="4" w:space="0" w:color="auto"/>
            </w:tcBorders>
            <w:vAlign w:val="center"/>
          </w:tcPr>
          <w:p w14:paraId="7844EC59" w14:textId="77777777" w:rsidR="00CA723F" w:rsidRPr="00B162C2" w:rsidRDefault="00CA723F" w:rsidP="00E55FD2">
            <w:pPr>
              <w:pStyle w:val="COMTabletext"/>
              <w:keepNext w:val="0"/>
              <w:jc w:val="center"/>
              <w:rPr>
                <w:snapToGrid w:val="0"/>
              </w:rPr>
            </w:pPr>
            <w:r w:rsidRPr="00B162C2">
              <w:t>58.0%</w:t>
            </w:r>
          </w:p>
        </w:tc>
        <w:tc>
          <w:tcPr>
            <w:tcW w:w="883" w:type="pct"/>
            <w:tcBorders>
              <w:top w:val="single" w:sz="4" w:space="0" w:color="auto"/>
              <w:left w:val="single" w:sz="4" w:space="0" w:color="auto"/>
              <w:bottom w:val="single" w:sz="4" w:space="0" w:color="auto"/>
              <w:right w:val="single" w:sz="4" w:space="0" w:color="auto"/>
            </w:tcBorders>
            <w:vAlign w:val="center"/>
          </w:tcPr>
          <w:p w14:paraId="072C0A72" w14:textId="77777777" w:rsidR="00CA723F" w:rsidRPr="00B162C2" w:rsidRDefault="00CA723F" w:rsidP="00E55FD2">
            <w:pPr>
              <w:pStyle w:val="COMTabletext"/>
              <w:keepNext w:val="0"/>
              <w:jc w:val="center"/>
              <w:rPr>
                <w:snapToGrid w:val="0"/>
              </w:rPr>
            </w:pPr>
            <w:r w:rsidRPr="00B162C2">
              <w:t>33.0%</w:t>
            </w:r>
          </w:p>
        </w:tc>
        <w:tc>
          <w:tcPr>
            <w:tcW w:w="1034" w:type="pct"/>
            <w:tcBorders>
              <w:top w:val="single" w:sz="4" w:space="0" w:color="auto"/>
              <w:left w:val="single" w:sz="4" w:space="0" w:color="auto"/>
              <w:bottom w:val="single" w:sz="4" w:space="0" w:color="auto"/>
              <w:right w:val="single" w:sz="4" w:space="0" w:color="auto"/>
            </w:tcBorders>
            <w:vAlign w:val="center"/>
          </w:tcPr>
          <w:p w14:paraId="3F99717C" w14:textId="77777777" w:rsidR="00CA723F" w:rsidRPr="00B162C2" w:rsidRDefault="00CA723F" w:rsidP="00E55FD2">
            <w:pPr>
              <w:pStyle w:val="COMTabletext"/>
              <w:keepNext w:val="0"/>
              <w:jc w:val="center"/>
              <w:rPr>
                <w:snapToGrid w:val="0"/>
              </w:rPr>
            </w:pPr>
            <w:r w:rsidRPr="00B162C2">
              <w:rPr>
                <w:snapToGrid w:val="0"/>
              </w:rPr>
              <w:t>25.0%</w:t>
            </w:r>
          </w:p>
        </w:tc>
      </w:tr>
      <w:tr w:rsidR="00CA723F" w:rsidRPr="00B162C2" w14:paraId="138A164F" w14:textId="77777777">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25843445" w14:textId="77777777" w:rsidR="00CA723F" w:rsidRPr="00B162C2" w:rsidRDefault="00CA723F" w:rsidP="00E55FD2">
            <w:pPr>
              <w:pStyle w:val="COMTabletext"/>
              <w:keepNext w:val="0"/>
              <w:rPr>
                <w:snapToGrid w:val="0"/>
              </w:rPr>
            </w:pPr>
            <w:r w:rsidRPr="00B162C2">
              <w:rPr>
                <w:snapToGrid w:val="0"/>
              </w:rPr>
              <w:t>Proportion of patients with injection site reactions</w:t>
            </w:r>
          </w:p>
        </w:tc>
        <w:tc>
          <w:tcPr>
            <w:tcW w:w="882" w:type="pct"/>
            <w:tcBorders>
              <w:top w:val="single" w:sz="4" w:space="0" w:color="auto"/>
              <w:left w:val="single" w:sz="4" w:space="0" w:color="auto"/>
              <w:bottom w:val="single" w:sz="4" w:space="0" w:color="auto"/>
              <w:right w:val="single" w:sz="4" w:space="0" w:color="auto"/>
            </w:tcBorders>
            <w:vAlign w:val="center"/>
          </w:tcPr>
          <w:p w14:paraId="5BD603F8" w14:textId="77777777" w:rsidR="00CA723F" w:rsidRPr="00B162C2" w:rsidRDefault="00CA723F" w:rsidP="00E55FD2">
            <w:pPr>
              <w:pStyle w:val="COMTabletext"/>
              <w:keepNext w:val="0"/>
              <w:jc w:val="center"/>
              <w:rPr>
                <w:snapToGrid w:val="0"/>
              </w:rPr>
            </w:pPr>
            <w:r w:rsidRPr="00B162C2">
              <w:rPr>
                <w:snapToGrid w:val="0"/>
              </w:rPr>
              <w:t>26.7%</w:t>
            </w:r>
          </w:p>
        </w:tc>
        <w:tc>
          <w:tcPr>
            <w:tcW w:w="883" w:type="pct"/>
            <w:tcBorders>
              <w:top w:val="single" w:sz="4" w:space="0" w:color="auto"/>
              <w:left w:val="single" w:sz="4" w:space="0" w:color="auto"/>
              <w:bottom w:val="single" w:sz="4" w:space="0" w:color="auto"/>
              <w:right w:val="single" w:sz="4" w:space="0" w:color="auto"/>
            </w:tcBorders>
            <w:vAlign w:val="center"/>
          </w:tcPr>
          <w:p w14:paraId="3C63372E" w14:textId="77777777" w:rsidR="00CA723F" w:rsidRPr="00B162C2" w:rsidRDefault="00CA723F" w:rsidP="00E55FD2">
            <w:pPr>
              <w:pStyle w:val="COMTabletext"/>
              <w:keepNext w:val="0"/>
              <w:jc w:val="center"/>
              <w:rPr>
                <w:snapToGrid w:val="0"/>
              </w:rPr>
            </w:pPr>
            <w:r w:rsidRPr="00B162C2">
              <w:rPr>
                <w:snapToGrid w:val="0"/>
              </w:rPr>
              <w:t>14.8%</w:t>
            </w:r>
          </w:p>
        </w:tc>
        <w:tc>
          <w:tcPr>
            <w:tcW w:w="1034" w:type="pct"/>
            <w:tcBorders>
              <w:top w:val="single" w:sz="4" w:space="0" w:color="auto"/>
              <w:left w:val="single" w:sz="4" w:space="0" w:color="auto"/>
              <w:bottom w:val="single" w:sz="4" w:space="0" w:color="auto"/>
              <w:right w:val="single" w:sz="4" w:space="0" w:color="auto"/>
            </w:tcBorders>
            <w:vAlign w:val="center"/>
          </w:tcPr>
          <w:p w14:paraId="4548C3BD" w14:textId="77777777" w:rsidR="00CA723F" w:rsidRPr="00B162C2" w:rsidRDefault="00CA723F" w:rsidP="00E55FD2">
            <w:pPr>
              <w:pStyle w:val="COMTabletext"/>
              <w:jc w:val="center"/>
              <w:rPr>
                <w:snapToGrid w:val="0"/>
              </w:rPr>
            </w:pPr>
            <w:r w:rsidRPr="00B162C2">
              <w:rPr>
                <w:snapToGrid w:val="0"/>
              </w:rPr>
              <w:t>11.9%</w:t>
            </w:r>
          </w:p>
        </w:tc>
      </w:tr>
      <w:tr w:rsidR="00CA723F" w:rsidRPr="00B162C2" w14:paraId="2BF6CC06" w14:textId="77777777">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338696B6" w14:textId="77777777" w:rsidR="00CA723F" w:rsidRPr="00B162C2" w:rsidRDefault="00CA723F" w:rsidP="00E55FD2">
            <w:pPr>
              <w:pStyle w:val="COMTabletext"/>
              <w:keepNext w:val="0"/>
              <w:rPr>
                <w:snapToGrid w:val="0"/>
              </w:rPr>
            </w:pPr>
            <w:r w:rsidRPr="00B162C2">
              <w:rPr>
                <w:snapToGrid w:val="0"/>
              </w:rPr>
              <w:t>Proportion of patients with infections</w:t>
            </w:r>
          </w:p>
        </w:tc>
        <w:tc>
          <w:tcPr>
            <w:tcW w:w="882" w:type="pct"/>
            <w:tcBorders>
              <w:top w:val="single" w:sz="4" w:space="0" w:color="auto"/>
              <w:left w:val="single" w:sz="4" w:space="0" w:color="auto"/>
              <w:bottom w:val="single" w:sz="4" w:space="0" w:color="auto"/>
              <w:right w:val="single" w:sz="4" w:space="0" w:color="auto"/>
            </w:tcBorders>
            <w:vAlign w:val="center"/>
          </w:tcPr>
          <w:p w14:paraId="4D509EEE" w14:textId="77777777" w:rsidR="00CA723F" w:rsidRPr="00B162C2" w:rsidRDefault="00CA723F" w:rsidP="00E55FD2">
            <w:pPr>
              <w:pStyle w:val="COMTabletext"/>
              <w:keepNext w:val="0"/>
              <w:jc w:val="center"/>
              <w:rPr>
                <w:snapToGrid w:val="0"/>
              </w:rPr>
            </w:pPr>
            <w:r w:rsidRPr="00B162C2">
              <w:rPr>
                <w:snapToGrid w:val="0"/>
              </w:rPr>
              <w:t>26.7%</w:t>
            </w:r>
          </w:p>
        </w:tc>
        <w:tc>
          <w:tcPr>
            <w:tcW w:w="883" w:type="pct"/>
            <w:tcBorders>
              <w:top w:val="single" w:sz="4" w:space="0" w:color="auto"/>
              <w:left w:val="single" w:sz="4" w:space="0" w:color="auto"/>
              <w:bottom w:val="single" w:sz="4" w:space="0" w:color="auto"/>
              <w:right w:val="single" w:sz="4" w:space="0" w:color="auto"/>
            </w:tcBorders>
            <w:vAlign w:val="center"/>
          </w:tcPr>
          <w:p w14:paraId="28EDEFFF" w14:textId="77777777" w:rsidR="00CA723F" w:rsidRPr="00B162C2" w:rsidRDefault="00CA723F" w:rsidP="00E55FD2">
            <w:pPr>
              <w:pStyle w:val="COMTabletext"/>
              <w:keepNext w:val="0"/>
              <w:jc w:val="center"/>
              <w:rPr>
                <w:snapToGrid w:val="0"/>
              </w:rPr>
            </w:pPr>
            <w:r w:rsidRPr="00B162C2">
              <w:rPr>
                <w:snapToGrid w:val="0"/>
              </w:rPr>
              <w:t>18.2%</w:t>
            </w:r>
          </w:p>
        </w:tc>
        <w:tc>
          <w:tcPr>
            <w:tcW w:w="1034" w:type="pct"/>
            <w:tcBorders>
              <w:top w:val="single" w:sz="4" w:space="0" w:color="auto"/>
              <w:left w:val="single" w:sz="4" w:space="0" w:color="auto"/>
              <w:bottom w:val="single" w:sz="4" w:space="0" w:color="auto"/>
              <w:right w:val="single" w:sz="4" w:space="0" w:color="auto"/>
            </w:tcBorders>
            <w:vAlign w:val="center"/>
          </w:tcPr>
          <w:p w14:paraId="4B1CD3D1" w14:textId="77777777" w:rsidR="00CA723F" w:rsidRPr="00B162C2" w:rsidRDefault="00CA723F" w:rsidP="00E55FD2">
            <w:pPr>
              <w:pStyle w:val="COMTabletext"/>
              <w:jc w:val="center"/>
              <w:rPr>
                <w:snapToGrid w:val="0"/>
              </w:rPr>
            </w:pPr>
            <w:r w:rsidRPr="00B162C2">
              <w:rPr>
                <w:snapToGrid w:val="0"/>
              </w:rPr>
              <w:t>8.5%</w:t>
            </w:r>
          </w:p>
        </w:tc>
      </w:tr>
    </w:tbl>
    <w:p w14:paraId="35FDC684" w14:textId="523FFBF7" w:rsidR="00CA723F" w:rsidRPr="00B162C2" w:rsidRDefault="00CA723F" w:rsidP="00E55FD2">
      <w:pPr>
        <w:pStyle w:val="TableFigureFooter"/>
      </w:pPr>
      <w:r w:rsidRPr="00B162C2">
        <w:t>Source: Table 2</w:t>
      </w:r>
      <w:r w:rsidR="007F0A76">
        <w:t>.</w:t>
      </w:r>
      <w:r w:rsidRPr="00B162C2">
        <w:t>5-2, p7</w:t>
      </w:r>
      <w:r w:rsidR="00DF781E">
        <w:t>9</w:t>
      </w:r>
      <w:r w:rsidRPr="00B162C2">
        <w:t>; Table 2</w:t>
      </w:r>
      <w:r w:rsidR="007F0A76">
        <w:t>.</w:t>
      </w:r>
      <w:r w:rsidRPr="00B162C2">
        <w:t>5-4, p</w:t>
      </w:r>
      <w:r w:rsidR="00140F7F">
        <w:t>81</w:t>
      </w:r>
      <w:r w:rsidRPr="00B162C2">
        <w:t>; Table 2.5-11, p9</w:t>
      </w:r>
      <w:r w:rsidR="00FE3E73">
        <w:t>7</w:t>
      </w:r>
      <w:r w:rsidRPr="00B162C2">
        <w:t xml:space="preserve"> of the </w:t>
      </w:r>
      <w:r w:rsidR="00DF781E">
        <w:t>re</w:t>
      </w:r>
      <w:r w:rsidRPr="00B162C2">
        <w:t>submission; Table 9-2, p193; Table 14.2.6.11, p880; Table 14.2.7.11, p927; Table 14.3.14.1, pp1884-1902 of the RAISE trial report</w:t>
      </w:r>
    </w:p>
    <w:p w14:paraId="63B5829A" w14:textId="77777777" w:rsidR="00CA723F" w:rsidRPr="00B162C2" w:rsidRDefault="00CA723F" w:rsidP="00E55FD2">
      <w:pPr>
        <w:pStyle w:val="TableFigureFooter"/>
      </w:pPr>
      <w:r w:rsidRPr="00B162C2">
        <w:t>Abbreviations: MG-ADL, Myasthenia Gravis Activities of Daily Living; QMG, Quantitative Myasthenia Gravis score</w:t>
      </w:r>
    </w:p>
    <w:p w14:paraId="4560472E" w14:textId="176379C5" w:rsidR="00CA723F" w:rsidRPr="00B162C2" w:rsidRDefault="00CA723F" w:rsidP="00E55FD2">
      <w:pPr>
        <w:pStyle w:val="TableFigureFooter"/>
      </w:pPr>
      <w:r w:rsidRPr="78882673">
        <w:t>Note: All changes in functional measures met or exceed the nominated minimal clinically important difference for each outcome (MCID for MG-ADL ≥2</w:t>
      </w:r>
      <w:r w:rsidR="00154CF0" w:rsidRPr="78882673">
        <w:t>-</w:t>
      </w:r>
      <w:r w:rsidRPr="78882673">
        <w:t>point reduction; MCID for QMG ≥</w:t>
      </w:r>
      <w:r w:rsidR="00DB55A0" w:rsidRPr="78882673">
        <w:t>3-point</w:t>
      </w:r>
      <w:r w:rsidRPr="78882673">
        <w:t xml:space="preserve"> reduction).</w:t>
      </w:r>
    </w:p>
    <w:p w14:paraId="4A695A21" w14:textId="196C05D3" w:rsidR="009779F7" w:rsidRPr="00B162C2" w:rsidRDefault="009779F7" w:rsidP="00E55FD2">
      <w:pPr>
        <w:pStyle w:val="COMexecsummnumbered"/>
      </w:pPr>
      <w:proofErr w:type="gramStart"/>
      <w:r w:rsidRPr="78882673">
        <w:t>On the basis of</w:t>
      </w:r>
      <w:proofErr w:type="gramEnd"/>
      <w:r w:rsidRPr="78882673">
        <w:t xml:space="preserve"> direct evidence presented in the submission, for every 100 patients treated with </w:t>
      </w:r>
      <w:proofErr w:type="spellStart"/>
      <w:r w:rsidRPr="78882673">
        <w:t>zilucoplan</w:t>
      </w:r>
      <w:proofErr w:type="spellEnd"/>
      <w:r w:rsidRPr="78882673">
        <w:t xml:space="preserve"> in comparison with placebo for 12 weeks:</w:t>
      </w:r>
    </w:p>
    <w:p w14:paraId="46B37609" w14:textId="52E71465" w:rsidR="009779F7" w:rsidRPr="00B162C2" w:rsidRDefault="009779F7" w:rsidP="00E55FD2">
      <w:pPr>
        <w:pStyle w:val="COMexecsumnumberedpara"/>
        <w:numPr>
          <w:ilvl w:val="0"/>
          <w:numId w:val="15"/>
        </w:numPr>
        <w:spacing w:after="0"/>
        <w:ind w:left="1077" w:hanging="357"/>
      </w:pPr>
      <w:r w:rsidRPr="78882673">
        <w:rPr>
          <w:snapToGrid/>
        </w:rPr>
        <w:t>Approximately 17</w:t>
      </w:r>
      <w:r w:rsidR="00E8212E" w:rsidRPr="78882673">
        <w:t xml:space="preserve"> to </w:t>
      </w:r>
      <w:r w:rsidRPr="00590CD1">
        <w:rPr>
          <w:snapToGrid/>
        </w:rPr>
        <w:t>2</w:t>
      </w:r>
      <w:r w:rsidRPr="78882673">
        <w:rPr>
          <w:snapToGrid/>
        </w:rPr>
        <w:t>7 additional patients would experience a clinically important improvement in functional outcomes (i.e. greater than 2-point reduction in MG-ADL score or greater than 3-point reduction in QMG score).</w:t>
      </w:r>
    </w:p>
    <w:p w14:paraId="6DC40D23" w14:textId="24640239" w:rsidR="009779F7" w:rsidRPr="00616CCB" w:rsidRDefault="009779F7" w:rsidP="00E55FD2">
      <w:pPr>
        <w:pStyle w:val="ListParagraph"/>
        <w:numPr>
          <w:ilvl w:val="0"/>
          <w:numId w:val="15"/>
        </w:numPr>
        <w:spacing w:after="120"/>
        <w:ind w:left="1077" w:hanging="357"/>
      </w:pPr>
      <w:r w:rsidRPr="78882673">
        <w:t>Approximately 9 additional patients would experience an infection.</w:t>
      </w:r>
    </w:p>
    <w:p w14:paraId="7A1772B6" w14:textId="23BB3145" w:rsidR="00B60939" w:rsidRPr="00BB59B1" w:rsidRDefault="00B60939" w:rsidP="00E55FD2">
      <w:pPr>
        <w:pStyle w:val="COMH2-non-numbered"/>
      </w:pPr>
      <w:bookmarkStart w:id="56" w:name="_Toc22897644"/>
      <w:bookmarkStart w:id="57" w:name="_Toc188274685"/>
      <w:r w:rsidRPr="00BB59B1">
        <w:t>Clinical claim</w:t>
      </w:r>
      <w:bookmarkEnd w:id="56"/>
      <w:bookmarkEnd w:id="57"/>
    </w:p>
    <w:p w14:paraId="4C506C2B" w14:textId="77777777" w:rsidR="001E786A" w:rsidRPr="000A4FF7" w:rsidRDefault="001E786A" w:rsidP="00E55FD2">
      <w:pPr>
        <w:pStyle w:val="COMexecsummnumbered"/>
        <w:rPr>
          <w:rFonts w:cs="Calibri"/>
          <w:i/>
          <w:iCs/>
        </w:rPr>
      </w:pPr>
      <w:r w:rsidRPr="007A0F49">
        <w:t xml:space="preserve">The resubmission described </w:t>
      </w:r>
      <w:proofErr w:type="spellStart"/>
      <w:r w:rsidRPr="007A0F49">
        <w:t>zilucoplan</w:t>
      </w:r>
      <w:proofErr w:type="spellEnd"/>
      <w:r w:rsidRPr="007A0F49">
        <w:t xml:space="preserve"> in combination with standard therapy as superior in terms of efficacy and non-inferior in terms of safety compared to placebo in combination with standard therapy.</w:t>
      </w:r>
    </w:p>
    <w:p w14:paraId="5CCB28E5" w14:textId="4643FF2F" w:rsidR="007E038B" w:rsidRPr="00FA7CFA" w:rsidRDefault="007E038B" w:rsidP="00E55FD2">
      <w:pPr>
        <w:pStyle w:val="COMexecsummnumbered"/>
        <w:rPr>
          <w:rFonts w:cs="Calibri"/>
        </w:rPr>
      </w:pPr>
      <w:r w:rsidRPr="78882673">
        <w:rPr>
          <w:rFonts w:cs="Calibri"/>
        </w:rPr>
        <w:t xml:space="preserve">The clinical data presented in the resubmission were largely unchanged from data presented in the July 2024 submission. </w:t>
      </w:r>
      <w:r w:rsidR="00506C26" w:rsidRPr="78882673">
        <w:rPr>
          <w:rFonts w:eastAsia="SimSun"/>
        </w:rPr>
        <w:t xml:space="preserve">The PBAC previously considered the clinical claim that </w:t>
      </w:r>
      <w:proofErr w:type="spellStart"/>
      <w:r w:rsidR="00506C26" w:rsidRPr="78882673">
        <w:rPr>
          <w:rFonts w:eastAsia="SimSun"/>
        </w:rPr>
        <w:t>zilucoplan</w:t>
      </w:r>
      <w:proofErr w:type="spellEnd"/>
      <w:r w:rsidR="00506C26" w:rsidRPr="78882673">
        <w:rPr>
          <w:rFonts w:eastAsia="SimSun"/>
        </w:rPr>
        <w:t xml:space="preserve"> has superior efficacy versus placebo was reasonable, although the benefit is likely modest,</w:t>
      </w:r>
      <w:r w:rsidRPr="78882673">
        <w:rPr>
          <w:rFonts w:cs="Calibri"/>
        </w:rPr>
        <w:t xml:space="preserve"> outcomes for the refractory and non-refractory subgroups were difficult to interpret, and the high placebo response rates presented in the responder analyses indicated that standard therapies are effective for many patients</w:t>
      </w:r>
      <w:r w:rsidR="00ED6EF7" w:rsidRPr="78882673">
        <w:rPr>
          <w:rFonts w:cs="Calibri"/>
        </w:rPr>
        <w:t xml:space="preserve"> (</w:t>
      </w:r>
      <w:r w:rsidR="00FB174B" w:rsidRPr="00FB174B">
        <w:rPr>
          <w:rFonts w:cs="Calibri"/>
        </w:rPr>
        <w:t>paragraph</w:t>
      </w:r>
      <w:r w:rsidR="00ED6EF7" w:rsidRPr="78882673">
        <w:rPr>
          <w:rFonts w:cs="Calibri"/>
        </w:rPr>
        <w:t xml:space="preserve"> 7.1</w:t>
      </w:r>
      <w:r w:rsidR="00506C26" w:rsidRPr="78882673">
        <w:rPr>
          <w:rFonts w:cs="Calibri"/>
        </w:rPr>
        <w:t>0</w:t>
      </w:r>
      <w:r w:rsidR="00ED6EF7" w:rsidRPr="78882673">
        <w:rPr>
          <w:rFonts w:cs="Calibri"/>
        </w:rPr>
        <w:t xml:space="preserve">, 7.13, </w:t>
      </w:r>
      <w:proofErr w:type="spellStart"/>
      <w:r w:rsidR="00ED6EF7" w:rsidRPr="78882673">
        <w:rPr>
          <w:rFonts w:cs="Calibri"/>
        </w:rPr>
        <w:t>zilucoplan</w:t>
      </w:r>
      <w:proofErr w:type="spellEnd"/>
      <w:r w:rsidR="00ED6EF7" w:rsidRPr="78882673">
        <w:rPr>
          <w:rFonts w:cs="Calibri"/>
        </w:rPr>
        <w:t xml:space="preserve"> </w:t>
      </w:r>
      <w:r w:rsidR="002046F2" w:rsidRPr="78882673">
        <w:rPr>
          <w:rFonts w:eastAsia="PlantinStd"/>
        </w:rPr>
        <w:t xml:space="preserve">PBAC </w:t>
      </w:r>
      <w:r w:rsidR="00B32871">
        <w:rPr>
          <w:rFonts w:eastAsia="PlantinStd"/>
        </w:rPr>
        <w:t>PSD</w:t>
      </w:r>
      <w:r w:rsidR="00ED6EF7" w:rsidRPr="78882673">
        <w:rPr>
          <w:rFonts w:cs="Calibri"/>
        </w:rPr>
        <w:t>, July 2024 PBAC meeting)</w:t>
      </w:r>
      <w:r w:rsidRPr="78882673">
        <w:rPr>
          <w:rFonts w:cs="Calibri"/>
        </w:rPr>
        <w:t>.</w:t>
      </w:r>
      <w:r w:rsidR="00EC70A4" w:rsidRPr="78882673">
        <w:rPr>
          <w:rFonts w:cs="Calibri"/>
        </w:rPr>
        <w:t xml:space="preserve"> </w:t>
      </w:r>
      <w:r w:rsidR="00EC70A4" w:rsidRPr="00FA7CFA">
        <w:t>The ESC considered the PBAC’s previous conclusions from July 2024 remained unchanged.</w:t>
      </w:r>
    </w:p>
    <w:p w14:paraId="04DD8905" w14:textId="727FA513" w:rsidR="00790E50" w:rsidRPr="00E90C9F" w:rsidRDefault="00DC100B" w:rsidP="00E55FD2">
      <w:pPr>
        <w:pStyle w:val="COMexecsummnumbered"/>
        <w:rPr>
          <w:rFonts w:cs="Calibri"/>
        </w:rPr>
      </w:pPr>
      <w:r w:rsidRPr="78882673">
        <w:lastRenderedPageBreak/>
        <w:t>In July 2024, t</w:t>
      </w:r>
      <w:r w:rsidR="00790E50" w:rsidRPr="78882673">
        <w:t xml:space="preserve">he PBAC considered that, while </w:t>
      </w:r>
      <w:proofErr w:type="spellStart"/>
      <w:r w:rsidR="00790E50" w:rsidRPr="78882673">
        <w:t>zilucoplan</w:t>
      </w:r>
      <w:proofErr w:type="spellEnd"/>
      <w:r w:rsidR="00790E50" w:rsidRPr="78882673">
        <w:t xml:space="preserve"> appeared well-tolerated, the claim of non-inferior </w:t>
      </w:r>
      <w:r w:rsidR="00790E50" w:rsidRPr="00E90C9F">
        <w:t>comparative safety versus placebo was not adequately supported given the limited safety data and the requirement for patients to receive meningococcal vaccinations (</w:t>
      </w:r>
      <w:r w:rsidR="00FB174B" w:rsidRPr="00FB174B">
        <w:t>paragraph</w:t>
      </w:r>
      <w:r w:rsidR="00790E50" w:rsidRPr="00E90C9F">
        <w:t xml:space="preserve"> 7.14, </w:t>
      </w:r>
      <w:proofErr w:type="spellStart"/>
      <w:r w:rsidR="00790E50" w:rsidRPr="00E90C9F">
        <w:t>zilucoplan</w:t>
      </w:r>
      <w:proofErr w:type="spellEnd"/>
      <w:r w:rsidR="00790E50" w:rsidRPr="00E90C9F">
        <w:t xml:space="preserve"> </w:t>
      </w:r>
      <w:r w:rsidR="002046F2" w:rsidRPr="00E90C9F">
        <w:rPr>
          <w:rFonts w:eastAsia="PlantinStd"/>
        </w:rPr>
        <w:t xml:space="preserve">PBAC </w:t>
      </w:r>
      <w:r w:rsidR="00B32871">
        <w:rPr>
          <w:rFonts w:eastAsia="PlantinStd"/>
        </w:rPr>
        <w:t>PSD</w:t>
      </w:r>
      <w:r w:rsidR="00790E50" w:rsidRPr="00E90C9F">
        <w:t>, July</w:t>
      </w:r>
      <w:r w:rsidR="00B32871">
        <w:t> </w:t>
      </w:r>
      <w:r w:rsidR="00790E50" w:rsidRPr="00E90C9F">
        <w:t xml:space="preserve">2024 PBAC meeting). </w:t>
      </w:r>
      <w:r w:rsidR="009D3538" w:rsidRPr="00E90C9F">
        <w:t>This was unchanged in the resubmission.</w:t>
      </w:r>
      <w:r w:rsidR="00EC70A4" w:rsidRPr="00E90C9F">
        <w:t xml:space="preserve"> </w:t>
      </w:r>
    </w:p>
    <w:p w14:paraId="4460AE20" w14:textId="4FAC5BCC" w:rsidR="00B21D33" w:rsidRPr="00E90C9F" w:rsidRDefault="00B21D33" w:rsidP="00E55FD2">
      <w:pPr>
        <w:pStyle w:val="COMexecsummnumbered"/>
        <w:rPr>
          <w:rFonts w:cs="Calibri"/>
        </w:rPr>
      </w:pPr>
      <w:r w:rsidRPr="00E90C9F">
        <w:rPr>
          <w:rFonts w:cs="Calibri"/>
        </w:rPr>
        <w:t xml:space="preserve">The ESC </w:t>
      </w:r>
      <w:r w:rsidR="00D72EB3" w:rsidRPr="00E90C9F">
        <w:rPr>
          <w:rFonts w:cs="Calibri"/>
        </w:rPr>
        <w:t xml:space="preserve">noted that results by refractory status suggest that the improvement in MG-ADL associated with </w:t>
      </w:r>
      <w:proofErr w:type="spellStart"/>
      <w:r w:rsidR="00D72EB3" w:rsidRPr="00E90C9F">
        <w:rPr>
          <w:rFonts w:cs="Calibri"/>
        </w:rPr>
        <w:t>zilucoplan</w:t>
      </w:r>
      <w:proofErr w:type="spellEnd"/>
      <w:r w:rsidR="00D72EB3" w:rsidRPr="00E90C9F">
        <w:rPr>
          <w:rFonts w:cs="Calibri"/>
        </w:rPr>
        <w:t xml:space="preserve"> compared to placebo may be larger in refractory patients compared to non-refractory patients, but </w:t>
      </w:r>
      <w:r w:rsidRPr="00E90C9F">
        <w:rPr>
          <w:rFonts w:cs="Calibri"/>
        </w:rPr>
        <w:t xml:space="preserve">considered that the subgroup </w:t>
      </w:r>
      <w:r w:rsidR="00D72EB3" w:rsidRPr="00E90C9F">
        <w:rPr>
          <w:rFonts w:cs="Calibri"/>
        </w:rPr>
        <w:t>analys</w:t>
      </w:r>
      <w:r w:rsidR="00B46407" w:rsidRPr="00E90C9F">
        <w:rPr>
          <w:rFonts w:cs="Calibri"/>
        </w:rPr>
        <w:t>e</w:t>
      </w:r>
      <w:r w:rsidR="00D72EB3" w:rsidRPr="00E90C9F">
        <w:rPr>
          <w:rFonts w:cs="Calibri"/>
        </w:rPr>
        <w:t>s</w:t>
      </w:r>
      <w:r w:rsidRPr="00E90C9F">
        <w:rPr>
          <w:rFonts w:cs="Calibri"/>
        </w:rPr>
        <w:t xml:space="preserve"> remained difficult to interpret</w:t>
      </w:r>
      <w:r w:rsidR="003F103C" w:rsidRPr="00E90C9F">
        <w:rPr>
          <w:rFonts w:cs="Calibri"/>
        </w:rPr>
        <w:t xml:space="preserve"> (e.g. a </w:t>
      </w:r>
      <w:r w:rsidR="003F103C" w:rsidRPr="006D4365">
        <w:rPr>
          <w:rFonts w:cs="Calibri"/>
          <w:i/>
          <w:iCs/>
        </w:rPr>
        <w:t xml:space="preserve">post hoc </w:t>
      </w:r>
      <w:r w:rsidR="003F103C" w:rsidRPr="00E90C9F">
        <w:rPr>
          <w:rFonts w:cs="Calibri"/>
        </w:rPr>
        <w:t>test for treatment-effect interaction showed that refractory status was not a treatment effect modifier</w:t>
      </w:r>
      <w:r w:rsidR="000C54C2" w:rsidRPr="00E90C9F">
        <w:rPr>
          <w:rFonts w:cs="Calibri"/>
        </w:rPr>
        <w:t xml:space="preserve"> for this outcome, although patient numbers were small)</w:t>
      </w:r>
      <w:r w:rsidRPr="00E90C9F">
        <w:rPr>
          <w:rFonts w:cs="Calibri"/>
        </w:rPr>
        <w:t>.</w:t>
      </w:r>
    </w:p>
    <w:p w14:paraId="22E052EC" w14:textId="2E05174A" w:rsidR="00C4797A" w:rsidRPr="006B5726" w:rsidRDefault="00DC100B" w:rsidP="00E55FD2">
      <w:pPr>
        <w:pStyle w:val="COMexecsummnumbered"/>
        <w:rPr>
          <w:rFonts w:cs="Calibri"/>
        </w:rPr>
      </w:pPr>
      <w:r w:rsidRPr="00E90C9F">
        <w:t>The evaluation considered that it was uncertain w</w:t>
      </w:r>
      <w:r w:rsidR="001E786A" w:rsidRPr="00E90C9F">
        <w:t xml:space="preserve">hether the results of the overall RAISE trial and </w:t>
      </w:r>
      <w:r w:rsidR="00B1420A" w:rsidRPr="00E90C9F">
        <w:t>treatment refractory</w:t>
      </w:r>
      <w:r w:rsidR="001E786A" w:rsidRPr="00E90C9F">
        <w:t xml:space="preserve"> subgroup can be generalised to the proposed PBS restriction, given </w:t>
      </w:r>
      <w:r w:rsidR="00C4797A" w:rsidRPr="00E90C9F">
        <w:rPr>
          <w:rFonts w:cs="Calibri"/>
        </w:rPr>
        <w:t>differences in eligibility criteria between the populations (the trial required patients to have MG-ADL ≥6; QMG ≥12 and four</w:t>
      </w:r>
      <w:r w:rsidR="00C4797A" w:rsidRPr="006B5726">
        <w:rPr>
          <w:rFonts w:cs="Calibri"/>
        </w:rPr>
        <w:t xml:space="preserve"> or more QMG items scored ≥2 while the restriction only requires patients to have a MG-ADL ≥6). </w:t>
      </w:r>
    </w:p>
    <w:p w14:paraId="7F613CD1" w14:textId="138D4D32" w:rsidR="005F7588" w:rsidRPr="00E90C9F" w:rsidRDefault="001E786A" w:rsidP="00E55FD2">
      <w:pPr>
        <w:pStyle w:val="COMexecsummnumbered"/>
        <w:rPr>
          <w:rFonts w:eastAsia="Calibri"/>
        </w:rPr>
      </w:pPr>
      <w:r w:rsidRPr="006B5726">
        <w:t xml:space="preserve">The July 2024 submission claimed the limited evidence base available for chronic IVIg/PLEX precludes any robust clinical conclusion on the comparative efficacy and </w:t>
      </w:r>
      <w:r w:rsidRPr="00E90C9F">
        <w:t>safety of treatments. However, the submission considered that</w:t>
      </w:r>
      <w:r w:rsidR="00F32639" w:rsidRPr="00E90C9F">
        <w:t xml:space="preserve"> it</w:t>
      </w:r>
      <w:r w:rsidRPr="00E90C9F">
        <w:t xml:space="preserve"> is likely that </w:t>
      </w:r>
      <w:proofErr w:type="spellStart"/>
      <w:r w:rsidRPr="00E90C9F">
        <w:t>zilucoplan</w:t>
      </w:r>
      <w:proofErr w:type="spellEnd"/>
      <w:r w:rsidRPr="00E90C9F">
        <w:t xml:space="preserve"> is at least non-inferior in terms of efficacy and safety compared to chronic IVIg/PLEX. </w:t>
      </w:r>
    </w:p>
    <w:p w14:paraId="1C185381" w14:textId="0C23A959" w:rsidR="00E9492E" w:rsidRPr="00E90C9F" w:rsidRDefault="00E9492E" w:rsidP="00E55FD2">
      <w:pPr>
        <w:pStyle w:val="COMexecsummnumbered"/>
        <w:rPr>
          <w:rFonts w:eastAsia="Calibri"/>
        </w:rPr>
      </w:pPr>
      <w:r w:rsidRPr="00E90C9F">
        <w:rPr>
          <w:rFonts w:eastAsia="Calibri"/>
        </w:rPr>
        <w:t xml:space="preserve">The ESC </w:t>
      </w:r>
      <w:r w:rsidR="00FA7CFA">
        <w:rPr>
          <w:rFonts w:eastAsia="Calibri"/>
        </w:rPr>
        <w:t xml:space="preserve">and the PBAC </w:t>
      </w:r>
      <w:r w:rsidRPr="00E90C9F">
        <w:rPr>
          <w:rFonts w:eastAsia="Calibri"/>
        </w:rPr>
        <w:t xml:space="preserve">acknowledged the limitations of the available evidence for chronic IVIg but considered there was </w:t>
      </w:r>
      <w:r w:rsidR="00100D16">
        <w:rPr>
          <w:rFonts w:eastAsia="Calibri"/>
        </w:rPr>
        <w:t>insufficient</w:t>
      </w:r>
      <w:r w:rsidRPr="00E90C9F">
        <w:rPr>
          <w:rFonts w:eastAsia="Calibri"/>
        </w:rPr>
        <w:t xml:space="preserve"> evidence to suggest superior efficacy </w:t>
      </w:r>
      <w:r w:rsidR="00FA7CFA">
        <w:rPr>
          <w:rFonts w:eastAsia="Calibri"/>
        </w:rPr>
        <w:t xml:space="preserve">or safety </w:t>
      </w:r>
      <w:r w:rsidRPr="00E90C9F">
        <w:rPr>
          <w:rFonts w:eastAsia="Calibri"/>
        </w:rPr>
        <w:t xml:space="preserve">of any of the four new gMG therapies </w:t>
      </w:r>
      <w:r w:rsidR="009F0FAA" w:rsidRPr="00E90C9F">
        <w:rPr>
          <w:rFonts w:eastAsia="Calibri"/>
        </w:rPr>
        <w:t>(</w:t>
      </w:r>
      <w:proofErr w:type="spellStart"/>
      <w:r w:rsidR="009F0FAA" w:rsidRPr="00E90C9F">
        <w:rPr>
          <w:rFonts w:eastAsia="Calibri"/>
        </w:rPr>
        <w:t>zilucoplan</w:t>
      </w:r>
      <w:proofErr w:type="spellEnd"/>
      <w:r w:rsidR="009F0FAA" w:rsidRPr="00E90C9F">
        <w:rPr>
          <w:rFonts w:eastAsia="Calibri"/>
        </w:rPr>
        <w:t xml:space="preserve">, </w:t>
      </w:r>
      <w:proofErr w:type="spellStart"/>
      <w:r w:rsidR="009F0FAA" w:rsidRPr="00E90C9F">
        <w:rPr>
          <w:rFonts w:eastAsia="Calibri"/>
        </w:rPr>
        <w:t>ravulizumab</w:t>
      </w:r>
      <w:proofErr w:type="spellEnd"/>
      <w:r w:rsidR="009F0FAA" w:rsidRPr="00E90C9F">
        <w:rPr>
          <w:rFonts w:eastAsia="Calibri"/>
        </w:rPr>
        <w:t>, efgartigimod and rozanolixizumab)</w:t>
      </w:r>
      <w:r w:rsidR="009F0FAA">
        <w:rPr>
          <w:rFonts w:eastAsia="Calibri"/>
        </w:rPr>
        <w:t xml:space="preserve"> </w:t>
      </w:r>
      <w:r w:rsidRPr="00E90C9F">
        <w:rPr>
          <w:rFonts w:eastAsia="Calibri"/>
        </w:rPr>
        <w:t>versus chronic IVIg or PLEX.</w:t>
      </w:r>
    </w:p>
    <w:p w14:paraId="6C483961" w14:textId="75E4623E" w:rsidR="00E9492E" w:rsidRDefault="00E9492E" w:rsidP="00E55FD2">
      <w:pPr>
        <w:pStyle w:val="COMexecsummnumbered"/>
        <w:rPr>
          <w:rFonts w:eastAsia="Calibri"/>
        </w:rPr>
      </w:pPr>
      <w:r w:rsidRPr="00E90C9F">
        <w:rPr>
          <w:rFonts w:eastAsia="Calibri"/>
        </w:rPr>
        <w:t>Further, the ESC</w:t>
      </w:r>
      <w:r w:rsidR="00FA7CFA">
        <w:rPr>
          <w:rFonts w:eastAsia="Calibri"/>
        </w:rPr>
        <w:t xml:space="preserve"> and the PBAC</w:t>
      </w:r>
      <w:r w:rsidRPr="00E90C9F">
        <w:rPr>
          <w:rFonts w:eastAsia="Calibri"/>
        </w:rPr>
        <w:t xml:space="preserve"> considered there was no evidence to suggest superior efficacy or safety between any of the four new gMG therapies. The ESC considered that the published network meta-analyses had substantial limitations, notably the poor transitivity between the included trials and lack of accounting for the treatment effects of Fc Receptor (</w:t>
      </w:r>
      <w:proofErr w:type="spellStart"/>
      <w:r w:rsidRPr="00E90C9F">
        <w:rPr>
          <w:rFonts w:eastAsia="Calibri"/>
        </w:rPr>
        <w:t>FcRn</w:t>
      </w:r>
      <w:proofErr w:type="spellEnd"/>
      <w:r w:rsidRPr="00E90C9F">
        <w:rPr>
          <w:rFonts w:eastAsia="Calibri"/>
        </w:rPr>
        <w:t>) blockers waning over time during the off-treatment period.</w:t>
      </w:r>
      <w:r w:rsidR="0077631D">
        <w:rPr>
          <w:rFonts w:eastAsia="Calibri"/>
        </w:rPr>
        <w:t xml:space="preserve"> </w:t>
      </w:r>
    </w:p>
    <w:p w14:paraId="41ECB359" w14:textId="231BF9F5" w:rsidR="00FA7CFA" w:rsidRPr="00662484" w:rsidRDefault="00FA7CFA" w:rsidP="00E55FD2">
      <w:pPr>
        <w:pStyle w:val="COMexecsummnumbered"/>
      </w:pPr>
      <w:bookmarkStart w:id="58" w:name="_Hlk193974726"/>
      <w:bookmarkStart w:id="59" w:name="_Hlk76376200"/>
      <w:r w:rsidRPr="00662484">
        <w:t xml:space="preserve">Overall, the PBAC considered that </w:t>
      </w:r>
      <w:proofErr w:type="spellStart"/>
      <w:r>
        <w:t>zilucoplan</w:t>
      </w:r>
      <w:proofErr w:type="spellEnd"/>
      <w:r w:rsidRPr="00662484">
        <w:t xml:space="preserve"> has non-inferior comparative effectiveness and safety versus chronic IVIg </w:t>
      </w:r>
      <w:proofErr w:type="gramStart"/>
      <w:r w:rsidRPr="00662484">
        <w:t>and also</w:t>
      </w:r>
      <w:proofErr w:type="gramEnd"/>
      <w:r w:rsidRPr="00662484">
        <w:t xml:space="preserve"> against </w:t>
      </w:r>
      <w:proofErr w:type="spellStart"/>
      <w:r>
        <w:t>ravulizumab</w:t>
      </w:r>
      <w:proofErr w:type="spellEnd"/>
      <w:r w:rsidRPr="00662484">
        <w:t xml:space="preserve">, efgartigimod and rozanolixizumab. </w:t>
      </w:r>
    </w:p>
    <w:p w14:paraId="74A1172E" w14:textId="128C170E" w:rsidR="00B60939" w:rsidRPr="00BB59B1" w:rsidRDefault="00B60939" w:rsidP="00E55FD2">
      <w:pPr>
        <w:pStyle w:val="COMH2-non-numbered"/>
      </w:pPr>
      <w:bookmarkStart w:id="60" w:name="_Toc22897645"/>
      <w:bookmarkStart w:id="61" w:name="_Toc188274686"/>
      <w:bookmarkEnd w:id="58"/>
      <w:bookmarkEnd w:id="59"/>
      <w:r w:rsidRPr="00BB59B1">
        <w:t>Economic analysis</w:t>
      </w:r>
      <w:bookmarkEnd w:id="60"/>
      <w:bookmarkEnd w:id="61"/>
      <w:r w:rsidR="00491B3A" w:rsidRPr="00BB59B1">
        <w:t xml:space="preserve"> </w:t>
      </w:r>
    </w:p>
    <w:p w14:paraId="04CAC0D5" w14:textId="033B9B40" w:rsidR="00616235" w:rsidRPr="00E90C9F" w:rsidRDefault="00616235" w:rsidP="00E55FD2">
      <w:pPr>
        <w:pStyle w:val="COMexecsummnumbered"/>
      </w:pPr>
      <w:r w:rsidRPr="78882673">
        <w:t xml:space="preserve">The resubmission presented a stepped economic evaluation of </w:t>
      </w:r>
      <w:proofErr w:type="spellStart"/>
      <w:r w:rsidRPr="78882673">
        <w:t>zilucoplan</w:t>
      </w:r>
      <w:proofErr w:type="spellEnd"/>
      <w:r w:rsidRPr="78882673">
        <w:t xml:space="preserve"> in combination with standard therapy compared to placebo in combination with standard therapy for the treatment of </w:t>
      </w:r>
      <w:proofErr w:type="spellStart"/>
      <w:r w:rsidRPr="78882673">
        <w:t>AChR</w:t>
      </w:r>
      <w:proofErr w:type="spellEnd"/>
      <w:r w:rsidRPr="78882673">
        <w:t xml:space="preserve">-positive generalised myasthenia gravis in the treatment refractory setting. The economic evaluation was based on a direct </w:t>
      </w:r>
      <w:r w:rsidRPr="00E90C9F">
        <w:lastRenderedPageBreak/>
        <w:t>randomised trial (RAISE) and extension study with additional modelled data. The economic evaluation was presented as a cost-effectiveness/cost-utility analysis.</w:t>
      </w:r>
    </w:p>
    <w:p w14:paraId="6142B98B" w14:textId="3C30926C" w:rsidR="004064D1" w:rsidRPr="00E90C9F" w:rsidRDefault="00F562DA" w:rsidP="00E55FD2">
      <w:pPr>
        <w:pStyle w:val="COMexecsummnumbered"/>
        <w:spacing w:after="0"/>
      </w:pPr>
      <w:r w:rsidRPr="00E90C9F">
        <w:t xml:space="preserve">In contrast to the clinical management algorithm and financial implications (which positioned </w:t>
      </w:r>
      <w:proofErr w:type="spellStart"/>
      <w:r w:rsidRPr="00E90C9F">
        <w:t>zilucoplan</w:t>
      </w:r>
      <w:proofErr w:type="spellEnd"/>
      <w:r w:rsidRPr="00E90C9F">
        <w:t xml:space="preserve"> as an alternative to IVIg/PLEX), in the economic model, </w:t>
      </w:r>
      <w:proofErr w:type="spellStart"/>
      <w:r w:rsidRPr="00E90C9F">
        <w:t>zilucoplan</w:t>
      </w:r>
      <w:proofErr w:type="spellEnd"/>
      <w:r w:rsidRPr="00E90C9F">
        <w:t xml:space="preserve"> </w:t>
      </w:r>
      <w:r w:rsidR="006872DE" w:rsidRPr="00E90C9F">
        <w:t>wa</w:t>
      </w:r>
      <w:r w:rsidRPr="00E90C9F">
        <w:t xml:space="preserve">s assumed to be used primarily as a subsequent therapy after treatment failure with chronic IVIg/PLEX. </w:t>
      </w:r>
      <w:r w:rsidR="00B74139" w:rsidRPr="00E90C9F">
        <w:t>The PSCR advised that this wa</w:t>
      </w:r>
      <w:r w:rsidR="00D04722" w:rsidRPr="00E90C9F">
        <w:t xml:space="preserve">s to address PBAC’s previous concerns (from July 2024) that </w:t>
      </w:r>
      <w:r w:rsidR="00505142" w:rsidRPr="00E90C9F">
        <w:t>the model should more explicitly</w:t>
      </w:r>
      <w:r w:rsidR="00557B19" w:rsidRPr="00E90C9F">
        <w:t xml:space="preserve"> capture the costs and outcomes of </w:t>
      </w:r>
      <w:r w:rsidR="00D02297" w:rsidRPr="00E90C9F">
        <w:t>subsequent treatments (e.g. IVIg, PLEX, SoC).</w:t>
      </w:r>
      <w:r w:rsidR="00B74139" w:rsidRPr="00E90C9F">
        <w:t xml:space="preserve"> </w:t>
      </w:r>
      <w:r w:rsidR="003E4EF1" w:rsidRPr="00E90C9F">
        <w:t>T</w:t>
      </w:r>
      <w:r w:rsidR="00972338" w:rsidRPr="00E90C9F">
        <w:t xml:space="preserve">he evaluation considered that </w:t>
      </w:r>
      <w:r w:rsidRPr="00E90C9F">
        <w:t xml:space="preserve">it may </w:t>
      </w:r>
      <w:r w:rsidR="003E4EF1" w:rsidRPr="00E90C9F">
        <w:t xml:space="preserve">have </w:t>
      </w:r>
      <w:r w:rsidRPr="00E90C9F">
        <w:t>be</w:t>
      </w:r>
      <w:r w:rsidR="003E4EF1" w:rsidRPr="00E90C9F">
        <w:t>en</w:t>
      </w:r>
      <w:r w:rsidRPr="00E90C9F">
        <w:t xml:space="preserve"> more appropriate to compare </w:t>
      </w:r>
      <w:proofErr w:type="spellStart"/>
      <w:r w:rsidRPr="00E90C9F">
        <w:t>zilucoplan</w:t>
      </w:r>
      <w:proofErr w:type="spellEnd"/>
      <w:r w:rsidRPr="00E90C9F">
        <w:t xml:space="preserve"> with rituximab and cyclophosphamide rather than standard therapy alone.</w:t>
      </w:r>
      <w:r w:rsidR="0077631D">
        <w:t xml:space="preserve"> </w:t>
      </w:r>
    </w:p>
    <w:p w14:paraId="3F7E82C3" w14:textId="280F4C4A" w:rsidR="00946108" w:rsidRPr="00F26D5A" w:rsidRDefault="00946108" w:rsidP="00E55FD2">
      <w:pPr>
        <w:pStyle w:val="COMexecsummnumbered"/>
        <w:spacing w:after="0"/>
      </w:pPr>
      <w:r w:rsidRPr="00E90C9F">
        <w:t xml:space="preserve">However, the </w:t>
      </w:r>
      <w:r w:rsidR="005369F8" w:rsidRPr="00E90C9F">
        <w:t xml:space="preserve">ESC reiterated the </w:t>
      </w:r>
      <w:r w:rsidRPr="00E90C9F">
        <w:t>PBAC</w:t>
      </w:r>
      <w:r w:rsidR="005369F8" w:rsidRPr="00E90C9F">
        <w:t>’s previous advice (from July 2024)</w:t>
      </w:r>
      <w:r w:rsidRPr="00E90C9F">
        <w:t xml:space="preserve"> that chronic IVIg/PLEX </w:t>
      </w:r>
      <w:r w:rsidR="007E154A" w:rsidRPr="00E90C9F">
        <w:t xml:space="preserve">was </w:t>
      </w:r>
      <w:r w:rsidRPr="00E90C9F">
        <w:t xml:space="preserve">a relevant comparator for providing a frame of reference for interpreting the cost per patient of </w:t>
      </w:r>
      <w:proofErr w:type="spellStart"/>
      <w:r w:rsidRPr="00E90C9F">
        <w:t>zilucoplan</w:t>
      </w:r>
      <w:proofErr w:type="spellEnd"/>
      <w:r w:rsidRPr="00E90C9F">
        <w:t xml:space="preserve"> in the refractory setting. </w:t>
      </w:r>
      <w:r w:rsidR="006A4789" w:rsidRPr="00E90C9F">
        <w:t>A comparison of annual costs per patient per year</w:t>
      </w:r>
      <w:r w:rsidR="006A4789" w:rsidRPr="78882673">
        <w:t xml:space="preserve"> for </w:t>
      </w:r>
      <w:proofErr w:type="spellStart"/>
      <w:r w:rsidR="006A4789" w:rsidRPr="78882673">
        <w:t>zilucoplan</w:t>
      </w:r>
      <w:proofErr w:type="spellEnd"/>
      <w:r w:rsidR="006A4789" w:rsidRPr="78882673">
        <w:t xml:space="preserve"> and IVIg/PLEX is presented in the </w:t>
      </w:r>
      <w:hyperlink w:anchor="Drug_cost">
        <w:r w:rsidR="006A4789" w:rsidRPr="004D52FA">
          <w:rPr>
            <w:rStyle w:val="Hyperlink"/>
            <w:color w:val="auto"/>
            <w:u w:val="none"/>
          </w:rPr>
          <w:t>Drug cost/patient/year</w:t>
        </w:r>
      </w:hyperlink>
      <w:r w:rsidR="006A4789" w:rsidRPr="78882673">
        <w:t xml:space="preserve"> section.</w:t>
      </w:r>
      <w:r w:rsidR="001A14A3" w:rsidRPr="78882673">
        <w:t xml:space="preserve"> </w:t>
      </w:r>
    </w:p>
    <w:p w14:paraId="7FB2551B" w14:textId="1455ED55" w:rsidR="002162B1" w:rsidRPr="00BB59B1" w:rsidRDefault="002162B1" w:rsidP="00E55FD2">
      <w:pPr>
        <w:pStyle w:val="COMexecsummnumbered"/>
      </w:pPr>
      <w:r w:rsidRPr="00BB59B1">
        <w:t>The main changes to the economic evaluation in the current resubmission compared with the July 2024 submission include:</w:t>
      </w:r>
    </w:p>
    <w:p w14:paraId="5EA792E8" w14:textId="60FFD497" w:rsidR="006C1AB7" w:rsidRPr="00302757" w:rsidRDefault="0014586F" w:rsidP="00E55FD2">
      <w:pPr>
        <w:pStyle w:val="COMexecsummbulletlist"/>
        <w:ind w:hanging="357"/>
      </w:pPr>
      <w:r w:rsidRPr="00302757">
        <w:t xml:space="preserve">The economic model positioned </w:t>
      </w:r>
      <w:proofErr w:type="spellStart"/>
      <w:r w:rsidRPr="00302757">
        <w:t>zilucoplan</w:t>
      </w:r>
      <w:proofErr w:type="spellEnd"/>
      <w:r w:rsidRPr="00302757">
        <w:t xml:space="preserve"> primarily as a subsequent therapy after treatment failure with chronic IVIg/PLEX</w:t>
      </w:r>
      <w:r w:rsidR="00676AF2" w:rsidRPr="00302757">
        <w:t xml:space="preserve"> (compared to </w:t>
      </w:r>
      <w:r w:rsidR="00CB2558" w:rsidRPr="00302757">
        <w:t>second line</w:t>
      </w:r>
      <w:r w:rsidR="00676AF2" w:rsidRPr="00302757">
        <w:t xml:space="preserve"> and treatment refractory patients in the July 2024 submission)</w:t>
      </w:r>
      <w:r w:rsidRPr="00302757">
        <w:t>.</w:t>
      </w:r>
    </w:p>
    <w:p w14:paraId="34B8E308" w14:textId="05E9ADD8" w:rsidR="00EE5BAC" w:rsidRPr="00302757" w:rsidRDefault="00EE5BAC" w:rsidP="00E55FD2">
      <w:pPr>
        <w:pStyle w:val="COMexecsummbulletlist"/>
      </w:pPr>
      <w:r w:rsidRPr="00302757">
        <w:t xml:space="preserve">The </w:t>
      </w:r>
      <w:r w:rsidR="008A3104" w:rsidRPr="00302757">
        <w:t>mix of subsequent therapy following discontinuation of</w:t>
      </w:r>
      <w:r w:rsidRPr="00302757">
        <w:t xml:space="preserve"> </w:t>
      </w:r>
      <w:proofErr w:type="spellStart"/>
      <w:r w:rsidRPr="00302757">
        <w:t>zilucoplan</w:t>
      </w:r>
      <w:proofErr w:type="spellEnd"/>
      <w:r w:rsidRPr="00302757">
        <w:t xml:space="preserve"> and placebo </w:t>
      </w:r>
      <w:r w:rsidR="006137FE" w:rsidRPr="00302757">
        <w:t xml:space="preserve">was revised from 100% chronic </w:t>
      </w:r>
      <w:r w:rsidRPr="00302757">
        <w:t xml:space="preserve">IVIg/PLEX </w:t>
      </w:r>
      <w:r w:rsidR="006137FE" w:rsidRPr="00302757">
        <w:t xml:space="preserve">to 20% chronic IVIg/PLEX and 80% </w:t>
      </w:r>
      <w:r w:rsidR="00223B10" w:rsidRPr="00302757">
        <w:t xml:space="preserve">escalated standard therapy (including rituximab). </w:t>
      </w:r>
      <w:r w:rsidR="00E82C16" w:rsidRPr="00302757">
        <w:t>The model structure was revised to all</w:t>
      </w:r>
      <w:r w:rsidR="00223B10" w:rsidRPr="00302757">
        <w:t xml:space="preserve">ow </w:t>
      </w:r>
      <w:r w:rsidR="00A105E3" w:rsidRPr="00302757">
        <w:t>response to chronic IVIg/PLEX (70%;</w:t>
      </w:r>
      <w:r w:rsidRPr="00302757">
        <w:t xml:space="preserve"> previously 0%)</w:t>
      </w:r>
      <w:r w:rsidR="00366E58" w:rsidRPr="00302757">
        <w:t>; however</w:t>
      </w:r>
      <w:r w:rsidR="00FE264A" w:rsidRPr="00302757">
        <w:t>,</w:t>
      </w:r>
      <w:r w:rsidR="00366E58" w:rsidRPr="00302757">
        <w:t xml:space="preserve"> response </w:t>
      </w:r>
      <w:r w:rsidR="00F37F9A" w:rsidRPr="00302757">
        <w:t>to</w:t>
      </w:r>
      <w:r w:rsidR="00366E58" w:rsidRPr="00302757">
        <w:t xml:space="preserve"> escalated standard therapy</w:t>
      </w:r>
      <w:r w:rsidR="00F37F9A" w:rsidRPr="00302757">
        <w:t xml:space="preserve"> was not possible</w:t>
      </w:r>
      <w:r w:rsidRPr="00302757">
        <w:t>.</w:t>
      </w:r>
    </w:p>
    <w:p w14:paraId="7777F0D4" w14:textId="5DDDC4D7" w:rsidR="002162B1" w:rsidRPr="00302757" w:rsidRDefault="00FB32A8" w:rsidP="00E55FD2">
      <w:pPr>
        <w:pStyle w:val="COMexecsummbulletlist"/>
        <w:ind w:hanging="357"/>
      </w:pPr>
      <w:r w:rsidRPr="00302757">
        <w:t>Treatment discontinuation due to loss of response was introduc</w:t>
      </w:r>
      <w:r w:rsidR="00B94CE5" w:rsidRPr="00302757">
        <w:t>ed in the placebo arm (</w:t>
      </w:r>
      <w:r w:rsidR="006C1AB7" w:rsidRPr="00302757">
        <w:t>16% per 2-week cycle)</w:t>
      </w:r>
      <w:r w:rsidR="00B94CE5" w:rsidRPr="00302757">
        <w:t>.</w:t>
      </w:r>
      <w:r w:rsidR="002162B1" w:rsidRPr="00302757">
        <w:t xml:space="preserve"> </w:t>
      </w:r>
    </w:p>
    <w:p w14:paraId="35616F66" w14:textId="6109BB40" w:rsidR="00143E15" w:rsidRPr="00302757" w:rsidRDefault="00143E15" w:rsidP="00E55FD2">
      <w:pPr>
        <w:pStyle w:val="COMexecsummbulletlist"/>
        <w:ind w:hanging="357"/>
      </w:pPr>
      <w:r w:rsidRPr="00302757">
        <w:t xml:space="preserve">Use of high-dose corticosteroids was revised </w:t>
      </w:r>
      <w:r w:rsidR="00164E94" w:rsidRPr="00302757">
        <w:t>for</w:t>
      </w:r>
      <w:r w:rsidRPr="00302757">
        <w:t xml:space="preserve"> </w:t>
      </w:r>
      <w:r w:rsidR="00164E94" w:rsidRPr="00302757">
        <w:t xml:space="preserve">responders (0% in the previous submission </w:t>
      </w:r>
      <w:r w:rsidR="003C342A" w:rsidRPr="00302757">
        <w:t>versus</w:t>
      </w:r>
      <w:r w:rsidR="00164E94" w:rsidRPr="00302757">
        <w:t xml:space="preserve"> 6.9% in the resubmission) and non-responders (</w:t>
      </w:r>
      <w:r w:rsidR="003C342A" w:rsidRPr="00302757">
        <w:t>63.8% versus 100%).</w:t>
      </w:r>
    </w:p>
    <w:p w14:paraId="4F5EF751" w14:textId="18A60D85" w:rsidR="002162B1" w:rsidRPr="00302757" w:rsidRDefault="002162B1" w:rsidP="00E55FD2">
      <w:pPr>
        <w:pStyle w:val="COMexecsummbulletlist"/>
        <w:ind w:hanging="357"/>
      </w:pPr>
      <w:r w:rsidRPr="00302757">
        <w:t xml:space="preserve">The proportion of </w:t>
      </w:r>
      <w:proofErr w:type="spellStart"/>
      <w:r w:rsidRPr="00302757">
        <w:t>zilucoplan</w:t>
      </w:r>
      <w:proofErr w:type="spellEnd"/>
      <w:r w:rsidRPr="00302757">
        <w:t xml:space="preserve"> and placebo non-responders who receive IVIg/PLEX was revised (from 100% to 20%), and a treatment effect associated with IVIg/PLEX therapy included (70%; previously 0%).</w:t>
      </w:r>
    </w:p>
    <w:p w14:paraId="5819C1F2" w14:textId="509F28E9" w:rsidR="002162B1" w:rsidRPr="00676AF2" w:rsidRDefault="002162B1" w:rsidP="00E55FD2">
      <w:pPr>
        <w:pStyle w:val="COMexecsummbulletlist"/>
        <w:ind w:hanging="357"/>
      </w:pPr>
      <w:r w:rsidRPr="00676AF2">
        <w:t>A</w:t>
      </w:r>
      <w:r w:rsidR="00676AF2" w:rsidRPr="00676AF2">
        <w:t xml:space="preserve">n </w:t>
      </w:r>
      <w:r w:rsidR="007510F8" w:rsidRPr="00271F88">
        <w:rPr>
          <w:color w:val="000000"/>
          <w:w w:val="15"/>
          <w:shd w:val="solid" w:color="000000" w:fill="000000"/>
          <w:fitText w:val="-20" w:id="-691334650"/>
          <w14:textFill>
            <w14:solidFill>
              <w14:srgbClr w14:val="000000">
                <w14:alpha w14:val="100000"/>
              </w14:srgbClr>
            </w14:solidFill>
          </w14:textFill>
        </w:rPr>
        <w:t>|</w:t>
      </w:r>
      <w:r w:rsidR="0077631D" w:rsidRPr="00271F88">
        <w:rPr>
          <w:color w:val="000000"/>
          <w:w w:val="15"/>
          <w:shd w:val="solid" w:color="000000" w:fill="000000"/>
          <w:fitText w:val="-20" w:id="-691334650"/>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50"/>
          <w14:textFill>
            <w14:solidFill>
              <w14:srgbClr w14:val="000000">
                <w14:alpha w14:val="100000"/>
              </w14:srgbClr>
            </w14:solidFill>
          </w14:textFill>
        </w:rPr>
        <w:t>|</w:t>
      </w:r>
      <w:r w:rsidR="00676AF2" w:rsidRPr="00D93594">
        <w:t>%</w:t>
      </w:r>
      <w:r w:rsidRPr="00676AF2">
        <w:t xml:space="preserve"> increase in the proposed AEMP for </w:t>
      </w:r>
      <w:proofErr w:type="spellStart"/>
      <w:r w:rsidRPr="00676AF2">
        <w:t>zilucoplan</w:t>
      </w:r>
      <w:proofErr w:type="spellEnd"/>
      <w:r w:rsidRPr="00676AF2">
        <w:t>.</w:t>
      </w:r>
    </w:p>
    <w:p w14:paraId="01019538" w14:textId="151DAB61" w:rsidR="003146E4" w:rsidRPr="005F3B63" w:rsidRDefault="005F3B63" w:rsidP="00E55FD2">
      <w:pPr>
        <w:pStyle w:val="COMexecsummnumbered"/>
        <w:rPr>
          <w:b/>
          <w:bCs/>
        </w:rPr>
      </w:pPr>
      <w:r w:rsidRPr="005F3B63">
        <w:fldChar w:fldCharType="begin"/>
      </w:r>
      <w:r w:rsidRPr="005F3B63">
        <w:instrText xml:space="preserve"> REF _Ref184730421 \h </w:instrText>
      </w:r>
      <w:r w:rsidRPr="005F3B63">
        <w:fldChar w:fldCharType="separate"/>
      </w:r>
      <w:r w:rsidR="00271F88" w:rsidRPr="00BB59B1">
        <w:t xml:space="preserve">Table </w:t>
      </w:r>
      <w:r w:rsidR="00271F88">
        <w:rPr>
          <w:noProof/>
        </w:rPr>
        <w:t>10</w:t>
      </w:r>
      <w:r w:rsidRPr="005F3B63">
        <w:fldChar w:fldCharType="end"/>
      </w:r>
      <w:r w:rsidR="003146E4" w:rsidRPr="005F3B63">
        <w:t xml:space="preserve"> summarises the key components of the economic evaluation.</w:t>
      </w:r>
    </w:p>
    <w:p w14:paraId="1D43CC36" w14:textId="5A3C49B0" w:rsidR="00717912" w:rsidRPr="00BB59B1" w:rsidRDefault="00717912" w:rsidP="00E55FD2">
      <w:pPr>
        <w:pStyle w:val="Caption"/>
      </w:pPr>
      <w:bookmarkStart w:id="62" w:name="_Ref184730421"/>
      <w:r w:rsidRPr="00BB59B1">
        <w:t xml:space="preserve">Table </w:t>
      </w:r>
      <w:r w:rsidR="00891FF9">
        <w:fldChar w:fldCharType="begin"/>
      </w:r>
      <w:r w:rsidR="00891FF9">
        <w:instrText xml:space="preserve"> SEQ Table \* ARABIC </w:instrText>
      </w:r>
      <w:r w:rsidR="00891FF9">
        <w:fldChar w:fldCharType="separate"/>
      </w:r>
      <w:r w:rsidR="00271F88">
        <w:rPr>
          <w:noProof/>
        </w:rPr>
        <w:t>10</w:t>
      </w:r>
      <w:r w:rsidR="00891FF9">
        <w:rPr>
          <w:noProof/>
        </w:rPr>
        <w:fldChar w:fldCharType="end"/>
      </w:r>
      <w:bookmarkEnd w:id="62"/>
      <w:r w:rsidRPr="00BB59B1">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0: Key components of the economic evaluation"/>
      </w:tblPr>
      <w:tblGrid>
        <w:gridCol w:w="1414"/>
        <w:gridCol w:w="7603"/>
      </w:tblGrid>
      <w:tr w:rsidR="00717912" w:rsidRPr="00BB59B1" w14:paraId="323E326B" w14:textId="77777777" w:rsidTr="78882673">
        <w:trPr>
          <w:tblHeader/>
        </w:trPr>
        <w:tc>
          <w:tcPr>
            <w:tcW w:w="784" w:type="pct"/>
            <w:vAlign w:val="center"/>
          </w:tcPr>
          <w:p w14:paraId="4CFE018B" w14:textId="77777777" w:rsidR="00717912" w:rsidRPr="00565B7A" w:rsidRDefault="00717912" w:rsidP="00E55FD2">
            <w:pPr>
              <w:pStyle w:val="COMTabletext"/>
              <w:keepNext w:val="0"/>
              <w:rPr>
                <w:b/>
                <w:bCs w:val="0"/>
              </w:rPr>
            </w:pPr>
            <w:r w:rsidRPr="00565B7A">
              <w:rPr>
                <w:b/>
                <w:bCs w:val="0"/>
              </w:rPr>
              <w:t>Component</w:t>
            </w:r>
          </w:p>
        </w:tc>
        <w:tc>
          <w:tcPr>
            <w:tcW w:w="4216" w:type="pct"/>
            <w:vAlign w:val="center"/>
          </w:tcPr>
          <w:p w14:paraId="478E1EBE" w14:textId="77777777" w:rsidR="00717912" w:rsidRPr="00565B7A" w:rsidRDefault="00717912" w:rsidP="00E55FD2">
            <w:pPr>
              <w:pStyle w:val="COMTabletext"/>
              <w:keepNext w:val="0"/>
              <w:jc w:val="center"/>
              <w:rPr>
                <w:b/>
                <w:bCs w:val="0"/>
              </w:rPr>
            </w:pPr>
            <w:r w:rsidRPr="00565B7A">
              <w:rPr>
                <w:b/>
                <w:bCs w:val="0"/>
              </w:rPr>
              <w:t>Description</w:t>
            </w:r>
          </w:p>
        </w:tc>
      </w:tr>
      <w:tr w:rsidR="00717912" w:rsidRPr="00BB59B1" w14:paraId="0C550E7B" w14:textId="77777777" w:rsidTr="78882673">
        <w:tc>
          <w:tcPr>
            <w:tcW w:w="784" w:type="pct"/>
            <w:vAlign w:val="center"/>
          </w:tcPr>
          <w:p w14:paraId="17211315" w14:textId="77777777" w:rsidR="00717912" w:rsidRPr="00BB59B1" w:rsidRDefault="00717912" w:rsidP="00E55FD2">
            <w:pPr>
              <w:pStyle w:val="COMTabletext"/>
              <w:keepNext w:val="0"/>
            </w:pPr>
            <w:r w:rsidRPr="00BB59B1">
              <w:t>Type of analysis</w:t>
            </w:r>
          </w:p>
        </w:tc>
        <w:tc>
          <w:tcPr>
            <w:tcW w:w="4216" w:type="pct"/>
          </w:tcPr>
          <w:p w14:paraId="6AE5C8CB" w14:textId="77777777" w:rsidR="00717912" w:rsidRPr="00BB59B1" w:rsidRDefault="00717912" w:rsidP="00E55FD2">
            <w:pPr>
              <w:pStyle w:val="COMTabletext"/>
              <w:keepNext w:val="0"/>
            </w:pPr>
            <w:r>
              <w:t>C</w:t>
            </w:r>
            <w:r w:rsidRPr="00BB59B1">
              <w:t>ost-effectiveness analysis</w:t>
            </w:r>
            <w:r>
              <w:t>/</w:t>
            </w:r>
            <w:r w:rsidRPr="00BB59B1">
              <w:t>cost-utility analysis</w:t>
            </w:r>
          </w:p>
        </w:tc>
      </w:tr>
      <w:tr w:rsidR="00717912" w:rsidRPr="00BB59B1" w14:paraId="4C7F6C53" w14:textId="77777777" w:rsidTr="78882673">
        <w:tc>
          <w:tcPr>
            <w:tcW w:w="784" w:type="pct"/>
            <w:vAlign w:val="center"/>
          </w:tcPr>
          <w:p w14:paraId="36194C8A" w14:textId="77777777" w:rsidR="00717912" w:rsidRPr="00BB59B1" w:rsidRDefault="00717912" w:rsidP="00E55FD2">
            <w:pPr>
              <w:pStyle w:val="COMTabletext"/>
              <w:keepNext w:val="0"/>
            </w:pPr>
            <w:r w:rsidRPr="00BB59B1">
              <w:t>Outcomes</w:t>
            </w:r>
          </w:p>
        </w:tc>
        <w:tc>
          <w:tcPr>
            <w:tcW w:w="4216" w:type="pct"/>
          </w:tcPr>
          <w:p w14:paraId="039A2B65" w14:textId="77777777" w:rsidR="00717912" w:rsidRPr="00BB59B1" w:rsidRDefault="00717912" w:rsidP="00E55FD2">
            <w:pPr>
              <w:pStyle w:val="COMTabletext"/>
              <w:keepNext w:val="0"/>
            </w:pPr>
            <w:r>
              <w:t>Patients with response; life years; quality adjusted life years</w:t>
            </w:r>
          </w:p>
        </w:tc>
      </w:tr>
      <w:tr w:rsidR="00717912" w:rsidRPr="00BB59B1" w14:paraId="79782583" w14:textId="77777777" w:rsidTr="78882673">
        <w:tc>
          <w:tcPr>
            <w:tcW w:w="784" w:type="pct"/>
            <w:vAlign w:val="center"/>
          </w:tcPr>
          <w:p w14:paraId="4F6B938E" w14:textId="77777777" w:rsidR="00717912" w:rsidRPr="00BB59B1" w:rsidRDefault="00717912" w:rsidP="00E55FD2">
            <w:pPr>
              <w:pStyle w:val="COMTabletext"/>
              <w:keepNext w:val="0"/>
            </w:pPr>
            <w:r w:rsidRPr="00BB59B1">
              <w:lastRenderedPageBreak/>
              <w:t>Time horizon</w:t>
            </w:r>
          </w:p>
        </w:tc>
        <w:tc>
          <w:tcPr>
            <w:tcW w:w="4216" w:type="pct"/>
          </w:tcPr>
          <w:p w14:paraId="6D087B89" w14:textId="77777777" w:rsidR="00717912" w:rsidRPr="00BB59B1" w:rsidRDefault="00717912" w:rsidP="00E55FD2">
            <w:pPr>
              <w:pStyle w:val="COMTabletext"/>
              <w:keepNext w:val="0"/>
            </w:pPr>
            <w:r w:rsidRPr="00302757">
              <w:t>10</w:t>
            </w:r>
            <w:r>
              <w:t xml:space="preserve"> years versus 12 weeks in the key trial.</w:t>
            </w:r>
          </w:p>
        </w:tc>
      </w:tr>
      <w:tr w:rsidR="00717912" w:rsidRPr="00BB59B1" w14:paraId="77CE8ADE" w14:textId="77777777" w:rsidTr="78882673">
        <w:tc>
          <w:tcPr>
            <w:tcW w:w="784" w:type="pct"/>
            <w:vAlign w:val="center"/>
          </w:tcPr>
          <w:p w14:paraId="1143FE6A" w14:textId="77777777" w:rsidR="00717912" w:rsidRPr="00BB59B1" w:rsidRDefault="00717912" w:rsidP="00E55FD2">
            <w:pPr>
              <w:pStyle w:val="COMTabletext"/>
              <w:keepNext w:val="0"/>
            </w:pPr>
            <w:r>
              <w:t>Treatments</w:t>
            </w:r>
          </w:p>
        </w:tc>
        <w:tc>
          <w:tcPr>
            <w:tcW w:w="4216" w:type="pct"/>
          </w:tcPr>
          <w:p w14:paraId="7883EAAB" w14:textId="58DCD326" w:rsidR="00717912" w:rsidRPr="00BB59B1" w:rsidRDefault="00717912" w:rsidP="00E55FD2">
            <w:pPr>
              <w:pStyle w:val="COMTabletext"/>
              <w:keepNext w:val="0"/>
            </w:pPr>
            <w:proofErr w:type="spellStart"/>
            <w:r w:rsidRPr="5669A5A1">
              <w:t>Zilucoplan</w:t>
            </w:r>
            <w:proofErr w:type="spellEnd"/>
            <w:r w:rsidRPr="5669A5A1">
              <w:t xml:space="preserve"> and placebo in combination with standard therapy (consisting of anticholinesterases, corticosteroids and other immunosuppressive agents such as mycophenolate mofetil and azathioprine). Treatment non-responders</w:t>
            </w:r>
            <w:r w:rsidR="005C6775" w:rsidRPr="5669A5A1">
              <w:t>/discontinuers</w:t>
            </w:r>
            <w:r w:rsidRPr="5669A5A1">
              <w:t xml:space="preserve"> were assumed to receive subsequent treatment with escalated standard therapy</w:t>
            </w:r>
            <w:r w:rsidR="00511F01" w:rsidRPr="5669A5A1">
              <w:t xml:space="preserve"> (including rituximab) or</w:t>
            </w:r>
            <w:r w:rsidRPr="5669A5A1">
              <w:t xml:space="preserve"> chronic IVIg/PLEX.</w:t>
            </w:r>
          </w:p>
        </w:tc>
      </w:tr>
      <w:tr w:rsidR="00717912" w:rsidRPr="00BB59B1" w14:paraId="1EB1E369" w14:textId="77777777" w:rsidTr="78882673">
        <w:tc>
          <w:tcPr>
            <w:tcW w:w="784" w:type="pct"/>
            <w:vAlign w:val="center"/>
          </w:tcPr>
          <w:p w14:paraId="49B26474" w14:textId="77777777" w:rsidR="00717912" w:rsidRPr="00BB59B1" w:rsidRDefault="00717912" w:rsidP="00E55FD2">
            <w:pPr>
              <w:pStyle w:val="COMTabletext"/>
              <w:keepNext w:val="0"/>
            </w:pPr>
            <w:r w:rsidRPr="00BB59B1">
              <w:t>Methods used to generate results</w:t>
            </w:r>
          </w:p>
        </w:tc>
        <w:tc>
          <w:tcPr>
            <w:tcW w:w="4216" w:type="pct"/>
          </w:tcPr>
          <w:p w14:paraId="5BC48F14" w14:textId="77777777" w:rsidR="00717912" w:rsidRPr="00BB59B1" w:rsidRDefault="00717912" w:rsidP="00E55FD2">
            <w:pPr>
              <w:pStyle w:val="COMTabletext"/>
              <w:keepNext w:val="0"/>
            </w:pPr>
            <w:r>
              <w:t>Markov cohort model</w:t>
            </w:r>
          </w:p>
        </w:tc>
      </w:tr>
      <w:tr w:rsidR="00717912" w:rsidRPr="00BB59B1" w14:paraId="5711BF30" w14:textId="77777777" w:rsidTr="78882673">
        <w:tc>
          <w:tcPr>
            <w:tcW w:w="784" w:type="pct"/>
            <w:vAlign w:val="center"/>
          </w:tcPr>
          <w:p w14:paraId="296DF143" w14:textId="77777777" w:rsidR="00717912" w:rsidRPr="00BB59B1" w:rsidRDefault="00717912" w:rsidP="00E55FD2">
            <w:pPr>
              <w:pStyle w:val="COMTabletext"/>
              <w:keepNext w:val="0"/>
            </w:pPr>
            <w:r w:rsidRPr="00BB59B1">
              <w:t>Health states</w:t>
            </w:r>
          </w:p>
        </w:tc>
        <w:tc>
          <w:tcPr>
            <w:tcW w:w="4216" w:type="pct"/>
          </w:tcPr>
          <w:p w14:paraId="79CD6111" w14:textId="77777777" w:rsidR="00717912" w:rsidRPr="00BB59B1" w:rsidRDefault="00717912" w:rsidP="00E55FD2">
            <w:pPr>
              <w:pStyle w:val="CommentText"/>
            </w:pPr>
            <w:r>
              <w:rPr>
                <w:rFonts w:ascii="Arial Narrow" w:eastAsiaTheme="majorEastAsia" w:hAnsi="Arial Narrow" w:cstheme="majorBidi"/>
                <w:bCs/>
                <w:szCs w:val="24"/>
              </w:rPr>
              <w:t>Non-res</w:t>
            </w:r>
            <w:r w:rsidRPr="003038B8">
              <w:rPr>
                <w:rFonts w:ascii="Arial Narrow" w:eastAsiaTheme="majorEastAsia" w:hAnsi="Arial Narrow" w:cstheme="majorBidi"/>
                <w:bCs/>
                <w:szCs w:val="24"/>
              </w:rPr>
              <w:t>ponder (on and off initial treatment; on and off subsequent treatment), responder (on initial treatment; on subsequent treatment), acute exacerbation (on and off initial treatment; on and off subsequent treatment), myasthenic crisis and dead</w:t>
            </w:r>
            <w:r>
              <w:rPr>
                <w:rFonts w:ascii="Arial Narrow" w:eastAsiaTheme="majorEastAsia" w:hAnsi="Arial Narrow" w:cstheme="majorBidi"/>
                <w:bCs/>
                <w:szCs w:val="24"/>
              </w:rPr>
              <w:t>.</w:t>
            </w:r>
          </w:p>
        </w:tc>
      </w:tr>
      <w:tr w:rsidR="00717912" w:rsidRPr="00BB59B1" w14:paraId="2388C0D0" w14:textId="77777777" w:rsidTr="78882673">
        <w:tc>
          <w:tcPr>
            <w:tcW w:w="784" w:type="pct"/>
            <w:vAlign w:val="center"/>
          </w:tcPr>
          <w:p w14:paraId="5EE07192" w14:textId="77777777" w:rsidR="00717912" w:rsidRPr="00BB59B1" w:rsidRDefault="00717912" w:rsidP="00E55FD2">
            <w:pPr>
              <w:pStyle w:val="COMTabletext"/>
              <w:keepNext w:val="0"/>
            </w:pPr>
            <w:r w:rsidRPr="00BB59B1">
              <w:t>Cycle length</w:t>
            </w:r>
          </w:p>
        </w:tc>
        <w:tc>
          <w:tcPr>
            <w:tcW w:w="4216" w:type="pct"/>
          </w:tcPr>
          <w:p w14:paraId="6371E5C6" w14:textId="77777777" w:rsidR="00717912" w:rsidRPr="00BB59B1" w:rsidRDefault="00717912" w:rsidP="00E55FD2">
            <w:pPr>
              <w:pStyle w:val="COMTabletext"/>
              <w:keepNext w:val="0"/>
            </w:pPr>
            <w:r>
              <w:t>2-weeks (no half-cycle correction)</w:t>
            </w:r>
          </w:p>
        </w:tc>
      </w:tr>
      <w:tr w:rsidR="00BD3BCA" w:rsidRPr="00BB59B1" w14:paraId="6A0DE059" w14:textId="77777777" w:rsidTr="78882673">
        <w:tc>
          <w:tcPr>
            <w:tcW w:w="784" w:type="pct"/>
            <w:vAlign w:val="center"/>
          </w:tcPr>
          <w:p w14:paraId="5D1B8E34" w14:textId="17A3DF62" w:rsidR="00BD3BCA" w:rsidRPr="00BB59B1" w:rsidRDefault="00BD3BCA" w:rsidP="00E55FD2">
            <w:pPr>
              <w:pStyle w:val="COMTabletext"/>
              <w:keepNext w:val="0"/>
            </w:pPr>
            <w:r w:rsidRPr="00BB59B1">
              <w:t>Patient characteristics</w:t>
            </w:r>
          </w:p>
        </w:tc>
        <w:tc>
          <w:tcPr>
            <w:tcW w:w="4216" w:type="pct"/>
            <w:vAlign w:val="center"/>
          </w:tcPr>
          <w:p w14:paraId="052B52A3" w14:textId="04BD7298" w:rsidR="00BD3BCA" w:rsidRDefault="00BD3BCA" w:rsidP="00E55FD2">
            <w:pPr>
              <w:pStyle w:val="COMTabletext"/>
              <w:keepNext w:val="0"/>
            </w:pPr>
            <w:r w:rsidRPr="00B162C2">
              <w:t xml:space="preserve">Age, sex, mean weight, distribution across weight categories, </w:t>
            </w:r>
            <w:r>
              <w:t xml:space="preserve">BMI, </w:t>
            </w:r>
            <w:r w:rsidRPr="00B162C2">
              <w:t xml:space="preserve">baseline MG-ADL score, </w:t>
            </w:r>
            <w:r>
              <w:t xml:space="preserve">and </w:t>
            </w:r>
            <w:r w:rsidRPr="00B162C2">
              <w:t>baseline EQ-5D utility value were based on data from the combined treatment arms of the RAISE trial.</w:t>
            </w:r>
          </w:p>
        </w:tc>
      </w:tr>
      <w:tr w:rsidR="00BD3BCA" w:rsidRPr="00BB59B1" w14:paraId="32CBE586" w14:textId="77777777" w:rsidTr="78882673">
        <w:tc>
          <w:tcPr>
            <w:tcW w:w="784" w:type="pct"/>
            <w:vAlign w:val="center"/>
          </w:tcPr>
          <w:p w14:paraId="3C8CDD13" w14:textId="72E1E956" w:rsidR="00BD3BCA" w:rsidRPr="00BB59B1" w:rsidRDefault="00BD3BCA" w:rsidP="00E55FD2">
            <w:pPr>
              <w:pStyle w:val="COMTabletext"/>
              <w:keepNext w:val="0"/>
            </w:pPr>
            <w:r w:rsidRPr="00BB59B1">
              <w:t>Circumstances of use</w:t>
            </w:r>
          </w:p>
        </w:tc>
        <w:tc>
          <w:tcPr>
            <w:tcW w:w="4216" w:type="pct"/>
          </w:tcPr>
          <w:p w14:paraId="1EE42BDB" w14:textId="2754E78D" w:rsidR="00BD3BCA" w:rsidRDefault="00BD3BCA" w:rsidP="00E55FD2">
            <w:pPr>
              <w:pStyle w:val="COMTabletext"/>
              <w:keepNext w:val="0"/>
              <w:spacing w:after="120"/>
            </w:pPr>
            <w:r w:rsidRPr="78882673">
              <w:t xml:space="preserve">The resubmission assumed that </w:t>
            </w:r>
            <w:proofErr w:type="gramStart"/>
            <w:r w:rsidRPr="78882673">
              <w:t>the majority of</w:t>
            </w:r>
            <w:proofErr w:type="gramEnd"/>
            <w:r w:rsidRPr="78882673">
              <w:t xml:space="preserve"> patients entering the model had failed prior therapy with chronic IVIg/PLEX.</w:t>
            </w:r>
          </w:p>
          <w:p w14:paraId="32732FA6" w14:textId="3BD127B8" w:rsidR="00BD3BCA" w:rsidRPr="00302757" w:rsidRDefault="00BD3BCA" w:rsidP="00E55FD2">
            <w:pPr>
              <w:pStyle w:val="COMTabletext"/>
              <w:keepNext w:val="0"/>
              <w:spacing w:after="120"/>
            </w:pPr>
            <w:r w:rsidRPr="78882673">
              <w:t xml:space="preserve">All patients were assumed </w:t>
            </w:r>
            <w:r w:rsidRPr="00302757">
              <w:t>to be fully adherent to standard therapy (consisting of anticholinesterases, corticosteroids and other immunosuppressive agents such as mycophenolate mofetil and azathioprine).</w:t>
            </w:r>
          </w:p>
          <w:p w14:paraId="07F7CAE6" w14:textId="7005985E" w:rsidR="00BD3BCA" w:rsidRPr="00B162C2" w:rsidRDefault="00BD3BCA" w:rsidP="00E55FD2">
            <w:pPr>
              <w:pStyle w:val="TableText"/>
              <w:widowControl/>
              <w:spacing w:after="120"/>
            </w:pPr>
            <w:r w:rsidRPr="00302757">
              <w:t>Patients were assumed to be fully adherent</w:t>
            </w:r>
            <w:r w:rsidRPr="78882673">
              <w:t xml:space="preserve"> with initial treatment (</w:t>
            </w:r>
            <w:proofErr w:type="spellStart"/>
            <w:r w:rsidRPr="78882673">
              <w:t>zilucoplan</w:t>
            </w:r>
            <w:proofErr w:type="spellEnd"/>
            <w:r w:rsidRPr="78882673">
              <w:t xml:space="preserve"> or placebo) and </w:t>
            </w:r>
            <w:r w:rsidR="005412C9" w:rsidRPr="78882673">
              <w:t>could</w:t>
            </w:r>
            <w:r w:rsidRPr="78882673">
              <w:t xml:space="preserve"> discontinue due to a lack of response (at Week 16), an exacerbation event, a myasthenic crisis event or death. Placebo-treated patients </w:t>
            </w:r>
            <w:r w:rsidR="005412C9" w:rsidRPr="78882673">
              <w:t>could</w:t>
            </w:r>
            <w:r w:rsidRPr="78882673">
              <w:t xml:space="preserve"> also discontinue due to loss of response. </w:t>
            </w:r>
            <w:proofErr w:type="spellStart"/>
            <w:r w:rsidRPr="78882673">
              <w:t>Zilucoplan</w:t>
            </w:r>
            <w:proofErr w:type="spellEnd"/>
            <w:r w:rsidRPr="78882673">
              <w:t xml:space="preserve">-treated patients </w:t>
            </w:r>
            <w:r w:rsidR="005412C9" w:rsidRPr="78882673">
              <w:t>could</w:t>
            </w:r>
            <w:r w:rsidRPr="78882673">
              <w:t xml:space="preserve"> also discontinue due to an adverse event.</w:t>
            </w:r>
          </w:p>
          <w:p w14:paraId="482F99FE" w14:textId="52CE9C4C" w:rsidR="00BD3BCA" w:rsidRDefault="00BD3BCA" w:rsidP="00E55FD2">
            <w:pPr>
              <w:pStyle w:val="TableText"/>
              <w:widowControl/>
              <w:spacing w:after="120"/>
            </w:pPr>
            <w:r w:rsidRPr="78882673">
              <w:t xml:space="preserve">Patients who discontinue initial treatment </w:t>
            </w:r>
            <w:r w:rsidR="005412C9" w:rsidRPr="78882673">
              <w:t>could</w:t>
            </w:r>
            <w:r w:rsidRPr="78882673">
              <w:t xml:space="preserve"> receive escalated standard therapy (including high-dose corticosteroids and rituximab); or IVIg/PLEX with standard therapy.</w:t>
            </w:r>
          </w:p>
          <w:p w14:paraId="65338734" w14:textId="67221504" w:rsidR="00BD3BCA" w:rsidRDefault="00BD3BCA" w:rsidP="00E55FD2">
            <w:pPr>
              <w:pStyle w:val="TableText"/>
              <w:widowControl/>
              <w:spacing w:after="120"/>
            </w:pPr>
            <w:r w:rsidRPr="78882673">
              <w:t xml:space="preserve">Patients treated with IVIg/PLEX </w:t>
            </w:r>
            <w:r w:rsidR="005412C9" w:rsidRPr="78882673">
              <w:t>could</w:t>
            </w:r>
            <w:r w:rsidRPr="78882673">
              <w:t xml:space="preserve"> discontinue due to a lack of response (at Week 24), an exacerbation event, a myasthenic crisis event, death, or non-persistence. Patients who discontinue IVIg/PLEX receive escalated standard therapy.</w:t>
            </w:r>
          </w:p>
          <w:p w14:paraId="030A076F" w14:textId="60C69906" w:rsidR="00BD3BCA" w:rsidRDefault="00BD3BCA" w:rsidP="00E55FD2">
            <w:pPr>
              <w:pStyle w:val="COMTabletext"/>
              <w:keepNext w:val="0"/>
            </w:pPr>
            <w:r w:rsidRPr="78882673">
              <w:t>It is assumed that escalated standard therapy would not improve symptom control and would be maintained until death.</w:t>
            </w:r>
          </w:p>
        </w:tc>
      </w:tr>
      <w:tr w:rsidR="00717912" w:rsidRPr="00BB59B1" w14:paraId="1C88E428" w14:textId="77777777" w:rsidTr="78882673">
        <w:tc>
          <w:tcPr>
            <w:tcW w:w="784" w:type="pct"/>
            <w:vAlign w:val="center"/>
          </w:tcPr>
          <w:p w14:paraId="5059A3E8" w14:textId="77777777" w:rsidR="00717912" w:rsidRPr="00BB59B1" w:rsidRDefault="00717912" w:rsidP="00E55FD2">
            <w:pPr>
              <w:pStyle w:val="COMTabletext"/>
              <w:keepNext w:val="0"/>
            </w:pPr>
            <w:r w:rsidRPr="00BB59B1">
              <w:t>Transition probabilities</w:t>
            </w:r>
          </w:p>
        </w:tc>
        <w:tc>
          <w:tcPr>
            <w:tcW w:w="4216" w:type="pct"/>
          </w:tcPr>
          <w:p w14:paraId="19F1EBE7" w14:textId="07DCC0F7" w:rsidR="00717912" w:rsidRDefault="00717912" w:rsidP="00E55FD2">
            <w:pPr>
              <w:pStyle w:val="COMTabletext"/>
              <w:keepNext w:val="0"/>
              <w:spacing w:after="120"/>
            </w:pPr>
            <w:r w:rsidRPr="78882673">
              <w:t xml:space="preserve">Treatment response rates for </w:t>
            </w:r>
            <w:proofErr w:type="spellStart"/>
            <w:r w:rsidRPr="78882673">
              <w:t>zilucoplan</w:t>
            </w:r>
            <w:proofErr w:type="spellEnd"/>
            <w:r w:rsidRPr="78882673">
              <w:t xml:space="preserve"> and placebo were based on the RAISE trial and extension study. Response in patients treated with subsequent IVIg/PLEX was based on the Bril 2024 trial.</w:t>
            </w:r>
          </w:p>
          <w:p w14:paraId="70F3B09E" w14:textId="18E110F5" w:rsidR="00717912" w:rsidRDefault="00717912" w:rsidP="00E55FD2">
            <w:pPr>
              <w:pStyle w:val="TableText"/>
              <w:widowControl/>
              <w:spacing w:after="120"/>
              <w:rPr>
                <w:i/>
              </w:rPr>
            </w:pPr>
            <w:r w:rsidRPr="78882673">
              <w:t xml:space="preserve">Changes in MG-ADL scores in treatment responders up to Week 12 were separately estimated for each treatment arm based on responders in the RAISE trial; with subsequent changes in MG-ADL based on data from the RAISE extension study, assumed the same for each treatment arm. Patients responding to subsequent IVIg/PLEX were assumed to have the same changes in MG-ADL scores as </w:t>
            </w:r>
            <w:proofErr w:type="spellStart"/>
            <w:r w:rsidRPr="78882673">
              <w:t>zilucoplan</w:t>
            </w:r>
            <w:proofErr w:type="spellEnd"/>
            <w:r w:rsidRPr="78882673">
              <w:t xml:space="preserve"> responders. Treatment non-responders were assumed to remain at baseline MG-ADL scores.</w:t>
            </w:r>
          </w:p>
          <w:p w14:paraId="4FCB83FA" w14:textId="77777777" w:rsidR="00717912" w:rsidRDefault="00717912" w:rsidP="00E55FD2">
            <w:pPr>
              <w:pStyle w:val="TableText"/>
              <w:widowControl/>
              <w:spacing w:after="120"/>
              <w:rPr>
                <w:i/>
              </w:rPr>
            </w:pPr>
            <w:r w:rsidRPr="00561957">
              <w:t>The incidence of exacerbation and myasthenic crisis were based on the published literature (</w:t>
            </w:r>
            <w:r>
              <w:t>Parthan 2023</w:t>
            </w:r>
            <w:r w:rsidRPr="00561957">
              <w:t>; Gadjos 2005)</w:t>
            </w:r>
            <w:r>
              <w:t>.</w:t>
            </w:r>
          </w:p>
          <w:p w14:paraId="4D92DAEC" w14:textId="3B39EF5B" w:rsidR="00717912" w:rsidRDefault="00717912" w:rsidP="00E55FD2">
            <w:pPr>
              <w:pStyle w:val="TableText"/>
              <w:widowControl/>
              <w:spacing w:after="120"/>
              <w:rPr>
                <w:i/>
              </w:rPr>
            </w:pPr>
            <w:r w:rsidRPr="78882673">
              <w:t xml:space="preserve">All non-responders to initial treatment were assumed to discontinue treatment at </w:t>
            </w:r>
            <w:r w:rsidRPr="00933E36">
              <w:t xml:space="preserve">16 weeks. All patients </w:t>
            </w:r>
            <w:r w:rsidRPr="00933E36">
              <w:rPr>
                <w:iCs w:val="0"/>
              </w:rPr>
              <w:t>we</w:t>
            </w:r>
            <w:r w:rsidRPr="00933E36">
              <w:t>re assumed to remain on treatment following an exacerbation event in the first 16 weeks</w:t>
            </w:r>
            <w:r w:rsidRPr="78882673">
              <w:t xml:space="preserve">, </w:t>
            </w:r>
            <w:r w:rsidRPr="00302757">
              <w:t>with 80%</w:t>
            </w:r>
            <w:r w:rsidRPr="78882673">
              <w:t xml:space="preserve"> of patients remaining on treatment following an exacerbation after Week </w:t>
            </w:r>
            <w:r w:rsidRPr="004A1580">
              <w:t>16.</w:t>
            </w:r>
            <w:r w:rsidRPr="78882673">
              <w:t xml:space="preserve"> All patients discontinue treatment following myasthenic crisis. Further risks of discontinuation were applied to </w:t>
            </w:r>
            <w:proofErr w:type="spellStart"/>
            <w:r w:rsidRPr="78882673">
              <w:t>zilucoplan</w:t>
            </w:r>
            <w:proofErr w:type="spellEnd"/>
            <w:r w:rsidRPr="78882673">
              <w:t xml:space="preserve"> patients (based on discontinuations due to adverse events in the RAISE extension study); placebo patients (based on assumed loss of response); and patients receiving subsequent IVIg/PLEX (based on treatment persistence estimates from a US claims database; Qi 2022).</w:t>
            </w:r>
          </w:p>
          <w:p w14:paraId="15E5660E" w14:textId="36DC708F" w:rsidR="00717912" w:rsidRPr="00BB59B1" w:rsidRDefault="00717912" w:rsidP="00E55FD2">
            <w:pPr>
              <w:pStyle w:val="TableText"/>
              <w:widowControl/>
            </w:pPr>
            <w:r w:rsidRPr="78882673">
              <w:t>Transition probabilities for myasthenic crisis-related death were based on published estimates (</w:t>
            </w:r>
            <w:proofErr w:type="spellStart"/>
            <w:r w:rsidRPr="78882673">
              <w:t>Alshekhlee</w:t>
            </w:r>
            <w:proofErr w:type="spellEnd"/>
            <w:r w:rsidRPr="78882673">
              <w:t xml:space="preserve"> 2009). Transition probabilities for general population mortality were based on Australian life tables.</w:t>
            </w:r>
            <w:r w:rsidR="0077631D">
              <w:t xml:space="preserve"> </w:t>
            </w:r>
          </w:p>
        </w:tc>
      </w:tr>
      <w:tr w:rsidR="00823A9B" w:rsidRPr="00BB59B1" w14:paraId="278C9D8F" w14:textId="77777777" w:rsidTr="78882673">
        <w:tc>
          <w:tcPr>
            <w:tcW w:w="784" w:type="pct"/>
            <w:vAlign w:val="center"/>
          </w:tcPr>
          <w:p w14:paraId="5760DB66" w14:textId="07C703DD" w:rsidR="00823A9B" w:rsidRPr="00BB59B1" w:rsidRDefault="00823A9B" w:rsidP="00E55FD2">
            <w:pPr>
              <w:pStyle w:val="COMTabletext"/>
              <w:keepNext w:val="0"/>
            </w:pPr>
            <w:r w:rsidRPr="00BB59B1">
              <w:t>Utility values</w:t>
            </w:r>
          </w:p>
        </w:tc>
        <w:tc>
          <w:tcPr>
            <w:tcW w:w="4216" w:type="pct"/>
          </w:tcPr>
          <w:p w14:paraId="78EBF126" w14:textId="77777777" w:rsidR="00823A9B" w:rsidRPr="00B162C2" w:rsidRDefault="00823A9B" w:rsidP="00E55FD2">
            <w:pPr>
              <w:pStyle w:val="Tabletext0"/>
              <w:spacing w:after="120"/>
              <w:rPr>
                <w:rFonts w:eastAsia="Calibri"/>
              </w:rPr>
            </w:pPr>
            <w:r w:rsidRPr="00B162C2">
              <w:rPr>
                <w:rFonts w:eastAsia="Calibri"/>
              </w:rPr>
              <w:t xml:space="preserve">Health state utility values were estimated using a regression equation derived from a </w:t>
            </w:r>
            <w:r w:rsidRPr="00B162C2">
              <w:rPr>
                <w:rFonts w:eastAsia="Calibri"/>
                <w:i/>
                <w:iCs/>
              </w:rPr>
              <w:t>post hoc</w:t>
            </w:r>
            <w:r w:rsidRPr="00B162C2">
              <w:rPr>
                <w:rFonts w:eastAsia="Calibri"/>
              </w:rPr>
              <w:t xml:space="preserve"> analysis of the RAISE trial data (Grimson 2023; poster presentation). Health state utility values were updated in </w:t>
            </w:r>
            <w:r w:rsidRPr="00B162C2">
              <w:rPr>
                <w:rFonts w:eastAsia="Calibri"/>
              </w:rPr>
              <w:lastRenderedPageBreak/>
              <w:t>each cycle based on modelled changes in MG-ADL scores for treatment responders and non-responders.</w:t>
            </w:r>
          </w:p>
          <w:p w14:paraId="0E8F4408" w14:textId="77777777" w:rsidR="00823A9B" w:rsidRPr="00B162C2" w:rsidRDefault="00823A9B" w:rsidP="00E55FD2">
            <w:pPr>
              <w:pStyle w:val="Tabletext0"/>
              <w:spacing w:after="120"/>
              <w:rPr>
                <w:rFonts w:eastAsia="Calibri"/>
              </w:rPr>
            </w:pPr>
            <w:r w:rsidRPr="00B162C2">
              <w:rPr>
                <w:rFonts w:eastAsia="Calibri"/>
              </w:rPr>
              <w:t>Exacerbation and myasthenic crisis disutility values were based on estimates used in the eculizumab 2020 CADTH submission for treatment</w:t>
            </w:r>
            <w:r>
              <w:rPr>
                <w:rFonts w:eastAsia="Calibri"/>
              </w:rPr>
              <w:t xml:space="preserve"> </w:t>
            </w:r>
            <w:r w:rsidRPr="00B162C2">
              <w:rPr>
                <w:rFonts w:eastAsia="Calibri"/>
              </w:rPr>
              <w:t>refractory generalised myasthenia gravis.</w:t>
            </w:r>
          </w:p>
          <w:p w14:paraId="39CDCF0B" w14:textId="02C1480E" w:rsidR="00823A9B" w:rsidRPr="00561957" w:rsidRDefault="00823A9B" w:rsidP="00E55FD2">
            <w:pPr>
              <w:pStyle w:val="COMTabletext"/>
              <w:keepNext w:val="0"/>
              <w:rPr>
                <w:szCs w:val="20"/>
              </w:rPr>
            </w:pPr>
            <w:r w:rsidRPr="00B162C2">
              <w:rPr>
                <w:rFonts w:eastAsia="Calibri"/>
              </w:rPr>
              <w:t xml:space="preserve">The disutility associated with </w:t>
            </w:r>
            <w:r w:rsidR="001D4869">
              <w:rPr>
                <w:rFonts w:eastAsia="Calibri"/>
              </w:rPr>
              <w:t>high-dose</w:t>
            </w:r>
            <w:r w:rsidRPr="00B162C2">
              <w:rPr>
                <w:rFonts w:eastAsia="Calibri"/>
              </w:rPr>
              <w:t xml:space="preserve"> corticosteroids was estimated based on the 2000-2003 United States Medical Expenditure Survey Panel for a subset of adult patients who have conditions for which systemic corticosteroids are commonly prescribed (Sullivan 2017).</w:t>
            </w:r>
          </w:p>
        </w:tc>
      </w:tr>
      <w:tr w:rsidR="00823A9B" w:rsidRPr="00BB59B1" w14:paraId="353344A5" w14:textId="77777777" w:rsidTr="78882673">
        <w:tc>
          <w:tcPr>
            <w:tcW w:w="784" w:type="pct"/>
            <w:vAlign w:val="center"/>
          </w:tcPr>
          <w:p w14:paraId="5122125D" w14:textId="6EC2F5DB" w:rsidR="00823A9B" w:rsidRPr="00BB59B1" w:rsidRDefault="00823A9B" w:rsidP="00E55FD2">
            <w:pPr>
              <w:pStyle w:val="COMTabletext"/>
              <w:keepNext w:val="0"/>
            </w:pPr>
            <w:r w:rsidRPr="00BB59B1">
              <w:lastRenderedPageBreak/>
              <w:t>Costs</w:t>
            </w:r>
          </w:p>
        </w:tc>
        <w:tc>
          <w:tcPr>
            <w:tcW w:w="4216" w:type="pct"/>
          </w:tcPr>
          <w:p w14:paraId="485ED801" w14:textId="2883FA3E" w:rsidR="00823A9B" w:rsidRPr="00B162C2" w:rsidRDefault="00823A9B" w:rsidP="00E55FD2">
            <w:pPr>
              <w:pStyle w:val="TableText"/>
              <w:widowControl/>
              <w:spacing w:after="120"/>
            </w:pPr>
            <w:r w:rsidRPr="78882673">
              <w:t xml:space="preserve">Treatment costs for </w:t>
            </w:r>
            <w:proofErr w:type="spellStart"/>
            <w:r w:rsidRPr="78882673">
              <w:t>zilucoplan</w:t>
            </w:r>
            <w:proofErr w:type="spellEnd"/>
            <w:r w:rsidRPr="78882673">
              <w:t xml:space="preserve"> were estimated based on the proposed effective price and assuming that patients will require a specialist visit for drug administration training and a proportion will require meningococcal vaccination. Training costs were estimated based on the MBS item for a subsequent specialist visit, while the cost of vaccination was estimated based on the Charles Sturt Health Services Price list.</w:t>
            </w:r>
          </w:p>
          <w:p w14:paraId="79918B88" w14:textId="77777777" w:rsidR="00823A9B" w:rsidRDefault="00823A9B" w:rsidP="00E55FD2">
            <w:pPr>
              <w:pStyle w:val="TableText"/>
              <w:widowControl/>
              <w:spacing w:after="120"/>
            </w:pPr>
            <w:r w:rsidRPr="00B162C2">
              <w:t xml:space="preserve">The distribution of standard care therapies was estimated based on concomitant use for the combined treatment arms of the RAISE trial. Escalated standard care was </w:t>
            </w:r>
            <w:r>
              <w:t xml:space="preserve">based on the distribution of </w:t>
            </w:r>
            <w:r w:rsidRPr="00B162C2">
              <w:t>standard care</w:t>
            </w:r>
            <w:r>
              <w:t xml:space="preserve"> therapies, with adjustments to redistribute patients from tacrolimus to azathioprine; and to incorporate the assumption that all patients receive high-dose corticosteroids. It was also assumed that all patients would receive</w:t>
            </w:r>
            <w:r w:rsidRPr="00B162C2">
              <w:t xml:space="preserve"> treatment with rituximab. Treatment costs were estimated based on current PBS items and dosing information from various published sources.</w:t>
            </w:r>
          </w:p>
          <w:p w14:paraId="5FA2D332" w14:textId="662B5F0C" w:rsidR="00823A9B" w:rsidRPr="00B162C2" w:rsidRDefault="00823A9B" w:rsidP="00E55FD2">
            <w:pPr>
              <w:pStyle w:val="TableText"/>
              <w:widowControl/>
              <w:spacing w:after="120"/>
            </w:pPr>
            <w:r w:rsidRPr="78882673">
              <w:t>The proportion of non-responders proceeding to IVIg/</w:t>
            </w:r>
            <w:r w:rsidRPr="00312120">
              <w:t xml:space="preserve">PLEX (20%) was assumed, based on </w:t>
            </w:r>
            <w:proofErr w:type="gramStart"/>
            <w:r w:rsidRPr="00312120">
              <w:t>the majority of</w:t>
            </w:r>
            <w:proofErr w:type="gramEnd"/>
            <w:r w:rsidRPr="00312120">
              <w:t xml:space="preserve"> treatment refractory patients in the RAISE trial having previously received IVIg or PLEX. The distribution of chronic IVIg and chronic PLEX use was based on a published estimate (Li 2021). The costs associated with IVIg/PLEX were estimated assuming patients receive 60% of</w:t>
            </w:r>
            <w:r w:rsidRPr="78882673">
              <w:t xml:space="preserve"> the maximum subsidised dose for IVIg and would use a high intensity PLEX regimen. The cost of blood products was estimated based on the National Product Price List from the National Blood Authority. The cost of administration was estimated based on MBS items.</w:t>
            </w:r>
          </w:p>
          <w:p w14:paraId="048D097F" w14:textId="77777777" w:rsidR="00823A9B" w:rsidRDefault="00823A9B" w:rsidP="00E55FD2">
            <w:pPr>
              <w:pStyle w:val="COMTabletext"/>
              <w:keepNext w:val="0"/>
              <w:tabs>
                <w:tab w:val="left" w:pos="2470"/>
              </w:tabs>
              <w:spacing w:after="120"/>
            </w:pPr>
            <w:r>
              <w:t>The costs associated with exacerbations and myasthenic crises were calculated assuming all patients are hospitalised. The cost of hospitalisation was based on published AR-DRG cost weights (NHCDC 2021-2022).</w:t>
            </w:r>
          </w:p>
          <w:p w14:paraId="31B208EE" w14:textId="49BC1F16" w:rsidR="00823A9B" w:rsidRDefault="00823A9B" w:rsidP="00E55FD2">
            <w:pPr>
              <w:pStyle w:val="COMTabletext"/>
              <w:keepNext w:val="0"/>
              <w:tabs>
                <w:tab w:val="left" w:pos="2470"/>
              </w:tabs>
              <w:spacing w:after="120"/>
            </w:pPr>
            <w:r w:rsidRPr="78882673">
              <w:t>Disease management costs were based on expert opinion of resource use (nurse, GP and specialist visits as well as electrophysiology, physiotherapy and blood tests) for treatment responders and non-responders; with unit costs based on MBS fees.</w:t>
            </w:r>
          </w:p>
          <w:p w14:paraId="23274949" w14:textId="160D6A5B" w:rsidR="00823A9B" w:rsidRPr="00561957" w:rsidRDefault="00823A9B" w:rsidP="00E55FD2">
            <w:pPr>
              <w:pStyle w:val="COMTabletext"/>
              <w:keepNext w:val="0"/>
              <w:rPr>
                <w:szCs w:val="20"/>
              </w:rPr>
            </w:pPr>
            <w:r>
              <w:t>Terminal care costs were based on the average cost per separation for sub-acute episodes relating to palliative care according to the AN-SNAP classification system (NHCDC 2021-2022).</w:t>
            </w:r>
          </w:p>
        </w:tc>
      </w:tr>
      <w:tr w:rsidR="00717912" w:rsidRPr="00BB59B1" w14:paraId="5A721A5E" w14:textId="77777777" w:rsidTr="78882673">
        <w:tc>
          <w:tcPr>
            <w:tcW w:w="784" w:type="pct"/>
            <w:vAlign w:val="center"/>
          </w:tcPr>
          <w:p w14:paraId="4AA5876E" w14:textId="77777777" w:rsidR="00717912" w:rsidRPr="00BB59B1" w:rsidRDefault="00717912" w:rsidP="00E55FD2">
            <w:pPr>
              <w:pStyle w:val="COMTabletext"/>
              <w:keepNext w:val="0"/>
            </w:pPr>
            <w:r>
              <w:t>Discount rate</w:t>
            </w:r>
          </w:p>
        </w:tc>
        <w:tc>
          <w:tcPr>
            <w:tcW w:w="4216" w:type="pct"/>
          </w:tcPr>
          <w:p w14:paraId="4B4969F1" w14:textId="77777777" w:rsidR="00717912" w:rsidRPr="00BB59B1" w:rsidRDefault="00717912" w:rsidP="00E55FD2">
            <w:pPr>
              <w:pStyle w:val="COMTabletext"/>
              <w:keepNext w:val="0"/>
            </w:pPr>
            <w:r>
              <w:t>5% for costs and outcomes</w:t>
            </w:r>
          </w:p>
        </w:tc>
      </w:tr>
      <w:tr w:rsidR="00717912" w:rsidRPr="00BB59B1" w14:paraId="7DF57413" w14:textId="77777777" w:rsidTr="78882673">
        <w:tc>
          <w:tcPr>
            <w:tcW w:w="784" w:type="pct"/>
            <w:vAlign w:val="center"/>
          </w:tcPr>
          <w:p w14:paraId="666A5D7D" w14:textId="77777777" w:rsidR="00717912" w:rsidRPr="00BB59B1" w:rsidRDefault="00717912" w:rsidP="00E55FD2">
            <w:pPr>
              <w:pStyle w:val="COMTabletext"/>
              <w:keepNext w:val="0"/>
            </w:pPr>
            <w:r w:rsidRPr="00BB59B1">
              <w:t>Software package</w:t>
            </w:r>
          </w:p>
        </w:tc>
        <w:tc>
          <w:tcPr>
            <w:tcW w:w="4216" w:type="pct"/>
          </w:tcPr>
          <w:p w14:paraId="19918058" w14:textId="77777777" w:rsidR="00717912" w:rsidRPr="00BB59B1" w:rsidRDefault="00717912" w:rsidP="00E55FD2">
            <w:pPr>
              <w:pStyle w:val="COMTabletext"/>
              <w:keepNext w:val="0"/>
            </w:pPr>
            <w:r>
              <w:t>Microsoft Excel</w:t>
            </w:r>
          </w:p>
        </w:tc>
      </w:tr>
    </w:tbl>
    <w:p w14:paraId="4C730160" w14:textId="77777777" w:rsidR="00717912" w:rsidRDefault="00717912" w:rsidP="00E55FD2">
      <w:pPr>
        <w:pStyle w:val="COMTablefooter"/>
      </w:pPr>
      <w:r w:rsidRPr="00BB59B1">
        <w:t>Source: Table</w:t>
      </w:r>
      <w:r>
        <w:t xml:space="preserve"> 3.1-2, pp129-130 of the resubmission.</w:t>
      </w:r>
    </w:p>
    <w:p w14:paraId="7F268B2E" w14:textId="77777777" w:rsidR="008922BD" w:rsidRPr="00BB59B1" w:rsidRDefault="008922BD" w:rsidP="00E55FD2">
      <w:pPr>
        <w:pStyle w:val="COMTablefooter"/>
      </w:pPr>
      <w:r w:rsidRPr="00F5597D">
        <w:t>Abbreviations: AN-SNAP, Australian National Subacute and Non-Acute Patient; AR-DRG, Australian Refined Diagnosis Related Groups; GP, general practitioner</w:t>
      </w:r>
      <w:r w:rsidRPr="00085878">
        <w:t>; IVIg, intravenous immunoglobulin; MBS, Medicare Benefits Schedule; MG-ADL, Myasthenia Gravis Activities of Daily Living; NHCDC; National Hospital Cost Data Collection; PBS, Pharmaceutical Benefits Scheme; PLEX, plasma exchange.</w:t>
      </w:r>
    </w:p>
    <w:p w14:paraId="6C6B2E17" w14:textId="71580EB0" w:rsidR="004F038E" w:rsidRPr="00FB1CD4" w:rsidRDefault="004F038E" w:rsidP="00E55FD2">
      <w:pPr>
        <w:pStyle w:val="COMexecsummnumbered"/>
        <w:rPr>
          <w:i/>
          <w:iCs/>
        </w:rPr>
      </w:pPr>
      <w:r w:rsidRPr="78882673">
        <w:t xml:space="preserve">The resubmission assumed that </w:t>
      </w:r>
      <w:proofErr w:type="gramStart"/>
      <w:r w:rsidRPr="78882673">
        <w:t>the majority of</w:t>
      </w:r>
      <w:proofErr w:type="gramEnd"/>
      <w:r w:rsidRPr="78882673">
        <w:t xml:space="preserve"> patients entering the model had failed prior therapy with chronic IVIg/PLEX based on 89.8% of treatment refractory patients in the RAISE trial having received prior IVIg or PLEX and being uncontrolled at baseline (MG-ADL ≥6). Th</w:t>
      </w:r>
      <w:r w:rsidR="00C96A71" w:rsidRPr="78882673">
        <w:t>e evaluation considered that th</w:t>
      </w:r>
      <w:r w:rsidRPr="78882673">
        <w:t xml:space="preserve">is assumption was not adequately supported. </w:t>
      </w:r>
      <w:r w:rsidR="00A5321A" w:rsidRPr="78882673">
        <w:t>Estimates of prior use of IVIg/PLEX do not differentiate between chronic and acute therapy. Further, given the fluctuating nature of myasthenia gravis, prior history of chronic therapy does not indicate patients are refractory to therapy.</w:t>
      </w:r>
      <w:r w:rsidR="00A5321A" w:rsidRPr="78882673">
        <w:rPr>
          <w:i/>
          <w:iCs/>
        </w:rPr>
        <w:t xml:space="preserve"> </w:t>
      </w:r>
    </w:p>
    <w:p w14:paraId="64EEF04D" w14:textId="77777777" w:rsidR="005D286D" w:rsidRPr="00933E36" w:rsidRDefault="005D286D" w:rsidP="00E55FD2">
      <w:pPr>
        <w:pStyle w:val="COMexecsummnumbered"/>
      </w:pPr>
      <w:r w:rsidRPr="00B162C2">
        <w:lastRenderedPageBreak/>
        <w:t>All patients begin the model in the non-responder (on-treatment) health state</w:t>
      </w:r>
      <w:r>
        <w:t xml:space="preserve"> in the </w:t>
      </w:r>
      <w:r w:rsidRPr="00B162C2">
        <w:t xml:space="preserve">treatment </w:t>
      </w:r>
      <w:r w:rsidRPr="00933E36">
        <w:t>refractory setting.</w:t>
      </w:r>
    </w:p>
    <w:p w14:paraId="01D8949A" w14:textId="12D56FDE" w:rsidR="00F151CC" w:rsidRPr="00B162C2" w:rsidRDefault="00F151CC" w:rsidP="00E55FD2">
      <w:pPr>
        <w:pStyle w:val="COMexecsummnumbered"/>
      </w:pPr>
      <w:r w:rsidRPr="00933E36">
        <w:t>During the first 16 weeks</w:t>
      </w:r>
      <w:r w:rsidRPr="78882673">
        <w:t xml:space="preserve"> of the model, patients may remain in their current state, achieve response, experience an exacerbation or myasthenic crisis event, discontinue treatment (due to adverse events for </w:t>
      </w:r>
      <w:proofErr w:type="spellStart"/>
      <w:r w:rsidRPr="78882673">
        <w:t>zilucoplan</w:t>
      </w:r>
      <w:proofErr w:type="spellEnd"/>
      <w:r w:rsidRPr="78882673">
        <w:t>; due to loss of response for placebo), or die in each 2-week cycle. Patients who experience an exacerbation event continue therapy and have an increased risk of a myasthenic crisis event in the next cycle. Patients who experience a myasthenic crisis event discontinue therapy and have an increased risk of a crisis-related death in the next cycle.</w:t>
      </w:r>
    </w:p>
    <w:p w14:paraId="3AF3A214" w14:textId="1F8E2145" w:rsidR="00F151CC" w:rsidRPr="00B162C2" w:rsidRDefault="00F151CC" w:rsidP="00E55FD2">
      <w:pPr>
        <w:pStyle w:val="COMexecsummnumbered"/>
      </w:pPr>
      <w:r w:rsidRPr="78882673">
        <w:t xml:space="preserve">After </w:t>
      </w:r>
      <w:r w:rsidRPr="00933E36">
        <w:t xml:space="preserve">16 weeks of treatment, all non-responders are assumed to discontinue treatment with </w:t>
      </w:r>
      <w:proofErr w:type="spellStart"/>
      <w:r w:rsidRPr="00933E36">
        <w:t>zilucoplan</w:t>
      </w:r>
      <w:proofErr w:type="spellEnd"/>
      <w:r w:rsidRPr="78882673">
        <w:t xml:space="preserve"> or placebo. During each cycle of the model, patients may remain in their current state, experience an exacerbation or myasthenic crisis event, discontinue treatment (due to adverse events for </w:t>
      </w:r>
      <w:proofErr w:type="spellStart"/>
      <w:r w:rsidRPr="78882673">
        <w:t>zilucoplan</w:t>
      </w:r>
      <w:proofErr w:type="spellEnd"/>
      <w:r w:rsidRPr="78882673">
        <w:t>; due to loss of response for placebo), or die. A proportion of treatment responders who experience an exacerbation event discontinue therapy, and all patients with an exacerbation have an increased risk of a myasthenic crisis event in the next cycle. Treatment responders who experience a myasthenic crisis event discontinue therapy, and all patients with a crisis event have an increased risk of a crisis-related death in the next cycle.</w:t>
      </w:r>
    </w:p>
    <w:p w14:paraId="2899BEAB" w14:textId="74C7CE70" w:rsidR="007502CC" w:rsidRDefault="00F151CC" w:rsidP="00E55FD2">
      <w:pPr>
        <w:pStyle w:val="COMexecsummnumbered"/>
      </w:pPr>
      <w:r w:rsidRPr="78882673">
        <w:t xml:space="preserve">In each cycle, new </w:t>
      </w:r>
      <w:r w:rsidR="00B60583" w:rsidRPr="78882673">
        <w:t xml:space="preserve">treatment </w:t>
      </w:r>
      <w:r w:rsidRPr="78882673">
        <w:t>non-responders</w:t>
      </w:r>
      <w:r w:rsidR="007502CC" w:rsidRPr="78882673">
        <w:t>/discontinuers</w:t>
      </w:r>
      <w:r w:rsidRPr="78882673">
        <w:t xml:space="preserve"> </w:t>
      </w:r>
      <w:r w:rsidR="003F546C" w:rsidRPr="78882673">
        <w:t xml:space="preserve">are allocated to subsequent </w:t>
      </w:r>
      <w:r w:rsidR="007502CC" w:rsidRPr="78882673">
        <w:t>treatment with either</w:t>
      </w:r>
      <w:r w:rsidRPr="78882673">
        <w:t xml:space="preserve"> chronic IVIg/PLEX with standard therapy</w:t>
      </w:r>
      <w:r w:rsidR="007502CC" w:rsidRPr="78882673">
        <w:t xml:space="preserve"> or escalated standard therapy (including rituximab).</w:t>
      </w:r>
    </w:p>
    <w:p w14:paraId="1FB2B09E" w14:textId="15DCAFCD" w:rsidR="00BF72C0" w:rsidRDefault="007502CC" w:rsidP="00E55FD2">
      <w:pPr>
        <w:pStyle w:val="COMexecsummnumbered"/>
      </w:pPr>
      <w:r w:rsidRPr="78882673">
        <w:t xml:space="preserve">Patients </w:t>
      </w:r>
      <w:r w:rsidR="00BF72C0" w:rsidRPr="78882673">
        <w:t>allocated to</w:t>
      </w:r>
      <w:r w:rsidRPr="78882673">
        <w:t xml:space="preserve"> </w:t>
      </w:r>
      <w:r w:rsidR="00013452" w:rsidRPr="78882673">
        <w:t xml:space="preserve">chronic </w:t>
      </w:r>
      <w:r w:rsidRPr="78882673">
        <w:t xml:space="preserve">IVIg/PLEX </w:t>
      </w:r>
      <w:r w:rsidR="00F151CC" w:rsidRPr="78882673">
        <w:t xml:space="preserve">enter the IVIg/PLEX </w:t>
      </w:r>
      <w:r w:rsidR="004A4BD7" w:rsidRPr="78882673">
        <w:t>module</w:t>
      </w:r>
      <w:r w:rsidR="00D67AFB" w:rsidRPr="78882673">
        <w:t xml:space="preserve"> in the non-responder (on-treatment) health state, and may experience response, an exacerbation or myasthenic crisis event, treatment discontinuation, or death (due to myasthenic crisis or general population mortality) in each 2-week cycle. All IVIg/PLEX non-responders at </w:t>
      </w:r>
      <w:r w:rsidR="00D67AFB" w:rsidRPr="00312120">
        <w:t>24</w:t>
      </w:r>
      <w:r w:rsidR="00D67AFB" w:rsidRPr="78882673">
        <w:t xml:space="preserve"> weeks are assumed to discontinue IVIg/PLEX and receive escalated standard therapy.</w:t>
      </w:r>
    </w:p>
    <w:p w14:paraId="4C3E0EE6" w14:textId="2195EC91" w:rsidR="00F151CC" w:rsidRPr="00B162C2" w:rsidRDefault="00F151CC" w:rsidP="00E55FD2">
      <w:pPr>
        <w:pStyle w:val="COMexecsummnumbered"/>
      </w:pPr>
      <w:r w:rsidRPr="78882673">
        <w:t xml:space="preserve">Patients </w:t>
      </w:r>
      <w:r w:rsidR="00791E70" w:rsidRPr="78882673">
        <w:t xml:space="preserve">allocated to </w:t>
      </w:r>
      <w:r w:rsidRPr="78882673">
        <w:t>escalated standard therapy</w:t>
      </w:r>
      <w:r w:rsidR="00791E70" w:rsidRPr="78882673">
        <w:t xml:space="preserve"> (including rituximab)</w:t>
      </w:r>
      <w:r w:rsidR="00BE1292" w:rsidRPr="78882673">
        <w:t xml:space="preserve"> may experience an exacerbation or myasthenic crisis event, or death (due to myasthenic crisis or general population mortality) in each 2-week cycle</w:t>
      </w:r>
      <w:r w:rsidRPr="78882673">
        <w:t xml:space="preserve">. </w:t>
      </w:r>
      <w:r w:rsidR="00BE1292" w:rsidRPr="78882673">
        <w:t>Patients accrue the costs of escalated standard therapy but cannot achieve response.</w:t>
      </w:r>
    </w:p>
    <w:p w14:paraId="21A9109F" w14:textId="77777777" w:rsidR="00F151CC" w:rsidRPr="006308DF" w:rsidRDefault="00F151CC" w:rsidP="00E55FD2">
      <w:pPr>
        <w:pStyle w:val="COMexecsummnumbered"/>
      </w:pPr>
      <w:r w:rsidRPr="00B162C2">
        <w:t xml:space="preserve">The model also assumed that patients would not re-initiate </w:t>
      </w:r>
      <w:proofErr w:type="spellStart"/>
      <w:r w:rsidRPr="00B162C2">
        <w:t>zilucoplan</w:t>
      </w:r>
      <w:proofErr w:type="spellEnd"/>
      <w:r w:rsidRPr="00B162C2">
        <w:t xml:space="preserve"> therapy after discontinuation</w:t>
      </w:r>
      <w:r>
        <w:t>.</w:t>
      </w:r>
    </w:p>
    <w:p w14:paraId="4D79AED2" w14:textId="1128BA04" w:rsidR="0016677E" w:rsidRPr="006B5726" w:rsidRDefault="0016677E" w:rsidP="00E55FD2">
      <w:pPr>
        <w:pStyle w:val="COMexecsummnumbered"/>
      </w:pPr>
      <w:bookmarkStart w:id="63" w:name="_Ref184990735"/>
      <w:bookmarkStart w:id="64" w:name="_Ref185186177"/>
      <w:r w:rsidRPr="006B5726">
        <w:t xml:space="preserve">During the evaluation, </w:t>
      </w:r>
      <w:proofErr w:type="gramStart"/>
      <w:r w:rsidRPr="006B5726">
        <w:t>a number of</w:t>
      </w:r>
      <w:proofErr w:type="gramEnd"/>
      <w:r w:rsidRPr="006B5726">
        <w:t xml:space="preserve"> errors were identified in the model affecting exacerbation rates in responders; the in-hospital mortality rate associated with myasthenic crisis; rituximab costs in escalated standard therapy; maintenance PLEX costs; drug, disease management and exacerbation costs </w:t>
      </w:r>
      <w:r w:rsidRPr="00933E36">
        <w:t>beyond 16 weeks</w:t>
      </w:r>
      <w:r w:rsidRPr="006B5726">
        <w:t xml:space="preserve"> for patients on escalated standard therapy; and QALYs accrued in the exacerbation and myasthenic crisis health states. These errors were not corrected during the evaluation</w:t>
      </w:r>
      <w:r w:rsidR="001071CD">
        <w:t xml:space="preserve"> (refer to paragraph </w:t>
      </w:r>
      <w:r w:rsidR="001071CD">
        <w:fldChar w:fldCharType="begin"/>
      </w:r>
      <w:r w:rsidR="001071CD">
        <w:instrText xml:space="preserve"> REF _Ref190773078 \r \h </w:instrText>
      </w:r>
      <w:r w:rsidR="001071CD">
        <w:fldChar w:fldCharType="separate"/>
      </w:r>
      <w:r w:rsidR="00271F88">
        <w:t>6.75</w:t>
      </w:r>
      <w:r w:rsidR="001071CD">
        <w:fldChar w:fldCharType="end"/>
      </w:r>
      <w:r w:rsidR="001071CD">
        <w:t>)</w:t>
      </w:r>
      <w:r w:rsidRPr="006B5726">
        <w:t>.</w:t>
      </w:r>
      <w:bookmarkEnd w:id="63"/>
      <w:bookmarkEnd w:id="64"/>
      <w:r w:rsidR="00744710">
        <w:t xml:space="preserve"> </w:t>
      </w:r>
    </w:p>
    <w:p w14:paraId="37B4237B" w14:textId="5BC53CC1" w:rsidR="00275C5A" w:rsidRPr="00AD3164" w:rsidRDefault="00767A8D" w:rsidP="00E55FD2">
      <w:pPr>
        <w:pStyle w:val="COMexecsummnumbered"/>
      </w:pPr>
      <w:r w:rsidRPr="00AD3164">
        <w:lastRenderedPageBreak/>
        <w:t xml:space="preserve">Key drivers of the economic model are summarised in </w:t>
      </w:r>
      <w:r w:rsidR="00E16AD8" w:rsidRPr="00AD3164">
        <w:fldChar w:fldCharType="begin"/>
      </w:r>
      <w:r w:rsidR="00E16AD8" w:rsidRPr="00AD3164">
        <w:instrText xml:space="preserve"> REF _Ref104805122 \h  \* MERGEFORMAT </w:instrText>
      </w:r>
      <w:r w:rsidR="00E16AD8" w:rsidRPr="00AD3164">
        <w:fldChar w:fldCharType="separate"/>
      </w:r>
      <w:r w:rsidR="00271F88" w:rsidRPr="00BB59B1">
        <w:t xml:space="preserve">Table </w:t>
      </w:r>
      <w:r w:rsidR="00271F88">
        <w:t>11</w:t>
      </w:r>
      <w:r w:rsidR="00E16AD8" w:rsidRPr="00AD3164">
        <w:fldChar w:fldCharType="end"/>
      </w:r>
      <w:r w:rsidR="00D110BD" w:rsidRPr="00AD3164">
        <w:t>.</w:t>
      </w:r>
    </w:p>
    <w:p w14:paraId="774D46B7" w14:textId="0E7FEF94" w:rsidR="00D110BD" w:rsidRPr="00BB59B1" w:rsidRDefault="00E16AD8" w:rsidP="00E55FD2">
      <w:pPr>
        <w:pStyle w:val="COMtablefigcaption"/>
        <w:keepLines/>
      </w:pPr>
      <w:bookmarkStart w:id="65" w:name="_Ref104805122"/>
      <w:r w:rsidRPr="00BB59B1">
        <w:t xml:space="preserve">Table </w:t>
      </w:r>
      <w:r w:rsidR="00891FF9">
        <w:fldChar w:fldCharType="begin"/>
      </w:r>
      <w:r w:rsidR="00891FF9">
        <w:instrText xml:space="preserve"> SEQ Table \* ARABIC </w:instrText>
      </w:r>
      <w:r w:rsidR="00891FF9">
        <w:fldChar w:fldCharType="separate"/>
      </w:r>
      <w:r w:rsidR="00271F88">
        <w:rPr>
          <w:noProof/>
        </w:rPr>
        <w:t>11</w:t>
      </w:r>
      <w:r w:rsidR="00891FF9">
        <w:rPr>
          <w:noProof/>
        </w:rPr>
        <w:fldChar w:fldCharType="end"/>
      </w:r>
      <w:bookmarkEnd w:id="65"/>
      <w:r w:rsidRPr="00BB59B1">
        <w:t>:</w:t>
      </w:r>
      <w:r w:rsidR="00D110BD" w:rsidRPr="00BB59B1">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695"/>
        <w:gridCol w:w="6097"/>
        <w:gridCol w:w="1225"/>
      </w:tblGrid>
      <w:tr w:rsidR="00537182" w:rsidRPr="00BB59B1" w14:paraId="4DD8026E" w14:textId="77777777" w:rsidTr="78882673">
        <w:trPr>
          <w:tblHeader/>
        </w:trPr>
        <w:tc>
          <w:tcPr>
            <w:tcW w:w="940" w:type="pct"/>
            <w:shd w:val="clear" w:color="auto" w:fill="auto"/>
            <w:vAlign w:val="center"/>
          </w:tcPr>
          <w:p w14:paraId="6A9EC2DA" w14:textId="77777777" w:rsidR="00D110BD" w:rsidRPr="006B5726" w:rsidRDefault="00D110BD" w:rsidP="00E55FD2">
            <w:pPr>
              <w:pStyle w:val="COMTableheadingrow"/>
              <w:keepLines/>
              <w:rPr>
                <w:lang w:val="en-AU"/>
              </w:rPr>
            </w:pPr>
            <w:r w:rsidRPr="006B5726">
              <w:rPr>
                <w:lang w:val="en-AU"/>
              </w:rPr>
              <w:t>Description</w:t>
            </w:r>
          </w:p>
        </w:tc>
        <w:tc>
          <w:tcPr>
            <w:tcW w:w="3381" w:type="pct"/>
            <w:shd w:val="clear" w:color="auto" w:fill="auto"/>
            <w:vAlign w:val="center"/>
          </w:tcPr>
          <w:p w14:paraId="67A62672" w14:textId="77777777" w:rsidR="00D110BD" w:rsidRPr="006B5726" w:rsidRDefault="00D110BD" w:rsidP="00E55FD2">
            <w:pPr>
              <w:pStyle w:val="COMTableheadingrow"/>
              <w:keepLines/>
              <w:rPr>
                <w:lang w:val="en-AU"/>
              </w:rPr>
            </w:pPr>
            <w:r w:rsidRPr="006B5726">
              <w:rPr>
                <w:lang w:val="en-AU"/>
              </w:rPr>
              <w:t>Method/Value</w:t>
            </w:r>
          </w:p>
        </w:tc>
        <w:tc>
          <w:tcPr>
            <w:tcW w:w="679" w:type="pct"/>
            <w:shd w:val="clear" w:color="auto" w:fill="auto"/>
            <w:vAlign w:val="center"/>
          </w:tcPr>
          <w:p w14:paraId="6C1DC9EA" w14:textId="2EFB213B" w:rsidR="00490B17" w:rsidRPr="006B5726" w:rsidRDefault="00D110BD" w:rsidP="00E55FD2">
            <w:pPr>
              <w:pStyle w:val="COMTableheadingrow"/>
              <w:keepLines/>
              <w:jc w:val="center"/>
              <w:rPr>
                <w:lang w:val="en-AU"/>
              </w:rPr>
            </w:pPr>
            <w:r w:rsidRPr="006B5726">
              <w:rPr>
                <w:lang w:val="en-AU"/>
              </w:rPr>
              <w:t>Impact</w:t>
            </w:r>
          </w:p>
        </w:tc>
      </w:tr>
      <w:tr w:rsidR="00537182" w:rsidRPr="00BB59B1" w14:paraId="3DE22150" w14:textId="77777777" w:rsidTr="78882673">
        <w:tc>
          <w:tcPr>
            <w:tcW w:w="940" w:type="pct"/>
            <w:shd w:val="clear" w:color="auto" w:fill="auto"/>
            <w:vAlign w:val="center"/>
          </w:tcPr>
          <w:p w14:paraId="72E20981" w14:textId="60A70686" w:rsidR="00D110BD" w:rsidRPr="006B5726" w:rsidRDefault="00E32AB5" w:rsidP="00E55FD2">
            <w:pPr>
              <w:pStyle w:val="COMTabletext"/>
              <w:keepLines/>
            </w:pPr>
            <w:r w:rsidRPr="006B5726">
              <w:t>Loss of response in placebo responders</w:t>
            </w:r>
          </w:p>
        </w:tc>
        <w:tc>
          <w:tcPr>
            <w:tcW w:w="3381" w:type="pct"/>
            <w:shd w:val="clear" w:color="auto" w:fill="auto"/>
            <w:vAlign w:val="center"/>
          </w:tcPr>
          <w:p w14:paraId="64938802" w14:textId="6054D5A5" w:rsidR="004145BD" w:rsidRPr="006B5726" w:rsidRDefault="00CC5F7C" w:rsidP="00E55FD2">
            <w:pPr>
              <w:pStyle w:val="COMTabletext"/>
              <w:keepLines/>
            </w:pPr>
            <w:r>
              <w:t xml:space="preserve">In the economic model, discontinuing placebo treatment resulted in a change in therapy </w:t>
            </w:r>
            <w:r w:rsidR="005B3F28">
              <w:t xml:space="preserve">from standard therapy </w:t>
            </w:r>
            <w:r>
              <w:t>to chronic IVIg/PLEX or escalated standard therapy</w:t>
            </w:r>
            <w:r w:rsidR="005B3F28">
              <w:t xml:space="preserve"> (including rituximab</w:t>
            </w:r>
            <w:r>
              <w:t xml:space="preserve">). </w:t>
            </w:r>
            <w:r w:rsidR="00E32AB5">
              <w:t xml:space="preserve">The economic model was highly sensitive to the introduction of an assumed </w:t>
            </w:r>
            <w:r w:rsidR="00DC6EC0">
              <w:t xml:space="preserve">treatment discontinuation due to </w:t>
            </w:r>
            <w:r w:rsidR="00E32AB5">
              <w:t xml:space="preserve">loss of </w:t>
            </w:r>
            <w:r w:rsidR="00DC6EC0">
              <w:t>response</w:t>
            </w:r>
            <w:r w:rsidR="00E32AB5">
              <w:t xml:space="preserve"> in </w:t>
            </w:r>
            <w:r w:rsidR="00DC6EC0">
              <w:t xml:space="preserve">the </w:t>
            </w:r>
            <w:r w:rsidR="00E32AB5">
              <w:t xml:space="preserve">placebo </w:t>
            </w:r>
            <w:r w:rsidR="00DC6EC0" w:rsidRPr="001A7D1E">
              <w:t>arm</w:t>
            </w:r>
            <w:r w:rsidR="00E32AB5" w:rsidRPr="001A7D1E">
              <w:t xml:space="preserve"> (16% per</w:t>
            </w:r>
            <w:r w:rsidR="00E32AB5">
              <w:t xml:space="preserve"> 2-week cycle) that was inconsistent with the clinical evidence, which suggested similar discontinuation risks between treatment arms (4.7% in the </w:t>
            </w:r>
            <w:proofErr w:type="spellStart"/>
            <w:r w:rsidR="00E32AB5">
              <w:t>zilucoplan</w:t>
            </w:r>
            <w:proofErr w:type="spellEnd"/>
            <w:r w:rsidR="00E32AB5">
              <w:t xml:space="preserve"> arm; 4.5% in the placebo arm over 12 weeks). Alternative assumptions removing treatment discontinuation or assuming the same discontinuation as the </w:t>
            </w:r>
            <w:proofErr w:type="spellStart"/>
            <w:r w:rsidR="00E32AB5">
              <w:t>zilucoplan</w:t>
            </w:r>
            <w:proofErr w:type="spellEnd"/>
            <w:r w:rsidR="00E32AB5">
              <w:t xml:space="preserve"> arm resulted in an ICER exceeding $</w:t>
            </w:r>
            <w:r w:rsidR="007510F8">
              <w:rPr>
                <w:color w:val="000000"/>
                <w:spacing w:val="50"/>
                <w:shd w:val="solid" w:color="000000" w:fill="000000"/>
                <w:fitText w:val="322" w:id="-691334649"/>
                <w14:textFill>
                  <w14:solidFill>
                    <w14:srgbClr w14:val="000000">
                      <w14:alpha w14:val="100000"/>
                    </w14:srgbClr>
                  </w14:solidFill>
                </w14:textFill>
              </w:rPr>
              <w:t>|||</w:t>
            </w:r>
            <w:r w:rsidR="007510F8">
              <w:rPr>
                <w:color w:val="000000"/>
                <w:shd w:val="solid" w:color="000000" w:fill="000000"/>
                <w:fitText w:val="322" w:id="-691334649"/>
                <w14:textFill>
                  <w14:solidFill>
                    <w14:srgbClr w14:val="000000">
                      <w14:alpha w14:val="100000"/>
                    </w14:srgbClr>
                  </w14:solidFill>
                </w14:textFill>
              </w:rPr>
              <w:t>|</w:t>
            </w:r>
            <w:r w:rsidR="007F60F8" w:rsidRPr="007F60F8">
              <w:rPr>
                <w:vertAlign w:val="superscript"/>
              </w:rPr>
              <w:t>1</w:t>
            </w:r>
            <w:r w:rsidR="00E32AB5">
              <w:t xml:space="preserve"> per QALY gained.</w:t>
            </w:r>
          </w:p>
        </w:tc>
        <w:tc>
          <w:tcPr>
            <w:tcW w:w="679" w:type="pct"/>
            <w:shd w:val="clear" w:color="auto" w:fill="auto"/>
            <w:vAlign w:val="center"/>
          </w:tcPr>
          <w:p w14:paraId="0AD58F2B" w14:textId="5CED0D1A" w:rsidR="00490B17" w:rsidRPr="006B5726" w:rsidRDefault="00DC6836" w:rsidP="00E55FD2">
            <w:pPr>
              <w:pStyle w:val="COMTabletext"/>
              <w:keepLines/>
              <w:jc w:val="center"/>
            </w:pPr>
            <w:r w:rsidRPr="006B5726">
              <w:t xml:space="preserve">High, favours </w:t>
            </w:r>
            <w:proofErr w:type="spellStart"/>
            <w:r w:rsidRPr="006B5726">
              <w:t>zilucoplan</w:t>
            </w:r>
            <w:proofErr w:type="spellEnd"/>
          </w:p>
        </w:tc>
      </w:tr>
      <w:tr w:rsidR="003B4AFB" w:rsidRPr="00BB59B1" w14:paraId="74233763" w14:textId="77777777" w:rsidTr="78882673">
        <w:tc>
          <w:tcPr>
            <w:tcW w:w="940" w:type="pct"/>
            <w:shd w:val="clear" w:color="auto" w:fill="auto"/>
            <w:vAlign w:val="center"/>
          </w:tcPr>
          <w:p w14:paraId="46BE79E3" w14:textId="477CEB4A" w:rsidR="003B4AFB" w:rsidRPr="006B5726" w:rsidRDefault="003B4AFB" w:rsidP="00E55FD2">
            <w:pPr>
              <w:pStyle w:val="COMTabletext"/>
              <w:keepNext w:val="0"/>
            </w:pPr>
            <w:r w:rsidRPr="006B5726">
              <w:t>Use of high-dose corticosteroids</w:t>
            </w:r>
            <w:r w:rsidR="00716E3C" w:rsidRPr="006B5726">
              <w:t xml:space="preserve"> in responders and non-responders</w:t>
            </w:r>
          </w:p>
        </w:tc>
        <w:tc>
          <w:tcPr>
            <w:tcW w:w="3381" w:type="pct"/>
            <w:shd w:val="clear" w:color="auto" w:fill="auto"/>
            <w:vAlign w:val="center"/>
          </w:tcPr>
          <w:p w14:paraId="1456C2AC" w14:textId="7BFB9D74" w:rsidR="00851494" w:rsidRPr="00CF6E6C" w:rsidRDefault="00716E3C" w:rsidP="00E55FD2">
            <w:pPr>
              <w:pStyle w:val="COMTabletext"/>
              <w:keepNext w:val="0"/>
              <w:rPr>
                <w:i/>
                <w:iCs/>
              </w:rPr>
            </w:pPr>
            <w:r>
              <w:t>Use of high-dose corticosteroids in treatment responders was revised in the economic model (</w:t>
            </w:r>
            <w:r w:rsidRPr="001A7D1E">
              <w:t>from 0% to 6.9%, based</w:t>
            </w:r>
            <w:r>
              <w:t xml:space="preserve"> on baseline use in the RAISE trial) to address feedback that a </w:t>
            </w:r>
            <w:r w:rsidR="00261F85">
              <w:t xml:space="preserve">substantial </w:t>
            </w:r>
            <w:r w:rsidR="00C13C86">
              <w:t>proportion</w:t>
            </w:r>
            <w:r w:rsidR="00261F85">
              <w:t xml:space="preserve"> </w:t>
            </w:r>
            <w:r>
              <w:t>of responders would not be able to discontinue high-dose corticosteroids</w:t>
            </w:r>
            <w:r w:rsidR="00C13C86">
              <w:t xml:space="preserve"> (Table 14, </w:t>
            </w:r>
            <w:proofErr w:type="spellStart"/>
            <w:r w:rsidR="00C13C86">
              <w:t>zilucoplan</w:t>
            </w:r>
            <w:proofErr w:type="spellEnd"/>
            <w:r w:rsidR="00C13C86">
              <w:t xml:space="preserve"> </w:t>
            </w:r>
            <w:r w:rsidR="002046F2" w:rsidRPr="78882673">
              <w:rPr>
                <w:rFonts w:eastAsia="PlantinStd"/>
              </w:rPr>
              <w:t xml:space="preserve">PBAC </w:t>
            </w:r>
            <w:r w:rsidR="00B32871">
              <w:rPr>
                <w:rFonts w:eastAsia="PlantinStd"/>
              </w:rPr>
              <w:t>PSD</w:t>
            </w:r>
            <w:r w:rsidR="00C13C86">
              <w:t>, July 2024 PBAC meeting)</w:t>
            </w:r>
            <w:r>
              <w:t xml:space="preserve">. However, use of high-dose corticosteroids in non-responders was also </w:t>
            </w:r>
            <w:r w:rsidRPr="001A7D1E">
              <w:t>increased (from 63.8% to 100%),</w:t>
            </w:r>
            <w:r>
              <w:t xml:space="preserve"> which was not justified in the resubmission.</w:t>
            </w:r>
            <w:r w:rsidR="00C13C86">
              <w:t xml:space="preserve"> </w:t>
            </w:r>
            <w:r w:rsidR="00416EAF">
              <w:t>Th</w:t>
            </w:r>
            <w:r w:rsidR="004663B0">
              <w:t>is resulted in the</w:t>
            </w:r>
            <w:r w:rsidR="00416EAF">
              <w:t xml:space="preserve"> </w:t>
            </w:r>
            <w:r w:rsidR="00DE59B8">
              <w:t xml:space="preserve">difference in use of high dose corticosteroids between treatment responders and non-responders </w:t>
            </w:r>
            <w:r w:rsidR="004663B0" w:rsidRPr="001A7D1E">
              <w:t xml:space="preserve">increasing from </w:t>
            </w:r>
            <w:r w:rsidR="00DE59B8" w:rsidRPr="001A7D1E">
              <w:t xml:space="preserve">63.8% </w:t>
            </w:r>
            <w:r w:rsidR="00117928" w:rsidRPr="001A7D1E">
              <w:t>in</w:t>
            </w:r>
            <w:r w:rsidR="00117928">
              <w:t xml:space="preserve"> the July 2024 submission</w:t>
            </w:r>
            <w:r w:rsidR="00285923">
              <w:t xml:space="preserve"> </w:t>
            </w:r>
            <w:r w:rsidR="00DE59B8" w:rsidRPr="001A7D1E">
              <w:t xml:space="preserve">to </w:t>
            </w:r>
            <w:r w:rsidR="008B192B" w:rsidRPr="001A7D1E">
              <w:t>93.1%</w:t>
            </w:r>
            <w:r w:rsidR="00285923">
              <w:t xml:space="preserve"> in the current submission</w:t>
            </w:r>
            <w:r w:rsidR="0083791B">
              <w:t xml:space="preserve">; </w:t>
            </w:r>
            <w:r w:rsidR="00113BF8">
              <w:t xml:space="preserve">and a greater </w:t>
            </w:r>
            <w:r w:rsidR="0083791B">
              <w:t>reduction in the use of high</w:t>
            </w:r>
            <w:r w:rsidR="00676096">
              <w:t>-</w:t>
            </w:r>
            <w:r w:rsidR="0083791B">
              <w:t xml:space="preserve">dose corticosteroids for </w:t>
            </w:r>
            <w:proofErr w:type="spellStart"/>
            <w:r w:rsidR="0083791B">
              <w:t>zilucoplan</w:t>
            </w:r>
            <w:proofErr w:type="spellEnd"/>
            <w:r w:rsidR="0083791B">
              <w:t xml:space="preserve"> versus placebo</w:t>
            </w:r>
            <w:r w:rsidR="00676096">
              <w:t>,</w:t>
            </w:r>
            <w:r w:rsidR="0083791B">
              <w:t xml:space="preserve"> due to the higher </w:t>
            </w:r>
            <w:r w:rsidR="00676096">
              <w:t>proportion of responders</w:t>
            </w:r>
            <w:r w:rsidR="00AF12C7">
              <w:t>.</w:t>
            </w:r>
            <w:r w:rsidR="008B192B">
              <w:t xml:space="preserve"> </w:t>
            </w:r>
            <w:r w:rsidR="00AF12C7">
              <w:t xml:space="preserve">The ESC previously considered that it was unclear whether </w:t>
            </w:r>
            <w:proofErr w:type="spellStart"/>
            <w:r w:rsidR="00AF12C7">
              <w:t>zilucoplan</w:t>
            </w:r>
            <w:proofErr w:type="spellEnd"/>
            <w:r w:rsidR="00AF12C7">
              <w:t xml:space="preserve"> is steroid-sparing as there are no comparative data on steroid use without </w:t>
            </w:r>
            <w:proofErr w:type="spellStart"/>
            <w:r w:rsidR="00AF12C7">
              <w:t>zilucoplan</w:t>
            </w:r>
            <w:proofErr w:type="spellEnd"/>
            <w:r w:rsidR="00AF12C7">
              <w:t xml:space="preserve"> (given the randomised controlled phase of RAISE required corticosteroid doses to be stable, and there are no comparative data for the open label extension phase) (</w:t>
            </w:r>
            <w:r w:rsidR="00FB174B" w:rsidRPr="00FB174B">
              <w:t>paragraph</w:t>
            </w:r>
            <w:r w:rsidR="00AF12C7">
              <w:t xml:space="preserve"> 6.30, </w:t>
            </w:r>
            <w:proofErr w:type="spellStart"/>
            <w:r w:rsidR="00AF12C7">
              <w:t>zilucoplan</w:t>
            </w:r>
            <w:proofErr w:type="spellEnd"/>
            <w:r w:rsidR="00AF12C7">
              <w:t xml:space="preserve"> </w:t>
            </w:r>
            <w:r w:rsidR="002046F2" w:rsidRPr="78882673">
              <w:rPr>
                <w:rFonts w:eastAsia="PlantinStd"/>
              </w:rPr>
              <w:t xml:space="preserve">PBAC </w:t>
            </w:r>
            <w:r w:rsidR="00B32871">
              <w:rPr>
                <w:rFonts w:eastAsia="PlantinStd"/>
              </w:rPr>
              <w:t>PSD</w:t>
            </w:r>
            <w:r w:rsidR="00AF12C7">
              <w:t>, July 2024 PBAC meeting).</w:t>
            </w:r>
            <w:r w:rsidR="00CF6E6C">
              <w:t xml:space="preserve"> </w:t>
            </w:r>
          </w:p>
        </w:tc>
        <w:tc>
          <w:tcPr>
            <w:tcW w:w="679" w:type="pct"/>
            <w:shd w:val="clear" w:color="auto" w:fill="auto"/>
            <w:vAlign w:val="center"/>
          </w:tcPr>
          <w:p w14:paraId="5F7705B7" w14:textId="3DC16598" w:rsidR="003B4AFB" w:rsidRPr="006B5726" w:rsidRDefault="00E54912" w:rsidP="00E55FD2">
            <w:pPr>
              <w:pStyle w:val="COMTabletext"/>
              <w:keepNext w:val="0"/>
              <w:jc w:val="center"/>
            </w:pPr>
            <w:r w:rsidRPr="006B5726">
              <w:t xml:space="preserve">Moderate, favours </w:t>
            </w:r>
            <w:proofErr w:type="spellStart"/>
            <w:r w:rsidRPr="006B5726">
              <w:t>zilucoplan</w:t>
            </w:r>
            <w:proofErr w:type="spellEnd"/>
          </w:p>
        </w:tc>
      </w:tr>
    </w:tbl>
    <w:p w14:paraId="30E97087" w14:textId="3693D768" w:rsidR="00D110BD" w:rsidRDefault="009D792E" w:rsidP="00E55FD2">
      <w:pPr>
        <w:pStyle w:val="COMTablefooter"/>
      </w:pPr>
      <w:r w:rsidRPr="00BB59B1">
        <w:t xml:space="preserve">Source: </w:t>
      </w:r>
      <w:r w:rsidR="00EA0ECF">
        <w:t>Constructed during the evaluation</w:t>
      </w:r>
      <w:r w:rsidRPr="00BB59B1">
        <w:t>.</w:t>
      </w:r>
    </w:p>
    <w:p w14:paraId="72488F29" w14:textId="00E09338" w:rsidR="000D1731" w:rsidRDefault="00BD02A7" w:rsidP="00E55FD2">
      <w:pPr>
        <w:pStyle w:val="COMTablefooter"/>
      </w:pPr>
      <w:r>
        <w:t>Abbreviations: MG-ADL,</w:t>
      </w:r>
      <w:r w:rsidRPr="00BD02A7">
        <w:t xml:space="preserve"> </w:t>
      </w:r>
      <w:r w:rsidRPr="00061D75">
        <w:t>Myasthenia Gravis Activities of Daily Living</w:t>
      </w:r>
      <w:r>
        <w:t xml:space="preserve">; </w:t>
      </w:r>
      <w:r w:rsidR="00221789">
        <w:t xml:space="preserve">PBS, Pharmaceutical Benefits Scheme; </w:t>
      </w:r>
      <w:r>
        <w:t>QMG</w:t>
      </w:r>
      <w:r w:rsidR="0090325F">
        <w:t xml:space="preserve">, </w:t>
      </w:r>
      <w:r w:rsidR="0090325F" w:rsidRPr="00B162C2">
        <w:t>Quantitative Myasthenia Gravis score</w:t>
      </w:r>
      <w:r w:rsidR="008F0152">
        <w:t>; PSD = Public Summary Document.</w:t>
      </w:r>
      <w:r w:rsidR="000D1731" w:rsidRPr="000D1731">
        <w:t xml:space="preserve"> </w:t>
      </w:r>
    </w:p>
    <w:p w14:paraId="1F676B46" w14:textId="2040D56E" w:rsidR="000D1731" w:rsidRPr="00F17B48" w:rsidRDefault="000D1731" w:rsidP="00E55FD2">
      <w:pPr>
        <w:pStyle w:val="COMTablefooter"/>
        <w:rPr>
          <w:i/>
          <w:iCs/>
        </w:rPr>
      </w:pPr>
      <w:r w:rsidRPr="00F17B48">
        <w:rPr>
          <w:i/>
          <w:iCs/>
        </w:rPr>
        <w:t>The redacted values correspond to the following ranges:</w:t>
      </w:r>
    </w:p>
    <w:p w14:paraId="5C478044" w14:textId="2FFD6687" w:rsidR="00BD02A7" w:rsidRPr="00F17B48" w:rsidRDefault="000D1731" w:rsidP="00E55FD2">
      <w:pPr>
        <w:pStyle w:val="COMTablefooter"/>
        <w:rPr>
          <w:i/>
          <w:iCs/>
        </w:rPr>
      </w:pPr>
      <w:r w:rsidRPr="00F17B48">
        <w:rPr>
          <w:i/>
          <w:iCs/>
          <w:vertAlign w:val="superscript"/>
        </w:rPr>
        <w:t>1</w:t>
      </w:r>
      <w:r w:rsidRPr="00F17B48">
        <w:rPr>
          <w:i/>
          <w:iCs/>
        </w:rPr>
        <w:t xml:space="preserve"> </w:t>
      </w:r>
      <w:r w:rsidR="001A1059" w:rsidRPr="00F17B48">
        <w:rPr>
          <w:i/>
          <w:iCs/>
        </w:rPr>
        <w:t>$955,000 to &lt; $1,055,000</w:t>
      </w:r>
    </w:p>
    <w:p w14:paraId="09CBF9A6" w14:textId="10F85BDF" w:rsidR="0036647F" w:rsidRPr="005500C7" w:rsidRDefault="0036647F" w:rsidP="00E55FD2">
      <w:pPr>
        <w:pStyle w:val="COMexecsummnumbered"/>
      </w:pPr>
      <w:r w:rsidRPr="78882673">
        <w:t>The resubmission claimed that the modelled population aligned with both the key clinical data and the proposed PBS restriction. Th</w:t>
      </w:r>
      <w:r w:rsidR="00A03DCE" w:rsidRPr="78882673">
        <w:t>e evaluation considered th</w:t>
      </w:r>
      <w:r w:rsidRPr="78882673">
        <w:t xml:space="preserve">is was not reasonable. The assumption that the patient characteristics of the whole trial population were representative of the refractory population was not consistent with the clinical data. Further, the resubmission did not adequately address the impact of differences in the trial compared to the requested PBS population in baseline functional impairment (the trial required patients to have MG-ADL ≥6; QMG ≥12 and 4 or more </w:t>
      </w:r>
      <w:r w:rsidRPr="005500C7">
        <w:t>QMG items scored ≥2 while the proposed restriction requires patients to have MG-ADL ≥6 only) and medication use (the trial required no specific therapies while the proposed restriction requires at least one corticosteroid or immunosuppressant therapy). Due to limitations of the model structure and data inputs, it was not possible to assess the impact of different levels of baseline functional impairment and concomitant medication use during the evaluation.</w:t>
      </w:r>
    </w:p>
    <w:p w14:paraId="75E7E877" w14:textId="248EFEC8" w:rsidR="00EA2CDA" w:rsidRPr="005500C7" w:rsidRDefault="00EA2CDA" w:rsidP="00E55FD2">
      <w:pPr>
        <w:pStyle w:val="COMexecsummnumbered"/>
      </w:pPr>
      <w:r w:rsidRPr="005500C7">
        <w:t xml:space="preserve">The economic model was highly sensitive to the introduction of an assumed treatment discontinuation due to loss of response in the placebo </w:t>
      </w:r>
      <w:r w:rsidRPr="001A7D1E">
        <w:t>arm (16</w:t>
      </w:r>
      <w:r w:rsidRPr="005500C7">
        <w:t xml:space="preserve">% per 2-week cycle) that was inconsistent with the clinical evidence, which suggested similar </w:t>
      </w:r>
      <w:r w:rsidRPr="005500C7">
        <w:lastRenderedPageBreak/>
        <w:t xml:space="preserve">discontinuation risks between treatment arms (4.7% in the </w:t>
      </w:r>
      <w:proofErr w:type="spellStart"/>
      <w:r w:rsidRPr="005500C7">
        <w:t>zilucoplan</w:t>
      </w:r>
      <w:proofErr w:type="spellEnd"/>
      <w:r w:rsidRPr="005500C7">
        <w:t xml:space="preserve"> arm; 4.5% in the placebo arm over 12 weeks). </w:t>
      </w:r>
      <w:r w:rsidR="006577F7" w:rsidRPr="005500C7">
        <w:t>The PSCR stated</w:t>
      </w:r>
      <w:r w:rsidR="00067CF8" w:rsidRPr="005500C7">
        <w:t xml:space="preserve"> that these were discontinuation rates at 12 weeks only,</w:t>
      </w:r>
      <w:r w:rsidR="00CC17BF" w:rsidRPr="005500C7">
        <w:t xml:space="preserve"> and </w:t>
      </w:r>
      <w:r w:rsidR="0013716A" w:rsidRPr="005500C7">
        <w:t>‘</w:t>
      </w:r>
      <w:r w:rsidR="00CC17BF" w:rsidRPr="005500C7">
        <w:t>most patients in the placebo arm discontinued due to withdrawal by patient (2.3%) or physician decision (1.1</w:t>
      </w:r>
      <w:r w:rsidR="0013716A" w:rsidRPr="005500C7">
        <w:t>%</w:t>
      </w:r>
      <w:r w:rsidR="00CC17BF" w:rsidRPr="005500C7">
        <w:t xml:space="preserve">). The discontinuation rate of 4.5% in the placebo arm therefore predominantly reflects the early stages of treatment and therefore does not capture the long-term discontinuation risk resulting from lack of efficacy. Considering that these patients receive placebo plus standard of care, it is unlikely that any response is maintained long-term and increasing the discontinuation rate </w:t>
      </w:r>
      <w:r w:rsidR="00CC17BF" w:rsidRPr="001A7D1E">
        <w:t>to 16%</w:t>
      </w:r>
      <w:r w:rsidR="00CC17BF" w:rsidRPr="005500C7">
        <w:t xml:space="preserve"> was reasonable.</w:t>
      </w:r>
      <w:r w:rsidR="0013716A" w:rsidRPr="005500C7">
        <w:t xml:space="preserve">’ However, the ESC noted that </w:t>
      </w:r>
      <w:r w:rsidR="00D649EC" w:rsidRPr="005500C7">
        <w:t xml:space="preserve">longer-term data were not available to inform the placebo arm, and that </w:t>
      </w:r>
      <w:r w:rsidR="0013716A" w:rsidRPr="005500C7">
        <w:t>a</w:t>
      </w:r>
      <w:r w:rsidRPr="005500C7">
        <w:t xml:space="preserve">lternative assumptions removing treatment discontinuation or assuming the same discontinuation as the </w:t>
      </w:r>
      <w:proofErr w:type="spellStart"/>
      <w:r w:rsidRPr="005500C7">
        <w:t>zilucoplan</w:t>
      </w:r>
      <w:proofErr w:type="spellEnd"/>
      <w:r w:rsidRPr="005500C7">
        <w:t xml:space="preserve"> arm resulted in an ICER exceeding $</w:t>
      </w:r>
      <w:r w:rsidR="00ED1D23" w:rsidRPr="00ED1D23">
        <w:t>955,000</w:t>
      </w:r>
      <w:r w:rsidR="009D50F8">
        <w:t> </w:t>
      </w:r>
      <w:r w:rsidR="00ED1D23" w:rsidRPr="00ED1D23">
        <w:t>to</w:t>
      </w:r>
      <w:r w:rsidR="009D50F8">
        <w:t> </w:t>
      </w:r>
      <w:r w:rsidR="00ED1D23" w:rsidRPr="00ED1D23">
        <w:t>&lt;</w:t>
      </w:r>
      <w:r w:rsidR="009D50F8">
        <w:t> </w:t>
      </w:r>
      <w:r w:rsidR="00ED1D23" w:rsidRPr="00ED1D23">
        <w:t>$1,055,000</w:t>
      </w:r>
      <w:r w:rsidR="00737781">
        <w:t xml:space="preserve"> </w:t>
      </w:r>
      <w:r w:rsidRPr="005500C7">
        <w:t xml:space="preserve">per QALY gained. </w:t>
      </w:r>
    </w:p>
    <w:p w14:paraId="56633859" w14:textId="3AD68441" w:rsidR="00E12166" w:rsidRPr="005500C7" w:rsidRDefault="00EA2CDA" w:rsidP="00E55FD2">
      <w:pPr>
        <w:pStyle w:val="COMexecsummnumbered"/>
      </w:pPr>
      <w:r w:rsidRPr="005500C7">
        <w:t>Use of high-dose corticosteroids in treatment responders was revised in the economic model (</w:t>
      </w:r>
      <w:r w:rsidRPr="001A7D1E">
        <w:t>from 0% to 6.9%, based on baseline use in the RAISE trial) to address feedback that a proportion of responders would not be able to discontinue high-dose corticosteroids. However, use of high-dose corticosteroids in non-responders was also increased (from 63.8% to 100%),</w:t>
      </w:r>
      <w:r w:rsidRPr="005500C7">
        <w:t xml:space="preserve"> which was not adequately justified in the resubmission.</w:t>
      </w:r>
      <w:r w:rsidR="00D50A45" w:rsidRPr="005500C7">
        <w:t xml:space="preserve"> </w:t>
      </w:r>
      <w:r w:rsidR="0022457D" w:rsidRPr="005500C7">
        <w:t xml:space="preserve">The ESC </w:t>
      </w:r>
      <w:r w:rsidR="00650E99" w:rsidRPr="005500C7">
        <w:t xml:space="preserve">(June </w:t>
      </w:r>
      <w:r w:rsidR="00797C01" w:rsidRPr="005500C7">
        <w:t xml:space="preserve">2024) </w:t>
      </w:r>
      <w:r w:rsidR="0022457D" w:rsidRPr="005500C7">
        <w:t xml:space="preserve">had previously considered that it was unclear whether </w:t>
      </w:r>
      <w:proofErr w:type="spellStart"/>
      <w:r w:rsidR="0022457D" w:rsidRPr="005500C7">
        <w:t>zilucoplan</w:t>
      </w:r>
      <w:proofErr w:type="spellEnd"/>
      <w:r w:rsidR="0022457D" w:rsidRPr="005500C7">
        <w:t xml:space="preserve"> is steroid-sparing as there are no comparative data on steroid use without </w:t>
      </w:r>
      <w:proofErr w:type="spellStart"/>
      <w:r w:rsidR="0022457D" w:rsidRPr="005500C7">
        <w:t>zilucoplan</w:t>
      </w:r>
      <w:proofErr w:type="spellEnd"/>
      <w:r w:rsidR="007717D1" w:rsidRPr="005500C7">
        <w:t xml:space="preserve">. </w:t>
      </w:r>
      <w:r w:rsidR="00E12166" w:rsidRPr="005500C7">
        <w:t xml:space="preserve">The PSCR outlined that ‘in contrast to the July 2024 submission, the population for whom listing of </w:t>
      </w:r>
      <w:proofErr w:type="spellStart"/>
      <w:r w:rsidR="00E12166" w:rsidRPr="005500C7">
        <w:t>zilucoplan</w:t>
      </w:r>
      <w:proofErr w:type="spellEnd"/>
      <w:r w:rsidR="00E12166" w:rsidRPr="005500C7">
        <w:t xml:space="preserve"> is sought are those with refractory gMG’ who have limited treatment options and, as such non-responders in this setting may have a higher requirement for treatment with high-dose corticosteroids. However, the ESC considered the rates used in the resubmission remained inadequately </w:t>
      </w:r>
      <w:proofErr w:type="gramStart"/>
      <w:r w:rsidR="00E12166" w:rsidRPr="005500C7">
        <w:t>justified, and</w:t>
      </w:r>
      <w:proofErr w:type="gramEnd"/>
      <w:r w:rsidR="00E12166" w:rsidRPr="005500C7">
        <w:t xml:space="preserve"> overall considered there was a lack of long-term data available to reliably inform the model. </w:t>
      </w:r>
    </w:p>
    <w:p w14:paraId="2B4AF938" w14:textId="55FBCD33" w:rsidR="008C5739" w:rsidRPr="00DC6836" w:rsidRDefault="0016677E" w:rsidP="00E55FD2">
      <w:pPr>
        <w:pStyle w:val="COMexecsummnumbered"/>
      </w:pPr>
      <w:r>
        <w:t xml:space="preserve">The results of the stepped economic evaluation are summarised in </w:t>
      </w:r>
      <w:r w:rsidR="00E16AD8" w:rsidRPr="00DC6836">
        <w:fldChar w:fldCharType="begin"/>
      </w:r>
      <w:r w:rsidR="00E16AD8" w:rsidRPr="00DC6836">
        <w:instrText xml:space="preserve"> REF _Ref104805160 \h  \* MERGEFORMAT </w:instrText>
      </w:r>
      <w:r w:rsidR="00E16AD8" w:rsidRPr="00DC6836">
        <w:fldChar w:fldCharType="separate"/>
      </w:r>
      <w:r w:rsidR="00271F88" w:rsidRPr="00BB59B1">
        <w:t xml:space="preserve">Table </w:t>
      </w:r>
      <w:r w:rsidR="00271F88">
        <w:t>12</w:t>
      </w:r>
      <w:r w:rsidR="00E16AD8" w:rsidRPr="00DC6836">
        <w:fldChar w:fldCharType="end"/>
      </w:r>
      <w:r>
        <w:t>.</w:t>
      </w:r>
    </w:p>
    <w:p w14:paraId="63D487B8" w14:textId="42B0E2C9" w:rsidR="00D110BD" w:rsidRDefault="00E16AD8" w:rsidP="00E55FD2">
      <w:pPr>
        <w:pStyle w:val="COMtablefigcaption"/>
      </w:pPr>
      <w:bookmarkStart w:id="66" w:name="_Ref104805160"/>
      <w:r w:rsidRPr="00BB59B1">
        <w:lastRenderedPageBreak/>
        <w:t xml:space="preserve">Table </w:t>
      </w:r>
      <w:r w:rsidR="00891FF9">
        <w:fldChar w:fldCharType="begin"/>
      </w:r>
      <w:r w:rsidR="00891FF9">
        <w:instrText xml:space="preserve"> SEQ Table \* ARABIC </w:instrText>
      </w:r>
      <w:r w:rsidR="00891FF9">
        <w:fldChar w:fldCharType="separate"/>
      </w:r>
      <w:r w:rsidR="00271F88">
        <w:rPr>
          <w:noProof/>
        </w:rPr>
        <w:t>12</w:t>
      </w:r>
      <w:r w:rsidR="00891FF9">
        <w:rPr>
          <w:noProof/>
        </w:rPr>
        <w:fldChar w:fldCharType="end"/>
      </w:r>
      <w:bookmarkEnd w:id="66"/>
      <w:r w:rsidRPr="00BB59B1">
        <w:t>:</w:t>
      </w:r>
      <w:r w:rsidR="005A373D" w:rsidRPr="00BB59B1">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w:tblPr>
      <w:tblGrid>
        <w:gridCol w:w="2976"/>
        <w:gridCol w:w="2014"/>
        <w:gridCol w:w="2094"/>
        <w:gridCol w:w="1933"/>
      </w:tblGrid>
      <w:tr w:rsidR="0016677E" w:rsidRPr="00BB59B1" w14:paraId="69886A59" w14:textId="77777777" w:rsidTr="78882673">
        <w:trPr>
          <w:tblHeader/>
        </w:trPr>
        <w:tc>
          <w:tcPr>
            <w:tcW w:w="1650" w:type="pct"/>
            <w:vAlign w:val="center"/>
          </w:tcPr>
          <w:p w14:paraId="06A145C8" w14:textId="1F93BFF4" w:rsidR="0016677E" w:rsidRPr="0057135C" w:rsidRDefault="0016677E" w:rsidP="00E55FD2">
            <w:pPr>
              <w:pStyle w:val="COMTabletext"/>
              <w:rPr>
                <w:b/>
              </w:rPr>
            </w:pPr>
            <w:r w:rsidRPr="78882673">
              <w:rPr>
                <w:b/>
              </w:rPr>
              <w:t>Step and component</w:t>
            </w:r>
          </w:p>
        </w:tc>
        <w:tc>
          <w:tcPr>
            <w:tcW w:w="1117" w:type="pct"/>
            <w:vAlign w:val="center"/>
          </w:tcPr>
          <w:p w14:paraId="73FEB63C" w14:textId="77777777" w:rsidR="0016677E" w:rsidRPr="0057135C" w:rsidRDefault="0016677E" w:rsidP="00E55FD2">
            <w:pPr>
              <w:pStyle w:val="COMTabletext"/>
              <w:jc w:val="center"/>
              <w:rPr>
                <w:b/>
                <w:bCs w:val="0"/>
              </w:rPr>
            </w:pPr>
            <w:proofErr w:type="spellStart"/>
            <w:r>
              <w:rPr>
                <w:b/>
                <w:bCs w:val="0"/>
              </w:rPr>
              <w:t>Zilucoplan</w:t>
            </w:r>
            <w:proofErr w:type="spellEnd"/>
          </w:p>
        </w:tc>
        <w:tc>
          <w:tcPr>
            <w:tcW w:w="1161" w:type="pct"/>
            <w:vAlign w:val="center"/>
          </w:tcPr>
          <w:p w14:paraId="0DA21EED" w14:textId="77777777" w:rsidR="0016677E" w:rsidRPr="0057135C" w:rsidRDefault="0016677E" w:rsidP="00E55FD2">
            <w:pPr>
              <w:pStyle w:val="COMTabletext"/>
              <w:jc w:val="center"/>
              <w:rPr>
                <w:b/>
                <w:bCs w:val="0"/>
              </w:rPr>
            </w:pPr>
            <w:r>
              <w:rPr>
                <w:b/>
                <w:bCs w:val="0"/>
              </w:rPr>
              <w:t>Placebo</w:t>
            </w:r>
          </w:p>
        </w:tc>
        <w:tc>
          <w:tcPr>
            <w:tcW w:w="1072" w:type="pct"/>
            <w:vAlign w:val="center"/>
          </w:tcPr>
          <w:p w14:paraId="1F8918C8" w14:textId="77777777" w:rsidR="0016677E" w:rsidRPr="0057135C" w:rsidRDefault="0016677E" w:rsidP="00E55FD2">
            <w:pPr>
              <w:pStyle w:val="COMTabletext"/>
              <w:jc w:val="center"/>
              <w:rPr>
                <w:b/>
                <w:bCs w:val="0"/>
              </w:rPr>
            </w:pPr>
            <w:r w:rsidRPr="0057135C">
              <w:rPr>
                <w:b/>
                <w:bCs w:val="0"/>
              </w:rPr>
              <w:t>Increment</w:t>
            </w:r>
          </w:p>
        </w:tc>
      </w:tr>
      <w:tr w:rsidR="0016677E" w:rsidRPr="00BB59B1" w14:paraId="040A9A80" w14:textId="77777777" w:rsidTr="78882673">
        <w:tc>
          <w:tcPr>
            <w:tcW w:w="5000" w:type="pct"/>
            <w:gridSpan w:val="4"/>
            <w:vAlign w:val="center"/>
          </w:tcPr>
          <w:p w14:paraId="3164D34A" w14:textId="22EF88F2" w:rsidR="0016677E" w:rsidRPr="00406D29" w:rsidRDefault="0016677E" w:rsidP="00E55FD2">
            <w:pPr>
              <w:pStyle w:val="COMTabletext"/>
              <w:rPr>
                <w:b/>
                <w:bCs w:val="0"/>
              </w:rPr>
            </w:pPr>
            <w:r w:rsidRPr="00406D29">
              <w:rPr>
                <w:b/>
                <w:bCs w:val="0"/>
              </w:rPr>
              <w:t>Step 1: Trial and extension study-based response rate</w:t>
            </w:r>
            <w:r>
              <w:rPr>
                <w:b/>
                <w:bCs w:val="0"/>
              </w:rPr>
              <w:t xml:space="preserve"> (≥</w:t>
            </w:r>
            <w:r w:rsidR="00DB55A0">
              <w:rPr>
                <w:b/>
                <w:bCs w:val="0"/>
              </w:rPr>
              <w:t>3-point</w:t>
            </w:r>
            <w:r>
              <w:rPr>
                <w:b/>
                <w:bCs w:val="0"/>
              </w:rPr>
              <w:t xml:space="preserve"> improvement in MG-ADL) at Week 12 for placebo and Week </w:t>
            </w:r>
            <w:r w:rsidRPr="00A329C3">
              <w:rPr>
                <w:b/>
                <w:bCs w:val="0"/>
              </w:rPr>
              <w:t xml:space="preserve">16 for </w:t>
            </w:r>
            <w:proofErr w:type="spellStart"/>
            <w:r w:rsidRPr="00A329C3">
              <w:rPr>
                <w:b/>
                <w:bCs w:val="0"/>
              </w:rPr>
              <w:t>zilucoplan</w:t>
            </w:r>
            <w:proofErr w:type="spellEnd"/>
            <w:r w:rsidRPr="00A329C3">
              <w:rPr>
                <w:b/>
                <w:bCs w:val="0"/>
              </w:rPr>
              <w:t xml:space="preserve">; drug costs only (including costs of </w:t>
            </w:r>
            <w:proofErr w:type="spellStart"/>
            <w:r w:rsidRPr="00A329C3">
              <w:rPr>
                <w:b/>
                <w:bCs w:val="0"/>
              </w:rPr>
              <w:t>zilucoplan</w:t>
            </w:r>
            <w:proofErr w:type="spellEnd"/>
            <w:r w:rsidRPr="00A329C3">
              <w:rPr>
                <w:b/>
                <w:bCs w:val="0"/>
              </w:rPr>
              <w:t xml:space="preserve"> administration training and meningococcal vaccination)</w:t>
            </w:r>
          </w:p>
        </w:tc>
      </w:tr>
      <w:tr w:rsidR="0016677E" w:rsidRPr="00BB59B1" w14:paraId="721BF2CF" w14:textId="77777777" w:rsidTr="78882673">
        <w:tc>
          <w:tcPr>
            <w:tcW w:w="1650" w:type="pct"/>
            <w:vAlign w:val="center"/>
          </w:tcPr>
          <w:p w14:paraId="25D5C119" w14:textId="77777777" w:rsidR="0016677E" w:rsidRPr="00BB59B1" w:rsidRDefault="0016677E" w:rsidP="00E55FD2">
            <w:pPr>
              <w:pStyle w:val="COMTabletext"/>
              <w:rPr>
                <w:rFonts w:ascii="Times" w:hAnsi="Times"/>
              </w:rPr>
            </w:pPr>
            <w:r w:rsidRPr="00BB59B1">
              <w:t>Costs</w:t>
            </w:r>
          </w:p>
        </w:tc>
        <w:tc>
          <w:tcPr>
            <w:tcW w:w="1117" w:type="pct"/>
            <w:vAlign w:val="center"/>
          </w:tcPr>
          <w:p w14:paraId="145D9016" w14:textId="31784EE5" w:rsidR="0016677E" w:rsidRPr="00DF38AC" w:rsidRDefault="0016677E" w:rsidP="00E55FD2">
            <w:pPr>
              <w:pStyle w:val="COMTabletext"/>
              <w:jc w:val="center"/>
              <w:rPr>
                <w:rFonts w:ascii="Times" w:hAnsi="Times"/>
              </w:rPr>
            </w:pPr>
            <w:r w:rsidRPr="00DF38AC">
              <w:t>$</w:t>
            </w:r>
            <w:r w:rsidR="007510F8" w:rsidRPr="007510F8">
              <w:rPr>
                <w:color w:val="000000"/>
                <w:shd w:val="solid" w:color="000000" w:fill="000000"/>
                <w14:textFill>
                  <w14:solidFill>
                    <w14:srgbClr w14:val="000000">
                      <w14:alpha w14:val="100000"/>
                    </w14:srgbClr>
                  </w14:solidFill>
                </w14:textFill>
              </w:rPr>
              <w:t>|</w:t>
            </w:r>
            <w:r w:rsidRPr="002713B4">
              <w:rPr>
                <w:vertAlign w:val="superscript"/>
              </w:rPr>
              <w:t>a</w:t>
            </w:r>
          </w:p>
        </w:tc>
        <w:tc>
          <w:tcPr>
            <w:tcW w:w="1161" w:type="pct"/>
            <w:vAlign w:val="center"/>
          </w:tcPr>
          <w:p w14:paraId="646D51B7" w14:textId="77777777" w:rsidR="0016677E" w:rsidRPr="001A7D1E" w:rsidRDefault="0016677E" w:rsidP="00E55FD2">
            <w:pPr>
              <w:pStyle w:val="COMTabletext"/>
              <w:jc w:val="center"/>
              <w:rPr>
                <w:rFonts w:ascii="Times" w:hAnsi="Times"/>
              </w:rPr>
            </w:pPr>
            <w:r w:rsidRPr="001A7D1E">
              <w:t>$443</w:t>
            </w:r>
          </w:p>
        </w:tc>
        <w:tc>
          <w:tcPr>
            <w:tcW w:w="1072" w:type="pct"/>
            <w:vAlign w:val="center"/>
          </w:tcPr>
          <w:p w14:paraId="50E4BC63" w14:textId="4842B4B9" w:rsidR="0016677E" w:rsidRPr="00590CD1" w:rsidRDefault="0016677E" w:rsidP="00E55FD2">
            <w:pPr>
              <w:pStyle w:val="COMTabletext"/>
              <w:jc w:val="center"/>
              <w:rPr>
                <w:rFonts w:ascii="Times" w:hAnsi="Times"/>
              </w:rPr>
            </w:pPr>
            <w:r w:rsidRPr="00590CD1">
              <w:t>$</w:t>
            </w:r>
            <w:r w:rsidR="007510F8" w:rsidRPr="007510F8">
              <w:rPr>
                <w:color w:val="000000"/>
                <w:shd w:val="solid" w:color="000000" w:fill="000000"/>
                <w14:textFill>
                  <w14:solidFill>
                    <w14:srgbClr w14:val="000000">
                      <w14:alpha w14:val="100000"/>
                    </w14:srgbClr>
                  </w14:solidFill>
                </w14:textFill>
              </w:rPr>
              <w:t>|</w:t>
            </w:r>
          </w:p>
        </w:tc>
      </w:tr>
      <w:tr w:rsidR="0016677E" w:rsidRPr="00BB59B1" w14:paraId="18DC9E5A" w14:textId="77777777" w:rsidTr="78882673">
        <w:tc>
          <w:tcPr>
            <w:tcW w:w="1650" w:type="pct"/>
            <w:vAlign w:val="center"/>
          </w:tcPr>
          <w:p w14:paraId="353EEF07" w14:textId="77777777" w:rsidR="0016677E" w:rsidRPr="00BB59B1" w:rsidRDefault="0016677E" w:rsidP="00E55FD2">
            <w:pPr>
              <w:pStyle w:val="COMTabletext"/>
              <w:rPr>
                <w:rFonts w:ascii="Times" w:hAnsi="Times"/>
              </w:rPr>
            </w:pPr>
            <w:r>
              <w:t>Patients with response</w:t>
            </w:r>
          </w:p>
        </w:tc>
        <w:tc>
          <w:tcPr>
            <w:tcW w:w="1117" w:type="pct"/>
            <w:vAlign w:val="center"/>
          </w:tcPr>
          <w:p w14:paraId="4A64B4E3" w14:textId="77777777" w:rsidR="0016677E" w:rsidRPr="00BB59B1" w:rsidRDefault="0016677E" w:rsidP="00E55FD2">
            <w:pPr>
              <w:pStyle w:val="COMTabletext"/>
              <w:jc w:val="center"/>
              <w:rPr>
                <w:rFonts w:ascii="Times" w:hAnsi="Times"/>
              </w:rPr>
            </w:pPr>
            <w:r w:rsidRPr="001A7D1E">
              <w:t>85%</w:t>
            </w:r>
          </w:p>
        </w:tc>
        <w:tc>
          <w:tcPr>
            <w:tcW w:w="1161" w:type="pct"/>
            <w:vAlign w:val="center"/>
          </w:tcPr>
          <w:p w14:paraId="147C3E09" w14:textId="77777777" w:rsidR="0016677E" w:rsidRPr="001A7D1E" w:rsidRDefault="0016677E" w:rsidP="00E55FD2">
            <w:pPr>
              <w:pStyle w:val="COMTabletext"/>
              <w:jc w:val="center"/>
              <w:rPr>
                <w:rFonts w:ascii="Times" w:hAnsi="Times"/>
              </w:rPr>
            </w:pPr>
            <w:r w:rsidRPr="001A7D1E">
              <w:t>47%</w:t>
            </w:r>
            <w:r w:rsidRPr="001A7D1E">
              <w:rPr>
                <w:vertAlign w:val="superscript"/>
              </w:rPr>
              <w:t>b</w:t>
            </w:r>
          </w:p>
        </w:tc>
        <w:tc>
          <w:tcPr>
            <w:tcW w:w="1072" w:type="pct"/>
            <w:vAlign w:val="center"/>
          </w:tcPr>
          <w:p w14:paraId="7D64A360" w14:textId="77777777" w:rsidR="0016677E" w:rsidRPr="00BB59B1" w:rsidRDefault="0016677E" w:rsidP="00E55FD2">
            <w:pPr>
              <w:pStyle w:val="COMTabletext"/>
              <w:jc w:val="center"/>
            </w:pPr>
            <w:r>
              <w:t>38%</w:t>
            </w:r>
          </w:p>
        </w:tc>
      </w:tr>
      <w:tr w:rsidR="0016677E" w:rsidRPr="00BB59B1" w14:paraId="5555B98C" w14:textId="77777777" w:rsidTr="78882673">
        <w:tc>
          <w:tcPr>
            <w:tcW w:w="3928" w:type="pct"/>
            <w:gridSpan w:val="3"/>
            <w:vAlign w:val="center"/>
          </w:tcPr>
          <w:p w14:paraId="62B39B90" w14:textId="4FFFF23C" w:rsidR="0016677E" w:rsidRPr="007C65CB" w:rsidRDefault="0016677E" w:rsidP="00E55FD2">
            <w:pPr>
              <w:pStyle w:val="COMTabletext"/>
              <w:rPr>
                <w:rFonts w:ascii="Times" w:hAnsi="Times"/>
                <w:b/>
              </w:rPr>
            </w:pPr>
            <w:r w:rsidRPr="78882673">
              <w:rPr>
                <w:b/>
              </w:rPr>
              <w:t>Incremental cost per additional patient with response</w:t>
            </w:r>
          </w:p>
        </w:tc>
        <w:tc>
          <w:tcPr>
            <w:tcW w:w="1072" w:type="pct"/>
            <w:vAlign w:val="center"/>
          </w:tcPr>
          <w:p w14:paraId="1F63DE59" w14:textId="16F0E74C" w:rsidR="0016677E" w:rsidRPr="0006374C" w:rsidRDefault="0016677E" w:rsidP="00E55FD2">
            <w:pPr>
              <w:pStyle w:val="COMTabletext"/>
              <w:jc w:val="center"/>
              <w:rPr>
                <w:rFonts w:ascii="Times" w:hAnsi="Times"/>
                <w:b/>
                <w:bCs w:val="0"/>
                <w:vertAlign w:val="superscript"/>
              </w:rPr>
            </w:pPr>
            <w:r w:rsidRPr="0006374C">
              <w:rPr>
                <w:b/>
                <w:bCs w:val="0"/>
              </w:rPr>
              <w:t>$</w:t>
            </w:r>
            <w:r w:rsidR="007510F8" w:rsidRPr="007510F8">
              <w:rPr>
                <w:b/>
                <w:bCs w:val="0"/>
                <w:color w:val="000000"/>
                <w:shd w:val="solid" w:color="000000" w:fill="000000"/>
                <w14:textFill>
                  <w14:solidFill>
                    <w14:srgbClr w14:val="000000">
                      <w14:alpha w14:val="100000"/>
                    </w14:srgbClr>
                  </w14:solidFill>
                </w14:textFill>
              </w:rPr>
              <w:t>|</w:t>
            </w:r>
            <w:r w:rsidR="0006374C" w:rsidRPr="0006374C">
              <w:rPr>
                <w:b/>
                <w:bCs w:val="0"/>
              </w:rPr>
              <w:t xml:space="preserve"> </w:t>
            </w:r>
            <w:r w:rsidR="00B906FE" w:rsidRPr="00B906FE">
              <w:rPr>
                <w:b/>
                <w:bCs w:val="0"/>
                <w:vertAlign w:val="superscript"/>
              </w:rPr>
              <w:t>1</w:t>
            </w:r>
            <w:r w:rsidR="0006374C" w:rsidRPr="0006374C">
              <w:rPr>
                <w:b/>
                <w:bCs w:val="0"/>
                <w:vertAlign w:val="superscript"/>
              </w:rPr>
              <w:t>a</w:t>
            </w:r>
          </w:p>
        </w:tc>
      </w:tr>
      <w:tr w:rsidR="0016677E" w:rsidRPr="00BB59B1" w14:paraId="4F1A2F30" w14:textId="77777777" w:rsidTr="78882673">
        <w:tc>
          <w:tcPr>
            <w:tcW w:w="5000" w:type="pct"/>
            <w:gridSpan w:val="4"/>
            <w:vAlign w:val="center"/>
          </w:tcPr>
          <w:p w14:paraId="54BC190F" w14:textId="391B1A07" w:rsidR="0016677E" w:rsidRPr="0015582E" w:rsidRDefault="0016677E" w:rsidP="00E55FD2">
            <w:pPr>
              <w:pStyle w:val="COMTabletext"/>
              <w:rPr>
                <w:b/>
              </w:rPr>
            </w:pPr>
            <w:r w:rsidRPr="78882673">
              <w:rPr>
                <w:b/>
              </w:rPr>
              <w:t xml:space="preserve">Step 2a: Modelled outcomes (life years) to Week 16 including response, exacerbation, myasthenic crisis and death events; drug costs </w:t>
            </w:r>
            <w:proofErr w:type="spellStart"/>
            <w:r w:rsidRPr="78882673">
              <w:rPr>
                <w:b/>
              </w:rPr>
              <w:t>only</w:t>
            </w:r>
            <w:r w:rsidRPr="78882673">
              <w:rPr>
                <w:b/>
                <w:vertAlign w:val="superscript"/>
              </w:rPr>
              <w:t>c</w:t>
            </w:r>
            <w:proofErr w:type="spellEnd"/>
          </w:p>
        </w:tc>
      </w:tr>
      <w:tr w:rsidR="0016677E" w:rsidRPr="00BB59B1" w14:paraId="77AE4A63" w14:textId="77777777" w:rsidTr="78882673">
        <w:tc>
          <w:tcPr>
            <w:tcW w:w="1650" w:type="pct"/>
            <w:vAlign w:val="center"/>
          </w:tcPr>
          <w:p w14:paraId="3A911D01" w14:textId="77777777" w:rsidR="0016677E" w:rsidRPr="00BB59B1" w:rsidRDefault="0016677E" w:rsidP="00E55FD2">
            <w:pPr>
              <w:pStyle w:val="COMTabletext"/>
              <w:rPr>
                <w:rFonts w:ascii="Times" w:hAnsi="Times"/>
              </w:rPr>
            </w:pPr>
            <w:r w:rsidRPr="00BB59B1">
              <w:t>Costs</w:t>
            </w:r>
          </w:p>
        </w:tc>
        <w:tc>
          <w:tcPr>
            <w:tcW w:w="1117" w:type="pct"/>
            <w:vAlign w:val="center"/>
          </w:tcPr>
          <w:p w14:paraId="6C127DA9" w14:textId="12582DFE" w:rsidR="0016677E" w:rsidRPr="00BB59B1" w:rsidRDefault="0016677E" w:rsidP="00E55FD2">
            <w:pPr>
              <w:pStyle w:val="COMTabletext"/>
              <w:jc w:val="center"/>
              <w:rPr>
                <w:rFonts w:ascii="Times" w:hAnsi="Times"/>
              </w:rPr>
            </w:pPr>
            <w:r w:rsidRPr="00BB59B1">
              <w:t>$</w:t>
            </w:r>
            <w:r w:rsidR="007510F8" w:rsidRPr="007510F8">
              <w:rPr>
                <w:color w:val="000000"/>
                <w:shd w:val="solid" w:color="000000" w:fill="000000"/>
                <w14:textFill>
                  <w14:solidFill>
                    <w14:srgbClr w14:val="000000">
                      <w14:alpha w14:val="100000"/>
                    </w14:srgbClr>
                  </w14:solidFill>
                </w14:textFill>
              </w:rPr>
              <w:t>|</w:t>
            </w:r>
          </w:p>
        </w:tc>
        <w:tc>
          <w:tcPr>
            <w:tcW w:w="1161" w:type="pct"/>
            <w:vAlign w:val="center"/>
          </w:tcPr>
          <w:p w14:paraId="1C6BB57B" w14:textId="77777777" w:rsidR="0016677E" w:rsidRPr="00BB59B1" w:rsidRDefault="0016677E" w:rsidP="00E55FD2">
            <w:pPr>
              <w:pStyle w:val="COMTabletext"/>
              <w:jc w:val="center"/>
              <w:rPr>
                <w:rFonts w:ascii="Times" w:hAnsi="Times"/>
              </w:rPr>
            </w:pPr>
            <w:r w:rsidRPr="001A7D1E">
              <w:t>$457</w:t>
            </w:r>
          </w:p>
        </w:tc>
        <w:tc>
          <w:tcPr>
            <w:tcW w:w="1072" w:type="pct"/>
            <w:vAlign w:val="center"/>
          </w:tcPr>
          <w:p w14:paraId="6B1DF78A" w14:textId="533754D8" w:rsidR="0016677E" w:rsidRPr="00BB59B1" w:rsidRDefault="0016677E" w:rsidP="00E55FD2">
            <w:pPr>
              <w:pStyle w:val="COMTabletext"/>
              <w:jc w:val="center"/>
              <w:rPr>
                <w:rFonts w:ascii="Times" w:hAnsi="Times"/>
              </w:rPr>
            </w:pPr>
            <w:r>
              <w:t>$</w:t>
            </w:r>
            <w:r w:rsidR="007510F8" w:rsidRPr="007510F8">
              <w:rPr>
                <w:color w:val="000000"/>
                <w:shd w:val="solid" w:color="000000" w:fill="000000"/>
                <w14:textFill>
                  <w14:solidFill>
                    <w14:srgbClr w14:val="000000">
                      <w14:alpha w14:val="100000"/>
                    </w14:srgbClr>
                  </w14:solidFill>
                </w14:textFill>
              </w:rPr>
              <w:t>|</w:t>
            </w:r>
          </w:p>
        </w:tc>
      </w:tr>
      <w:tr w:rsidR="0016677E" w:rsidRPr="00BB59B1" w14:paraId="5F7FF9F6" w14:textId="77777777" w:rsidTr="78882673">
        <w:tc>
          <w:tcPr>
            <w:tcW w:w="1650" w:type="pct"/>
            <w:vAlign w:val="center"/>
          </w:tcPr>
          <w:p w14:paraId="7468AF79" w14:textId="77777777" w:rsidR="0016677E" w:rsidRPr="00BB59B1" w:rsidRDefault="0016677E" w:rsidP="00E55FD2">
            <w:pPr>
              <w:pStyle w:val="COMTabletext"/>
              <w:rPr>
                <w:rFonts w:ascii="Times" w:hAnsi="Times"/>
              </w:rPr>
            </w:pPr>
            <w:r w:rsidRPr="00BB59B1">
              <w:t>L</w:t>
            </w:r>
            <w:r>
              <w:t>ife years</w:t>
            </w:r>
          </w:p>
        </w:tc>
        <w:tc>
          <w:tcPr>
            <w:tcW w:w="1117" w:type="pct"/>
            <w:vAlign w:val="center"/>
          </w:tcPr>
          <w:p w14:paraId="6F20AA5E" w14:textId="77777777" w:rsidR="0016677E" w:rsidRPr="001915EA" w:rsidRDefault="0016677E" w:rsidP="00E55FD2">
            <w:pPr>
              <w:pStyle w:val="COMTabletext"/>
              <w:jc w:val="center"/>
            </w:pPr>
            <w:r w:rsidRPr="001915EA">
              <w:t>0.345</w:t>
            </w:r>
          </w:p>
        </w:tc>
        <w:tc>
          <w:tcPr>
            <w:tcW w:w="1161" w:type="pct"/>
            <w:vAlign w:val="center"/>
          </w:tcPr>
          <w:p w14:paraId="5334CA43" w14:textId="77777777" w:rsidR="0016677E" w:rsidRPr="001915EA" w:rsidRDefault="0016677E" w:rsidP="00E55FD2">
            <w:pPr>
              <w:pStyle w:val="COMTabletext"/>
              <w:jc w:val="center"/>
            </w:pPr>
            <w:r w:rsidRPr="001915EA">
              <w:t>0.345</w:t>
            </w:r>
          </w:p>
        </w:tc>
        <w:tc>
          <w:tcPr>
            <w:tcW w:w="1072" w:type="pct"/>
            <w:vAlign w:val="center"/>
          </w:tcPr>
          <w:p w14:paraId="2B405EC2" w14:textId="77777777" w:rsidR="0016677E" w:rsidRPr="00BB59B1" w:rsidRDefault="0016677E" w:rsidP="00E55FD2">
            <w:pPr>
              <w:pStyle w:val="COMTabletext"/>
              <w:jc w:val="center"/>
            </w:pPr>
            <w:r>
              <w:t>0</w:t>
            </w:r>
          </w:p>
        </w:tc>
      </w:tr>
      <w:tr w:rsidR="0016677E" w:rsidRPr="00BB59B1" w14:paraId="76DE0D48" w14:textId="77777777" w:rsidTr="78882673">
        <w:tc>
          <w:tcPr>
            <w:tcW w:w="3928" w:type="pct"/>
            <w:gridSpan w:val="3"/>
            <w:vAlign w:val="center"/>
          </w:tcPr>
          <w:p w14:paraId="4BA54921" w14:textId="77777777" w:rsidR="0016677E" w:rsidRPr="000350F6" w:rsidRDefault="0016677E" w:rsidP="00E55FD2">
            <w:pPr>
              <w:pStyle w:val="COMTabletext"/>
              <w:rPr>
                <w:rFonts w:ascii="Times" w:hAnsi="Times"/>
                <w:b/>
                <w:bCs w:val="0"/>
              </w:rPr>
            </w:pPr>
            <w:r w:rsidRPr="000350F6">
              <w:rPr>
                <w:b/>
                <w:bCs w:val="0"/>
              </w:rPr>
              <w:t>Incremental cost per life year gained</w:t>
            </w:r>
          </w:p>
        </w:tc>
        <w:tc>
          <w:tcPr>
            <w:tcW w:w="1072" w:type="pct"/>
            <w:vAlign w:val="center"/>
          </w:tcPr>
          <w:p w14:paraId="1EF34D02" w14:textId="77777777" w:rsidR="0016677E" w:rsidRPr="000350F6" w:rsidRDefault="0016677E" w:rsidP="00E55FD2">
            <w:pPr>
              <w:pStyle w:val="COMTabletext"/>
              <w:jc w:val="center"/>
              <w:rPr>
                <w:rFonts w:ascii="Times" w:hAnsi="Times"/>
                <w:b/>
                <w:bCs w:val="0"/>
              </w:rPr>
            </w:pPr>
            <w:proofErr w:type="spellStart"/>
            <w:r>
              <w:rPr>
                <w:b/>
                <w:bCs w:val="0"/>
              </w:rPr>
              <w:t>Zilucoplan</w:t>
            </w:r>
            <w:proofErr w:type="spellEnd"/>
            <w:r>
              <w:rPr>
                <w:b/>
                <w:bCs w:val="0"/>
              </w:rPr>
              <w:t xml:space="preserve"> dominated</w:t>
            </w:r>
          </w:p>
        </w:tc>
      </w:tr>
      <w:tr w:rsidR="0016677E" w:rsidRPr="00BB59B1" w14:paraId="6E9B758C" w14:textId="77777777" w:rsidTr="78882673">
        <w:tc>
          <w:tcPr>
            <w:tcW w:w="5000" w:type="pct"/>
            <w:gridSpan w:val="4"/>
            <w:vAlign w:val="center"/>
          </w:tcPr>
          <w:p w14:paraId="3FB06EE7" w14:textId="467A270A" w:rsidR="0016677E" w:rsidRPr="00BB59B1" w:rsidRDefault="0016677E" w:rsidP="00E55FD2">
            <w:pPr>
              <w:pStyle w:val="COMTabletext"/>
              <w:rPr>
                <w:b/>
                <w:vertAlign w:val="superscript"/>
              </w:rPr>
            </w:pPr>
            <w:r w:rsidRPr="78882673">
              <w:rPr>
                <w:b/>
              </w:rPr>
              <w:t>Step 2a: Modelled outcomes (</w:t>
            </w:r>
            <w:r w:rsidRPr="78882673">
              <w:rPr>
                <w:b/>
                <w:u w:val="single"/>
              </w:rPr>
              <w:t>QALYs</w:t>
            </w:r>
            <w:r w:rsidRPr="78882673">
              <w:rPr>
                <w:b/>
              </w:rPr>
              <w:t xml:space="preserve">) to Week 16 including response, exacerbation, myasthenic crisis and death events; drug costs </w:t>
            </w:r>
            <w:proofErr w:type="spellStart"/>
            <w:r w:rsidRPr="78882673">
              <w:rPr>
                <w:b/>
              </w:rPr>
              <w:t>only</w:t>
            </w:r>
            <w:r w:rsidRPr="78882673">
              <w:rPr>
                <w:b/>
                <w:vertAlign w:val="superscript"/>
              </w:rPr>
              <w:t>b</w:t>
            </w:r>
            <w:proofErr w:type="spellEnd"/>
          </w:p>
        </w:tc>
      </w:tr>
      <w:tr w:rsidR="0016677E" w:rsidRPr="00BB59B1" w14:paraId="33DAD848" w14:textId="77777777" w:rsidTr="78882673">
        <w:tc>
          <w:tcPr>
            <w:tcW w:w="1650" w:type="pct"/>
            <w:vAlign w:val="center"/>
          </w:tcPr>
          <w:p w14:paraId="5CF96FB2" w14:textId="77777777" w:rsidR="0016677E" w:rsidRPr="00BB59B1" w:rsidRDefault="0016677E" w:rsidP="00E55FD2">
            <w:pPr>
              <w:pStyle w:val="COMTabletext"/>
              <w:rPr>
                <w:rFonts w:ascii="Times" w:hAnsi="Times"/>
              </w:rPr>
            </w:pPr>
            <w:r w:rsidRPr="00BB59B1">
              <w:t>Costs</w:t>
            </w:r>
          </w:p>
        </w:tc>
        <w:tc>
          <w:tcPr>
            <w:tcW w:w="1117" w:type="pct"/>
            <w:vAlign w:val="center"/>
          </w:tcPr>
          <w:p w14:paraId="683EF8F9" w14:textId="60D8F081" w:rsidR="0016677E" w:rsidRPr="00BB59B1" w:rsidRDefault="0016677E" w:rsidP="00E55FD2">
            <w:pPr>
              <w:pStyle w:val="COMTabletext"/>
              <w:jc w:val="center"/>
              <w:rPr>
                <w:rFonts w:ascii="Times" w:hAnsi="Times"/>
              </w:rPr>
            </w:pPr>
            <w:r w:rsidRPr="00BB59B1">
              <w:t>$</w:t>
            </w:r>
            <w:r w:rsidR="007510F8" w:rsidRPr="007510F8">
              <w:rPr>
                <w:color w:val="000000"/>
                <w:shd w:val="solid" w:color="000000" w:fill="000000"/>
                <w14:textFill>
                  <w14:solidFill>
                    <w14:srgbClr w14:val="000000">
                      <w14:alpha w14:val="100000"/>
                    </w14:srgbClr>
                  </w14:solidFill>
                </w14:textFill>
              </w:rPr>
              <w:t>|</w:t>
            </w:r>
          </w:p>
        </w:tc>
        <w:tc>
          <w:tcPr>
            <w:tcW w:w="1161" w:type="pct"/>
            <w:vAlign w:val="center"/>
          </w:tcPr>
          <w:p w14:paraId="52E24538" w14:textId="77777777" w:rsidR="0016677E" w:rsidRPr="00BB59B1" w:rsidRDefault="0016677E" w:rsidP="00E55FD2">
            <w:pPr>
              <w:pStyle w:val="COMTabletext"/>
              <w:jc w:val="center"/>
              <w:rPr>
                <w:rFonts w:ascii="Times" w:hAnsi="Times"/>
              </w:rPr>
            </w:pPr>
            <w:r w:rsidRPr="0074232C">
              <w:t>$457</w:t>
            </w:r>
          </w:p>
        </w:tc>
        <w:tc>
          <w:tcPr>
            <w:tcW w:w="1072" w:type="pct"/>
            <w:vAlign w:val="center"/>
          </w:tcPr>
          <w:p w14:paraId="4D864A3D" w14:textId="23C02B22" w:rsidR="0016677E" w:rsidRPr="00BB59B1" w:rsidRDefault="0016677E" w:rsidP="00E55FD2">
            <w:pPr>
              <w:pStyle w:val="COMTabletext"/>
              <w:jc w:val="center"/>
              <w:rPr>
                <w:rFonts w:ascii="Times" w:hAnsi="Times"/>
              </w:rPr>
            </w:pPr>
            <w:r w:rsidRPr="00BB59B1">
              <w:t>$</w:t>
            </w:r>
            <w:r w:rsidR="007510F8" w:rsidRPr="007510F8">
              <w:rPr>
                <w:color w:val="000000"/>
                <w:shd w:val="solid" w:color="000000" w:fill="000000"/>
                <w14:textFill>
                  <w14:solidFill>
                    <w14:srgbClr w14:val="000000">
                      <w14:alpha w14:val="100000"/>
                    </w14:srgbClr>
                  </w14:solidFill>
                </w14:textFill>
              </w:rPr>
              <w:t>|</w:t>
            </w:r>
          </w:p>
        </w:tc>
      </w:tr>
      <w:tr w:rsidR="0016677E" w:rsidRPr="00BB59B1" w14:paraId="16E53D6D" w14:textId="77777777" w:rsidTr="78882673">
        <w:tc>
          <w:tcPr>
            <w:tcW w:w="1650" w:type="pct"/>
            <w:vAlign w:val="center"/>
          </w:tcPr>
          <w:p w14:paraId="6DA81EFD" w14:textId="77777777" w:rsidR="0016677E" w:rsidRPr="00BB59B1" w:rsidRDefault="0016677E" w:rsidP="00E55FD2">
            <w:pPr>
              <w:pStyle w:val="COMTabletext"/>
              <w:rPr>
                <w:rFonts w:ascii="Times" w:hAnsi="Times"/>
              </w:rPr>
            </w:pPr>
            <w:r>
              <w:t>QALYs</w:t>
            </w:r>
          </w:p>
        </w:tc>
        <w:tc>
          <w:tcPr>
            <w:tcW w:w="1117" w:type="pct"/>
            <w:vAlign w:val="center"/>
          </w:tcPr>
          <w:p w14:paraId="65B9D222" w14:textId="77777777" w:rsidR="0016677E" w:rsidRPr="00BB59B1" w:rsidRDefault="0016677E" w:rsidP="00E55FD2">
            <w:pPr>
              <w:pStyle w:val="COMTabletext"/>
              <w:jc w:val="center"/>
              <w:rPr>
                <w:rFonts w:ascii="Times" w:hAnsi="Times"/>
              </w:rPr>
            </w:pPr>
            <w:r>
              <w:t>0.2157</w:t>
            </w:r>
          </w:p>
        </w:tc>
        <w:tc>
          <w:tcPr>
            <w:tcW w:w="1161" w:type="pct"/>
            <w:vAlign w:val="center"/>
          </w:tcPr>
          <w:p w14:paraId="24BF56DE" w14:textId="77777777" w:rsidR="0016677E" w:rsidRPr="00BB59B1" w:rsidRDefault="0016677E" w:rsidP="00E55FD2">
            <w:pPr>
              <w:pStyle w:val="COMTabletext"/>
              <w:jc w:val="center"/>
              <w:rPr>
                <w:rFonts w:ascii="Times" w:hAnsi="Times"/>
              </w:rPr>
            </w:pPr>
            <w:r>
              <w:t>0.2034</w:t>
            </w:r>
          </w:p>
        </w:tc>
        <w:tc>
          <w:tcPr>
            <w:tcW w:w="1072" w:type="pct"/>
            <w:vAlign w:val="center"/>
          </w:tcPr>
          <w:p w14:paraId="5B74476E" w14:textId="77777777" w:rsidR="0016677E" w:rsidRPr="00BB59B1" w:rsidRDefault="0016677E" w:rsidP="00E55FD2">
            <w:pPr>
              <w:pStyle w:val="COMTabletext"/>
              <w:jc w:val="center"/>
            </w:pPr>
            <w:r>
              <w:t>0.0123</w:t>
            </w:r>
          </w:p>
        </w:tc>
      </w:tr>
      <w:tr w:rsidR="0016677E" w:rsidRPr="00BB59B1" w14:paraId="5B1DB522" w14:textId="77777777" w:rsidTr="78882673">
        <w:tc>
          <w:tcPr>
            <w:tcW w:w="3928" w:type="pct"/>
            <w:gridSpan w:val="3"/>
            <w:vAlign w:val="center"/>
          </w:tcPr>
          <w:p w14:paraId="737238BD" w14:textId="77777777" w:rsidR="0016677E" w:rsidRPr="004855E6" w:rsidRDefault="0016677E" w:rsidP="00E55FD2">
            <w:pPr>
              <w:pStyle w:val="COMTabletext"/>
              <w:rPr>
                <w:rFonts w:ascii="Times" w:hAnsi="Times"/>
                <w:b/>
                <w:bCs w:val="0"/>
              </w:rPr>
            </w:pPr>
            <w:r w:rsidRPr="004855E6">
              <w:rPr>
                <w:b/>
                <w:bCs w:val="0"/>
              </w:rPr>
              <w:t>Incremental cost per QALY gained</w:t>
            </w:r>
          </w:p>
        </w:tc>
        <w:tc>
          <w:tcPr>
            <w:tcW w:w="1072" w:type="pct"/>
            <w:vAlign w:val="center"/>
          </w:tcPr>
          <w:p w14:paraId="7FF7A910" w14:textId="143B5C4E" w:rsidR="0016677E" w:rsidRPr="004855E6" w:rsidRDefault="0016677E" w:rsidP="00E55FD2">
            <w:pPr>
              <w:pStyle w:val="COMTabletext"/>
              <w:jc w:val="center"/>
              <w:rPr>
                <w:rFonts w:ascii="Times" w:hAnsi="Times"/>
                <w:b/>
                <w:bCs w:val="0"/>
              </w:rPr>
            </w:pPr>
            <w:r w:rsidRPr="004855E6">
              <w:rPr>
                <w:b/>
                <w:bCs w:val="0"/>
              </w:rPr>
              <w:t>$</w:t>
            </w:r>
            <w:r w:rsidR="007510F8" w:rsidRPr="007510F8">
              <w:rPr>
                <w:b/>
                <w:bCs w:val="0"/>
                <w:color w:val="000000"/>
                <w:shd w:val="solid" w:color="000000" w:fill="000000"/>
                <w14:textFill>
                  <w14:solidFill>
                    <w14:srgbClr w14:val="000000">
                      <w14:alpha w14:val="100000"/>
                    </w14:srgbClr>
                  </w14:solidFill>
                </w14:textFill>
              </w:rPr>
              <w:t>|</w:t>
            </w:r>
            <w:r w:rsidR="00DE5F5F" w:rsidRPr="00DE5F5F">
              <w:rPr>
                <w:b/>
                <w:bCs w:val="0"/>
                <w:vertAlign w:val="superscript"/>
              </w:rPr>
              <w:t>2</w:t>
            </w:r>
          </w:p>
        </w:tc>
      </w:tr>
      <w:tr w:rsidR="0016677E" w:rsidRPr="00BB59B1" w14:paraId="22C8FED0" w14:textId="77777777" w:rsidTr="78882673">
        <w:tc>
          <w:tcPr>
            <w:tcW w:w="5000" w:type="pct"/>
            <w:gridSpan w:val="4"/>
            <w:vAlign w:val="center"/>
          </w:tcPr>
          <w:p w14:paraId="1DBACFF7" w14:textId="0B00F041" w:rsidR="0016677E" w:rsidRPr="00AF5B6D" w:rsidRDefault="0016677E" w:rsidP="00E55FD2">
            <w:pPr>
              <w:pStyle w:val="COMTabletext"/>
              <w:rPr>
                <w:b/>
              </w:rPr>
            </w:pPr>
            <w:r w:rsidRPr="78882673">
              <w:rPr>
                <w:b/>
              </w:rPr>
              <w:t xml:space="preserve">Step 3: Modelled outcomes (QALYs) </w:t>
            </w:r>
            <w:r w:rsidRPr="0074232C">
              <w:rPr>
                <w:b/>
              </w:rPr>
              <w:t xml:space="preserve">to </w:t>
            </w:r>
            <w:r w:rsidRPr="0074232C">
              <w:rPr>
                <w:b/>
                <w:u w:val="single"/>
              </w:rPr>
              <w:t>10 years</w:t>
            </w:r>
            <w:r w:rsidRPr="78882673">
              <w:rPr>
                <w:b/>
              </w:rPr>
              <w:t xml:space="preserve">, including response, exacerbation, myasthenic crisis and death events, </w:t>
            </w:r>
            <w:r w:rsidRPr="78882673">
              <w:rPr>
                <w:b/>
                <w:u w:val="single"/>
              </w:rPr>
              <w:t>discounting, general population mortality, treatment discontinuation and subsequent treatment with IVIg/PLEX</w:t>
            </w:r>
            <w:r w:rsidRPr="78882673">
              <w:rPr>
                <w:b/>
              </w:rPr>
              <w:t xml:space="preserve">; drug costs </w:t>
            </w:r>
            <w:proofErr w:type="spellStart"/>
            <w:r w:rsidRPr="78882673">
              <w:rPr>
                <w:b/>
              </w:rPr>
              <w:t>only</w:t>
            </w:r>
            <w:r w:rsidRPr="78882673">
              <w:rPr>
                <w:b/>
                <w:vertAlign w:val="superscript"/>
              </w:rPr>
              <w:t>d</w:t>
            </w:r>
            <w:proofErr w:type="spellEnd"/>
          </w:p>
        </w:tc>
      </w:tr>
      <w:tr w:rsidR="0016677E" w:rsidRPr="00BB59B1" w14:paraId="083B9359" w14:textId="77777777" w:rsidTr="78882673">
        <w:tc>
          <w:tcPr>
            <w:tcW w:w="1650" w:type="pct"/>
            <w:vAlign w:val="center"/>
          </w:tcPr>
          <w:p w14:paraId="13E4415D" w14:textId="77777777" w:rsidR="0016677E" w:rsidRPr="00BB59B1" w:rsidRDefault="0016677E" w:rsidP="00E55FD2">
            <w:pPr>
              <w:pStyle w:val="COMTabletext"/>
              <w:rPr>
                <w:rFonts w:ascii="Times" w:hAnsi="Times"/>
              </w:rPr>
            </w:pPr>
            <w:r w:rsidRPr="00BB59B1">
              <w:t>Costs</w:t>
            </w:r>
          </w:p>
        </w:tc>
        <w:tc>
          <w:tcPr>
            <w:tcW w:w="1117" w:type="pct"/>
            <w:vAlign w:val="center"/>
          </w:tcPr>
          <w:p w14:paraId="36AC516C" w14:textId="61A2FCA5" w:rsidR="0016677E" w:rsidRPr="00BB59B1" w:rsidRDefault="0016677E" w:rsidP="00E55FD2">
            <w:pPr>
              <w:pStyle w:val="COMTabletext"/>
              <w:jc w:val="center"/>
              <w:rPr>
                <w:rFonts w:ascii="Times" w:hAnsi="Times"/>
              </w:rPr>
            </w:pPr>
            <w:r w:rsidRPr="00BB59B1">
              <w:t>$</w:t>
            </w:r>
            <w:r w:rsidR="007510F8" w:rsidRPr="007510F8">
              <w:rPr>
                <w:color w:val="000000"/>
                <w:shd w:val="solid" w:color="000000" w:fill="000000"/>
                <w14:textFill>
                  <w14:solidFill>
                    <w14:srgbClr w14:val="000000">
                      <w14:alpha w14:val="100000"/>
                    </w14:srgbClr>
                  </w14:solidFill>
                </w14:textFill>
              </w:rPr>
              <w:t>|</w:t>
            </w:r>
          </w:p>
        </w:tc>
        <w:tc>
          <w:tcPr>
            <w:tcW w:w="1161" w:type="pct"/>
            <w:vAlign w:val="center"/>
          </w:tcPr>
          <w:p w14:paraId="0BBC5E66" w14:textId="670F1A6F" w:rsidR="0016677E" w:rsidRPr="00BB59B1" w:rsidRDefault="0016677E" w:rsidP="00E55FD2">
            <w:pPr>
              <w:pStyle w:val="COMTabletext"/>
              <w:jc w:val="center"/>
              <w:rPr>
                <w:rFonts w:ascii="Times" w:hAnsi="Times"/>
              </w:rPr>
            </w:pPr>
            <w:r w:rsidRPr="0074232C">
              <w:t>$39,130</w:t>
            </w:r>
          </w:p>
        </w:tc>
        <w:tc>
          <w:tcPr>
            <w:tcW w:w="1072" w:type="pct"/>
            <w:vAlign w:val="center"/>
          </w:tcPr>
          <w:p w14:paraId="547E3171" w14:textId="0EDA0F94" w:rsidR="0016677E" w:rsidRPr="00BB59B1" w:rsidRDefault="0016677E" w:rsidP="00E55FD2">
            <w:pPr>
              <w:pStyle w:val="COMTabletext"/>
              <w:jc w:val="center"/>
              <w:rPr>
                <w:rFonts w:ascii="Times" w:hAnsi="Times"/>
              </w:rPr>
            </w:pPr>
            <w:r w:rsidRPr="00BB59B1">
              <w:t>$</w:t>
            </w:r>
            <w:r w:rsidR="007510F8" w:rsidRPr="007510F8">
              <w:rPr>
                <w:color w:val="000000"/>
                <w:shd w:val="solid" w:color="000000" w:fill="000000"/>
                <w14:textFill>
                  <w14:solidFill>
                    <w14:srgbClr w14:val="000000">
                      <w14:alpha w14:val="100000"/>
                    </w14:srgbClr>
                  </w14:solidFill>
                </w14:textFill>
              </w:rPr>
              <w:t>|</w:t>
            </w:r>
          </w:p>
        </w:tc>
      </w:tr>
      <w:tr w:rsidR="0016677E" w:rsidRPr="00BB59B1" w14:paraId="54459006" w14:textId="77777777" w:rsidTr="78882673">
        <w:tc>
          <w:tcPr>
            <w:tcW w:w="1650" w:type="pct"/>
            <w:vAlign w:val="center"/>
          </w:tcPr>
          <w:p w14:paraId="709061E5" w14:textId="77777777" w:rsidR="0016677E" w:rsidRPr="00BB59B1" w:rsidRDefault="0016677E" w:rsidP="00E55FD2">
            <w:pPr>
              <w:pStyle w:val="COMTabletext"/>
              <w:rPr>
                <w:rFonts w:ascii="Times" w:hAnsi="Times"/>
              </w:rPr>
            </w:pPr>
            <w:r>
              <w:t>QALYs</w:t>
            </w:r>
          </w:p>
        </w:tc>
        <w:tc>
          <w:tcPr>
            <w:tcW w:w="1117" w:type="pct"/>
            <w:vAlign w:val="center"/>
          </w:tcPr>
          <w:p w14:paraId="6E08809B" w14:textId="77777777" w:rsidR="0016677E" w:rsidRPr="00BB59B1" w:rsidRDefault="0016677E" w:rsidP="00E55FD2">
            <w:pPr>
              <w:pStyle w:val="COMTabletext"/>
              <w:jc w:val="center"/>
              <w:rPr>
                <w:rFonts w:ascii="Times" w:hAnsi="Times"/>
              </w:rPr>
            </w:pPr>
            <w:r>
              <w:t>4.7256</w:t>
            </w:r>
          </w:p>
        </w:tc>
        <w:tc>
          <w:tcPr>
            <w:tcW w:w="1161" w:type="pct"/>
            <w:vAlign w:val="center"/>
          </w:tcPr>
          <w:p w14:paraId="573AA23C" w14:textId="77777777" w:rsidR="0016677E" w:rsidRPr="00BB59B1" w:rsidRDefault="0016677E" w:rsidP="00E55FD2">
            <w:pPr>
              <w:pStyle w:val="COMTabletext"/>
              <w:jc w:val="center"/>
              <w:rPr>
                <w:rFonts w:ascii="Times" w:hAnsi="Times"/>
              </w:rPr>
            </w:pPr>
            <w:r>
              <w:t>4.1171</w:t>
            </w:r>
          </w:p>
        </w:tc>
        <w:tc>
          <w:tcPr>
            <w:tcW w:w="1072" w:type="pct"/>
            <w:vAlign w:val="center"/>
          </w:tcPr>
          <w:p w14:paraId="7F6EAF3C" w14:textId="77777777" w:rsidR="0016677E" w:rsidRPr="00BB59B1" w:rsidRDefault="0016677E" w:rsidP="00E55FD2">
            <w:pPr>
              <w:pStyle w:val="COMTabletext"/>
              <w:jc w:val="center"/>
            </w:pPr>
            <w:r>
              <w:t>0.6085</w:t>
            </w:r>
          </w:p>
        </w:tc>
      </w:tr>
      <w:tr w:rsidR="0016677E" w:rsidRPr="00BB59B1" w14:paraId="097DD1C0" w14:textId="77777777" w:rsidTr="78882673">
        <w:tc>
          <w:tcPr>
            <w:tcW w:w="3928" w:type="pct"/>
            <w:gridSpan w:val="3"/>
            <w:vAlign w:val="center"/>
          </w:tcPr>
          <w:p w14:paraId="0BB32082" w14:textId="77777777" w:rsidR="0016677E" w:rsidRPr="00BB59B1" w:rsidRDefault="0016677E" w:rsidP="00E55FD2">
            <w:pPr>
              <w:pStyle w:val="COMTabletext"/>
              <w:rPr>
                <w:rFonts w:ascii="Times" w:hAnsi="Times"/>
              </w:rPr>
            </w:pPr>
            <w:r w:rsidRPr="004855E6">
              <w:rPr>
                <w:b/>
                <w:bCs w:val="0"/>
              </w:rPr>
              <w:t>Incremental cost per QALY gained</w:t>
            </w:r>
          </w:p>
        </w:tc>
        <w:tc>
          <w:tcPr>
            <w:tcW w:w="1072" w:type="pct"/>
            <w:vAlign w:val="center"/>
          </w:tcPr>
          <w:p w14:paraId="71F2C509" w14:textId="488693CE" w:rsidR="0016677E" w:rsidRPr="005C46AF" w:rsidRDefault="0016677E" w:rsidP="00E55FD2">
            <w:pPr>
              <w:pStyle w:val="COMTabletext"/>
              <w:jc w:val="center"/>
              <w:rPr>
                <w:rFonts w:ascii="Times" w:hAnsi="Times"/>
                <w:b/>
                <w:bCs w:val="0"/>
              </w:rPr>
            </w:pPr>
            <w:r w:rsidRPr="005C46AF">
              <w:rPr>
                <w:b/>
                <w:bCs w:val="0"/>
              </w:rPr>
              <w:t>$</w:t>
            </w:r>
            <w:r w:rsidR="007510F8" w:rsidRPr="007510F8">
              <w:rPr>
                <w:b/>
                <w:bCs w:val="0"/>
                <w:color w:val="000000"/>
                <w:shd w:val="solid" w:color="000000" w:fill="000000"/>
                <w14:textFill>
                  <w14:solidFill>
                    <w14:srgbClr w14:val="000000">
                      <w14:alpha w14:val="100000"/>
                    </w14:srgbClr>
                  </w14:solidFill>
                </w14:textFill>
              </w:rPr>
              <w:t>|</w:t>
            </w:r>
            <w:r w:rsidR="00803FEC" w:rsidRPr="00803FEC">
              <w:rPr>
                <w:b/>
                <w:bCs w:val="0"/>
                <w:vertAlign w:val="superscript"/>
              </w:rPr>
              <w:t>3</w:t>
            </w:r>
          </w:p>
        </w:tc>
      </w:tr>
      <w:tr w:rsidR="0016677E" w:rsidRPr="00BB59B1" w14:paraId="66525AD4" w14:textId="77777777" w:rsidTr="78882673">
        <w:tc>
          <w:tcPr>
            <w:tcW w:w="5000" w:type="pct"/>
            <w:gridSpan w:val="4"/>
            <w:vAlign w:val="center"/>
          </w:tcPr>
          <w:p w14:paraId="3AE46062" w14:textId="77777777" w:rsidR="0016677E" w:rsidRPr="00BB59B1" w:rsidRDefault="0016677E" w:rsidP="00E55FD2">
            <w:pPr>
              <w:pStyle w:val="COMTabletext"/>
            </w:pPr>
            <w:r w:rsidRPr="00657A66">
              <w:rPr>
                <w:b/>
                <w:bCs w:val="0"/>
              </w:rPr>
              <w:t xml:space="preserve">Step 4: Modelled outcomes (QALYs) to </w:t>
            </w:r>
            <w:r w:rsidRPr="0074232C">
              <w:rPr>
                <w:b/>
                <w:bCs w:val="0"/>
              </w:rPr>
              <w:t>10</w:t>
            </w:r>
            <w:r w:rsidRPr="00657A66">
              <w:rPr>
                <w:b/>
                <w:bCs w:val="0"/>
              </w:rPr>
              <w:t xml:space="preserve"> years as for </w:t>
            </w:r>
            <w:r>
              <w:rPr>
                <w:b/>
                <w:bCs w:val="0"/>
              </w:rPr>
              <w:t>S</w:t>
            </w:r>
            <w:r w:rsidRPr="00657A66">
              <w:rPr>
                <w:b/>
                <w:bCs w:val="0"/>
              </w:rPr>
              <w:t>tep 3</w:t>
            </w:r>
            <w:r>
              <w:rPr>
                <w:b/>
                <w:bCs w:val="0"/>
              </w:rPr>
              <w:t>;</w:t>
            </w:r>
            <w:r w:rsidRPr="00AF5B6D">
              <w:rPr>
                <w:b/>
                <w:bCs w:val="0"/>
              </w:rPr>
              <w:t xml:space="preserve"> </w:t>
            </w:r>
            <w:r>
              <w:rPr>
                <w:b/>
                <w:bCs w:val="0"/>
              </w:rPr>
              <w:t xml:space="preserve">drug costs, </w:t>
            </w:r>
            <w:r w:rsidRPr="00EC6B21">
              <w:rPr>
                <w:b/>
                <w:bCs w:val="0"/>
                <w:u w:val="single"/>
              </w:rPr>
              <w:t xml:space="preserve">drug administration costs, meningococcal vaccination costs, </w:t>
            </w:r>
            <w:r>
              <w:rPr>
                <w:b/>
                <w:bCs w:val="0"/>
                <w:u w:val="single"/>
              </w:rPr>
              <w:t>disease management</w:t>
            </w:r>
            <w:r w:rsidRPr="00EC6B21">
              <w:rPr>
                <w:b/>
                <w:bCs w:val="0"/>
                <w:u w:val="single"/>
              </w:rPr>
              <w:t xml:space="preserve"> state costs and clinical event costs included</w:t>
            </w:r>
            <w:r>
              <w:rPr>
                <w:b/>
                <w:bCs w:val="0"/>
              </w:rPr>
              <w:t>.</w:t>
            </w:r>
            <w:r w:rsidRPr="00BB59B1">
              <w:t xml:space="preserve"> </w:t>
            </w:r>
          </w:p>
        </w:tc>
      </w:tr>
      <w:tr w:rsidR="0016677E" w:rsidRPr="00BB59B1" w14:paraId="54B76413" w14:textId="77777777" w:rsidTr="78882673">
        <w:tc>
          <w:tcPr>
            <w:tcW w:w="1650" w:type="pct"/>
            <w:vAlign w:val="center"/>
          </w:tcPr>
          <w:p w14:paraId="00735EF2" w14:textId="77777777" w:rsidR="0016677E" w:rsidRPr="00BB59B1" w:rsidRDefault="0016677E" w:rsidP="00E55FD2">
            <w:pPr>
              <w:pStyle w:val="COMTabletext"/>
              <w:rPr>
                <w:rFonts w:ascii="Times" w:hAnsi="Times"/>
              </w:rPr>
            </w:pPr>
            <w:r w:rsidRPr="00BB59B1">
              <w:t>Costs</w:t>
            </w:r>
          </w:p>
        </w:tc>
        <w:tc>
          <w:tcPr>
            <w:tcW w:w="1117" w:type="pct"/>
            <w:vAlign w:val="center"/>
          </w:tcPr>
          <w:p w14:paraId="650E1AEA" w14:textId="23EBC8DF" w:rsidR="0016677E" w:rsidRPr="00DB716B" w:rsidRDefault="0016677E" w:rsidP="00E55FD2">
            <w:pPr>
              <w:pStyle w:val="COMTabletext"/>
              <w:jc w:val="center"/>
            </w:pPr>
            <w:r w:rsidRPr="00DB716B">
              <w:t>$</w:t>
            </w:r>
            <w:r w:rsidR="007510F8" w:rsidRPr="007510F8">
              <w:rPr>
                <w:color w:val="000000"/>
                <w:shd w:val="solid" w:color="000000" w:fill="000000"/>
                <w14:textFill>
                  <w14:solidFill>
                    <w14:srgbClr w14:val="000000">
                      <w14:alpha w14:val="100000"/>
                    </w14:srgbClr>
                  </w14:solidFill>
                </w14:textFill>
              </w:rPr>
              <w:t>|</w:t>
            </w:r>
          </w:p>
        </w:tc>
        <w:tc>
          <w:tcPr>
            <w:tcW w:w="1161" w:type="pct"/>
            <w:vAlign w:val="center"/>
          </w:tcPr>
          <w:p w14:paraId="692B7B44" w14:textId="77777777" w:rsidR="0016677E" w:rsidRPr="00873A48" w:rsidRDefault="0016677E" w:rsidP="00E55FD2">
            <w:pPr>
              <w:pStyle w:val="COMTabletext"/>
              <w:jc w:val="center"/>
            </w:pPr>
            <w:r w:rsidRPr="00873A48">
              <w:t>$140,215</w:t>
            </w:r>
          </w:p>
        </w:tc>
        <w:tc>
          <w:tcPr>
            <w:tcW w:w="1072" w:type="pct"/>
            <w:vAlign w:val="center"/>
          </w:tcPr>
          <w:p w14:paraId="4424D976" w14:textId="7557079B" w:rsidR="0016677E" w:rsidRPr="00DB716B" w:rsidRDefault="0016677E" w:rsidP="00E55FD2">
            <w:pPr>
              <w:pStyle w:val="COMTabletext"/>
              <w:jc w:val="center"/>
            </w:pPr>
            <w:r w:rsidRPr="00DB716B">
              <w:t>$</w:t>
            </w:r>
            <w:r w:rsidR="007510F8" w:rsidRPr="007510F8">
              <w:rPr>
                <w:color w:val="000000"/>
                <w:shd w:val="solid" w:color="000000" w:fill="000000"/>
                <w14:textFill>
                  <w14:solidFill>
                    <w14:srgbClr w14:val="000000">
                      <w14:alpha w14:val="100000"/>
                    </w14:srgbClr>
                  </w14:solidFill>
                </w14:textFill>
              </w:rPr>
              <w:t>|</w:t>
            </w:r>
          </w:p>
        </w:tc>
      </w:tr>
      <w:tr w:rsidR="0016677E" w:rsidRPr="00BB59B1" w14:paraId="23E8D89F" w14:textId="77777777" w:rsidTr="78882673">
        <w:tc>
          <w:tcPr>
            <w:tcW w:w="1650" w:type="pct"/>
            <w:vAlign w:val="center"/>
          </w:tcPr>
          <w:p w14:paraId="1A870F70" w14:textId="77777777" w:rsidR="0016677E" w:rsidRPr="00BB59B1" w:rsidRDefault="0016677E" w:rsidP="00E55FD2">
            <w:pPr>
              <w:pStyle w:val="COMTabletext"/>
            </w:pPr>
            <w:r>
              <w:t>Life years</w:t>
            </w:r>
          </w:p>
        </w:tc>
        <w:tc>
          <w:tcPr>
            <w:tcW w:w="1117" w:type="pct"/>
            <w:vAlign w:val="center"/>
          </w:tcPr>
          <w:p w14:paraId="4A67E9B1" w14:textId="77777777" w:rsidR="0016677E" w:rsidRPr="00DB716B" w:rsidRDefault="0016677E" w:rsidP="00E55FD2">
            <w:pPr>
              <w:pStyle w:val="COMTabletext"/>
              <w:jc w:val="center"/>
            </w:pPr>
            <w:r>
              <w:t>7.7886</w:t>
            </w:r>
          </w:p>
        </w:tc>
        <w:tc>
          <w:tcPr>
            <w:tcW w:w="1161" w:type="pct"/>
            <w:vAlign w:val="center"/>
          </w:tcPr>
          <w:p w14:paraId="0F7D1960" w14:textId="77777777" w:rsidR="0016677E" w:rsidRPr="00DB716B" w:rsidRDefault="0016677E" w:rsidP="00E55FD2">
            <w:pPr>
              <w:pStyle w:val="COMTabletext"/>
              <w:jc w:val="center"/>
            </w:pPr>
            <w:r>
              <w:t>7.7869</w:t>
            </w:r>
          </w:p>
        </w:tc>
        <w:tc>
          <w:tcPr>
            <w:tcW w:w="1072" w:type="pct"/>
            <w:vAlign w:val="center"/>
          </w:tcPr>
          <w:p w14:paraId="4D4324D5" w14:textId="77777777" w:rsidR="0016677E" w:rsidRPr="00DB716B" w:rsidRDefault="0016677E" w:rsidP="00E55FD2">
            <w:pPr>
              <w:pStyle w:val="COMTabletext"/>
              <w:jc w:val="center"/>
            </w:pPr>
            <w:r>
              <w:t>0.0017</w:t>
            </w:r>
          </w:p>
        </w:tc>
      </w:tr>
      <w:tr w:rsidR="0016677E" w:rsidRPr="00BB59B1" w14:paraId="3450169A" w14:textId="77777777" w:rsidTr="78882673">
        <w:tc>
          <w:tcPr>
            <w:tcW w:w="1650" w:type="pct"/>
            <w:vAlign w:val="center"/>
          </w:tcPr>
          <w:p w14:paraId="36CB0C0D" w14:textId="77777777" w:rsidR="0016677E" w:rsidRPr="00BB59B1" w:rsidRDefault="0016677E" w:rsidP="00E55FD2">
            <w:pPr>
              <w:pStyle w:val="COMTabletext"/>
              <w:rPr>
                <w:rFonts w:ascii="Times" w:hAnsi="Times"/>
              </w:rPr>
            </w:pPr>
            <w:r w:rsidRPr="00BB59B1">
              <w:t>QALYs</w:t>
            </w:r>
          </w:p>
        </w:tc>
        <w:tc>
          <w:tcPr>
            <w:tcW w:w="1117" w:type="pct"/>
            <w:vAlign w:val="center"/>
          </w:tcPr>
          <w:p w14:paraId="269A22B8" w14:textId="77777777" w:rsidR="0016677E" w:rsidRPr="00BB59B1" w:rsidRDefault="0016677E" w:rsidP="00E55FD2">
            <w:pPr>
              <w:pStyle w:val="COMTabletext"/>
              <w:jc w:val="center"/>
              <w:rPr>
                <w:rFonts w:ascii="Times" w:hAnsi="Times"/>
              </w:rPr>
            </w:pPr>
            <w:r>
              <w:t>4.7256</w:t>
            </w:r>
          </w:p>
        </w:tc>
        <w:tc>
          <w:tcPr>
            <w:tcW w:w="1161" w:type="pct"/>
            <w:vAlign w:val="center"/>
          </w:tcPr>
          <w:p w14:paraId="0232B813" w14:textId="77777777" w:rsidR="0016677E" w:rsidRPr="00BB59B1" w:rsidRDefault="0016677E" w:rsidP="00E55FD2">
            <w:pPr>
              <w:pStyle w:val="COMTabletext"/>
              <w:jc w:val="center"/>
              <w:rPr>
                <w:rFonts w:ascii="Times" w:hAnsi="Times"/>
              </w:rPr>
            </w:pPr>
            <w:r>
              <w:t>4.1171</w:t>
            </w:r>
          </w:p>
        </w:tc>
        <w:tc>
          <w:tcPr>
            <w:tcW w:w="1072" w:type="pct"/>
            <w:vAlign w:val="center"/>
          </w:tcPr>
          <w:p w14:paraId="6ECC7276" w14:textId="77777777" w:rsidR="0016677E" w:rsidRPr="00BB59B1" w:rsidRDefault="0016677E" w:rsidP="00E55FD2">
            <w:pPr>
              <w:pStyle w:val="COMTabletext"/>
              <w:jc w:val="center"/>
            </w:pPr>
            <w:r>
              <w:t>0.6085</w:t>
            </w:r>
          </w:p>
        </w:tc>
      </w:tr>
      <w:tr w:rsidR="0016677E" w:rsidRPr="00BB59B1" w14:paraId="310AD896" w14:textId="77777777" w:rsidTr="78882673">
        <w:tc>
          <w:tcPr>
            <w:tcW w:w="3928" w:type="pct"/>
            <w:gridSpan w:val="3"/>
            <w:vAlign w:val="center"/>
          </w:tcPr>
          <w:p w14:paraId="7F7FD48E" w14:textId="77777777" w:rsidR="0016677E" w:rsidRPr="00BB59B1" w:rsidRDefault="0016677E" w:rsidP="00E55FD2">
            <w:pPr>
              <w:pStyle w:val="COMTabletext"/>
              <w:rPr>
                <w:rFonts w:ascii="Times" w:hAnsi="Times"/>
              </w:rPr>
            </w:pPr>
            <w:r w:rsidRPr="000350F6">
              <w:rPr>
                <w:b/>
                <w:bCs w:val="0"/>
              </w:rPr>
              <w:t>Incremental cost per life year gained</w:t>
            </w:r>
          </w:p>
        </w:tc>
        <w:tc>
          <w:tcPr>
            <w:tcW w:w="1072" w:type="pct"/>
            <w:vAlign w:val="center"/>
          </w:tcPr>
          <w:p w14:paraId="660A37C8" w14:textId="65A177C0" w:rsidR="0016677E" w:rsidRPr="00884A4A" w:rsidRDefault="0016677E" w:rsidP="00E55FD2">
            <w:pPr>
              <w:pStyle w:val="COMTabletext"/>
              <w:jc w:val="center"/>
              <w:rPr>
                <w:b/>
                <w:bCs w:val="0"/>
              </w:rPr>
            </w:pPr>
            <w:r w:rsidRPr="00884A4A">
              <w:rPr>
                <w:b/>
                <w:bCs w:val="0"/>
              </w:rPr>
              <w:t>$</w:t>
            </w:r>
            <w:r w:rsidR="007510F8" w:rsidRPr="007510F8">
              <w:rPr>
                <w:b/>
                <w:bCs w:val="0"/>
                <w:color w:val="000000"/>
                <w:shd w:val="solid" w:color="000000" w:fill="000000"/>
                <w14:textFill>
                  <w14:solidFill>
                    <w14:srgbClr w14:val="000000">
                      <w14:alpha w14:val="100000"/>
                    </w14:srgbClr>
                  </w14:solidFill>
                </w14:textFill>
              </w:rPr>
              <w:t>|</w:t>
            </w:r>
            <w:r w:rsidR="00DE5F5F" w:rsidRPr="00DE5F5F">
              <w:rPr>
                <w:b/>
                <w:bCs w:val="0"/>
                <w:vertAlign w:val="superscript"/>
              </w:rPr>
              <w:t>2</w:t>
            </w:r>
          </w:p>
        </w:tc>
      </w:tr>
      <w:tr w:rsidR="0016677E" w:rsidRPr="00BB59B1" w14:paraId="77B9D516" w14:textId="77777777" w:rsidTr="78882673">
        <w:tc>
          <w:tcPr>
            <w:tcW w:w="3928" w:type="pct"/>
            <w:gridSpan w:val="3"/>
            <w:vAlign w:val="center"/>
          </w:tcPr>
          <w:p w14:paraId="0823BFAC" w14:textId="77777777" w:rsidR="0016677E" w:rsidRPr="004855E6" w:rsidRDefault="0016677E" w:rsidP="00E55FD2">
            <w:pPr>
              <w:pStyle w:val="COMTabletext"/>
              <w:rPr>
                <w:b/>
                <w:bCs w:val="0"/>
              </w:rPr>
            </w:pPr>
            <w:r w:rsidRPr="004855E6">
              <w:rPr>
                <w:b/>
                <w:bCs w:val="0"/>
              </w:rPr>
              <w:t>Incremental cost per QALY gained</w:t>
            </w:r>
          </w:p>
        </w:tc>
        <w:tc>
          <w:tcPr>
            <w:tcW w:w="1072" w:type="pct"/>
            <w:vAlign w:val="center"/>
          </w:tcPr>
          <w:p w14:paraId="5E7CE068" w14:textId="0292E3A0" w:rsidR="0016677E" w:rsidRPr="00FF0329" w:rsidRDefault="0016677E" w:rsidP="00E55FD2">
            <w:pPr>
              <w:pStyle w:val="COMTabletext"/>
              <w:jc w:val="center"/>
              <w:rPr>
                <w:b/>
                <w:bCs w:val="0"/>
                <w:vertAlign w:val="superscript"/>
              </w:rPr>
            </w:pPr>
            <w:r w:rsidRPr="00DB716B">
              <w:rPr>
                <w:b/>
                <w:bCs w:val="0"/>
              </w:rPr>
              <w:t>$</w:t>
            </w:r>
            <w:r w:rsidR="007510F8" w:rsidRPr="007510F8">
              <w:rPr>
                <w:b/>
                <w:bCs w:val="0"/>
                <w:color w:val="000000"/>
                <w:shd w:val="solid" w:color="000000" w:fill="000000"/>
                <w14:textFill>
                  <w14:solidFill>
                    <w14:srgbClr w14:val="000000">
                      <w14:alpha w14:val="100000"/>
                    </w14:srgbClr>
                  </w14:solidFill>
                </w14:textFill>
              </w:rPr>
              <w:t>|</w:t>
            </w:r>
            <w:r w:rsidR="00B37860" w:rsidRPr="00B37860">
              <w:rPr>
                <w:b/>
                <w:bCs w:val="0"/>
                <w:vertAlign w:val="superscript"/>
              </w:rPr>
              <w:t>4</w:t>
            </w:r>
          </w:p>
        </w:tc>
      </w:tr>
    </w:tbl>
    <w:p w14:paraId="2F30AEFE" w14:textId="77777777" w:rsidR="0016677E" w:rsidRDefault="0016677E" w:rsidP="00E55FD2">
      <w:pPr>
        <w:pStyle w:val="COMTablefooter"/>
      </w:pPr>
      <w:r w:rsidRPr="00BB59B1">
        <w:t>Source: Table</w:t>
      </w:r>
      <w:r>
        <w:t>s 3.8-1 and 3.8-2, pp193-195 of the resubmission</w:t>
      </w:r>
      <w:r w:rsidRPr="00BB59B1">
        <w:t>.</w:t>
      </w:r>
    </w:p>
    <w:p w14:paraId="79B625CE" w14:textId="77777777" w:rsidR="0016677E" w:rsidRDefault="0016677E" w:rsidP="00E55FD2">
      <w:pPr>
        <w:pStyle w:val="COMTablefooter"/>
      </w:pPr>
      <w:r w:rsidRPr="00C03212">
        <w:t xml:space="preserve">Abbreviations: </w:t>
      </w:r>
      <w:r>
        <w:t xml:space="preserve">IVIg, intravenous immunoglobulin; </w:t>
      </w:r>
      <w:r w:rsidRPr="00C03212">
        <w:t xml:space="preserve">MG-ADL, Myasthenia Gravis Activities of Daily Living; </w:t>
      </w:r>
      <w:r>
        <w:t xml:space="preserve">PLEX, plasma exchange; </w:t>
      </w:r>
      <w:r w:rsidRPr="00C03212">
        <w:t>QALY, quality adjusted life year</w:t>
      </w:r>
    </w:p>
    <w:p w14:paraId="5BD54060" w14:textId="5808A5EC" w:rsidR="0016677E" w:rsidRPr="00A53911" w:rsidRDefault="0016677E" w:rsidP="00E55FD2">
      <w:pPr>
        <w:pStyle w:val="COMTablefooter"/>
      </w:pPr>
      <w:r w:rsidRPr="78882673">
        <w:t>Note: Estimates have not been corrected for model errors identified during the evaluation (see</w:t>
      </w:r>
      <w:r w:rsidR="00AC233A" w:rsidRPr="78882673">
        <w:t xml:space="preserve"> paragraph </w:t>
      </w:r>
      <w:r>
        <w:fldChar w:fldCharType="begin"/>
      </w:r>
      <w:r>
        <w:instrText xml:space="preserve"> REF _Ref190773078 \r \h </w:instrText>
      </w:r>
      <w:r>
        <w:fldChar w:fldCharType="separate"/>
      </w:r>
      <w:r w:rsidR="00271F88">
        <w:t>6.75</w:t>
      </w:r>
      <w:r>
        <w:fldChar w:fldCharType="end"/>
      </w:r>
      <w:r w:rsidR="000E428F">
        <w:t xml:space="preserve"> </w:t>
      </w:r>
      <w:r w:rsidR="006A10A4" w:rsidRPr="78882673">
        <w:t>above</w:t>
      </w:r>
      <w:r w:rsidRPr="78882673">
        <w:t>).</w:t>
      </w:r>
    </w:p>
    <w:p w14:paraId="1F139C7C" w14:textId="2FC66A21" w:rsidR="0016677E" w:rsidRPr="00A53911" w:rsidRDefault="0016677E" w:rsidP="00E55FD2">
      <w:pPr>
        <w:pStyle w:val="COMTablefooter"/>
        <w:rPr>
          <w:i/>
          <w:iCs/>
        </w:rPr>
      </w:pPr>
      <w:proofErr w:type="spellStart"/>
      <w:r w:rsidRPr="78882673">
        <w:rPr>
          <w:i/>
          <w:iCs/>
          <w:vertAlign w:val="superscript"/>
        </w:rPr>
        <w:t>a</w:t>
      </w:r>
      <w:proofErr w:type="spellEnd"/>
      <w:r w:rsidRPr="78882673">
        <w:rPr>
          <w:i/>
          <w:iCs/>
          <w:vertAlign w:val="superscript"/>
        </w:rPr>
        <w:t xml:space="preserve"> </w:t>
      </w:r>
      <w:proofErr w:type="gramStart"/>
      <w:r>
        <w:t>The</w:t>
      </w:r>
      <w:proofErr w:type="gramEnd"/>
      <w:r>
        <w:t xml:space="preserve"> estimate in the submission was based on the costs of </w:t>
      </w:r>
      <w:proofErr w:type="spellStart"/>
      <w:r>
        <w:t>zilucoplan</w:t>
      </w:r>
      <w:proofErr w:type="spellEnd"/>
      <w:r>
        <w:t xml:space="preserve"> treatment and </w:t>
      </w:r>
      <w:proofErr w:type="spellStart"/>
      <w:r>
        <w:t>zilucoplan</w:t>
      </w:r>
      <w:proofErr w:type="spellEnd"/>
      <w:r>
        <w:t xml:space="preserve"> administration training. This was corrected during the evaluation to include the costs of standard care and exclude the cost of administration training (for consistency with subsequent steps in the model; </w:t>
      </w:r>
      <w:proofErr w:type="spellStart"/>
      <w:r>
        <w:t>zilucoplan</w:t>
      </w:r>
      <w:proofErr w:type="spellEnd"/>
      <w:r>
        <w:t xml:space="preserve"> administration training costs and meningococcal vaccination costs are not included until Step 4</w:t>
      </w:r>
      <w:r w:rsidRPr="000B3BC5">
        <w:t>).</w:t>
      </w:r>
      <w:r w:rsidRPr="78882673">
        <w:rPr>
          <w:i/>
          <w:iCs/>
        </w:rPr>
        <w:t xml:space="preserve"> </w:t>
      </w:r>
    </w:p>
    <w:p w14:paraId="4E671351" w14:textId="2B195F8C" w:rsidR="0016677E" w:rsidRPr="00922FCB" w:rsidRDefault="0016677E" w:rsidP="00E55FD2">
      <w:pPr>
        <w:pStyle w:val="COMTablefooter"/>
      </w:pPr>
      <w:r w:rsidRPr="78882673">
        <w:rPr>
          <w:vertAlign w:val="superscript"/>
        </w:rPr>
        <w:t xml:space="preserve">b </w:t>
      </w:r>
      <w:r w:rsidRPr="78882673">
        <w:t xml:space="preserve">The estimate (based on the proportion of responders </w:t>
      </w:r>
      <w:r w:rsidR="00422CAE">
        <w:t>&lt;</w:t>
      </w:r>
      <w:r w:rsidR="00025E04">
        <w:t xml:space="preserve"> </w:t>
      </w:r>
      <w:r w:rsidR="00422CAE">
        <w:t>500</w:t>
      </w:r>
      <w:r w:rsidR="00025E04">
        <w:t xml:space="preserve"> </w:t>
      </w:r>
      <w:r w:rsidRPr="78882673">
        <w:t>/</w:t>
      </w:r>
      <w:r w:rsidR="00025E04">
        <w:t xml:space="preserve"> </w:t>
      </w:r>
      <w:r w:rsidR="00422CAE">
        <w:t>&lt;</w:t>
      </w:r>
      <w:r w:rsidR="00025E04">
        <w:t xml:space="preserve"> </w:t>
      </w:r>
      <w:r w:rsidR="00422CAE">
        <w:t>500</w:t>
      </w:r>
      <w:r w:rsidR="00422CAE" w:rsidRPr="78882673">
        <w:t xml:space="preserve"> </w:t>
      </w:r>
      <w:r w:rsidRPr="78882673">
        <w:t xml:space="preserve">patients) differs from the estimate in </w:t>
      </w:r>
      <w:r>
        <w:fldChar w:fldCharType="begin"/>
      </w:r>
      <w:r>
        <w:instrText xml:space="preserve"> REF _Ref185108278 \h </w:instrText>
      </w:r>
      <w:r>
        <w:fldChar w:fldCharType="separate"/>
      </w:r>
      <w:r w:rsidR="00271F88" w:rsidRPr="00B55EC2">
        <w:rPr>
          <w:color w:val="000000" w:themeColor="text1"/>
          <w:szCs w:val="20"/>
        </w:rPr>
        <w:t xml:space="preserve">Table </w:t>
      </w:r>
      <w:r w:rsidR="00271F88">
        <w:rPr>
          <w:noProof/>
          <w:szCs w:val="20"/>
        </w:rPr>
        <w:t>6</w:t>
      </w:r>
      <w:r>
        <w:fldChar w:fldCharType="end"/>
      </w:r>
      <w:r w:rsidR="00000F24" w:rsidRPr="78882673">
        <w:t xml:space="preserve"> and </w:t>
      </w:r>
      <w:r w:rsidRPr="00704651">
        <w:fldChar w:fldCharType="begin"/>
      </w:r>
      <w:r w:rsidRPr="00704651">
        <w:instrText xml:space="preserve"> REF _Ref164671255 \h </w:instrText>
      </w:r>
      <w:r w:rsidR="00704651">
        <w:instrText xml:space="preserve"> \* MERGEFORMAT </w:instrText>
      </w:r>
      <w:r w:rsidRPr="00704651">
        <w:fldChar w:fldCharType="separate"/>
      </w:r>
      <w:r w:rsidR="00271F88" w:rsidRPr="00B162C2">
        <w:t xml:space="preserve">Table </w:t>
      </w:r>
      <w:r w:rsidR="00271F88">
        <w:rPr>
          <w:noProof/>
        </w:rPr>
        <w:t>9</w:t>
      </w:r>
      <w:r w:rsidRPr="00704651">
        <w:fldChar w:fldCharType="end"/>
      </w:r>
      <w:r w:rsidR="00000F24" w:rsidRPr="00704651">
        <w:t xml:space="preserve"> </w:t>
      </w:r>
      <w:r w:rsidRPr="00704651">
        <w:t>(46.1%),</w:t>
      </w:r>
      <w:r w:rsidRPr="78882673">
        <w:t xml:space="preserve"> which was based on the mixed model for repeated measures (MMRM) imputed value.</w:t>
      </w:r>
    </w:p>
    <w:p w14:paraId="635CF532" w14:textId="77777777" w:rsidR="0016677E" w:rsidRDefault="0016677E" w:rsidP="00E55FD2">
      <w:pPr>
        <w:pStyle w:val="COMTablefooter"/>
      </w:pPr>
      <w:r>
        <w:rPr>
          <w:vertAlign w:val="superscript"/>
        </w:rPr>
        <w:t xml:space="preserve">c </w:t>
      </w:r>
      <w:r>
        <w:t xml:space="preserve">Excludes general population mortality and treatment discontinuation, and </w:t>
      </w:r>
      <w:proofErr w:type="spellStart"/>
      <w:r>
        <w:t>zilucoplan</w:t>
      </w:r>
      <w:proofErr w:type="spellEnd"/>
      <w:r>
        <w:t xml:space="preserve"> administration training and vaccination costs.</w:t>
      </w:r>
    </w:p>
    <w:p w14:paraId="3689EB30" w14:textId="629F306C" w:rsidR="00B906FE" w:rsidRPr="00737781" w:rsidRDefault="0016677E" w:rsidP="00E55FD2">
      <w:pPr>
        <w:pStyle w:val="COMTablefooter"/>
        <w:rPr>
          <w:i/>
          <w:iCs/>
        </w:rPr>
      </w:pPr>
      <w:r>
        <w:rPr>
          <w:vertAlign w:val="superscript"/>
        </w:rPr>
        <w:t>d</w:t>
      </w:r>
      <w:r w:rsidRPr="001F59D1">
        <w:rPr>
          <w:vertAlign w:val="superscript"/>
        </w:rPr>
        <w:t xml:space="preserve"> </w:t>
      </w:r>
      <w:r>
        <w:t xml:space="preserve">Includes the cost of IVIg/PLEX but excludes their administration costs; excludes </w:t>
      </w:r>
      <w:proofErr w:type="spellStart"/>
      <w:r>
        <w:t>zilucoplan</w:t>
      </w:r>
      <w:proofErr w:type="spellEnd"/>
      <w:r>
        <w:t xml:space="preserve"> administration training and vaccination costs.</w:t>
      </w:r>
      <w:r w:rsidR="00B906FE" w:rsidRPr="00B906FE">
        <w:t xml:space="preserve"> </w:t>
      </w:r>
      <w:r w:rsidR="00B906FE" w:rsidRPr="00737781">
        <w:rPr>
          <w:i/>
          <w:iCs/>
        </w:rPr>
        <w:t>The redacted values correspond to the following ranges:</w:t>
      </w:r>
    </w:p>
    <w:p w14:paraId="516FE21A" w14:textId="77777777" w:rsidR="00803FEC" w:rsidRPr="00737781" w:rsidRDefault="00B906FE" w:rsidP="00E55FD2">
      <w:pPr>
        <w:pStyle w:val="COMTablefooter"/>
        <w:rPr>
          <w:i/>
          <w:iCs/>
        </w:rPr>
      </w:pPr>
      <w:r w:rsidRPr="00737781">
        <w:rPr>
          <w:i/>
          <w:iCs/>
          <w:vertAlign w:val="superscript"/>
        </w:rPr>
        <w:t>1</w:t>
      </w:r>
      <w:r w:rsidRPr="00737781">
        <w:rPr>
          <w:i/>
          <w:iCs/>
        </w:rPr>
        <w:t xml:space="preserve"> </w:t>
      </w:r>
      <w:r w:rsidR="005E4D91" w:rsidRPr="00737781">
        <w:rPr>
          <w:i/>
          <w:iCs/>
        </w:rPr>
        <w:t xml:space="preserve">$55,000 to &lt; $75,000 </w:t>
      </w:r>
    </w:p>
    <w:p w14:paraId="602D2134" w14:textId="77777777" w:rsidR="00D52CF7" w:rsidRPr="00737781" w:rsidRDefault="00803FEC" w:rsidP="00E55FD2">
      <w:pPr>
        <w:pStyle w:val="COMTablefooter"/>
        <w:rPr>
          <w:i/>
          <w:iCs/>
        </w:rPr>
      </w:pPr>
      <w:r w:rsidRPr="00737781">
        <w:rPr>
          <w:i/>
          <w:iCs/>
          <w:vertAlign w:val="superscript"/>
        </w:rPr>
        <w:t>2</w:t>
      </w:r>
      <w:r w:rsidRPr="00737781">
        <w:rPr>
          <w:i/>
          <w:iCs/>
        </w:rPr>
        <w:t xml:space="preserve"> &gt; $1,055,000</w:t>
      </w:r>
    </w:p>
    <w:p w14:paraId="6B709C49" w14:textId="77777777" w:rsidR="00AA1FFF" w:rsidRPr="00737781" w:rsidRDefault="00D52CF7" w:rsidP="00E55FD2">
      <w:pPr>
        <w:pStyle w:val="COMTablefooter"/>
        <w:rPr>
          <w:i/>
          <w:iCs/>
        </w:rPr>
      </w:pPr>
      <w:r w:rsidRPr="00737781">
        <w:rPr>
          <w:i/>
          <w:iCs/>
          <w:vertAlign w:val="superscript"/>
        </w:rPr>
        <w:t>3</w:t>
      </w:r>
      <w:r w:rsidRPr="00737781">
        <w:rPr>
          <w:i/>
          <w:iCs/>
        </w:rPr>
        <w:t xml:space="preserve"> $455,000 to &lt; $555,000</w:t>
      </w:r>
      <w:r w:rsidR="00AA1FFF" w:rsidRPr="00737781">
        <w:rPr>
          <w:i/>
          <w:iCs/>
        </w:rPr>
        <w:t xml:space="preserve"> </w:t>
      </w:r>
    </w:p>
    <w:p w14:paraId="156B502A" w14:textId="3D3D158D" w:rsidR="005E4D91" w:rsidRPr="00737781" w:rsidRDefault="00AA1FFF" w:rsidP="00E55FD2">
      <w:pPr>
        <w:pStyle w:val="COMTablefooter"/>
        <w:rPr>
          <w:i/>
          <w:iCs/>
        </w:rPr>
      </w:pPr>
      <w:r w:rsidRPr="00737781">
        <w:rPr>
          <w:i/>
          <w:iCs/>
          <w:vertAlign w:val="superscript"/>
        </w:rPr>
        <w:t>4</w:t>
      </w:r>
      <w:r w:rsidRPr="00737781">
        <w:rPr>
          <w:i/>
          <w:iCs/>
        </w:rPr>
        <w:t xml:space="preserve"> $355,000 to &lt; $455,000</w:t>
      </w:r>
    </w:p>
    <w:p w14:paraId="2BB73B80" w14:textId="6BF31453" w:rsidR="00927EC3" w:rsidRPr="005500C7" w:rsidRDefault="00C95B58" w:rsidP="00E55FD2">
      <w:pPr>
        <w:pStyle w:val="COMexecsummnumbered"/>
      </w:pPr>
      <w:bookmarkStart w:id="67" w:name="_Ref190773078"/>
      <w:r w:rsidRPr="005500C7">
        <w:t xml:space="preserve">Based on the economic model, treatment with </w:t>
      </w:r>
      <w:proofErr w:type="spellStart"/>
      <w:r w:rsidRPr="005500C7">
        <w:t>zilucoplan</w:t>
      </w:r>
      <w:proofErr w:type="spellEnd"/>
      <w:r w:rsidRPr="005500C7">
        <w:t xml:space="preserve"> versus placebo in patients with treatment refractory generalised myasthenia gravis was associated with an incremental cost per QALY gained of </w:t>
      </w:r>
      <w:r w:rsidR="000029B1" w:rsidRPr="000029B1">
        <w:t>$355,000 to &lt; $455,000</w:t>
      </w:r>
      <w:r w:rsidRPr="005500C7">
        <w:t xml:space="preserve">. </w:t>
      </w:r>
      <w:r w:rsidR="001071CD" w:rsidRPr="005500C7">
        <w:t>The PSCR stated ‘after correcting the matters highlighted in the commentary as well as revising the cost of IVIg to $</w:t>
      </w:r>
      <w:r w:rsidR="0011411E" w:rsidRPr="0077631D">
        <w:rPr>
          <w:color w:val="000000"/>
          <w:spacing w:val="6"/>
          <w:w w:val="60"/>
          <w:shd w:val="solid" w:color="000000" w:fill="000000"/>
          <w:fitText w:val="470" w:id="-656192256"/>
          <w14:textFill>
            <w14:solidFill>
              <w14:srgbClr w14:val="000000">
                <w14:alpha w14:val="100000"/>
              </w14:srgbClr>
            </w14:solidFill>
          </w14:textFill>
        </w:rPr>
        <w:t>|||</w:t>
      </w:r>
      <w:r w:rsidR="0077631D" w:rsidRPr="0077631D">
        <w:rPr>
          <w:color w:val="000000"/>
          <w:spacing w:val="6"/>
          <w:w w:val="60"/>
          <w:shd w:val="solid" w:color="000000" w:fill="000000"/>
          <w:fitText w:val="470" w:id="-656192256"/>
          <w14:textFill>
            <w14:solidFill>
              <w14:srgbClr w14:val="000000">
                <w14:alpha w14:val="100000"/>
              </w14:srgbClr>
            </w14:solidFill>
          </w14:textFill>
        </w:rPr>
        <w:t xml:space="preserve"> </w:t>
      </w:r>
      <w:r w:rsidR="0011411E" w:rsidRPr="0077631D">
        <w:rPr>
          <w:color w:val="000000"/>
          <w:spacing w:val="6"/>
          <w:w w:val="60"/>
          <w:shd w:val="solid" w:color="000000" w:fill="000000"/>
          <w:fitText w:val="470" w:id="-656192256"/>
          <w14:textFill>
            <w14:solidFill>
              <w14:srgbClr w14:val="000000">
                <w14:alpha w14:val="100000"/>
              </w14:srgbClr>
            </w14:solidFill>
          </w14:textFill>
        </w:rPr>
        <w:t>||</w:t>
      </w:r>
      <w:r w:rsidR="0011411E" w:rsidRPr="0077631D">
        <w:rPr>
          <w:color w:val="000000"/>
          <w:spacing w:val="4"/>
          <w:w w:val="60"/>
          <w:shd w:val="solid" w:color="000000" w:fill="000000"/>
          <w:fitText w:val="470" w:id="-656192256"/>
          <w14:textFill>
            <w14:solidFill>
              <w14:srgbClr w14:val="000000">
                <w14:alpha w14:val="100000"/>
              </w14:srgbClr>
            </w14:solidFill>
          </w14:textFill>
        </w:rPr>
        <w:t>|</w:t>
      </w:r>
      <w:r w:rsidR="001071CD" w:rsidRPr="006A6D85">
        <w:t xml:space="preserve"> per gram and adjusting the dose to 40%</w:t>
      </w:r>
      <w:r w:rsidR="001071CD" w:rsidRPr="005500C7">
        <w:t xml:space="preserve"> while keeping all other settings unchanged, the revised ICER is </w:t>
      </w:r>
      <w:r w:rsidR="00B175CC" w:rsidRPr="00B175CC">
        <w:t>$355,000 to &lt; $455,000</w:t>
      </w:r>
      <w:r w:rsidR="0086677B">
        <w:t xml:space="preserve"> </w:t>
      </w:r>
      <w:r w:rsidR="001071CD" w:rsidRPr="005500C7">
        <w:t xml:space="preserve">per QALY gained’. However, </w:t>
      </w:r>
      <w:r w:rsidR="001071CD" w:rsidRPr="005500C7">
        <w:lastRenderedPageBreak/>
        <w:t>the PSCR did not provide details of the changes made to the model, and the revised ICER could not be replicated.</w:t>
      </w:r>
      <w:bookmarkEnd w:id="67"/>
      <w:r w:rsidR="001071CD" w:rsidRPr="005500C7">
        <w:t xml:space="preserve"> </w:t>
      </w:r>
    </w:p>
    <w:p w14:paraId="2B1AF164" w14:textId="4FDC9853" w:rsidR="005A1048" w:rsidRDefault="00285C63" w:rsidP="00E55FD2">
      <w:pPr>
        <w:pStyle w:val="COMexecsummnumbered"/>
      </w:pPr>
      <w:r>
        <w:t xml:space="preserve">The resubmission base case ICER of </w:t>
      </w:r>
      <w:r w:rsidR="0019376C" w:rsidRPr="0019376C">
        <w:t>$355,000 to &lt; $455,000</w:t>
      </w:r>
      <w:r w:rsidR="0086677B">
        <w:t xml:space="preserve"> </w:t>
      </w:r>
      <w:r>
        <w:t xml:space="preserve">per QALY gained </w:t>
      </w:r>
      <w:r w:rsidR="00C95B58" w:rsidRPr="006B5726">
        <w:t>represent</w:t>
      </w:r>
      <w:r>
        <w:t>ed</w:t>
      </w:r>
      <w:r w:rsidR="00C95B58" w:rsidRPr="006B5726">
        <w:t xml:space="preserve"> a </w:t>
      </w:r>
      <w:r w:rsidR="007510F8" w:rsidRPr="00271F88">
        <w:rPr>
          <w:color w:val="000000"/>
          <w:w w:val="15"/>
          <w:shd w:val="solid" w:color="000000" w:fill="000000"/>
          <w:fitText w:val="-20" w:id="-691334648"/>
          <w14:textFill>
            <w14:solidFill>
              <w14:srgbClr w14:val="000000">
                <w14:alpha w14:val="100000"/>
              </w14:srgbClr>
            </w14:solidFill>
          </w14:textFill>
        </w:rPr>
        <w:t>|</w:t>
      </w:r>
      <w:r w:rsidR="0077631D" w:rsidRPr="00271F88">
        <w:rPr>
          <w:color w:val="000000"/>
          <w:w w:val="15"/>
          <w:shd w:val="solid" w:color="000000" w:fill="000000"/>
          <w:fitText w:val="-20" w:id="-691334648"/>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48"/>
          <w14:textFill>
            <w14:solidFill>
              <w14:srgbClr w14:val="000000">
                <w14:alpha w14:val="100000"/>
              </w14:srgbClr>
            </w14:solidFill>
          </w14:textFill>
        </w:rPr>
        <w:t>|</w:t>
      </w:r>
      <w:r w:rsidR="00C95B58" w:rsidRPr="006B5726">
        <w:t xml:space="preserve">% increase compared to the July 2024 submission (incremental cost per QALY gained of </w:t>
      </w:r>
      <w:r w:rsidR="00603F8C" w:rsidRPr="00603F8C">
        <w:t>$255,000 to &lt; $355,000</w:t>
      </w:r>
      <w:r w:rsidR="00C95B58" w:rsidRPr="006B5726">
        <w:t xml:space="preserve">). </w:t>
      </w:r>
      <w:r w:rsidR="005A1048" w:rsidRPr="005A1048">
        <w:t>The PBAC previously considered the incremental cost-effectiveness ratio presented in the July 2024 submission was very high and likely to have been underestimated, and the proposed price was also very high.</w:t>
      </w:r>
    </w:p>
    <w:p w14:paraId="6F686C47" w14:textId="5E20CB0F" w:rsidR="00C95B58" w:rsidRPr="006B5726" w:rsidRDefault="003F4123" w:rsidP="00E55FD2">
      <w:pPr>
        <w:pStyle w:val="COMexecsummnumbered"/>
      </w:pPr>
      <w:r w:rsidRPr="006B5726">
        <w:t>T</w:t>
      </w:r>
      <w:r w:rsidR="008A2B79" w:rsidRPr="006B5726">
        <w:t xml:space="preserve">he revised economic model generates larger incremental costs (primarily due to smaller cost offsets for chronic IVIg/PLEX); and smaller incremental QALYs (primarily due to the smaller disutility associated with high-dose </w:t>
      </w:r>
      <w:r w:rsidR="008A2B79" w:rsidRPr="00031FBB">
        <w:t>corticosteroids; -0.180 versus</w:t>
      </w:r>
      <w:r w:rsidR="008A2B79" w:rsidRPr="006B5726">
        <w:t xml:space="preserve"> </w:t>
      </w:r>
      <w:r w:rsidR="003F6BAB" w:rsidRPr="006B5726">
        <w:noBreakHyphen/>
      </w:r>
      <w:r w:rsidR="008A2B79" w:rsidRPr="006B5726">
        <w:t>0.047)</w:t>
      </w:r>
      <w:r w:rsidRPr="006B5726">
        <w:t xml:space="preserve"> than the July 2024 submission.</w:t>
      </w:r>
      <w:r w:rsidR="00D929B4" w:rsidRPr="006B5726">
        <w:t xml:space="preserve"> </w:t>
      </w:r>
      <w:r w:rsidR="00AC01CB" w:rsidRPr="006B5726">
        <w:t xml:space="preserve">Despite the higher cost per vial of </w:t>
      </w:r>
      <w:proofErr w:type="spellStart"/>
      <w:r w:rsidR="00AC01CB" w:rsidRPr="006B5726">
        <w:t>zilucoplan</w:t>
      </w:r>
      <w:proofErr w:type="spellEnd"/>
      <w:r w:rsidR="00AC01CB" w:rsidRPr="006B5726">
        <w:t>, t</w:t>
      </w:r>
      <w:r w:rsidR="00D929B4" w:rsidRPr="006B5726">
        <w:t xml:space="preserve">he cost of </w:t>
      </w:r>
      <w:proofErr w:type="spellStart"/>
      <w:r w:rsidR="00D929B4" w:rsidRPr="006B5726">
        <w:t>zilucoplan</w:t>
      </w:r>
      <w:proofErr w:type="spellEnd"/>
      <w:r w:rsidR="00D929B4" w:rsidRPr="006B5726">
        <w:t xml:space="preserve"> treatment in the current economic model was lower than in the July 2024 model, due to </w:t>
      </w:r>
      <w:r w:rsidR="00AC01CB" w:rsidRPr="006B5726">
        <w:t xml:space="preserve">the shorter average duration of treatment resulting from greater </w:t>
      </w:r>
      <w:r w:rsidR="008842BB" w:rsidRPr="006B5726">
        <w:t>proportions</w:t>
      </w:r>
      <w:r w:rsidR="00AC01CB" w:rsidRPr="006B5726">
        <w:t xml:space="preserve"> of </w:t>
      </w:r>
      <w:r w:rsidR="008842BB" w:rsidRPr="006B5726">
        <w:t>patients</w:t>
      </w:r>
      <w:r w:rsidR="00AC01CB" w:rsidRPr="006B5726">
        <w:t xml:space="preserve"> di</w:t>
      </w:r>
      <w:r w:rsidR="008842BB" w:rsidRPr="006B5726">
        <w:t>s</w:t>
      </w:r>
      <w:r w:rsidR="00AC01CB" w:rsidRPr="006B5726">
        <w:t>continuing treatment due t</w:t>
      </w:r>
      <w:r w:rsidR="008842BB" w:rsidRPr="006B5726">
        <w:t>o</w:t>
      </w:r>
      <w:r w:rsidR="00AC01CB" w:rsidRPr="006B5726">
        <w:t xml:space="preserve"> cli</w:t>
      </w:r>
      <w:r w:rsidR="008842BB" w:rsidRPr="006B5726">
        <w:t>n</w:t>
      </w:r>
      <w:r w:rsidR="00AC01CB" w:rsidRPr="006B5726">
        <w:t>ical events (</w:t>
      </w:r>
      <w:r w:rsidR="008842BB" w:rsidRPr="006B5726">
        <w:t xml:space="preserve">the </w:t>
      </w:r>
      <w:r w:rsidR="00D929B4" w:rsidRPr="006B5726">
        <w:t>higher rates of clinical events offset the revised assumptions regarding treatment discontinuations</w:t>
      </w:r>
      <w:r w:rsidR="008842BB" w:rsidRPr="006B5726">
        <w:t>)</w:t>
      </w:r>
      <w:r w:rsidR="00D929B4" w:rsidRPr="006B5726">
        <w:t>.</w:t>
      </w:r>
    </w:p>
    <w:p w14:paraId="14E2E2F1" w14:textId="2D8C9479" w:rsidR="00C95B58" w:rsidRPr="005500C7" w:rsidRDefault="00C95B58" w:rsidP="00E55FD2">
      <w:pPr>
        <w:pStyle w:val="COMexecsummnumbered"/>
      </w:pPr>
      <w:r w:rsidRPr="78882673">
        <w:t xml:space="preserve">During the evaluation, it was noted </w:t>
      </w:r>
      <w:r w:rsidRPr="00AF211E">
        <w:t>that 97.3%</w:t>
      </w:r>
      <w:r w:rsidRPr="78882673">
        <w:t xml:space="preserve"> of incremental QALYs and </w:t>
      </w:r>
      <w:r w:rsidR="007510F8" w:rsidRPr="0077631D">
        <w:rPr>
          <w:color w:val="000000"/>
          <w:spacing w:val="6"/>
          <w:w w:val="61"/>
          <w:shd w:val="solid" w:color="000000" w:fill="000000"/>
          <w:fitText w:val="474" w:id="-691334647"/>
          <w14:textFill>
            <w14:solidFill>
              <w14:srgbClr w14:val="000000">
                <w14:alpha w14:val="100000"/>
              </w14:srgbClr>
            </w14:solidFill>
          </w14:textFill>
        </w:rPr>
        <w:t>|||</w:t>
      </w:r>
      <w:r w:rsidR="0077631D" w:rsidRPr="0077631D">
        <w:rPr>
          <w:color w:val="000000"/>
          <w:spacing w:val="6"/>
          <w:w w:val="61"/>
          <w:shd w:val="solid" w:color="000000" w:fill="000000"/>
          <w:fitText w:val="474" w:id="-691334647"/>
          <w14:textFill>
            <w14:solidFill>
              <w14:srgbClr w14:val="000000">
                <w14:alpha w14:val="100000"/>
              </w14:srgbClr>
            </w14:solidFill>
          </w14:textFill>
        </w:rPr>
        <w:t xml:space="preserve"> </w:t>
      </w:r>
      <w:r w:rsidR="007510F8" w:rsidRPr="0077631D">
        <w:rPr>
          <w:color w:val="000000"/>
          <w:spacing w:val="6"/>
          <w:w w:val="61"/>
          <w:shd w:val="solid" w:color="000000" w:fill="000000"/>
          <w:fitText w:val="474" w:id="-691334647"/>
          <w14:textFill>
            <w14:solidFill>
              <w14:srgbClr w14:val="000000">
                <w14:alpha w14:val="100000"/>
              </w14:srgbClr>
            </w14:solidFill>
          </w14:textFill>
        </w:rPr>
        <w:t>||</w:t>
      </w:r>
      <w:r w:rsidR="007510F8" w:rsidRPr="0077631D">
        <w:rPr>
          <w:color w:val="000000"/>
          <w:spacing w:val="2"/>
          <w:w w:val="61"/>
          <w:shd w:val="solid" w:color="000000" w:fill="000000"/>
          <w:fitText w:val="474" w:id="-691334647"/>
          <w14:textFill>
            <w14:solidFill>
              <w14:srgbClr w14:val="000000">
                <w14:alpha w14:val="100000"/>
              </w14:srgbClr>
            </w14:solidFill>
          </w14:textFill>
        </w:rPr>
        <w:t>|</w:t>
      </w:r>
      <w:r w:rsidRPr="00CB5D18">
        <w:t>%</w:t>
      </w:r>
      <w:r w:rsidRPr="78882673">
        <w:t xml:space="preserve"> of incre</w:t>
      </w:r>
      <w:r w:rsidRPr="00933E36">
        <w:t>mental costs in the model are accrued in the extrapolated period beyond 16</w:t>
      </w:r>
      <w:r w:rsidR="00CB5D18">
        <w:t> </w:t>
      </w:r>
      <w:r w:rsidRPr="00933E36">
        <w:t>weeks.</w:t>
      </w:r>
      <w:r w:rsidRPr="005500C7">
        <w:t xml:space="preserve"> </w:t>
      </w:r>
    </w:p>
    <w:p w14:paraId="23524365" w14:textId="7A1C9AD1" w:rsidR="00BD1189" w:rsidRPr="005500C7" w:rsidRDefault="00BD1189" w:rsidP="00E55FD2">
      <w:pPr>
        <w:pStyle w:val="COMexecsummnumbered"/>
      </w:pPr>
      <w:r w:rsidRPr="005500C7">
        <w:t xml:space="preserve">The ESC noted that the modelled benefits were driven by improvements in quality of life, with the economic model estimating 0.6085 incremental QALYs and 0.0017 incremental life years gained. </w:t>
      </w:r>
      <w:r w:rsidR="00D5127A" w:rsidRPr="005500C7">
        <w:fldChar w:fldCharType="begin"/>
      </w:r>
      <w:r w:rsidR="00D5127A" w:rsidRPr="005500C7">
        <w:instrText xml:space="preserve"> REF _Ref190158667 \h </w:instrText>
      </w:r>
      <w:r w:rsidR="00810FB6" w:rsidRPr="005500C7">
        <w:instrText xml:space="preserve"> \* MERGEFORMAT </w:instrText>
      </w:r>
      <w:r w:rsidR="00D5127A" w:rsidRPr="005500C7">
        <w:fldChar w:fldCharType="separate"/>
      </w:r>
      <w:r w:rsidR="00271F88" w:rsidRPr="78882673">
        <w:t xml:space="preserve">Figure </w:t>
      </w:r>
      <w:r w:rsidR="00271F88">
        <w:rPr>
          <w:noProof/>
        </w:rPr>
        <w:t>2</w:t>
      </w:r>
      <w:r w:rsidR="00D5127A" w:rsidRPr="005500C7">
        <w:fldChar w:fldCharType="end"/>
      </w:r>
      <w:r w:rsidR="00000566" w:rsidRPr="005500C7">
        <w:t xml:space="preserve"> presents a model trace of the proportion of responders over time</w:t>
      </w:r>
      <w:r w:rsidR="007A0F63" w:rsidRPr="005500C7">
        <w:t>.</w:t>
      </w:r>
    </w:p>
    <w:p w14:paraId="345B6C82" w14:textId="5BBC3454" w:rsidR="002B0CA1" w:rsidRPr="00BB59B1" w:rsidRDefault="002B0CA1" w:rsidP="00E55FD2">
      <w:pPr>
        <w:pStyle w:val="Caption"/>
        <w:rPr>
          <w:color w:val="3366FF"/>
        </w:rPr>
      </w:pPr>
      <w:bookmarkStart w:id="68" w:name="_Ref190158667"/>
      <w:r w:rsidRPr="78882673">
        <w:lastRenderedPageBreak/>
        <w:t xml:space="preserve">Figure </w:t>
      </w:r>
      <w:r>
        <w:fldChar w:fldCharType="begin"/>
      </w:r>
      <w:r>
        <w:instrText xml:space="preserve"> SEQ Figure \* ARABIC </w:instrText>
      </w:r>
      <w:r>
        <w:fldChar w:fldCharType="separate"/>
      </w:r>
      <w:r w:rsidR="00271F88">
        <w:rPr>
          <w:noProof/>
        </w:rPr>
        <w:t>2</w:t>
      </w:r>
      <w:r>
        <w:fldChar w:fldCharType="end"/>
      </w:r>
      <w:bookmarkEnd w:id="68"/>
      <w:r w:rsidRPr="78882673">
        <w:t>: Model trace of responders over time: initial and subsequent treatment</w:t>
      </w:r>
    </w:p>
    <w:p w14:paraId="328F5635" w14:textId="2A0EEFC7" w:rsidR="00BD1189" w:rsidRDefault="002B0CA1" w:rsidP="00E55FD2">
      <w:pPr>
        <w:pStyle w:val="COMTablefooter"/>
      </w:pPr>
      <w:r>
        <w:rPr>
          <w:noProof/>
        </w:rPr>
        <w:drawing>
          <wp:inline distT="0" distB="0" distL="0" distR="0" wp14:anchorId="3611B822" wp14:editId="36ECF611">
            <wp:extent cx="5688330" cy="3365500"/>
            <wp:effectExtent l="0" t="0" r="7620" b="6350"/>
            <wp:docPr id="149374290" name="Picture 2" descr="Figure 2: Model trace of responders over time: initial and subsequent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4290" name="Picture 2" descr="Figure 2: Model trace of responders over time: initial and subsequent treatment"/>
                    <pic:cNvPicPr/>
                  </pic:nvPicPr>
                  <pic:blipFill>
                    <a:blip r:embed="rId12">
                      <a:extLst>
                        <a:ext uri="{28A0092B-C50C-407E-A947-70E740481C1C}">
                          <a14:useLocalDpi xmlns:a14="http://schemas.microsoft.com/office/drawing/2010/main" val="0"/>
                        </a:ext>
                      </a:extLst>
                    </a:blip>
                    <a:stretch>
                      <a:fillRect/>
                    </a:stretch>
                  </pic:blipFill>
                  <pic:spPr>
                    <a:xfrm>
                      <a:off x="0" y="0"/>
                      <a:ext cx="5688330" cy="3365500"/>
                    </a:xfrm>
                    <a:prstGeom prst="rect">
                      <a:avLst/>
                    </a:prstGeom>
                  </pic:spPr>
                </pic:pic>
              </a:graphicData>
            </a:graphic>
          </wp:inline>
        </w:drawing>
      </w:r>
      <w:r w:rsidRPr="78882673">
        <w:t>Source: Constructed during the evaluation using the ‘</w:t>
      </w:r>
      <w:proofErr w:type="spellStart"/>
      <w:r w:rsidRPr="78882673">
        <w:t>Zilbrysq</w:t>
      </w:r>
      <w:proofErr w:type="spellEnd"/>
      <w:r w:rsidRPr="78882673">
        <w:t xml:space="preserve"> (</w:t>
      </w:r>
      <w:proofErr w:type="spellStart"/>
      <w:r w:rsidRPr="78882673">
        <w:t>zilucoplan</w:t>
      </w:r>
      <w:proofErr w:type="spellEnd"/>
      <w:r w:rsidRPr="78882673">
        <w:t>) - gMG – CEA’ Excel spreadsheet provided with the resubmission</w:t>
      </w:r>
    </w:p>
    <w:p w14:paraId="2177D316" w14:textId="3B6BA53B" w:rsidR="00810FB6" w:rsidRPr="005500C7" w:rsidRDefault="00810FB6" w:rsidP="00E55FD2">
      <w:pPr>
        <w:pStyle w:val="COMexecsummnumbered"/>
      </w:pPr>
      <w:r w:rsidRPr="00590CD1">
        <w:t>Bo</w:t>
      </w:r>
      <w:r w:rsidRPr="005500C7">
        <w:t xml:space="preserve">th treatment arms achieved a peak response </w:t>
      </w:r>
      <w:r w:rsidRPr="00366D77">
        <w:t>at 16 weeks, consistent with the modelled response assessment point, however, the modelled peak response</w:t>
      </w:r>
      <w:r w:rsidRPr="005500C7">
        <w:t xml:space="preserve"> was lower than the source trial/extension study treatment response estimate for the </w:t>
      </w:r>
      <w:proofErr w:type="spellStart"/>
      <w:r w:rsidRPr="005500C7">
        <w:t>zilucoplan</w:t>
      </w:r>
      <w:proofErr w:type="spellEnd"/>
      <w:r w:rsidRPr="005500C7">
        <w:t xml:space="preserve"> </w:t>
      </w:r>
      <w:r w:rsidRPr="00AF211E">
        <w:t xml:space="preserve">arm (79.96% versus 84.90%) and placebo arm (27.90% versus 46.10%), with a greater difference observed in the placebo arm, predominantly due to differential discontinuation rates (0.19% in the </w:t>
      </w:r>
      <w:proofErr w:type="spellStart"/>
      <w:r w:rsidRPr="00AF211E">
        <w:t>zilucoplan</w:t>
      </w:r>
      <w:proofErr w:type="spellEnd"/>
      <w:r w:rsidRPr="00AF211E">
        <w:t xml:space="preserve"> arm versus 16% in the</w:t>
      </w:r>
      <w:r w:rsidRPr="005500C7">
        <w:t xml:space="preserve"> placebo arm per 2-week cycle in the placebo arm). The trace shows a gradual loss of response over time in the </w:t>
      </w:r>
      <w:proofErr w:type="spellStart"/>
      <w:r w:rsidRPr="005500C7">
        <w:t>zilucoplan</w:t>
      </w:r>
      <w:proofErr w:type="spellEnd"/>
      <w:r w:rsidRPr="005500C7">
        <w:t xml:space="preserve"> arm, but a rapid loss of response in the placebo arm due to the assumed high loss of response per cycle for the placebo arm.</w:t>
      </w:r>
    </w:p>
    <w:p w14:paraId="424E4060" w14:textId="50E2A243" w:rsidR="00C95B58" w:rsidRPr="005500C7" w:rsidRDefault="00C95B58" w:rsidP="00E55FD2">
      <w:pPr>
        <w:pStyle w:val="COMexecsummnumbered"/>
      </w:pPr>
      <w:r w:rsidRPr="005500C7">
        <w:t xml:space="preserve">For patients treated with </w:t>
      </w:r>
      <w:proofErr w:type="spellStart"/>
      <w:r w:rsidRPr="005500C7">
        <w:t>zilucoplan</w:t>
      </w:r>
      <w:proofErr w:type="spellEnd"/>
      <w:r w:rsidRPr="005500C7">
        <w:t xml:space="preserve"> versus placebo and followed up for </w:t>
      </w:r>
      <w:r w:rsidRPr="00AF211E">
        <w:t>10</w:t>
      </w:r>
      <w:r w:rsidRPr="005500C7">
        <w:t xml:space="preserve"> years, the economic evaluation (based on undiscounted values) estimated that there would be:</w:t>
      </w:r>
    </w:p>
    <w:p w14:paraId="4F087DFD" w14:textId="7750A6E7" w:rsidR="00C95B58" w:rsidRPr="004C38E1" w:rsidRDefault="00C95B58" w:rsidP="00E55FD2">
      <w:pPr>
        <w:pStyle w:val="COMexecsummbulletlist"/>
      </w:pPr>
      <w:r w:rsidRPr="004C38E1">
        <w:t>A reduction in</w:t>
      </w:r>
      <w:r w:rsidR="00052EA6" w:rsidRPr="004C38E1">
        <w:t xml:space="preserve"> hospitalised</w:t>
      </w:r>
      <w:r w:rsidRPr="004C38E1">
        <w:t xml:space="preserve"> exacerbation events (73 fewer events per 100 patients) and myasthenic crisis events (23 fewer events per 100 patients)</w:t>
      </w:r>
      <w:r w:rsidR="00F31ACB" w:rsidRPr="004C38E1">
        <w:t>.</w:t>
      </w:r>
    </w:p>
    <w:p w14:paraId="13D627F5" w14:textId="77777777" w:rsidR="00C95B58" w:rsidRPr="006B5726" w:rsidRDefault="00C95B58" w:rsidP="00E55FD2">
      <w:pPr>
        <w:pStyle w:val="COMexecsummbulletlist"/>
      </w:pPr>
      <w:r w:rsidRPr="004C38E1">
        <w:t>An increase in the time spent in treatment response of 3.11 years, with a decrease in the time spent in non-response of 3.07 years</w:t>
      </w:r>
      <w:r w:rsidRPr="006B5726">
        <w:t>.</w:t>
      </w:r>
    </w:p>
    <w:p w14:paraId="19C79BB4" w14:textId="033995FD" w:rsidR="00C95B58" w:rsidRPr="006B5726" w:rsidRDefault="00C95B58" w:rsidP="00E55FD2">
      <w:pPr>
        <w:pStyle w:val="COMexecsummbulletlist"/>
      </w:pPr>
      <w:r w:rsidRPr="78882673">
        <w:t>Additional treatment costs of $</w:t>
      </w:r>
      <w:r w:rsidR="007510F8" w:rsidRPr="00271F88">
        <w:rPr>
          <w:color w:val="000000"/>
          <w:w w:val="15"/>
          <w:shd w:val="solid" w:color="000000" w:fill="000000"/>
          <w:fitText w:val="-20" w:id="-691334646"/>
          <w14:textFill>
            <w14:solidFill>
              <w14:srgbClr w14:val="000000">
                <w14:alpha w14:val="100000"/>
              </w14:srgbClr>
            </w14:solidFill>
          </w14:textFill>
        </w:rPr>
        <w:t>|</w:t>
      </w:r>
      <w:r w:rsidR="0077631D" w:rsidRPr="00271F88">
        <w:rPr>
          <w:color w:val="000000"/>
          <w:w w:val="15"/>
          <w:shd w:val="solid" w:color="000000" w:fill="000000"/>
          <w:fitText w:val="-20" w:id="-691334646"/>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46"/>
          <w14:textFill>
            <w14:solidFill>
              <w14:srgbClr w14:val="000000">
                <w14:alpha w14:val="100000"/>
              </w14:srgbClr>
            </w14:solidFill>
          </w14:textFill>
        </w:rPr>
        <w:t>|</w:t>
      </w:r>
      <w:r w:rsidRPr="009831A4">
        <w:t xml:space="preserve">, with reduced costs associated with exacerbation and myasthenic crisis events </w:t>
      </w:r>
      <w:r w:rsidRPr="004C38E1">
        <w:t>(-$36,867) and disease management costs (-$9,916).</w:t>
      </w:r>
    </w:p>
    <w:p w14:paraId="1BAC1159" w14:textId="7E12531C" w:rsidR="00A86E8B" w:rsidRPr="00BB59B1" w:rsidRDefault="00D23D11" w:rsidP="00E55FD2">
      <w:pPr>
        <w:pStyle w:val="COMexecsummnumbered"/>
      </w:pPr>
      <w:r w:rsidRPr="00BB59B1">
        <w:t xml:space="preserve">The results of key sensitivity analyses are summarised </w:t>
      </w:r>
      <w:r w:rsidR="00E16AD8" w:rsidRPr="00BB59B1">
        <w:t xml:space="preserve">in </w:t>
      </w:r>
      <w:r w:rsidR="00E16AD8" w:rsidRPr="00BB59B1">
        <w:fldChar w:fldCharType="begin"/>
      </w:r>
      <w:r w:rsidR="00E16AD8" w:rsidRPr="00BB59B1">
        <w:instrText xml:space="preserve"> REF _Ref104804865 \h </w:instrText>
      </w:r>
      <w:r w:rsidR="00E16AD8" w:rsidRPr="00BB59B1">
        <w:fldChar w:fldCharType="separate"/>
      </w:r>
      <w:r w:rsidR="00271F88" w:rsidRPr="00BB59B1">
        <w:t xml:space="preserve">Table </w:t>
      </w:r>
      <w:r w:rsidR="00271F88">
        <w:rPr>
          <w:noProof/>
        </w:rPr>
        <w:t>13</w:t>
      </w:r>
      <w:r w:rsidR="00E16AD8" w:rsidRPr="00BB59B1">
        <w:fldChar w:fldCharType="end"/>
      </w:r>
      <w:r w:rsidRPr="00BB59B1">
        <w:t>.</w:t>
      </w:r>
    </w:p>
    <w:p w14:paraId="3A64F4E7" w14:textId="549A167D" w:rsidR="00D23D11" w:rsidRDefault="00E16AD8" w:rsidP="00E55FD2">
      <w:pPr>
        <w:pStyle w:val="COMtablefigcaption"/>
      </w:pPr>
      <w:bookmarkStart w:id="69" w:name="_Ref104804865"/>
      <w:r w:rsidRPr="00BB59B1">
        <w:lastRenderedPageBreak/>
        <w:t xml:space="preserve">Table </w:t>
      </w:r>
      <w:r w:rsidR="00891FF9">
        <w:fldChar w:fldCharType="begin"/>
      </w:r>
      <w:r w:rsidR="00891FF9">
        <w:instrText xml:space="preserve"> SEQ Table \* ARABIC </w:instrText>
      </w:r>
      <w:r w:rsidR="00891FF9">
        <w:fldChar w:fldCharType="separate"/>
      </w:r>
      <w:r w:rsidR="00271F88">
        <w:rPr>
          <w:noProof/>
        </w:rPr>
        <w:t>13</w:t>
      </w:r>
      <w:r w:rsidR="00891FF9">
        <w:rPr>
          <w:noProof/>
        </w:rPr>
        <w:fldChar w:fldCharType="end"/>
      </w:r>
      <w:bookmarkEnd w:id="69"/>
      <w:r w:rsidRPr="00BB59B1">
        <w:t>:</w:t>
      </w:r>
      <w:r w:rsidR="00354F64" w:rsidRPr="00BB59B1">
        <w:t xml:space="preserve"> </w:t>
      </w:r>
      <w:r w:rsidR="00256444">
        <w:t>Results of s</w:t>
      </w:r>
      <w:r w:rsidR="00D15314" w:rsidRPr="00BB59B1">
        <w:t>ensitivity analyses</w:t>
      </w:r>
    </w:p>
    <w:tbl>
      <w:tblPr>
        <w:tblStyle w:val="TableGrid"/>
        <w:tblW w:w="0" w:type="auto"/>
        <w:tblLayout w:type="fixed"/>
        <w:tblCellMar>
          <w:left w:w="28" w:type="dxa"/>
          <w:right w:w="28" w:type="dxa"/>
        </w:tblCellMar>
        <w:tblLook w:val="04A0" w:firstRow="1" w:lastRow="0" w:firstColumn="1" w:lastColumn="0" w:noHBand="0" w:noVBand="1"/>
        <w:tblCaption w:val="Table 13: Results of sensitivity analyses"/>
      </w:tblPr>
      <w:tblGrid>
        <w:gridCol w:w="4531"/>
        <w:gridCol w:w="1121"/>
        <w:gridCol w:w="1122"/>
        <w:gridCol w:w="1121"/>
        <w:gridCol w:w="1122"/>
      </w:tblGrid>
      <w:tr w:rsidR="006A5BB3" w14:paraId="152017AA" w14:textId="77777777" w:rsidTr="7FB99A72">
        <w:trPr>
          <w:tblHeader/>
        </w:trPr>
        <w:tc>
          <w:tcPr>
            <w:tcW w:w="4531" w:type="dxa"/>
            <w:vAlign w:val="center"/>
          </w:tcPr>
          <w:p w14:paraId="6CDF2912" w14:textId="77777777" w:rsidR="006A5BB3" w:rsidRPr="00EF6635" w:rsidRDefault="006A5BB3" w:rsidP="00E55FD2">
            <w:pPr>
              <w:pStyle w:val="COMTabletext"/>
              <w:keepNext w:val="0"/>
              <w:rPr>
                <w:b/>
                <w:bCs w:val="0"/>
              </w:rPr>
            </w:pPr>
            <w:r w:rsidRPr="00EF6635">
              <w:rPr>
                <w:b/>
                <w:bCs w:val="0"/>
              </w:rPr>
              <w:t>Analysis</w:t>
            </w:r>
          </w:p>
        </w:tc>
        <w:tc>
          <w:tcPr>
            <w:tcW w:w="1121" w:type="dxa"/>
            <w:vAlign w:val="center"/>
          </w:tcPr>
          <w:p w14:paraId="48379917" w14:textId="3149A39F" w:rsidR="006A5BB3" w:rsidRPr="00EF6635" w:rsidRDefault="006A5BB3" w:rsidP="00E55FD2">
            <w:pPr>
              <w:pStyle w:val="COMTabletext"/>
              <w:keepNext w:val="0"/>
              <w:jc w:val="center"/>
              <w:rPr>
                <w:b/>
                <w:bCs w:val="0"/>
              </w:rPr>
            </w:pPr>
            <w:r w:rsidRPr="00EF6635">
              <w:rPr>
                <w:b/>
                <w:bCs w:val="0"/>
              </w:rPr>
              <w:t>Incremental cost</w:t>
            </w:r>
            <w:r w:rsidR="000E0C37">
              <w:rPr>
                <w:b/>
                <w:bCs w:val="0"/>
              </w:rPr>
              <w:t xml:space="preserve"> ($)</w:t>
            </w:r>
          </w:p>
        </w:tc>
        <w:tc>
          <w:tcPr>
            <w:tcW w:w="1122" w:type="dxa"/>
            <w:vAlign w:val="center"/>
          </w:tcPr>
          <w:p w14:paraId="17F8E372" w14:textId="77777777" w:rsidR="006A5BB3" w:rsidRPr="00EF6635" w:rsidRDefault="006A5BB3" w:rsidP="00E55FD2">
            <w:pPr>
              <w:pStyle w:val="COMTabletext"/>
              <w:keepNext w:val="0"/>
              <w:jc w:val="center"/>
              <w:rPr>
                <w:b/>
                <w:bCs w:val="0"/>
              </w:rPr>
            </w:pPr>
            <w:r w:rsidRPr="00EF6635">
              <w:rPr>
                <w:b/>
                <w:bCs w:val="0"/>
              </w:rPr>
              <w:t>Incremental QALYs</w:t>
            </w:r>
          </w:p>
        </w:tc>
        <w:tc>
          <w:tcPr>
            <w:tcW w:w="1121" w:type="dxa"/>
            <w:vAlign w:val="center"/>
          </w:tcPr>
          <w:p w14:paraId="423A48F5" w14:textId="77777777" w:rsidR="006A5BB3" w:rsidRPr="00EF6635" w:rsidRDefault="006A5BB3" w:rsidP="00E55FD2">
            <w:pPr>
              <w:pStyle w:val="COMTabletext"/>
              <w:keepNext w:val="0"/>
              <w:jc w:val="center"/>
              <w:rPr>
                <w:b/>
                <w:bCs w:val="0"/>
              </w:rPr>
            </w:pPr>
            <w:r w:rsidRPr="00EF6635">
              <w:rPr>
                <w:b/>
                <w:bCs w:val="0"/>
              </w:rPr>
              <w:t>ICER</w:t>
            </w:r>
          </w:p>
        </w:tc>
        <w:tc>
          <w:tcPr>
            <w:tcW w:w="1122" w:type="dxa"/>
            <w:vAlign w:val="center"/>
          </w:tcPr>
          <w:p w14:paraId="510DAFDA" w14:textId="77777777" w:rsidR="006A5BB3" w:rsidRPr="00EF6635" w:rsidRDefault="006A5BB3" w:rsidP="00E55FD2">
            <w:pPr>
              <w:pStyle w:val="COMTabletext"/>
              <w:keepNext w:val="0"/>
              <w:jc w:val="center"/>
              <w:rPr>
                <w:b/>
                <w:bCs w:val="0"/>
              </w:rPr>
            </w:pPr>
            <w:r w:rsidRPr="00EF6635">
              <w:rPr>
                <w:b/>
                <w:bCs w:val="0"/>
              </w:rPr>
              <w:t>Change from base case ICER</w:t>
            </w:r>
          </w:p>
        </w:tc>
      </w:tr>
      <w:tr w:rsidR="006A5BB3" w14:paraId="10C7B019" w14:textId="77777777" w:rsidTr="7FB99A72">
        <w:trPr>
          <w:tblHeader/>
        </w:trPr>
        <w:tc>
          <w:tcPr>
            <w:tcW w:w="4531" w:type="dxa"/>
          </w:tcPr>
          <w:p w14:paraId="0B388397" w14:textId="77777777" w:rsidR="006A5BB3" w:rsidRPr="00EF6635" w:rsidRDefault="006A5BB3" w:rsidP="00E55FD2">
            <w:pPr>
              <w:pStyle w:val="COMTabletext"/>
              <w:keepNext w:val="0"/>
              <w:rPr>
                <w:b/>
                <w:bCs w:val="0"/>
              </w:rPr>
            </w:pPr>
            <w:r w:rsidRPr="00EF6635">
              <w:rPr>
                <w:b/>
                <w:bCs w:val="0"/>
              </w:rPr>
              <w:t>Base case</w:t>
            </w:r>
          </w:p>
        </w:tc>
        <w:tc>
          <w:tcPr>
            <w:tcW w:w="1121" w:type="dxa"/>
            <w:vAlign w:val="center"/>
          </w:tcPr>
          <w:p w14:paraId="121CFF7D" w14:textId="4433BDAF" w:rsidR="006A5BB3" w:rsidRPr="00EF6635" w:rsidRDefault="007510F8" w:rsidP="00E55FD2">
            <w:pPr>
              <w:pStyle w:val="COMTabletext"/>
              <w:keepNext w:val="0"/>
              <w:jc w:val="center"/>
              <w:rPr>
                <w:b/>
                <w:bCs w:val="0"/>
              </w:rPr>
            </w:pPr>
            <w:r w:rsidRPr="007510F8">
              <w:rPr>
                <w:rFonts w:hint="eastAsia"/>
                <w:b/>
                <w:bCs w:val="0"/>
                <w:color w:val="000000"/>
                <w:w w:val="15"/>
                <w:shd w:val="solid" w:color="000000" w:fill="000000"/>
                <w:fitText w:val="54" w:id="-691334645"/>
                <w14:textFill>
                  <w14:solidFill>
                    <w14:srgbClr w14:val="000000">
                      <w14:alpha w14:val="100000"/>
                    </w14:srgbClr>
                  </w14:solidFill>
                </w14:textFill>
              </w:rPr>
              <w:t xml:space="preserve">　</w:t>
            </w:r>
            <w:r w:rsidRPr="007510F8">
              <w:rPr>
                <w:b/>
                <w:bCs w:val="0"/>
                <w:color w:val="000000"/>
                <w:w w:val="15"/>
                <w:shd w:val="solid" w:color="000000" w:fill="000000"/>
                <w:fitText w:val="54" w:id="-691334645"/>
                <w14:textFill>
                  <w14:solidFill>
                    <w14:srgbClr w14:val="000000">
                      <w14:alpha w14:val="100000"/>
                    </w14:srgbClr>
                  </w14:solidFill>
                </w14:textFill>
              </w:rPr>
              <w:t>|</w:t>
            </w:r>
            <w:r w:rsidRPr="007510F8">
              <w:rPr>
                <w:rFonts w:hint="eastAsia"/>
                <w:b/>
                <w:bCs w:val="0"/>
                <w:color w:val="000000"/>
                <w:spacing w:val="-12"/>
                <w:w w:val="15"/>
                <w:shd w:val="solid" w:color="000000" w:fill="000000"/>
                <w:fitText w:val="54" w:id="-691334645"/>
                <w14:textFill>
                  <w14:solidFill>
                    <w14:srgbClr w14:val="000000">
                      <w14:alpha w14:val="100000"/>
                    </w14:srgbClr>
                  </w14:solidFill>
                </w14:textFill>
              </w:rPr>
              <w:t xml:space="preserve">　</w:t>
            </w:r>
            <w:r w:rsidR="00044157">
              <w:rPr>
                <w:b/>
                <w:bCs w:val="0"/>
              </w:rPr>
              <w:t xml:space="preserve"> </w:t>
            </w:r>
          </w:p>
        </w:tc>
        <w:tc>
          <w:tcPr>
            <w:tcW w:w="1122" w:type="dxa"/>
            <w:vAlign w:val="center"/>
          </w:tcPr>
          <w:p w14:paraId="7D822AC2" w14:textId="77777777" w:rsidR="006A5BB3" w:rsidRPr="00EF6635" w:rsidRDefault="006A5BB3" w:rsidP="00E55FD2">
            <w:pPr>
              <w:pStyle w:val="COMTabletext"/>
              <w:keepNext w:val="0"/>
              <w:jc w:val="center"/>
              <w:rPr>
                <w:b/>
                <w:bCs w:val="0"/>
              </w:rPr>
            </w:pPr>
            <w:r w:rsidRPr="00EF6635">
              <w:rPr>
                <w:b/>
                <w:bCs w:val="0"/>
              </w:rPr>
              <w:t>0.6085</w:t>
            </w:r>
          </w:p>
        </w:tc>
        <w:tc>
          <w:tcPr>
            <w:tcW w:w="1121" w:type="dxa"/>
            <w:vAlign w:val="center"/>
          </w:tcPr>
          <w:p w14:paraId="05AF5834" w14:textId="1E1537BA" w:rsidR="006A5BB3" w:rsidRPr="00EF6635" w:rsidRDefault="006A5BB3" w:rsidP="00E55FD2">
            <w:pPr>
              <w:pStyle w:val="COMTabletext"/>
              <w:keepNext w:val="0"/>
              <w:jc w:val="center"/>
              <w:rPr>
                <w:b/>
                <w:bCs w:val="0"/>
              </w:rPr>
            </w:pPr>
            <w:r w:rsidRPr="00EF6635">
              <w:rPr>
                <w:b/>
                <w:bCs w:val="0"/>
              </w:rPr>
              <w:t>$</w:t>
            </w:r>
            <w:r w:rsidR="007510F8" w:rsidRPr="007510F8">
              <w:rPr>
                <w:rFonts w:hint="eastAsia"/>
                <w:b/>
                <w:bCs w:val="0"/>
                <w:color w:val="000000"/>
                <w:w w:val="28"/>
                <w:shd w:val="solid" w:color="000000" w:fill="000000"/>
                <w:fitText w:val="129" w:id="-691334644"/>
                <w14:textFill>
                  <w14:solidFill>
                    <w14:srgbClr w14:val="000000">
                      <w14:alpha w14:val="100000"/>
                    </w14:srgbClr>
                  </w14:solidFill>
                </w14:textFill>
              </w:rPr>
              <w:t xml:space="preserve">　</w:t>
            </w:r>
            <w:r w:rsidR="007510F8" w:rsidRPr="007510F8">
              <w:rPr>
                <w:b/>
                <w:bCs w:val="0"/>
                <w:color w:val="000000"/>
                <w:w w:val="28"/>
                <w:shd w:val="solid" w:color="000000" w:fill="000000"/>
                <w:fitText w:val="129" w:id="-691334644"/>
                <w14:textFill>
                  <w14:solidFill>
                    <w14:srgbClr w14:val="000000">
                      <w14:alpha w14:val="100000"/>
                    </w14:srgbClr>
                  </w14:solidFill>
                </w14:textFill>
              </w:rPr>
              <w:t>|</w:t>
            </w:r>
            <w:r w:rsidR="007510F8" w:rsidRPr="007510F8">
              <w:rPr>
                <w:rFonts w:hint="eastAsia"/>
                <w:b/>
                <w:bCs w:val="0"/>
                <w:color w:val="000000"/>
                <w:w w:val="28"/>
                <w:shd w:val="solid" w:color="000000" w:fill="000000"/>
                <w:fitText w:val="129" w:id="-691334644"/>
                <w14:textFill>
                  <w14:solidFill>
                    <w14:srgbClr w14:val="000000">
                      <w14:alpha w14:val="100000"/>
                    </w14:srgbClr>
                  </w14:solidFill>
                </w14:textFill>
              </w:rPr>
              <w:t xml:space="preserve">　</w:t>
            </w:r>
            <w:r w:rsidR="005A73FD" w:rsidRPr="005A73FD">
              <w:rPr>
                <w:b/>
                <w:bCs w:val="0"/>
                <w:vertAlign w:val="superscript"/>
              </w:rPr>
              <w:t>1</w:t>
            </w:r>
          </w:p>
        </w:tc>
        <w:tc>
          <w:tcPr>
            <w:tcW w:w="1122" w:type="dxa"/>
            <w:vAlign w:val="center"/>
          </w:tcPr>
          <w:p w14:paraId="32D782F5" w14:textId="77777777" w:rsidR="006A5BB3" w:rsidRPr="00EF6635" w:rsidRDefault="006A5BB3" w:rsidP="00E55FD2">
            <w:pPr>
              <w:pStyle w:val="COMTabletext"/>
              <w:keepNext w:val="0"/>
              <w:jc w:val="center"/>
              <w:rPr>
                <w:b/>
                <w:bCs w:val="0"/>
              </w:rPr>
            </w:pPr>
            <w:r w:rsidRPr="00EF6635">
              <w:rPr>
                <w:b/>
                <w:bCs w:val="0"/>
              </w:rPr>
              <w:t>-</w:t>
            </w:r>
          </w:p>
        </w:tc>
      </w:tr>
      <w:tr w:rsidR="006A5BB3" w14:paraId="4A6A9D80" w14:textId="77777777" w:rsidTr="7FB99A72">
        <w:tc>
          <w:tcPr>
            <w:tcW w:w="9017" w:type="dxa"/>
            <w:gridSpan w:val="5"/>
          </w:tcPr>
          <w:p w14:paraId="57BB604F" w14:textId="77777777" w:rsidR="006A5BB3" w:rsidRPr="00EF6635" w:rsidRDefault="006A5BB3" w:rsidP="00E55FD2">
            <w:pPr>
              <w:pStyle w:val="COMTabletext"/>
              <w:keepNext w:val="0"/>
            </w:pPr>
            <w:r w:rsidRPr="00EF6635">
              <w:rPr>
                <w:b/>
                <w:szCs w:val="20"/>
              </w:rPr>
              <w:t>Discount rate (base case: 5% for benefits and costs)</w:t>
            </w:r>
          </w:p>
        </w:tc>
      </w:tr>
      <w:tr w:rsidR="006A5BB3" w14:paraId="37422ABE" w14:textId="77777777" w:rsidTr="7FB99A72">
        <w:tc>
          <w:tcPr>
            <w:tcW w:w="4531" w:type="dxa"/>
          </w:tcPr>
          <w:p w14:paraId="7729196E" w14:textId="77777777" w:rsidR="006A5BB3" w:rsidRPr="00EF6635" w:rsidRDefault="006A5BB3" w:rsidP="00E55FD2">
            <w:pPr>
              <w:pStyle w:val="COMTabletext"/>
              <w:keepNext w:val="0"/>
            </w:pPr>
            <w:r w:rsidRPr="00044157">
              <w:rPr>
                <w:szCs w:val="20"/>
              </w:rPr>
              <w:t>3.5%</w:t>
            </w:r>
            <w:r w:rsidRPr="00EF6635">
              <w:rPr>
                <w:szCs w:val="20"/>
              </w:rPr>
              <w:t xml:space="preserve"> discount rate</w:t>
            </w:r>
          </w:p>
        </w:tc>
        <w:tc>
          <w:tcPr>
            <w:tcW w:w="1121" w:type="dxa"/>
            <w:vAlign w:val="center"/>
          </w:tcPr>
          <w:p w14:paraId="7EC17A4E" w14:textId="5FD880C1"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43"/>
                <w14:textFill>
                  <w14:solidFill>
                    <w14:srgbClr w14:val="000000">
                      <w14:alpha w14:val="100000"/>
                    </w14:srgbClr>
                  </w14:solidFill>
                </w14:textFill>
              </w:rPr>
              <w:t xml:space="preserve">　</w:t>
            </w:r>
            <w:r>
              <w:rPr>
                <w:rFonts w:cs="Calibri"/>
                <w:color w:val="000000"/>
                <w:w w:val="15"/>
                <w:szCs w:val="20"/>
                <w:shd w:val="solid" w:color="000000" w:fill="000000"/>
                <w:fitText w:val="22" w:id="-691334643"/>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3"/>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5F7E1186" w14:textId="77777777" w:rsidR="006A5BB3" w:rsidRPr="00EF6635" w:rsidRDefault="006A5BB3" w:rsidP="00E55FD2">
            <w:pPr>
              <w:pStyle w:val="COMTabletext"/>
              <w:keepNext w:val="0"/>
              <w:jc w:val="center"/>
            </w:pPr>
            <w:r w:rsidRPr="00EF6635">
              <w:rPr>
                <w:rFonts w:cs="Calibri"/>
                <w:color w:val="000000"/>
                <w:szCs w:val="20"/>
              </w:rPr>
              <w:t>0.6434</w:t>
            </w:r>
          </w:p>
        </w:tc>
        <w:tc>
          <w:tcPr>
            <w:tcW w:w="1121" w:type="dxa"/>
            <w:vAlign w:val="center"/>
          </w:tcPr>
          <w:p w14:paraId="02732005" w14:textId="2D6F9B64"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42"/>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2"/>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2"/>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15A0073B" w14:textId="5098C78A"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26"/>
                <w:szCs w:val="20"/>
                <w:shd w:val="solid" w:color="000000" w:fill="000000"/>
                <w:fitText w:val="118" w:id="-691334641"/>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41"/>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41"/>
                <w14:textFill>
                  <w14:solidFill>
                    <w14:srgbClr w14:val="000000">
                      <w14:alpha w14:val="100000"/>
                    </w14:srgbClr>
                  </w14:solidFill>
                </w14:textFill>
              </w:rPr>
              <w:t xml:space="preserve">　</w:t>
            </w:r>
            <w:r w:rsidRPr="00EF6635">
              <w:rPr>
                <w:rFonts w:cs="Calibri"/>
                <w:color w:val="000000"/>
                <w:szCs w:val="20"/>
              </w:rPr>
              <w:t>%</w:t>
            </w:r>
          </w:p>
        </w:tc>
      </w:tr>
      <w:tr w:rsidR="006A5BB3" w14:paraId="6B83717F" w14:textId="77777777" w:rsidTr="7FB99A72">
        <w:tc>
          <w:tcPr>
            <w:tcW w:w="4531" w:type="dxa"/>
          </w:tcPr>
          <w:p w14:paraId="006E905F" w14:textId="77777777" w:rsidR="006A5BB3" w:rsidRPr="00EF6635" w:rsidRDefault="006A5BB3" w:rsidP="00E55FD2">
            <w:pPr>
              <w:pStyle w:val="COMTabletext"/>
              <w:keepNext w:val="0"/>
            </w:pPr>
            <w:r w:rsidRPr="00EF6635">
              <w:rPr>
                <w:szCs w:val="20"/>
              </w:rPr>
              <w:t>0% discount rate</w:t>
            </w:r>
          </w:p>
        </w:tc>
        <w:tc>
          <w:tcPr>
            <w:tcW w:w="1121" w:type="dxa"/>
            <w:vAlign w:val="center"/>
          </w:tcPr>
          <w:p w14:paraId="2CA53BB8" w14:textId="17E18CDE"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40"/>
                <w14:textFill>
                  <w14:solidFill>
                    <w14:srgbClr w14:val="000000">
                      <w14:alpha w14:val="100000"/>
                    </w14:srgbClr>
                  </w14:solidFill>
                </w14:textFill>
              </w:rPr>
              <w:t xml:space="preserve">　</w:t>
            </w:r>
            <w:r>
              <w:rPr>
                <w:rFonts w:cs="Calibri"/>
                <w:color w:val="000000"/>
                <w:w w:val="15"/>
                <w:szCs w:val="20"/>
                <w:shd w:val="solid" w:color="000000" w:fill="000000"/>
                <w:fitText w:val="22" w:id="-691334640"/>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0"/>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59F0C5F4" w14:textId="77777777" w:rsidR="006A5BB3" w:rsidRPr="00EF6635" w:rsidRDefault="006A5BB3" w:rsidP="00E55FD2">
            <w:pPr>
              <w:pStyle w:val="COMTabletext"/>
              <w:keepNext w:val="0"/>
              <w:jc w:val="center"/>
            </w:pPr>
            <w:r w:rsidRPr="00EF6635">
              <w:rPr>
                <w:rFonts w:cs="Calibri"/>
                <w:color w:val="000000"/>
                <w:szCs w:val="20"/>
              </w:rPr>
              <w:t>0.7396</w:t>
            </w:r>
          </w:p>
        </w:tc>
        <w:tc>
          <w:tcPr>
            <w:tcW w:w="1121" w:type="dxa"/>
            <w:vAlign w:val="center"/>
          </w:tcPr>
          <w:p w14:paraId="04E70B42" w14:textId="060D7B2C"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56"/>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6"/>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6"/>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2EA78419" w14:textId="7E4A409E"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26"/>
                <w:szCs w:val="20"/>
                <w:shd w:val="solid" w:color="000000" w:fill="000000"/>
                <w:fitText w:val="118" w:id="-691334655"/>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55"/>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55"/>
                <w14:textFill>
                  <w14:solidFill>
                    <w14:srgbClr w14:val="000000">
                      <w14:alpha w14:val="100000"/>
                    </w14:srgbClr>
                  </w14:solidFill>
                </w14:textFill>
              </w:rPr>
              <w:t xml:space="preserve">　</w:t>
            </w:r>
            <w:r w:rsidRPr="00EF6635">
              <w:rPr>
                <w:rFonts w:cs="Calibri"/>
                <w:color w:val="000000"/>
                <w:szCs w:val="20"/>
              </w:rPr>
              <w:t>%</w:t>
            </w:r>
          </w:p>
        </w:tc>
      </w:tr>
      <w:tr w:rsidR="006A5BB3" w14:paraId="76910A2F" w14:textId="77777777" w:rsidTr="7FB99A72">
        <w:tc>
          <w:tcPr>
            <w:tcW w:w="9017" w:type="dxa"/>
            <w:gridSpan w:val="5"/>
          </w:tcPr>
          <w:p w14:paraId="2CA5FABE" w14:textId="77777777" w:rsidR="006A5BB3" w:rsidRPr="00EF6635" w:rsidRDefault="006A5BB3" w:rsidP="00E55FD2">
            <w:pPr>
              <w:pStyle w:val="COMTabletext"/>
              <w:keepNext w:val="0"/>
            </w:pPr>
            <w:r w:rsidRPr="00EF6635">
              <w:rPr>
                <w:b/>
                <w:szCs w:val="20"/>
              </w:rPr>
              <w:t xml:space="preserve">Time horizon (base case: </w:t>
            </w:r>
            <w:r w:rsidRPr="00851006">
              <w:rPr>
                <w:b/>
                <w:szCs w:val="20"/>
              </w:rPr>
              <w:t>10</w:t>
            </w:r>
            <w:r w:rsidRPr="00EF6635">
              <w:rPr>
                <w:b/>
                <w:szCs w:val="20"/>
              </w:rPr>
              <w:t xml:space="preserve"> years)</w:t>
            </w:r>
          </w:p>
        </w:tc>
      </w:tr>
      <w:tr w:rsidR="006A5BB3" w14:paraId="552AA994" w14:textId="77777777" w:rsidTr="7FB99A72">
        <w:tc>
          <w:tcPr>
            <w:tcW w:w="4531" w:type="dxa"/>
          </w:tcPr>
          <w:p w14:paraId="3540B1FF" w14:textId="77777777" w:rsidR="006A5BB3" w:rsidRPr="00EF6635" w:rsidRDefault="006A5BB3" w:rsidP="00E55FD2">
            <w:pPr>
              <w:pStyle w:val="COMTabletext"/>
              <w:keepNext w:val="0"/>
            </w:pPr>
            <w:r w:rsidRPr="00EF6635">
              <w:rPr>
                <w:szCs w:val="20"/>
              </w:rPr>
              <w:t>20 years</w:t>
            </w:r>
          </w:p>
        </w:tc>
        <w:tc>
          <w:tcPr>
            <w:tcW w:w="1121" w:type="dxa"/>
            <w:vAlign w:val="center"/>
          </w:tcPr>
          <w:p w14:paraId="0DF96678" w14:textId="6665294D"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54"/>
                <w14:textFill>
                  <w14:solidFill>
                    <w14:srgbClr w14:val="000000">
                      <w14:alpha w14:val="100000"/>
                    </w14:srgbClr>
                  </w14:solidFill>
                </w14:textFill>
              </w:rPr>
              <w:t xml:space="preserve">　</w:t>
            </w:r>
            <w:r>
              <w:rPr>
                <w:rFonts w:cs="Calibri"/>
                <w:color w:val="000000"/>
                <w:w w:val="15"/>
                <w:szCs w:val="20"/>
                <w:shd w:val="solid" w:color="000000" w:fill="000000"/>
                <w:fitText w:val="22" w:id="-691334654"/>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54"/>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33DCD379" w14:textId="77777777" w:rsidR="006A5BB3" w:rsidRPr="00EF6635" w:rsidRDefault="006A5BB3" w:rsidP="00E55FD2">
            <w:pPr>
              <w:pStyle w:val="COMTabletext"/>
              <w:keepNext w:val="0"/>
              <w:jc w:val="center"/>
            </w:pPr>
            <w:r w:rsidRPr="00EF6635">
              <w:rPr>
                <w:rFonts w:cs="Calibri"/>
                <w:color w:val="000000"/>
                <w:szCs w:val="20"/>
              </w:rPr>
              <w:t>0.6839</w:t>
            </w:r>
          </w:p>
        </w:tc>
        <w:tc>
          <w:tcPr>
            <w:tcW w:w="1121" w:type="dxa"/>
            <w:vAlign w:val="center"/>
          </w:tcPr>
          <w:p w14:paraId="39A9A68B" w14:textId="422E898E"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53"/>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3"/>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3"/>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3C66F751" w14:textId="5D938CE2"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26"/>
                <w:szCs w:val="20"/>
                <w:shd w:val="solid" w:color="000000" w:fill="000000"/>
                <w:fitText w:val="118" w:id="-691334652"/>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52"/>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52"/>
                <w14:textFill>
                  <w14:solidFill>
                    <w14:srgbClr w14:val="000000">
                      <w14:alpha w14:val="100000"/>
                    </w14:srgbClr>
                  </w14:solidFill>
                </w14:textFill>
              </w:rPr>
              <w:t xml:space="preserve">　</w:t>
            </w:r>
            <w:r w:rsidRPr="00EF6635">
              <w:rPr>
                <w:rFonts w:cs="Calibri"/>
                <w:color w:val="000000"/>
                <w:szCs w:val="20"/>
              </w:rPr>
              <w:t>%</w:t>
            </w:r>
          </w:p>
        </w:tc>
      </w:tr>
      <w:tr w:rsidR="006A5BB3" w14:paraId="6227289C" w14:textId="77777777" w:rsidTr="7FB99A72">
        <w:tc>
          <w:tcPr>
            <w:tcW w:w="4531" w:type="dxa"/>
          </w:tcPr>
          <w:p w14:paraId="60B873B9" w14:textId="77777777" w:rsidR="006A5BB3" w:rsidRPr="00EF6635" w:rsidRDefault="006A5BB3" w:rsidP="00E55FD2">
            <w:pPr>
              <w:pStyle w:val="COMTabletext"/>
              <w:keepNext w:val="0"/>
            </w:pPr>
            <w:r w:rsidRPr="00EF6635">
              <w:rPr>
                <w:szCs w:val="20"/>
              </w:rPr>
              <w:t>5 years</w:t>
            </w:r>
          </w:p>
        </w:tc>
        <w:tc>
          <w:tcPr>
            <w:tcW w:w="1121" w:type="dxa"/>
            <w:vAlign w:val="center"/>
          </w:tcPr>
          <w:p w14:paraId="1F3C5BB2" w14:textId="6F34A3A4"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51"/>
                <w14:textFill>
                  <w14:solidFill>
                    <w14:srgbClr w14:val="000000">
                      <w14:alpha w14:val="100000"/>
                    </w14:srgbClr>
                  </w14:solidFill>
                </w14:textFill>
              </w:rPr>
              <w:t xml:space="preserve">　</w:t>
            </w:r>
            <w:r>
              <w:rPr>
                <w:rFonts w:cs="Calibri"/>
                <w:color w:val="000000"/>
                <w:w w:val="15"/>
                <w:szCs w:val="20"/>
                <w:shd w:val="solid" w:color="000000" w:fill="000000"/>
                <w:fitText w:val="22" w:id="-691334651"/>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51"/>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69968D2F" w14:textId="77777777" w:rsidR="006A5BB3" w:rsidRPr="00EF6635" w:rsidRDefault="006A5BB3" w:rsidP="00E55FD2">
            <w:pPr>
              <w:pStyle w:val="COMTabletext"/>
              <w:keepNext w:val="0"/>
              <w:jc w:val="center"/>
            </w:pPr>
            <w:r w:rsidRPr="00EF6635">
              <w:rPr>
                <w:rFonts w:cs="Calibri"/>
                <w:color w:val="000000"/>
                <w:szCs w:val="20"/>
              </w:rPr>
              <w:t>0.4164</w:t>
            </w:r>
          </w:p>
        </w:tc>
        <w:tc>
          <w:tcPr>
            <w:tcW w:w="1121" w:type="dxa"/>
            <w:vAlign w:val="center"/>
          </w:tcPr>
          <w:p w14:paraId="4FB335E4" w14:textId="1B17E86B"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50"/>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0"/>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0"/>
                <w14:textFill>
                  <w14:solidFill>
                    <w14:srgbClr w14:val="000000">
                      <w14:alpha w14:val="100000"/>
                    </w14:srgbClr>
                  </w14:solidFill>
                </w14:textFill>
              </w:rPr>
              <w:t xml:space="preserve">　</w:t>
            </w:r>
            <w:r w:rsidR="00862796" w:rsidRPr="00862796">
              <w:rPr>
                <w:rFonts w:cs="Calibri"/>
                <w:color w:val="000000"/>
                <w:szCs w:val="20"/>
                <w:vertAlign w:val="superscript"/>
              </w:rPr>
              <w:t>2</w:t>
            </w:r>
          </w:p>
        </w:tc>
        <w:tc>
          <w:tcPr>
            <w:tcW w:w="1122" w:type="dxa"/>
            <w:vAlign w:val="center"/>
          </w:tcPr>
          <w:p w14:paraId="2927424C" w14:textId="2F16D27D"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31"/>
                <w:szCs w:val="20"/>
                <w:shd w:val="solid" w:color="000000" w:fill="000000"/>
                <w:fitText w:val="140" w:id="-691334649"/>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49"/>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49"/>
                <w14:textFill>
                  <w14:solidFill>
                    <w14:srgbClr w14:val="000000">
                      <w14:alpha w14:val="100000"/>
                    </w14:srgbClr>
                  </w14:solidFill>
                </w14:textFill>
              </w:rPr>
              <w:t xml:space="preserve">　</w:t>
            </w:r>
            <w:r w:rsidRPr="00EF6635">
              <w:rPr>
                <w:rFonts w:cs="Calibri"/>
                <w:color w:val="000000"/>
                <w:szCs w:val="20"/>
              </w:rPr>
              <w:t>%</w:t>
            </w:r>
          </w:p>
        </w:tc>
      </w:tr>
      <w:tr w:rsidR="006A5BB3" w14:paraId="2DE616D1" w14:textId="77777777" w:rsidTr="7FB99A72">
        <w:tc>
          <w:tcPr>
            <w:tcW w:w="9017" w:type="dxa"/>
            <w:gridSpan w:val="5"/>
          </w:tcPr>
          <w:p w14:paraId="134DE20F" w14:textId="77777777" w:rsidR="006A5BB3" w:rsidRPr="00EF6635" w:rsidRDefault="006A5BB3" w:rsidP="00E55FD2">
            <w:pPr>
              <w:pStyle w:val="COMTabletext"/>
              <w:keepNext w:val="0"/>
              <w:rPr>
                <w:rFonts w:cs="Calibri"/>
                <w:b/>
                <w:bCs w:val="0"/>
                <w:color w:val="000000"/>
                <w:szCs w:val="20"/>
              </w:rPr>
            </w:pPr>
            <w:r w:rsidRPr="00EF6635">
              <w:rPr>
                <w:b/>
                <w:bCs w:val="0"/>
                <w:szCs w:val="20"/>
              </w:rPr>
              <w:t>Patient characteristics (base case: derived from the RAISE whole trial population)</w:t>
            </w:r>
          </w:p>
        </w:tc>
      </w:tr>
      <w:tr w:rsidR="006A5BB3" w14:paraId="1EEB3FFC" w14:textId="77777777" w:rsidTr="7FB99A72">
        <w:tc>
          <w:tcPr>
            <w:tcW w:w="4531" w:type="dxa"/>
          </w:tcPr>
          <w:p w14:paraId="6F0620B2" w14:textId="77777777" w:rsidR="006A5BB3" w:rsidRPr="00EF6635" w:rsidRDefault="006A5BB3" w:rsidP="00E55FD2">
            <w:pPr>
              <w:pStyle w:val="COMTabletext"/>
              <w:keepNext w:val="0"/>
              <w:rPr>
                <w:szCs w:val="20"/>
              </w:rPr>
            </w:pPr>
            <w:r w:rsidRPr="00EF6635">
              <w:rPr>
                <w:szCs w:val="20"/>
              </w:rPr>
              <w:t>Based on the RAISE treatment refractory subgroup</w:t>
            </w:r>
          </w:p>
        </w:tc>
        <w:tc>
          <w:tcPr>
            <w:tcW w:w="1121" w:type="dxa"/>
            <w:vAlign w:val="center"/>
          </w:tcPr>
          <w:p w14:paraId="59214586" w14:textId="172A5493" w:rsidR="006A5BB3" w:rsidRPr="00EF6635" w:rsidRDefault="006A5BB3"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15"/>
                <w:szCs w:val="20"/>
                <w:shd w:val="solid" w:color="000000" w:fill="000000"/>
                <w:fitText w:val="54" w:id="-691334648"/>
                <w14:textFill>
                  <w14:solidFill>
                    <w14:srgbClr w14:val="000000">
                      <w14:alpha w14:val="100000"/>
                    </w14:srgbClr>
                  </w14:solidFill>
                </w14:textFill>
              </w:rPr>
              <w:t xml:space="preserve">　</w:t>
            </w:r>
            <w:r w:rsidR="007510F8" w:rsidRPr="007510F8">
              <w:rPr>
                <w:rFonts w:cs="Calibri"/>
                <w:color w:val="000000"/>
                <w:w w:val="15"/>
                <w:szCs w:val="20"/>
                <w:shd w:val="solid" w:color="000000" w:fill="000000"/>
                <w:fitText w:val="54" w:id="-691334648"/>
                <w14:textFill>
                  <w14:solidFill>
                    <w14:srgbClr w14:val="000000">
                      <w14:alpha w14:val="100000"/>
                    </w14:srgbClr>
                  </w14:solidFill>
                </w14:textFill>
              </w:rPr>
              <w:t>|</w:t>
            </w:r>
            <w:r w:rsidR="007510F8" w:rsidRPr="007510F8">
              <w:rPr>
                <w:rFonts w:cs="Calibri" w:hint="eastAsia"/>
                <w:color w:val="000000"/>
                <w:spacing w:val="-11"/>
                <w:w w:val="15"/>
                <w:szCs w:val="20"/>
                <w:shd w:val="solid" w:color="000000" w:fill="000000"/>
                <w:fitText w:val="54" w:id="-691334648"/>
                <w14:textFill>
                  <w14:solidFill>
                    <w14:srgbClr w14:val="000000">
                      <w14:alpha w14:val="100000"/>
                    </w14:srgbClr>
                  </w14:solidFill>
                </w14:textFill>
              </w:rPr>
              <w:t xml:space="preserve">　</w:t>
            </w:r>
            <w:r w:rsidR="00044157">
              <w:rPr>
                <w:rFonts w:cs="Calibri"/>
                <w:color w:val="000000"/>
                <w:szCs w:val="20"/>
              </w:rPr>
              <w:t xml:space="preserve"> </w:t>
            </w:r>
          </w:p>
        </w:tc>
        <w:tc>
          <w:tcPr>
            <w:tcW w:w="1122" w:type="dxa"/>
            <w:vAlign w:val="center"/>
          </w:tcPr>
          <w:p w14:paraId="6C74FF11" w14:textId="77777777" w:rsidR="006A5BB3" w:rsidRPr="00EF6635" w:rsidRDefault="006A5BB3" w:rsidP="00E55FD2">
            <w:pPr>
              <w:pStyle w:val="COMTabletext"/>
              <w:keepNext w:val="0"/>
              <w:jc w:val="center"/>
              <w:rPr>
                <w:rFonts w:cs="Calibri"/>
                <w:color w:val="000000"/>
                <w:szCs w:val="20"/>
              </w:rPr>
            </w:pPr>
            <w:r w:rsidRPr="00EF6635">
              <w:rPr>
                <w:rFonts w:cs="Calibri"/>
                <w:color w:val="000000"/>
                <w:szCs w:val="20"/>
              </w:rPr>
              <w:t>0.6095</w:t>
            </w:r>
          </w:p>
        </w:tc>
        <w:tc>
          <w:tcPr>
            <w:tcW w:w="1121" w:type="dxa"/>
            <w:vAlign w:val="center"/>
          </w:tcPr>
          <w:p w14:paraId="5F6A23C3" w14:textId="4569492C" w:rsidR="006A5BB3" w:rsidRPr="00EF6635" w:rsidRDefault="007510F8" w:rsidP="00E55FD2">
            <w:pPr>
              <w:pStyle w:val="COMTabletext"/>
              <w:keepNext w:val="0"/>
              <w:jc w:val="center"/>
              <w:rPr>
                <w:rFonts w:cs="Calibri"/>
                <w:color w:val="000000"/>
                <w:szCs w:val="20"/>
              </w:rPr>
            </w:pPr>
            <w:r w:rsidRPr="007510F8">
              <w:rPr>
                <w:rFonts w:cs="Calibri" w:hint="eastAsia"/>
                <w:color w:val="000000"/>
                <w:w w:val="15"/>
                <w:szCs w:val="20"/>
                <w:shd w:val="solid" w:color="000000" w:fill="000000"/>
                <w:fitText w:val="43" w:id="-691334647"/>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7"/>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7"/>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05EAE1F6" w14:textId="109D97CA" w:rsidR="006A5BB3" w:rsidRPr="00EF6635" w:rsidRDefault="006A5BB3"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26"/>
                <w:szCs w:val="20"/>
                <w:shd w:val="solid" w:color="000000" w:fill="000000"/>
                <w:fitText w:val="118" w:id="-691334646"/>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46"/>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46"/>
                <w14:textFill>
                  <w14:solidFill>
                    <w14:srgbClr w14:val="000000">
                      <w14:alpha w14:val="100000"/>
                    </w14:srgbClr>
                  </w14:solidFill>
                </w14:textFill>
              </w:rPr>
              <w:t xml:space="preserve">　</w:t>
            </w:r>
            <w:r w:rsidRPr="00EF6635">
              <w:rPr>
                <w:rFonts w:cs="Calibri"/>
                <w:color w:val="000000"/>
                <w:szCs w:val="20"/>
              </w:rPr>
              <w:t>%</w:t>
            </w:r>
          </w:p>
        </w:tc>
      </w:tr>
      <w:tr w:rsidR="006A5BB3" w14:paraId="70529DB1" w14:textId="77777777" w:rsidTr="7FB99A72">
        <w:tc>
          <w:tcPr>
            <w:tcW w:w="9017" w:type="dxa"/>
            <w:gridSpan w:val="5"/>
          </w:tcPr>
          <w:p w14:paraId="42026111" w14:textId="77777777" w:rsidR="006A5BB3" w:rsidRPr="00EF6635" w:rsidRDefault="006A5BB3" w:rsidP="00E55FD2">
            <w:pPr>
              <w:pStyle w:val="COMTabletext"/>
              <w:keepNext w:val="0"/>
              <w:rPr>
                <w:b/>
                <w:bCs w:val="0"/>
              </w:rPr>
            </w:pPr>
            <w:r w:rsidRPr="00EF6635">
              <w:rPr>
                <w:b/>
                <w:bCs w:val="0"/>
              </w:rPr>
              <w:t xml:space="preserve">Initial treatment </w:t>
            </w:r>
            <w:r w:rsidRPr="00C112B9">
              <w:rPr>
                <w:b/>
                <w:bCs w:val="0"/>
              </w:rPr>
              <w:t xml:space="preserve">response rates (response rates based on a 3-point reduction in MG-ADL; </w:t>
            </w:r>
            <w:proofErr w:type="spellStart"/>
            <w:r w:rsidRPr="00C112B9">
              <w:rPr>
                <w:b/>
                <w:bCs w:val="0"/>
              </w:rPr>
              <w:t>zilucoplan</w:t>
            </w:r>
            <w:proofErr w:type="spellEnd"/>
            <w:r w:rsidRPr="00C112B9">
              <w:rPr>
                <w:b/>
                <w:bCs w:val="0"/>
              </w:rPr>
              <w:t xml:space="preserve"> response rates based on Week 16 data from</w:t>
            </w:r>
            <w:r w:rsidRPr="00EF6635">
              <w:rPr>
                <w:b/>
                <w:bCs w:val="0"/>
              </w:rPr>
              <w:t xml:space="preserve"> the extension study and placebo response rate based on Week 12 data from the RAISE trial)</w:t>
            </w:r>
          </w:p>
        </w:tc>
      </w:tr>
      <w:tr w:rsidR="006A5BB3" w14:paraId="0D4BC00B" w14:textId="77777777" w:rsidTr="7FB99A72">
        <w:tc>
          <w:tcPr>
            <w:tcW w:w="4531" w:type="dxa"/>
          </w:tcPr>
          <w:p w14:paraId="2C788B4F" w14:textId="4E708835" w:rsidR="006A5BB3" w:rsidRPr="00EF6635" w:rsidRDefault="006A5BB3" w:rsidP="00E55FD2">
            <w:pPr>
              <w:pStyle w:val="COMTabletext"/>
              <w:keepNext w:val="0"/>
            </w:pPr>
            <w:r w:rsidRPr="00EF6635">
              <w:rPr>
                <w:szCs w:val="20"/>
              </w:rPr>
              <w:t xml:space="preserve">Both treatment arms based on Week 12 RCT data; with response assessment at </w:t>
            </w:r>
            <w:r w:rsidR="00E423A1" w:rsidRPr="00EF6635">
              <w:rPr>
                <w:szCs w:val="20"/>
              </w:rPr>
              <w:t xml:space="preserve">Week </w:t>
            </w:r>
            <w:r w:rsidRPr="00EF6635">
              <w:rPr>
                <w:szCs w:val="20"/>
              </w:rPr>
              <w:t>12</w:t>
            </w:r>
          </w:p>
        </w:tc>
        <w:tc>
          <w:tcPr>
            <w:tcW w:w="1121" w:type="dxa"/>
            <w:vAlign w:val="center"/>
          </w:tcPr>
          <w:p w14:paraId="278520DB" w14:textId="5FB1DD6F" w:rsidR="006A5BB3" w:rsidRPr="00EF6635" w:rsidRDefault="007510F8" w:rsidP="00E55FD2">
            <w:pPr>
              <w:pStyle w:val="COMTabletext"/>
              <w:keepNext w:val="0"/>
              <w:jc w:val="center"/>
            </w:pPr>
            <w:r>
              <w:rPr>
                <w:rFonts w:cs="Calibri" w:hint="eastAsia"/>
                <w:color w:val="000000"/>
                <w:w w:val="15"/>
                <w:szCs w:val="20"/>
                <w:shd w:val="solid" w:color="000000" w:fill="000000"/>
                <w:fitText w:val="22" w:id="-691334645"/>
                <w14:textFill>
                  <w14:solidFill>
                    <w14:srgbClr w14:val="000000">
                      <w14:alpha w14:val="100000"/>
                    </w14:srgbClr>
                  </w14:solidFill>
                </w14:textFill>
              </w:rPr>
              <w:t xml:space="preserve">　</w:t>
            </w:r>
            <w:r>
              <w:rPr>
                <w:rFonts w:cs="Calibri"/>
                <w:color w:val="000000"/>
                <w:w w:val="15"/>
                <w:szCs w:val="20"/>
                <w:shd w:val="solid" w:color="000000" w:fill="000000"/>
                <w:fitText w:val="22" w:id="-691334645"/>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5"/>
                <w14:textFill>
                  <w14:solidFill>
                    <w14:srgbClr w14:val="000000">
                      <w14:alpha w14:val="100000"/>
                    </w14:srgbClr>
                  </w14:solidFill>
                </w14:textFill>
              </w:rPr>
              <w:t xml:space="preserve">　</w:t>
            </w:r>
            <w:r w:rsidR="00044157">
              <w:rPr>
                <w:rFonts w:cs="Calibri"/>
                <w:color w:val="000000"/>
                <w:szCs w:val="20"/>
              </w:rPr>
              <w:t xml:space="preserve"> </w:t>
            </w:r>
          </w:p>
        </w:tc>
        <w:tc>
          <w:tcPr>
            <w:tcW w:w="1122" w:type="dxa"/>
            <w:vAlign w:val="center"/>
          </w:tcPr>
          <w:p w14:paraId="394A2C27" w14:textId="77777777" w:rsidR="006A5BB3" w:rsidRPr="00EF6635" w:rsidRDefault="006A5BB3" w:rsidP="00E55FD2">
            <w:pPr>
              <w:pStyle w:val="COMTabletext"/>
              <w:keepNext w:val="0"/>
              <w:jc w:val="center"/>
            </w:pPr>
            <w:r w:rsidRPr="00EF6635">
              <w:rPr>
                <w:rFonts w:cs="Calibri"/>
                <w:color w:val="000000"/>
                <w:szCs w:val="20"/>
              </w:rPr>
              <w:t>0.5115</w:t>
            </w:r>
          </w:p>
        </w:tc>
        <w:tc>
          <w:tcPr>
            <w:tcW w:w="1121" w:type="dxa"/>
            <w:vAlign w:val="center"/>
          </w:tcPr>
          <w:p w14:paraId="6D8CAFA7" w14:textId="129139D7" w:rsidR="006A5BB3" w:rsidRPr="00EF6635" w:rsidRDefault="007510F8" w:rsidP="00E55FD2">
            <w:pPr>
              <w:pStyle w:val="COMTabletext"/>
              <w:keepNext w:val="0"/>
              <w:jc w:val="center"/>
            </w:pPr>
            <w:r w:rsidRPr="007510F8">
              <w:rPr>
                <w:rFonts w:cs="Calibri" w:hint="eastAsia"/>
                <w:color w:val="000000"/>
                <w:w w:val="15"/>
                <w:szCs w:val="20"/>
                <w:shd w:val="solid" w:color="000000" w:fill="000000"/>
                <w:fitText w:val="43" w:id="-691334644"/>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4"/>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4"/>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493B918E" w14:textId="07D5D7ED"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26"/>
                <w:szCs w:val="20"/>
                <w:shd w:val="solid" w:color="000000" w:fill="000000"/>
                <w:fitText w:val="118" w:id="-691334643"/>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43"/>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43"/>
                <w14:textFill>
                  <w14:solidFill>
                    <w14:srgbClr w14:val="000000">
                      <w14:alpha w14:val="100000"/>
                    </w14:srgbClr>
                  </w14:solidFill>
                </w14:textFill>
              </w:rPr>
              <w:t xml:space="preserve">　</w:t>
            </w:r>
            <w:r w:rsidRPr="00EF6635">
              <w:rPr>
                <w:rFonts w:cs="Calibri"/>
                <w:color w:val="000000"/>
                <w:szCs w:val="20"/>
              </w:rPr>
              <w:t>%</w:t>
            </w:r>
          </w:p>
        </w:tc>
      </w:tr>
      <w:tr w:rsidR="006A5BB3" w14:paraId="2D43AE73" w14:textId="77777777" w:rsidTr="7FB99A72">
        <w:tc>
          <w:tcPr>
            <w:tcW w:w="9017" w:type="dxa"/>
            <w:gridSpan w:val="5"/>
          </w:tcPr>
          <w:p w14:paraId="2E13161A" w14:textId="5D140FF2" w:rsidR="006A5BB3" w:rsidRPr="00EF6635" w:rsidRDefault="0902D2DA" w:rsidP="00E55FD2">
            <w:pPr>
              <w:pStyle w:val="COMTabletext"/>
              <w:keepNext w:val="0"/>
              <w:rPr>
                <w:rFonts w:cs="Calibri"/>
                <w:b/>
                <w:color w:val="000000"/>
              </w:rPr>
            </w:pPr>
            <w:r w:rsidRPr="7FB99A72">
              <w:rPr>
                <w:b/>
              </w:rPr>
              <w:t xml:space="preserve">Use of subsequent IVIg/PLEX (base case: </w:t>
            </w:r>
            <w:r w:rsidRPr="00851006">
              <w:rPr>
                <w:b/>
              </w:rPr>
              <w:t>20%</w:t>
            </w:r>
            <w:r w:rsidRPr="7FB99A72">
              <w:rPr>
                <w:b/>
              </w:rPr>
              <w:t xml:space="preserve"> of non-responders use subsequent IVIg/PLEX)</w:t>
            </w:r>
          </w:p>
        </w:tc>
      </w:tr>
      <w:tr w:rsidR="006A5BB3" w14:paraId="366BA20E" w14:textId="77777777" w:rsidTr="7FB99A72">
        <w:tc>
          <w:tcPr>
            <w:tcW w:w="4531" w:type="dxa"/>
          </w:tcPr>
          <w:p w14:paraId="3F487C9F" w14:textId="77777777" w:rsidR="006A5BB3" w:rsidRPr="00EF6635" w:rsidRDefault="006A5BB3" w:rsidP="00E55FD2">
            <w:pPr>
              <w:pStyle w:val="COMTabletext"/>
              <w:keepNext w:val="0"/>
            </w:pPr>
            <w:r w:rsidRPr="00EF6635">
              <w:t>0% of non-responders use IVIg/PLEX</w:t>
            </w:r>
          </w:p>
        </w:tc>
        <w:tc>
          <w:tcPr>
            <w:tcW w:w="1121" w:type="dxa"/>
            <w:vAlign w:val="center"/>
          </w:tcPr>
          <w:p w14:paraId="5AE1AB83" w14:textId="148EF603"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42"/>
                <w14:textFill>
                  <w14:solidFill>
                    <w14:srgbClr w14:val="000000">
                      <w14:alpha w14:val="100000"/>
                    </w14:srgbClr>
                  </w14:solidFill>
                </w14:textFill>
              </w:rPr>
              <w:t xml:space="preserve">　</w:t>
            </w:r>
            <w:r>
              <w:rPr>
                <w:rFonts w:cs="Calibri"/>
                <w:color w:val="000000"/>
                <w:w w:val="15"/>
                <w:szCs w:val="20"/>
                <w:shd w:val="solid" w:color="000000" w:fill="000000"/>
                <w:fitText w:val="22" w:id="-691334642"/>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2"/>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1E7DB2EF" w14:textId="77777777" w:rsidR="006A5BB3" w:rsidRPr="00EF6635" w:rsidRDefault="006A5BB3" w:rsidP="00E55FD2">
            <w:pPr>
              <w:pStyle w:val="COMTabletext"/>
              <w:keepNext w:val="0"/>
              <w:jc w:val="center"/>
            </w:pPr>
            <w:r w:rsidRPr="00EF6635">
              <w:rPr>
                <w:rFonts w:cs="Calibri"/>
                <w:color w:val="000000"/>
                <w:szCs w:val="20"/>
              </w:rPr>
              <w:t>0.6528</w:t>
            </w:r>
          </w:p>
        </w:tc>
        <w:tc>
          <w:tcPr>
            <w:tcW w:w="1121" w:type="dxa"/>
            <w:vAlign w:val="center"/>
          </w:tcPr>
          <w:p w14:paraId="57463558" w14:textId="4CDE4F60"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41"/>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1"/>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1"/>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3B79457D" w14:textId="14657D36"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26"/>
                <w:szCs w:val="20"/>
                <w:shd w:val="solid" w:color="000000" w:fill="000000"/>
                <w:fitText w:val="118" w:id="-691334640"/>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40"/>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40"/>
                <w14:textFill>
                  <w14:solidFill>
                    <w14:srgbClr w14:val="000000">
                      <w14:alpha w14:val="100000"/>
                    </w14:srgbClr>
                  </w14:solidFill>
                </w14:textFill>
              </w:rPr>
              <w:t xml:space="preserve">　</w:t>
            </w:r>
            <w:r w:rsidRPr="00EF6635">
              <w:rPr>
                <w:rFonts w:cs="Calibri"/>
                <w:color w:val="000000"/>
                <w:szCs w:val="20"/>
              </w:rPr>
              <w:t>%</w:t>
            </w:r>
          </w:p>
        </w:tc>
      </w:tr>
      <w:tr w:rsidR="006A5BB3" w14:paraId="1F18B54F" w14:textId="77777777" w:rsidTr="7FB99A72">
        <w:tc>
          <w:tcPr>
            <w:tcW w:w="4531" w:type="dxa"/>
          </w:tcPr>
          <w:p w14:paraId="7DA4BCF5" w14:textId="77777777" w:rsidR="006A5BB3" w:rsidRPr="00EF6635" w:rsidRDefault="006A5BB3" w:rsidP="00E55FD2">
            <w:pPr>
              <w:pStyle w:val="COMTabletext"/>
              <w:keepNext w:val="0"/>
            </w:pPr>
            <w:r w:rsidRPr="00EF6635">
              <w:t>100% of non-responders use IVIg/PLEX</w:t>
            </w:r>
          </w:p>
        </w:tc>
        <w:tc>
          <w:tcPr>
            <w:tcW w:w="1121" w:type="dxa"/>
            <w:vAlign w:val="center"/>
          </w:tcPr>
          <w:p w14:paraId="33F20DFF" w14:textId="3EF5B7C2" w:rsidR="006A5BB3" w:rsidRPr="000E0C37" w:rsidRDefault="007510F8" w:rsidP="00E55FD2">
            <w:pPr>
              <w:pStyle w:val="COMTabletext"/>
              <w:keepNext w:val="0"/>
              <w:jc w:val="center"/>
              <w:rPr>
                <w:rFonts w:cs="Calibri"/>
                <w:color w:val="000000"/>
                <w:szCs w:val="20"/>
                <w:highlight w:val="darkGray"/>
              </w:rPr>
            </w:pPr>
            <w:r>
              <w:rPr>
                <w:rFonts w:cs="Calibri" w:hint="eastAsia"/>
                <w:color w:val="000000"/>
                <w:w w:val="15"/>
                <w:szCs w:val="20"/>
                <w:shd w:val="solid" w:color="000000" w:fill="000000"/>
                <w:fitText w:val="22" w:id="-691334656"/>
                <w14:textFill>
                  <w14:solidFill>
                    <w14:srgbClr w14:val="000000">
                      <w14:alpha w14:val="100000"/>
                    </w14:srgbClr>
                  </w14:solidFill>
                </w14:textFill>
              </w:rPr>
              <w:t xml:space="preserve">　</w:t>
            </w:r>
            <w:r>
              <w:rPr>
                <w:rFonts w:cs="Calibri"/>
                <w:color w:val="000000"/>
                <w:w w:val="15"/>
                <w:szCs w:val="20"/>
                <w:shd w:val="solid" w:color="000000" w:fill="000000"/>
                <w:fitText w:val="22" w:id="-691334656"/>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56"/>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680FC760" w14:textId="77777777" w:rsidR="006A5BB3" w:rsidRPr="00EF6635" w:rsidRDefault="006A5BB3" w:rsidP="00E55FD2">
            <w:pPr>
              <w:pStyle w:val="COMTabletext"/>
              <w:keepNext w:val="0"/>
              <w:jc w:val="center"/>
              <w:rPr>
                <w:rFonts w:cs="Calibri"/>
                <w:color w:val="000000"/>
                <w:szCs w:val="20"/>
              </w:rPr>
            </w:pPr>
            <w:r w:rsidRPr="00EF6635">
              <w:rPr>
                <w:rFonts w:cs="Calibri"/>
                <w:color w:val="000000"/>
                <w:szCs w:val="20"/>
              </w:rPr>
              <w:t>0.5898</w:t>
            </w:r>
          </w:p>
        </w:tc>
        <w:tc>
          <w:tcPr>
            <w:tcW w:w="1121" w:type="dxa"/>
            <w:vAlign w:val="center"/>
          </w:tcPr>
          <w:p w14:paraId="4060A29D" w14:textId="144B782C" w:rsidR="006A5BB3" w:rsidRPr="000E0C37" w:rsidRDefault="007510F8" w:rsidP="00E55FD2">
            <w:pPr>
              <w:pStyle w:val="COMTabletext"/>
              <w:keepNext w:val="0"/>
              <w:jc w:val="center"/>
              <w:rPr>
                <w:rFonts w:cs="Calibri"/>
                <w:color w:val="000000"/>
                <w:szCs w:val="20"/>
                <w:highlight w:val="darkGray"/>
              </w:rPr>
            </w:pPr>
            <w:r w:rsidRPr="007510F8">
              <w:rPr>
                <w:rFonts w:cs="Calibri" w:hint="eastAsia"/>
                <w:color w:val="000000"/>
                <w:w w:val="15"/>
                <w:szCs w:val="20"/>
                <w:shd w:val="solid" w:color="000000" w:fill="000000"/>
                <w:fitText w:val="43" w:id="-691334655"/>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5"/>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5"/>
                <w14:textFill>
                  <w14:solidFill>
                    <w14:srgbClr w14:val="000000">
                      <w14:alpha w14:val="100000"/>
                    </w14:srgbClr>
                  </w14:solidFill>
                </w14:textFill>
              </w:rPr>
              <w:t xml:space="preserve">　</w:t>
            </w:r>
            <w:r w:rsidR="00CF3A41" w:rsidRPr="00862796">
              <w:rPr>
                <w:rFonts w:cs="Calibri"/>
                <w:color w:val="000000"/>
                <w:szCs w:val="20"/>
                <w:vertAlign w:val="superscript"/>
              </w:rPr>
              <w:t>2</w:t>
            </w:r>
          </w:p>
        </w:tc>
        <w:tc>
          <w:tcPr>
            <w:tcW w:w="1122" w:type="dxa"/>
            <w:vAlign w:val="center"/>
          </w:tcPr>
          <w:p w14:paraId="564B3AB9" w14:textId="4E94A421" w:rsidR="006A5BB3" w:rsidRPr="00EF6635" w:rsidRDefault="006A5BB3"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31"/>
                <w:szCs w:val="20"/>
                <w:shd w:val="solid" w:color="000000" w:fill="000000"/>
                <w:fitText w:val="140" w:id="-691334654"/>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54"/>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54"/>
                <w14:textFill>
                  <w14:solidFill>
                    <w14:srgbClr w14:val="000000">
                      <w14:alpha w14:val="100000"/>
                    </w14:srgbClr>
                  </w14:solidFill>
                </w14:textFill>
              </w:rPr>
              <w:t xml:space="preserve">　</w:t>
            </w:r>
            <w:r w:rsidRPr="00EF6635">
              <w:rPr>
                <w:rFonts w:cs="Calibri"/>
                <w:color w:val="000000"/>
                <w:szCs w:val="20"/>
              </w:rPr>
              <w:t>%</w:t>
            </w:r>
          </w:p>
        </w:tc>
      </w:tr>
      <w:tr w:rsidR="006A5BB3" w14:paraId="43B77B1A" w14:textId="77777777" w:rsidTr="7FB99A72">
        <w:tc>
          <w:tcPr>
            <w:tcW w:w="9017" w:type="dxa"/>
            <w:gridSpan w:val="5"/>
          </w:tcPr>
          <w:p w14:paraId="142DFFB5" w14:textId="054AE4F1" w:rsidR="006A5BB3" w:rsidRPr="00EF6635" w:rsidRDefault="006A5BB3" w:rsidP="00E55FD2">
            <w:pPr>
              <w:pStyle w:val="COMTabletext"/>
              <w:keepNext w:val="0"/>
              <w:rPr>
                <w:b/>
                <w:bCs w:val="0"/>
              </w:rPr>
            </w:pPr>
            <w:r w:rsidRPr="00EF6635">
              <w:rPr>
                <w:b/>
                <w:bCs w:val="0"/>
              </w:rPr>
              <w:t xml:space="preserve">Treatment discontinuations (base case: </w:t>
            </w:r>
            <w:proofErr w:type="spellStart"/>
            <w:r w:rsidRPr="00EF6635">
              <w:rPr>
                <w:b/>
                <w:bCs w:val="0"/>
              </w:rPr>
              <w:t>zilucoplan</w:t>
            </w:r>
            <w:proofErr w:type="spellEnd"/>
            <w:r w:rsidRPr="00EF6635">
              <w:rPr>
                <w:b/>
                <w:bCs w:val="0"/>
              </w:rPr>
              <w:t xml:space="preserve"> discontinuation due to adverse events 0.19% per cycle; placebo discontinuation due to loss of response 16% per cycle; IVIg/PLEX discontinuation for any cause 2.01% per cycle)</w:t>
            </w:r>
          </w:p>
        </w:tc>
      </w:tr>
      <w:tr w:rsidR="006A5BB3" w14:paraId="4B914060" w14:textId="77777777" w:rsidTr="7FB99A72">
        <w:tc>
          <w:tcPr>
            <w:tcW w:w="4531" w:type="dxa"/>
          </w:tcPr>
          <w:p w14:paraId="37EDF367" w14:textId="77777777" w:rsidR="006A5BB3" w:rsidRPr="00EF6635" w:rsidRDefault="006A5BB3" w:rsidP="00E55FD2">
            <w:pPr>
              <w:pStyle w:val="COMTabletext"/>
              <w:keepNext w:val="0"/>
            </w:pPr>
            <w:r w:rsidRPr="00EF6635">
              <w:t>Placebo discontinuation 5% per cycle</w:t>
            </w:r>
          </w:p>
        </w:tc>
        <w:tc>
          <w:tcPr>
            <w:tcW w:w="1121" w:type="dxa"/>
            <w:vAlign w:val="center"/>
          </w:tcPr>
          <w:p w14:paraId="3E9F8338" w14:textId="71E94043" w:rsidR="006A5BB3" w:rsidRPr="000E0C37" w:rsidRDefault="007510F8" w:rsidP="00E55FD2">
            <w:pPr>
              <w:pStyle w:val="COMTabletext"/>
              <w:keepNext w:val="0"/>
              <w:jc w:val="center"/>
              <w:rPr>
                <w:rFonts w:cs="Calibri"/>
                <w:color w:val="000000"/>
                <w:szCs w:val="20"/>
                <w:highlight w:val="darkGray"/>
              </w:rPr>
            </w:pPr>
            <w:r>
              <w:rPr>
                <w:rFonts w:cs="Calibri" w:hint="eastAsia"/>
                <w:color w:val="000000"/>
                <w:w w:val="15"/>
                <w:szCs w:val="20"/>
                <w:shd w:val="solid" w:color="000000" w:fill="000000"/>
                <w:fitText w:val="22" w:id="-691334653"/>
                <w14:textFill>
                  <w14:solidFill>
                    <w14:srgbClr w14:val="000000">
                      <w14:alpha w14:val="100000"/>
                    </w14:srgbClr>
                  </w14:solidFill>
                </w14:textFill>
              </w:rPr>
              <w:t xml:space="preserve">　</w:t>
            </w:r>
            <w:r>
              <w:rPr>
                <w:rFonts w:cs="Calibri"/>
                <w:color w:val="000000"/>
                <w:w w:val="15"/>
                <w:szCs w:val="20"/>
                <w:shd w:val="solid" w:color="000000" w:fill="000000"/>
                <w:fitText w:val="22" w:id="-691334653"/>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53"/>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0879DC28" w14:textId="77777777" w:rsidR="006A5BB3" w:rsidRPr="00EF6635" w:rsidRDefault="006A5BB3" w:rsidP="00E55FD2">
            <w:pPr>
              <w:pStyle w:val="COMTabletext"/>
              <w:keepNext w:val="0"/>
              <w:jc w:val="center"/>
              <w:rPr>
                <w:rFonts w:cs="Calibri"/>
                <w:color w:val="000000"/>
                <w:szCs w:val="20"/>
              </w:rPr>
            </w:pPr>
            <w:r w:rsidRPr="00EF6635">
              <w:rPr>
                <w:rFonts w:cs="Calibri"/>
                <w:color w:val="000000"/>
                <w:szCs w:val="20"/>
              </w:rPr>
              <w:t>0.5690</w:t>
            </w:r>
          </w:p>
        </w:tc>
        <w:tc>
          <w:tcPr>
            <w:tcW w:w="1121" w:type="dxa"/>
            <w:vAlign w:val="center"/>
          </w:tcPr>
          <w:p w14:paraId="45FF91B8" w14:textId="7558B1ED" w:rsidR="006A5BB3" w:rsidRPr="000E0C37" w:rsidRDefault="007510F8" w:rsidP="00E55FD2">
            <w:pPr>
              <w:pStyle w:val="COMTabletext"/>
              <w:keepNext w:val="0"/>
              <w:jc w:val="center"/>
              <w:rPr>
                <w:rFonts w:cs="Calibri"/>
                <w:color w:val="000000"/>
                <w:szCs w:val="20"/>
                <w:highlight w:val="darkGray"/>
              </w:rPr>
            </w:pPr>
            <w:r w:rsidRPr="007510F8">
              <w:rPr>
                <w:rFonts w:cs="Calibri" w:hint="eastAsia"/>
                <w:color w:val="000000"/>
                <w:w w:val="15"/>
                <w:szCs w:val="20"/>
                <w:shd w:val="solid" w:color="000000" w:fill="000000"/>
                <w:fitText w:val="43" w:id="-691334652"/>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2"/>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2"/>
                <w14:textFill>
                  <w14:solidFill>
                    <w14:srgbClr w14:val="000000">
                      <w14:alpha w14:val="100000"/>
                    </w14:srgbClr>
                  </w14:solidFill>
                </w14:textFill>
              </w:rPr>
              <w:t xml:space="preserve">　</w:t>
            </w:r>
            <w:r w:rsidR="00862796" w:rsidRPr="00862796">
              <w:rPr>
                <w:rFonts w:cs="Calibri"/>
                <w:color w:val="000000"/>
                <w:szCs w:val="20"/>
                <w:vertAlign w:val="superscript"/>
              </w:rPr>
              <w:t>2</w:t>
            </w:r>
          </w:p>
        </w:tc>
        <w:tc>
          <w:tcPr>
            <w:tcW w:w="1122" w:type="dxa"/>
            <w:vAlign w:val="center"/>
          </w:tcPr>
          <w:p w14:paraId="7886199B" w14:textId="1ED0342D" w:rsidR="006A5BB3" w:rsidRPr="00EF6635" w:rsidRDefault="006A5BB3"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31"/>
                <w:szCs w:val="20"/>
                <w:shd w:val="solid" w:color="000000" w:fill="000000"/>
                <w:fitText w:val="140" w:id="-691334651"/>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51"/>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51"/>
                <w14:textFill>
                  <w14:solidFill>
                    <w14:srgbClr w14:val="000000">
                      <w14:alpha w14:val="100000"/>
                    </w14:srgbClr>
                  </w14:solidFill>
                </w14:textFill>
              </w:rPr>
              <w:t xml:space="preserve">　</w:t>
            </w:r>
            <w:r w:rsidRPr="00EF6635">
              <w:rPr>
                <w:rFonts w:cs="Calibri"/>
                <w:color w:val="000000"/>
                <w:szCs w:val="20"/>
              </w:rPr>
              <w:t>%</w:t>
            </w:r>
          </w:p>
        </w:tc>
      </w:tr>
      <w:tr w:rsidR="006A5BB3" w14:paraId="7AB3DFBE" w14:textId="77777777" w:rsidTr="7FB99A72">
        <w:tc>
          <w:tcPr>
            <w:tcW w:w="4531" w:type="dxa"/>
          </w:tcPr>
          <w:p w14:paraId="1E5F8076" w14:textId="77777777" w:rsidR="006A5BB3" w:rsidRPr="00EF6635" w:rsidRDefault="006A5BB3" w:rsidP="00E55FD2">
            <w:pPr>
              <w:pStyle w:val="COMTabletext"/>
              <w:keepNext w:val="0"/>
            </w:pPr>
            <w:r w:rsidRPr="00EF6635">
              <w:t xml:space="preserve">Placebo discontinuation same as </w:t>
            </w:r>
            <w:proofErr w:type="spellStart"/>
            <w:r w:rsidRPr="00EF6635">
              <w:t>zilucoplan</w:t>
            </w:r>
            <w:proofErr w:type="spellEnd"/>
            <w:r w:rsidRPr="00EF6635">
              <w:t xml:space="preserve"> (0.19%)</w:t>
            </w:r>
          </w:p>
        </w:tc>
        <w:tc>
          <w:tcPr>
            <w:tcW w:w="1121" w:type="dxa"/>
            <w:vAlign w:val="center"/>
          </w:tcPr>
          <w:p w14:paraId="50D003AF" w14:textId="5CE4B431"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50"/>
                <w14:textFill>
                  <w14:solidFill>
                    <w14:srgbClr w14:val="000000">
                      <w14:alpha w14:val="100000"/>
                    </w14:srgbClr>
                  </w14:solidFill>
                </w14:textFill>
              </w:rPr>
              <w:t xml:space="preserve">　</w:t>
            </w:r>
            <w:r>
              <w:rPr>
                <w:rFonts w:cs="Calibri"/>
                <w:color w:val="000000"/>
                <w:w w:val="15"/>
                <w:szCs w:val="20"/>
                <w:shd w:val="solid" w:color="000000" w:fill="000000"/>
                <w:fitText w:val="22" w:id="-691334650"/>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50"/>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572A4217" w14:textId="77777777" w:rsidR="006A5BB3" w:rsidRPr="00EF6635" w:rsidRDefault="006A5BB3" w:rsidP="00E55FD2">
            <w:pPr>
              <w:pStyle w:val="COMTabletext"/>
              <w:keepNext w:val="0"/>
              <w:jc w:val="center"/>
            </w:pPr>
            <w:r w:rsidRPr="00EF6635">
              <w:rPr>
                <w:rFonts w:cs="Calibri"/>
                <w:color w:val="000000"/>
                <w:szCs w:val="20"/>
              </w:rPr>
              <w:t>0.2549</w:t>
            </w:r>
          </w:p>
        </w:tc>
        <w:tc>
          <w:tcPr>
            <w:tcW w:w="1121" w:type="dxa"/>
            <w:vAlign w:val="center"/>
          </w:tcPr>
          <w:p w14:paraId="0B364D51" w14:textId="24E3D7DF"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49"/>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9"/>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9"/>
                <w14:textFill>
                  <w14:solidFill>
                    <w14:srgbClr w14:val="000000">
                      <w14:alpha w14:val="100000"/>
                    </w14:srgbClr>
                  </w14:solidFill>
                </w14:textFill>
              </w:rPr>
              <w:t xml:space="preserve">　</w:t>
            </w:r>
            <w:r w:rsidR="00673565" w:rsidRPr="00673565">
              <w:rPr>
                <w:rFonts w:cs="Calibri"/>
                <w:color w:val="000000"/>
                <w:szCs w:val="20"/>
                <w:vertAlign w:val="superscript"/>
              </w:rPr>
              <w:t>3</w:t>
            </w:r>
          </w:p>
        </w:tc>
        <w:tc>
          <w:tcPr>
            <w:tcW w:w="1122" w:type="dxa"/>
            <w:vAlign w:val="center"/>
          </w:tcPr>
          <w:p w14:paraId="3D40D18D" w14:textId="1061B842"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31"/>
                <w:szCs w:val="20"/>
                <w:shd w:val="solid" w:color="000000" w:fill="000000"/>
                <w:fitText w:val="140" w:id="-691334648"/>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48"/>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48"/>
                <w14:textFill>
                  <w14:solidFill>
                    <w14:srgbClr w14:val="000000">
                      <w14:alpha w14:val="100000"/>
                    </w14:srgbClr>
                  </w14:solidFill>
                </w14:textFill>
              </w:rPr>
              <w:t xml:space="preserve">　</w:t>
            </w:r>
            <w:r w:rsidRPr="00EF6635">
              <w:rPr>
                <w:rFonts w:cs="Calibri"/>
                <w:color w:val="000000"/>
                <w:szCs w:val="20"/>
              </w:rPr>
              <w:t>%</w:t>
            </w:r>
          </w:p>
        </w:tc>
      </w:tr>
      <w:tr w:rsidR="006A5BB3" w14:paraId="4CE33808" w14:textId="77777777" w:rsidTr="7FB99A72">
        <w:tc>
          <w:tcPr>
            <w:tcW w:w="4531" w:type="dxa"/>
          </w:tcPr>
          <w:p w14:paraId="619B6DD6" w14:textId="77777777" w:rsidR="006A5BB3" w:rsidRPr="00EF6635" w:rsidRDefault="006A5BB3" w:rsidP="00E55FD2">
            <w:pPr>
              <w:pStyle w:val="COMTabletext"/>
              <w:keepNext w:val="0"/>
            </w:pPr>
            <w:r w:rsidRPr="00EF6635">
              <w:t xml:space="preserve">No treatment discontinuation (0% for placebo and </w:t>
            </w:r>
            <w:proofErr w:type="spellStart"/>
            <w:r w:rsidRPr="00EF6635">
              <w:t>zilucoplan</w:t>
            </w:r>
            <w:proofErr w:type="spellEnd"/>
            <w:r w:rsidRPr="00EF6635">
              <w:t>)</w:t>
            </w:r>
          </w:p>
        </w:tc>
        <w:tc>
          <w:tcPr>
            <w:tcW w:w="1121" w:type="dxa"/>
            <w:vAlign w:val="center"/>
          </w:tcPr>
          <w:p w14:paraId="22D1A7A6" w14:textId="148FE23C"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47"/>
                <w14:textFill>
                  <w14:solidFill>
                    <w14:srgbClr w14:val="000000">
                      <w14:alpha w14:val="100000"/>
                    </w14:srgbClr>
                  </w14:solidFill>
                </w14:textFill>
              </w:rPr>
              <w:t xml:space="preserve">　</w:t>
            </w:r>
            <w:r>
              <w:rPr>
                <w:rFonts w:cs="Calibri"/>
                <w:color w:val="000000"/>
                <w:w w:val="15"/>
                <w:szCs w:val="20"/>
                <w:shd w:val="solid" w:color="000000" w:fill="000000"/>
                <w:fitText w:val="22" w:id="-691334647"/>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7"/>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60195D46" w14:textId="77777777" w:rsidR="006A5BB3" w:rsidRPr="00EF6635" w:rsidRDefault="006A5BB3" w:rsidP="00E55FD2">
            <w:pPr>
              <w:pStyle w:val="COMTabletext"/>
              <w:keepNext w:val="0"/>
              <w:jc w:val="center"/>
            </w:pPr>
            <w:r w:rsidRPr="00EF6635">
              <w:rPr>
                <w:rFonts w:cs="Calibri"/>
                <w:color w:val="000000"/>
                <w:szCs w:val="20"/>
              </w:rPr>
              <w:t>0.3050</w:t>
            </w:r>
          </w:p>
        </w:tc>
        <w:tc>
          <w:tcPr>
            <w:tcW w:w="1121" w:type="dxa"/>
            <w:vAlign w:val="center"/>
          </w:tcPr>
          <w:p w14:paraId="481C3BB1" w14:textId="09C6804B"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46"/>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6"/>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6"/>
                <w14:textFill>
                  <w14:solidFill>
                    <w14:srgbClr w14:val="000000">
                      <w14:alpha w14:val="100000"/>
                    </w14:srgbClr>
                  </w14:solidFill>
                </w14:textFill>
              </w:rPr>
              <w:t xml:space="preserve">　</w:t>
            </w:r>
            <w:r w:rsidR="00673565" w:rsidRPr="00673565">
              <w:rPr>
                <w:rFonts w:cs="Calibri"/>
                <w:color w:val="000000"/>
                <w:szCs w:val="20"/>
                <w:vertAlign w:val="superscript"/>
              </w:rPr>
              <w:t>3</w:t>
            </w:r>
          </w:p>
        </w:tc>
        <w:tc>
          <w:tcPr>
            <w:tcW w:w="1122" w:type="dxa"/>
            <w:vAlign w:val="center"/>
          </w:tcPr>
          <w:p w14:paraId="7E2AD967" w14:textId="519B4881"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31"/>
                <w:szCs w:val="20"/>
                <w:shd w:val="solid" w:color="000000" w:fill="000000"/>
                <w:fitText w:val="140" w:id="-691334645"/>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45"/>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45"/>
                <w14:textFill>
                  <w14:solidFill>
                    <w14:srgbClr w14:val="000000">
                      <w14:alpha w14:val="100000"/>
                    </w14:srgbClr>
                  </w14:solidFill>
                </w14:textFill>
              </w:rPr>
              <w:t xml:space="preserve">　</w:t>
            </w:r>
            <w:r w:rsidRPr="00EF6635">
              <w:rPr>
                <w:rFonts w:cs="Calibri"/>
                <w:color w:val="000000"/>
                <w:szCs w:val="20"/>
              </w:rPr>
              <w:t>%</w:t>
            </w:r>
          </w:p>
        </w:tc>
      </w:tr>
      <w:tr w:rsidR="006A5BB3" w14:paraId="216F7EA0" w14:textId="77777777" w:rsidTr="7FB99A72">
        <w:tc>
          <w:tcPr>
            <w:tcW w:w="4531" w:type="dxa"/>
          </w:tcPr>
          <w:p w14:paraId="43E96F3C" w14:textId="77777777" w:rsidR="006A5BB3" w:rsidRPr="00EF6635" w:rsidRDefault="006A5BB3" w:rsidP="00E55FD2">
            <w:pPr>
              <w:pStyle w:val="COMTabletext"/>
              <w:keepNext w:val="0"/>
            </w:pPr>
            <w:r w:rsidRPr="00EF6635">
              <w:t xml:space="preserve">Discontinuation for </w:t>
            </w:r>
            <w:proofErr w:type="spellStart"/>
            <w:r w:rsidRPr="00EF6635">
              <w:t>zilucoplan</w:t>
            </w:r>
            <w:proofErr w:type="spellEnd"/>
            <w:r w:rsidRPr="00EF6635">
              <w:t xml:space="preserve"> and placebo based on RAISE trial (4.6% over 12 weeks; 0.78% per 2-week cycle)</w:t>
            </w:r>
          </w:p>
        </w:tc>
        <w:tc>
          <w:tcPr>
            <w:tcW w:w="1121" w:type="dxa"/>
            <w:vAlign w:val="center"/>
          </w:tcPr>
          <w:p w14:paraId="6D5D32F3" w14:textId="4E53314A" w:rsidR="006A5BB3" w:rsidRPr="00EF6635" w:rsidRDefault="007510F8" w:rsidP="00E55FD2">
            <w:pPr>
              <w:pStyle w:val="COMTabletext"/>
              <w:keepNext w:val="0"/>
              <w:jc w:val="center"/>
            </w:pPr>
            <w:r>
              <w:rPr>
                <w:rFonts w:cs="Calibri" w:hint="eastAsia"/>
                <w:color w:val="000000"/>
                <w:w w:val="15"/>
                <w:szCs w:val="20"/>
                <w:shd w:val="solid" w:color="000000" w:fill="000000"/>
                <w:fitText w:val="22" w:id="-691334644"/>
                <w14:textFill>
                  <w14:solidFill>
                    <w14:srgbClr w14:val="000000">
                      <w14:alpha w14:val="100000"/>
                    </w14:srgbClr>
                  </w14:solidFill>
                </w14:textFill>
              </w:rPr>
              <w:t xml:space="preserve">　</w:t>
            </w:r>
            <w:r>
              <w:rPr>
                <w:rFonts w:cs="Calibri"/>
                <w:color w:val="000000"/>
                <w:w w:val="15"/>
                <w:szCs w:val="20"/>
                <w:shd w:val="solid" w:color="000000" w:fill="000000"/>
                <w:fitText w:val="22" w:id="-691334644"/>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4"/>
                <w14:textFill>
                  <w14:solidFill>
                    <w14:srgbClr w14:val="000000">
                      <w14:alpha w14:val="100000"/>
                    </w14:srgbClr>
                  </w14:solidFill>
                </w14:textFill>
              </w:rPr>
              <w:t xml:space="preserve">　</w:t>
            </w:r>
            <w:r w:rsidR="00044157">
              <w:rPr>
                <w:rFonts w:cs="Calibri"/>
                <w:color w:val="000000"/>
                <w:szCs w:val="20"/>
              </w:rPr>
              <w:t xml:space="preserve"> </w:t>
            </w:r>
          </w:p>
        </w:tc>
        <w:tc>
          <w:tcPr>
            <w:tcW w:w="1122" w:type="dxa"/>
            <w:vAlign w:val="center"/>
          </w:tcPr>
          <w:p w14:paraId="2B789288" w14:textId="77777777" w:rsidR="006A5BB3" w:rsidRPr="00EF6635" w:rsidRDefault="006A5BB3" w:rsidP="00E55FD2">
            <w:pPr>
              <w:pStyle w:val="COMTabletext"/>
              <w:keepNext w:val="0"/>
              <w:jc w:val="center"/>
            </w:pPr>
            <w:r w:rsidRPr="00EF6635">
              <w:rPr>
                <w:rFonts w:cs="Calibri"/>
                <w:color w:val="000000"/>
                <w:szCs w:val="20"/>
              </w:rPr>
              <w:t>0.1616</w:t>
            </w:r>
          </w:p>
        </w:tc>
        <w:tc>
          <w:tcPr>
            <w:tcW w:w="1121" w:type="dxa"/>
            <w:vAlign w:val="center"/>
          </w:tcPr>
          <w:p w14:paraId="4B9A47CB" w14:textId="69CFEDC8"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43"/>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3"/>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3"/>
                <w14:textFill>
                  <w14:solidFill>
                    <w14:srgbClr w14:val="000000">
                      <w14:alpha w14:val="100000"/>
                    </w14:srgbClr>
                  </w14:solidFill>
                </w14:textFill>
              </w:rPr>
              <w:t xml:space="preserve">　</w:t>
            </w:r>
            <w:r w:rsidR="00673565" w:rsidRPr="00673565">
              <w:rPr>
                <w:rFonts w:cs="Calibri"/>
                <w:color w:val="000000"/>
                <w:szCs w:val="20"/>
                <w:vertAlign w:val="superscript"/>
              </w:rPr>
              <w:t>3</w:t>
            </w:r>
          </w:p>
        </w:tc>
        <w:tc>
          <w:tcPr>
            <w:tcW w:w="1122" w:type="dxa"/>
            <w:vAlign w:val="center"/>
          </w:tcPr>
          <w:p w14:paraId="78C10F29" w14:textId="10BD053E"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31"/>
                <w:szCs w:val="20"/>
                <w:shd w:val="solid" w:color="000000" w:fill="000000"/>
                <w:fitText w:val="140" w:id="-691334642"/>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42"/>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42"/>
                <w14:textFill>
                  <w14:solidFill>
                    <w14:srgbClr w14:val="000000">
                      <w14:alpha w14:val="100000"/>
                    </w14:srgbClr>
                  </w14:solidFill>
                </w14:textFill>
              </w:rPr>
              <w:t xml:space="preserve">　</w:t>
            </w:r>
            <w:r w:rsidRPr="00EF6635">
              <w:rPr>
                <w:rFonts w:cs="Calibri"/>
                <w:color w:val="000000"/>
                <w:szCs w:val="20"/>
              </w:rPr>
              <w:t>%</w:t>
            </w:r>
          </w:p>
        </w:tc>
      </w:tr>
      <w:tr w:rsidR="006A5BB3" w14:paraId="7BE2AA8B" w14:textId="77777777" w:rsidTr="7FB99A72">
        <w:tc>
          <w:tcPr>
            <w:tcW w:w="9017" w:type="dxa"/>
            <w:gridSpan w:val="5"/>
          </w:tcPr>
          <w:p w14:paraId="4D5974CD" w14:textId="6B607C61" w:rsidR="006A5BB3" w:rsidRPr="00EF6635" w:rsidRDefault="006A5BB3" w:rsidP="00E55FD2">
            <w:pPr>
              <w:pStyle w:val="COMTabletext"/>
              <w:keepNext w:val="0"/>
              <w:rPr>
                <w:rFonts w:cs="Calibri"/>
                <w:b/>
                <w:bCs w:val="0"/>
                <w:color w:val="000000"/>
                <w:szCs w:val="20"/>
              </w:rPr>
            </w:pPr>
            <w:r w:rsidRPr="00EF6635">
              <w:rPr>
                <w:b/>
                <w:bCs w:val="0"/>
              </w:rPr>
              <w:t>Exacerbation/myasthenic crisis events (base case: event rates based on Parthan 2024</w:t>
            </w:r>
            <w:r w:rsidR="00301C03" w:rsidRPr="00EF6635">
              <w:rPr>
                <w:b/>
                <w:bCs w:val="0"/>
              </w:rPr>
              <w:t>. Exacerbation</w:t>
            </w:r>
            <w:r w:rsidR="008E5635" w:rsidRPr="00EF6635">
              <w:rPr>
                <w:b/>
                <w:bCs w:val="0"/>
              </w:rPr>
              <w:t xml:space="preserve"> event</w:t>
            </w:r>
            <w:r w:rsidR="00301C03" w:rsidRPr="00EF6635">
              <w:rPr>
                <w:b/>
                <w:bCs w:val="0"/>
              </w:rPr>
              <w:t>s</w:t>
            </w:r>
            <w:r w:rsidR="009541CE" w:rsidRPr="00EF6635">
              <w:rPr>
                <w:b/>
                <w:bCs w:val="0"/>
              </w:rPr>
              <w:t xml:space="preserve"> 0.148 per patie</w:t>
            </w:r>
            <w:r w:rsidR="00301C03" w:rsidRPr="00EF6635">
              <w:rPr>
                <w:b/>
                <w:bCs w:val="0"/>
              </w:rPr>
              <w:t xml:space="preserve">nt-year in </w:t>
            </w:r>
            <w:proofErr w:type="spellStart"/>
            <w:r w:rsidR="00301C03" w:rsidRPr="00EF6635">
              <w:rPr>
                <w:b/>
                <w:bCs w:val="0"/>
              </w:rPr>
              <w:t>zilucoplan</w:t>
            </w:r>
            <w:proofErr w:type="spellEnd"/>
            <w:r w:rsidR="00301C03" w:rsidRPr="00EF6635">
              <w:rPr>
                <w:b/>
                <w:bCs w:val="0"/>
              </w:rPr>
              <w:t xml:space="preserve">/placebo responders, </w:t>
            </w:r>
            <w:r w:rsidR="008E5635" w:rsidRPr="00EF6635">
              <w:rPr>
                <w:b/>
                <w:bCs w:val="0"/>
              </w:rPr>
              <w:t xml:space="preserve">0.489 in </w:t>
            </w:r>
            <w:proofErr w:type="spellStart"/>
            <w:r w:rsidR="008E5635" w:rsidRPr="00EF6635">
              <w:rPr>
                <w:b/>
                <w:bCs w:val="0"/>
              </w:rPr>
              <w:t>zilucoplan</w:t>
            </w:r>
            <w:proofErr w:type="spellEnd"/>
            <w:r w:rsidR="008E5635" w:rsidRPr="00EF6635">
              <w:rPr>
                <w:b/>
                <w:bCs w:val="0"/>
              </w:rPr>
              <w:t xml:space="preserve">/placebo non-responders, 0.566 in IVIg/PLEX patients; myasthenic crisis events </w:t>
            </w:r>
            <w:r w:rsidR="003B33B8" w:rsidRPr="00EF6635">
              <w:rPr>
                <w:b/>
                <w:bCs w:val="0"/>
              </w:rPr>
              <w:t xml:space="preserve">0.039 per patient-year in </w:t>
            </w:r>
            <w:proofErr w:type="spellStart"/>
            <w:r w:rsidR="003B33B8" w:rsidRPr="00EF6635">
              <w:rPr>
                <w:b/>
                <w:bCs w:val="0"/>
              </w:rPr>
              <w:t>zilucoplan</w:t>
            </w:r>
            <w:proofErr w:type="spellEnd"/>
            <w:r w:rsidR="003B33B8" w:rsidRPr="00EF6635">
              <w:rPr>
                <w:b/>
                <w:bCs w:val="0"/>
              </w:rPr>
              <w:t xml:space="preserve">/placebo responders, 0.086 in </w:t>
            </w:r>
            <w:proofErr w:type="spellStart"/>
            <w:r w:rsidR="003B33B8" w:rsidRPr="00EF6635">
              <w:rPr>
                <w:b/>
                <w:bCs w:val="0"/>
              </w:rPr>
              <w:t>zilucoplan</w:t>
            </w:r>
            <w:proofErr w:type="spellEnd"/>
            <w:r w:rsidR="003B33B8" w:rsidRPr="00EF6635">
              <w:rPr>
                <w:b/>
                <w:bCs w:val="0"/>
              </w:rPr>
              <w:t>/placebo non-responders, 0.086 in IVIg/PLEX patients</w:t>
            </w:r>
            <w:r w:rsidRPr="00EF6635">
              <w:rPr>
                <w:b/>
                <w:bCs w:val="0"/>
              </w:rPr>
              <w:t>)</w:t>
            </w:r>
          </w:p>
        </w:tc>
      </w:tr>
      <w:tr w:rsidR="006A5BB3" w14:paraId="7B8ED52D" w14:textId="77777777" w:rsidTr="7FB99A72">
        <w:tc>
          <w:tcPr>
            <w:tcW w:w="4531" w:type="dxa"/>
            <w:vAlign w:val="center"/>
          </w:tcPr>
          <w:p w14:paraId="41B5A10A" w14:textId="5C62F9CA" w:rsidR="006A5BB3" w:rsidRPr="00EF6635" w:rsidRDefault="0902D2DA" w:rsidP="00E55FD2">
            <w:pPr>
              <w:pStyle w:val="COMTabletext"/>
              <w:keepNext w:val="0"/>
            </w:pPr>
            <w:r w:rsidRPr="7FB99A72">
              <w:t>Rate of exacerbation events per patient</w:t>
            </w:r>
            <w:r w:rsidR="22EF74F6" w:rsidRPr="7FB99A72">
              <w:t>-year</w:t>
            </w:r>
            <w:r w:rsidRPr="7FB99A72">
              <w:t xml:space="preserve"> in initial treatment responders (0.470) and non-responders (1.024) and IVIg/PLEX patients (1.500) based on Jacob 2020 (proxied by eculizumab use)</w:t>
            </w:r>
          </w:p>
        </w:tc>
        <w:tc>
          <w:tcPr>
            <w:tcW w:w="1121" w:type="dxa"/>
            <w:vAlign w:val="center"/>
          </w:tcPr>
          <w:p w14:paraId="6FEFD0ED" w14:textId="04627C1C" w:rsidR="006A5BB3" w:rsidRPr="000E0C37" w:rsidRDefault="007510F8" w:rsidP="00E55FD2">
            <w:pPr>
              <w:pStyle w:val="COMTabletext"/>
              <w:keepNext w:val="0"/>
              <w:jc w:val="center"/>
              <w:rPr>
                <w:rFonts w:cs="Calibri"/>
                <w:color w:val="000000"/>
                <w:szCs w:val="20"/>
                <w:highlight w:val="darkGray"/>
              </w:rPr>
            </w:pPr>
            <w:r>
              <w:rPr>
                <w:rFonts w:cs="Calibri" w:hint="eastAsia"/>
                <w:color w:val="000000"/>
                <w:w w:val="15"/>
                <w:szCs w:val="20"/>
                <w:shd w:val="solid" w:color="000000" w:fill="000000"/>
                <w:fitText w:val="22" w:id="-691334641"/>
                <w14:textFill>
                  <w14:solidFill>
                    <w14:srgbClr w14:val="000000">
                      <w14:alpha w14:val="100000"/>
                    </w14:srgbClr>
                  </w14:solidFill>
                </w14:textFill>
              </w:rPr>
              <w:t xml:space="preserve">　</w:t>
            </w:r>
            <w:r>
              <w:rPr>
                <w:rFonts w:cs="Calibri"/>
                <w:color w:val="000000"/>
                <w:w w:val="15"/>
                <w:szCs w:val="20"/>
                <w:shd w:val="solid" w:color="000000" w:fill="000000"/>
                <w:fitText w:val="22" w:id="-691334641"/>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1"/>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5E2EFB33" w14:textId="77777777" w:rsidR="006A5BB3" w:rsidRPr="00EF6635" w:rsidRDefault="006A5BB3" w:rsidP="00E55FD2">
            <w:pPr>
              <w:pStyle w:val="COMTabletext"/>
              <w:keepNext w:val="0"/>
              <w:jc w:val="center"/>
              <w:rPr>
                <w:rFonts w:cs="Calibri"/>
                <w:color w:val="000000"/>
                <w:szCs w:val="20"/>
              </w:rPr>
            </w:pPr>
            <w:r w:rsidRPr="00EF6635">
              <w:rPr>
                <w:rFonts w:cs="Calibri"/>
                <w:color w:val="000000"/>
                <w:szCs w:val="20"/>
              </w:rPr>
              <w:t>0.5823</w:t>
            </w:r>
          </w:p>
        </w:tc>
        <w:tc>
          <w:tcPr>
            <w:tcW w:w="1121" w:type="dxa"/>
            <w:vAlign w:val="center"/>
          </w:tcPr>
          <w:p w14:paraId="4B67AAF8" w14:textId="15D0CDB8" w:rsidR="006A5BB3" w:rsidRPr="000E0C37" w:rsidRDefault="007510F8" w:rsidP="00E55FD2">
            <w:pPr>
              <w:pStyle w:val="COMTabletext"/>
              <w:keepNext w:val="0"/>
              <w:jc w:val="center"/>
              <w:rPr>
                <w:rFonts w:cs="Calibri"/>
                <w:color w:val="000000"/>
                <w:szCs w:val="20"/>
                <w:highlight w:val="darkGray"/>
              </w:rPr>
            </w:pPr>
            <w:r w:rsidRPr="007510F8">
              <w:rPr>
                <w:rFonts w:cs="Calibri" w:hint="eastAsia"/>
                <w:color w:val="000000"/>
                <w:w w:val="15"/>
                <w:szCs w:val="20"/>
                <w:shd w:val="solid" w:color="000000" w:fill="000000"/>
                <w:fitText w:val="43" w:id="-691334640"/>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0"/>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0"/>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6316C4F5" w14:textId="78DBED20" w:rsidR="006A5BB3" w:rsidRPr="00EF6635" w:rsidRDefault="006A5BB3"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26"/>
                <w:szCs w:val="20"/>
                <w:shd w:val="solid" w:color="000000" w:fill="000000"/>
                <w:fitText w:val="118" w:id="-691334656"/>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56"/>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56"/>
                <w14:textFill>
                  <w14:solidFill>
                    <w14:srgbClr w14:val="000000">
                      <w14:alpha w14:val="100000"/>
                    </w14:srgbClr>
                  </w14:solidFill>
                </w14:textFill>
              </w:rPr>
              <w:t xml:space="preserve">　</w:t>
            </w:r>
            <w:r w:rsidRPr="00EF6635">
              <w:rPr>
                <w:rFonts w:cs="Calibri"/>
                <w:color w:val="000000"/>
                <w:szCs w:val="20"/>
              </w:rPr>
              <w:t>%</w:t>
            </w:r>
          </w:p>
        </w:tc>
      </w:tr>
      <w:tr w:rsidR="006A5BB3" w14:paraId="709A42E1" w14:textId="77777777" w:rsidTr="7FB99A72">
        <w:tc>
          <w:tcPr>
            <w:tcW w:w="4531" w:type="dxa"/>
            <w:vAlign w:val="center"/>
          </w:tcPr>
          <w:p w14:paraId="319507F3" w14:textId="19B53F30" w:rsidR="006A5BB3" w:rsidRPr="00EF6635" w:rsidRDefault="0902D2DA" w:rsidP="00E55FD2">
            <w:pPr>
              <w:pStyle w:val="COMTabletext"/>
              <w:keepNext w:val="0"/>
            </w:pPr>
            <w:r w:rsidRPr="7FB99A72">
              <w:t>Rate of exacerbation events per patient</w:t>
            </w:r>
            <w:r w:rsidR="22EF74F6" w:rsidRPr="7FB99A72">
              <w:t>-year</w:t>
            </w:r>
            <w:r w:rsidRPr="7FB99A72">
              <w:t xml:space="preserve"> in initial treatment responders (0.028) and non-responders (0.085) based on Qi 2022 (proxied by efgartigimod use); IVIg/PLEX patients assumed equal to initial treatment non-responders (0.085).</w:t>
            </w:r>
          </w:p>
        </w:tc>
        <w:tc>
          <w:tcPr>
            <w:tcW w:w="1121" w:type="dxa"/>
            <w:vAlign w:val="center"/>
          </w:tcPr>
          <w:p w14:paraId="3D5EBEA2" w14:textId="0689F793" w:rsidR="006A5BB3" w:rsidRPr="000E0C37" w:rsidRDefault="007510F8" w:rsidP="00E55FD2">
            <w:pPr>
              <w:pStyle w:val="COMTabletext"/>
              <w:keepNext w:val="0"/>
              <w:jc w:val="center"/>
              <w:rPr>
                <w:rFonts w:cs="Calibri"/>
                <w:color w:val="000000"/>
                <w:szCs w:val="20"/>
                <w:highlight w:val="darkGray"/>
              </w:rPr>
            </w:pPr>
            <w:r>
              <w:rPr>
                <w:rFonts w:cs="Calibri" w:hint="eastAsia"/>
                <w:color w:val="000000"/>
                <w:w w:val="15"/>
                <w:szCs w:val="20"/>
                <w:shd w:val="solid" w:color="000000" w:fill="000000"/>
                <w:fitText w:val="22" w:id="-691334655"/>
                <w14:textFill>
                  <w14:solidFill>
                    <w14:srgbClr w14:val="000000">
                      <w14:alpha w14:val="100000"/>
                    </w14:srgbClr>
                  </w14:solidFill>
                </w14:textFill>
              </w:rPr>
              <w:t xml:space="preserve">　</w:t>
            </w:r>
            <w:r>
              <w:rPr>
                <w:rFonts w:cs="Calibri"/>
                <w:color w:val="000000"/>
                <w:w w:val="15"/>
                <w:szCs w:val="20"/>
                <w:shd w:val="solid" w:color="000000" w:fill="000000"/>
                <w:fitText w:val="22" w:id="-691334655"/>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55"/>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76C42005" w14:textId="77777777" w:rsidR="006A5BB3" w:rsidRPr="00EF6635" w:rsidRDefault="006A5BB3" w:rsidP="00E55FD2">
            <w:pPr>
              <w:pStyle w:val="COMTabletext"/>
              <w:keepNext w:val="0"/>
              <w:jc w:val="center"/>
              <w:rPr>
                <w:rFonts w:cs="Calibri"/>
                <w:color w:val="000000"/>
                <w:szCs w:val="20"/>
              </w:rPr>
            </w:pPr>
            <w:r w:rsidRPr="00EF6635">
              <w:rPr>
                <w:rFonts w:cs="Calibri"/>
                <w:color w:val="000000"/>
                <w:szCs w:val="20"/>
              </w:rPr>
              <w:t>0.7614</w:t>
            </w:r>
          </w:p>
        </w:tc>
        <w:tc>
          <w:tcPr>
            <w:tcW w:w="1121" w:type="dxa"/>
            <w:vAlign w:val="center"/>
          </w:tcPr>
          <w:p w14:paraId="5D0D517B" w14:textId="4496D2C4" w:rsidR="006A5BB3" w:rsidRPr="000E0C37" w:rsidRDefault="007510F8" w:rsidP="00E55FD2">
            <w:pPr>
              <w:pStyle w:val="COMTabletext"/>
              <w:keepNext w:val="0"/>
              <w:jc w:val="center"/>
              <w:rPr>
                <w:rFonts w:cs="Calibri"/>
                <w:color w:val="000000"/>
                <w:szCs w:val="20"/>
                <w:highlight w:val="darkGray"/>
              </w:rPr>
            </w:pPr>
            <w:r w:rsidRPr="007510F8">
              <w:rPr>
                <w:rFonts w:cs="Calibri" w:hint="eastAsia"/>
                <w:color w:val="000000"/>
                <w:w w:val="15"/>
                <w:szCs w:val="20"/>
                <w:shd w:val="solid" w:color="000000" w:fill="000000"/>
                <w:fitText w:val="43" w:id="-691334654"/>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4"/>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4"/>
                <w14:textFill>
                  <w14:solidFill>
                    <w14:srgbClr w14:val="000000">
                      <w14:alpha w14:val="100000"/>
                    </w14:srgbClr>
                  </w14:solidFill>
                </w14:textFill>
              </w:rPr>
              <w:t xml:space="preserve">　</w:t>
            </w:r>
            <w:r w:rsidR="00862796" w:rsidRPr="00862796">
              <w:rPr>
                <w:rFonts w:cs="Calibri"/>
                <w:color w:val="000000"/>
                <w:szCs w:val="20"/>
                <w:vertAlign w:val="superscript"/>
              </w:rPr>
              <w:t>2</w:t>
            </w:r>
          </w:p>
        </w:tc>
        <w:tc>
          <w:tcPr>
            <w:tcW w:w="1122" w:type="dxa"/>
            <w:vAlign w:val="center"/>
          </w:tcPr>
          <w:p w14:paraId="62FBCAA7" w14:textId="68AA4739" w:rsidR="006A5BB3" w:rsidRPr="00EF6635" w:rsidRDefault="006A5BB3"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31"/>
                <w:szCs w:val="20"/>
                <w:shd w:val="solid" w:color="000000" w:fill="000000"/>
                <w:fitText w:val="140" w:id="-691334653"/>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53"/>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53"/>
                <w14:textFill>
                  <w14:solidFill>
                    <w14:srgbClr w14:val="000000">
                      <w14:alpha w14:val="100000"/>
                    </w14:srgbClr>
                  </w14:solidFill>
                </w14:textFill>
              </w:rPr>
              <w:t xml:space="preserve">　</w:t>
            </w:r>
            <w:r w:rsidRPr="00EF6635">
              <w:rPr>
                <w:rFonts w:cs="Calibri"/>
                <w:color w:val="000000"/>
                <w:szCs w:val="20"/>
              </w:rPr>
              <w:t>%</w:t>
            </w:r>
          </w:p>
        </w:tc>
      </w:tr>
      <w:tr w:rsidR="00F5772F" w14:paraId="6B9A95F6" w14:textId="77777777" w:rsidTr="7FB99A72">
        <w:tc>
          <w:tcPr>
            <w:tcW w:w="4531" w:type="dxa"/>
          </w:tcPr>
          <w:p w14:paraId="3541D978" w14:textId="0F3D3DD6" w:rsidR="00F5772F" w:rsidRPr="00EF6635" w:rsidRDefault="00F5772F" w:rsidP="00E55FD2">
            <w:pPr>
              <w:pStyle w:val="COMTabletext"/>
              <w:keepNext w:val="0"/>
              <w:rPr>
                <w:szCs w:val="20"/>
              </w:rPr>
            </w:pPr>
            <w:r w:rsidRPr="00EF6635">
              <w:t>Exacerbation and myasthenic crisis events removed from model</w:t>
            </w:r>
          </w:p>
        </w:tc>
        <w:tc>
          <w:tcPr>
            <w:tcW w:w="1121" w:type="dxa"/>
            <w:vAlign w:val="center"/>
          </w:tcPr>
          <w:p w14:paraId="3A40A57D" w14:textId="320898F9" w:rsidR="00F5772F" w:rsidRPr="000E0C37" w:rsidRDefault="007510F8" w:rsidP="00E55FD2">
            <w:pPr>
              <w:pStyle w:val="COMTabletext"/>
              <w:keepNext w:val="0"/>
              <w:jc w:val="center"/>
              <w:rPr>
                <w:rFonts w:cs="Calibri"/>
                <w:color w:val="000000"/>
                <w:szCs w:val="20"/>
                <w:highlight w:val="darkGray"/>
              </w:rPr>
            </w:pPr>
            <w:r>
              <w:rPr>
                <w:rFonts w:cs="Calibri" w:hint="eastAsia"/>
                <w:color w:val="000000"/>
                <w:w w:val="15"/>
                <w:szCs w:val="20"/>
                <w:shd w:val="solid" w:color="000000" w:fill="000000"/>
                <w:fitText w:val="22" w:id="-691334652"/>
                <w14:textFill>
                  <w14:solidFill>
                    <w14:srgbClr w14:val="000000">
                      <w14:alpha w14:val="100000"/>
                    </w14:srgbClr>
                  </w14:solidFill>
                </w14:textFill>
              </w:rPr>
              <w:t xml:space="preserve">　</w:t>
            </w:r>
            <w:r>
              <w:rPr>
                <w:rFonts w:cs="Calibri"/>
                <w:color w:val="000000"/>
                <w:w w:val="15"/>
                <w:szCs w:val="20"/>
                <w:shd w:val="solid" w:color="000000" w:fill="000000"/>
                <w:fitText w:val="22" w:id="-691334652"/>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52"/>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5D197E88" w14:textId="65630E4A" w:rsidR="00F5772F" w:rsidRPr="00EF6635" w:rsidRDefault="00F5772F" w:rsidP="00E55FD2">
            <w:pPr>
              <w:pStyle w:val="COMTabletext"/>
              <w:keepNext w:val="0"/>
              <w:jc w:val="center"/>
              <w:rPr>
                <w:rFonts w:cs="Calibri"/>
                <w:color w:val="000000"/>
                <w:szCs w:val="20"/>
              </w:rPr>
            </w:pPr>
            <w:r w:rsidRPr="00EF6635">
              <w:rPr>
                <w:rFonts w:cs="Calibri"/>
                <w:color w:val="000000"/>
                <w:szCs w:val="20"/>
              </w:rPr>
              <w:t>0.9272</w:t>
            </w:r>
          </w:p>
        </w:tc>
        <w:tc>
          <w:tcPr>
            <w:tcW w:w="1121" w:type="dxa"/>
            <w:vAlign w:val="center"/>
          </w:tcPr>
          <w:p w14:paraId="3618043E" w14:textId="3AEABB77" w:rsidR="00F5772F" w:rsidRPr="000E0C37" w:rsidRDefault="007510F8" w:rsidP="00E55FD2">
            <w:pPr>
              <w:pStyle w:val="COMTabletext"/>
              <w:keepNext w:val="0"/>
              <w:jc w:val="center"/>
              <w:rPr>
                <w:rFonts w:cs="Calibri"/>
                <w:color w:val="000000"/>
                <w:szCs w:val="20"/>
                <w:highlight w:val="darkGray"/>
              </w:rPr>
            </w:pPr>
            <w:r w:rsidRPr="007510F8">
              <w:rPr>
                <w:rFonts w:cs="Calibri" w:hint="eastAsia"/>
                <w:color w:val="000000"/>
                <w:w w:val="15"/>
                <w:szCs w:val="20"/>
                <w:shd w:val="solid" w:color="000000" w:fill="000000"/>
                <w:fitText w:val="43" w:id="-691334651"/>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1"/>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1"/>
                <w14:textFill>
                  <w14:solidFill>
                    <w14:srgbClr w14:val="000000">
                      <w14:alpha w14:val="100000"/>
                    </w14:srgbClr>
                  </w14:solidFill>
                </w14:textFill>
              </w:rPr>
              <w:t xml:space="preserve">　</w:t>
            </w:r>
            <w:r w:rsidR="00862796" w:rsidRPr="00862796">
              <w:rPr>
                <w:rFonts w:cs="Calibri"/>
                <w:color w:val="000000"/>
                <w:szCs w:val="20"/>
                <w:vertAlign w:val="superscript"/>
              </w:rPr>
              <w:t>2</w:t>
            </w:r>
          </w:p>
        </w:tc>
        <w:tc>
          <w:tcPr>
            <w:tcW w:w="1122" w:type="dxa"/>
            <w:vAlign w:val="center"/>
          </w:tcPr>
          <w:p w14:paraId="52679A62" w14:textId="2D244ED1" w:rsidR="00F5772F" w:rsidRPr="00EF6635" w:rsidRDefault="00F5772F"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31"/>
                <w:szCs w:val="20"/>
                <w:shd w:val="solid" w:color="000000" w:fill="000000"/>
                <w:fitText w:val="140" w:id="-691334650"/>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50"/>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50"/>
                <w14:textFill>
                  <w14:solidFill>
                    <w14:srgbClr w14:val="000000">
                      <w14:alpha w14:val="100000"/>
                    </w14:srgbClr>
                  </w14:solidFill>
                </w14:textFill>
              </w:rPr>
              <w:t xml:space="preserve">　</w:t>
            </w:r>
            <w:r w:rsidRPr="00EF6635">
              <w:rPr>
                <w:rFonts w:cs="Calibri"/>
                <w:color w:val="000000"/>
                <w:szCs w:val="20"/>
              </w:rPr>
              <w:t>%</w:t>
            </w:r>
          </w:p>
        </w:tc>
      </w:tr>
      <w:tr w:rsidR="006A5BB3" w14:paraId="2646F5EC" w14:textId="77777777" w:rsidTr="7FB99A72">
        <w:tc>
          <w:tcPr>
            <w:tcW w:w="4531" w:type="dxa"/>
          </w:tcPr>
          <w:p w14:paraId="05142147" w14:textId="77777777" w:rsidR="006A5BB3" w:rsidRPr="00EF6635" w:rsidRDefault="006A5BB3" w:rsidP="00E55FD2">
            <w:pPr>
              <w:pStyle w:val="COMTabletext"/>
              <w:keepNext w:val="0"/>
            </w:pPr>
            <w:r w:rsidRPr="00EF6635">
              <w:t>Risk of death from myasthenic crisis (corrected from 0.176% to 4.47%)</w:t>
            </w:r>
          </w:p>
        </w:tc>
        <w:tc>
          <w:tcPr>
            <w:tcW w:w="1121" w:type="dxa"/>
            <w:vAlign w:val="center"/>
          </w:tcPr>
          <w:p w14:paraId="704D4641" w14:textId="319A40EC" w:rsidR="006A5BB3" w:rsidRPr="000E0C37" w:rsidRDefault="007510F8" w:rsidP="00E55FD2">
            <w:pPr>
              <w:pStyle w:val="COMTabletext"/>
              <w:keepNext w:val="0"/>
              <w:jc w:val="center"/>
              <w:rPr>
                <w:rFonts w:cs="Calibri"/>
                <w:color w:val="000000"/>
                <w:szCs w:val="20"/>
                <w:highlight w:val="darkGray"/>
              </w:rPr>
            </w:pPr>
            <w:r>
              <w:rPr>
                <w:rFonts w:cs="Calibri" w:hint="eastAsia"/>
                <w:color w:val="000000"/>
                <w:w w:val="15"/>
                <w:szCs w:val="20"/>
                <w:shd w:val="solid" w:color="000000" w:fill="000000"/>
                <w:fitText w:val="22" w:id="-691334649"/>
                <w14:textFill>
                  <w14:solidFill>
                    <w14:srgbClr w14:val="000000">
                      <w14:alpha w14:val="100000"/>
                    </w14:srgbClr>
                  </w14:solidFill>
                </w14:textFill>
              </w:rPr>
              <w:t xml:space="preserve">　</w:t>
            </w:r>
            <w:r>
              <w:rPr>
                <w:rFonts w:cs="Calibri"/>
                <w:color w:val="000000"/>
                <w:w w:val="15"/>
                <w:szCs w:val="20"/>
                <w:shd w:val="solid" w:color="000000" w:fill="000000"/>
                <w:fitText w:val="22" w:id="-691334649"/>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9"/>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5F8D24EC" w14:textId="77777777" w:rsidR="006A5BB3" w:rsidRPr="00EF6635" w:rsidRDefault="006A5BB3" w:rsidP="00E55FD2">
            <w:pPr>
              <w:pStyle w:val="COMTabletext"/>
              <w:keepNext w:val="0"/>
              <w:jc w:val="center"/>
              <w:rPr>
                <w:rFonts w:cs="Calibri"/>
                <w:color w:val="000000"/>
                <w:szCs w:val="20"/>
              </w:rPr>
            </w:pPr>
            <w:r w:rsidRPr="00EF6635">
              <w:rPr>
                <w:rFonts w:cs="Calibri"/>
                <w:color w:val="000000"/>
                <w:szCs w:val="20"/>
              </w:rPr>
              <w:t>0.6302</w:t>
            </w:r>
          </w:p>
        </w:tc>
        <w:tc>
          <w:tcPr>
            <w:tcW w:w="1121" w:type="dxa"/>
            <w:vAlign w:val="center"/>
          </w:tcPr>
          <w:p w14:paraId="44CE4E92" w14:textId="780F4174" w:rsidR="006A5BB3" w:rsidRPr="000E0C37" w:rsidRDefault="007510F8" w:rsidP="00E55FD2">
            <w:pPr>
              <w:pStyle w:val="COMTabletext"/>
              <w:keepNext w:val="0"/>
              <w:jc w:val="center"/>
              <w:rPr>
                <w:rFonts w:cs="Calibri"/>
                <w:color w:val="000000"/>
                <w:szCs w:val="20"/>
                <w:highlight w:val="darkGray"/>
              </w:rPr>
            </w:pPr>
            <w:r w:rsidRPr="007510F8">
              <w:rPr>
                <w:rFonts w:cs="Calibri" w:hint="eastAsia"/>
                <w:color w:val="000000"/>
                <w:w w:val="15"/>
                <w:szCs w:val="20"/>
                <w:shd w:val="solid" w:color="000000" w:fill="000000"/>
                <w:fitText w:val="43" w:id="-691334648"/>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8"/>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8"/>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39A912E7" w14:textId="5A42F6F8" w:rsidR="006A5BB3" w:rsidRPr="00EF6635" w:rsidRDefault="006A5BB3"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26"/>
                <w:szCs w:val="20"/>
                <w:shd w:val="solid" w:color="000000" w:fill="000000"/>
                <w:fitText w:val="118" w:id="-691334647"/>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47"/>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47"/>
                <w14:textFill>
                  <w14:solidFill>
                    <w14:srgbClr w14:val="000000">
                      <w14:alpha w14:val="100000"/>
                    </w14:srgbClr>
                  </w14:solidFill>
                </w14:textFill>
              </w:rPr>
              <w:t xml:space="preserve">　</w:t>
            </w:r>
            <w:r w:rsidRPr="00EF6635">
              <w:rPr>
                <w:rFonts w:cs="Calibri"/>
                <w:color w:val="000000"/>
                <w:szCs w:val="20"/>
              </w:rPr>
              <w:t>%</w:t>
            </w:r>
          </w:p>
        </w:tc>
      </w:tr>
      <w:tr w:rsidR="006A5BB3" w14:paraId="5A29CD78" w14:textId="77777777" w:rsidTr="7FB99A72">
        <w:tc>
          <w:tcPr>
            <w:tcW w:w="9017" w:type="dxa"/>
            <w:gridSpan w:val="5"/>
          </w:tcPr>
          <w:p w14:paraId="0B551596" w14:textId="77777777" w:rsidR="006A5BB3" w:rsidRPr="00EF6635" w:rsidRDefault="006A5BB3" w:rsidP="00E55FD2">
            <w:pPr>
              <w:pStyle w:val="COMTabletext"/>
              <w:keepNext w:val="0"/>
              <w:rPr>
                <w:b/>
                <w:bCs w:val="0"/>
              </w:rPr>
            </w:pPr>
            <w:r w:rsidRPr="00EF6635">
              <w:rPr>
                <w:b/>
                <w:bCs w:val="0"/>
              </w:rPr>
              <w:t xml:space="preserve">High-dose corticosteroid </w:t>
            </w:r>
            <w:proofErr w:type="gramStart"/>
            <w:r w:rsidRPr="00EF6635">
              <w:rPr>
                <w:b/>
                <w:bCs w:val="0"/>
              </w:rPr>
              <w:t>use</w:t>
            </w:r>
            <w:proofErr w:type="gramEnd"/>
            <w:r w:rsidRPr="00EF6635">
              <w:rPr>
                <w:b/>
                <w:bCs w:val="0"/>
              </w:rPr>
              <w:t xml:space="preserve"> in non-responders (base case: </w:t>
            </w:r>
            <w:r w:rsidRPr="00851006">
              <w:rPr>
                <w:b/>
                <w:bCs w:val="0"/>
              </w:rPr>
              <w:t>100%)</w:t>
            </w:r>
          </w:p>
        </w:tc>
      </w:tr>
      <w:tr w:rsidR="006A5BB3" w14:paraId="7B4ABB5F" w14:textId="77777777" w:rsidTr="7FB99A72">
        <w:tc>
          <w:tcPr>
            <w:tcW w:w="4531" w:type="dxa"/>
          </w:tcPr>
          <w:p w14:paraId="10BC545B" w14:textId="77777777" w:rsidR="006A5BB3" w:rsidRPr="00EF6635" w:rsidRDefault="006A5BB3" w:rsidP="00E55FD2">
            <w:pPr>
              <w:pStyle w:val="COMTabletext"/>
              <w:keepNext w:val="0"/>
            </w:pPr>
            <w:r w:rsidRPr="00EF6635">
              <w:t xml:space="preserve">High-dose corticosteroid </w:t>
            </w:r>
            <w:proofErr w:type="gramStart"/>
            <w:r w:rsidRPr="00EF6635">
              <w:t>use</w:t>
            </w:r>
            <w:proofErr w:type="gramEnd"/>
            <w:r w:rsidRPr="00EF6635">
              <w:t xml:space="preserve"> in non-responders </w:t>
            </w:r>
            <w:r w:rsidRPr="00992D4B">
              <w:t>63.2%</w:t>
            </w:r>
            <w:r w:rsidRPr="00EF6635">
              <w:t xml:space="preserve"> based on proportion of patients using corticosteroids at baseline in RAISE; assuming all receiving high-dose corticosteroids.</w:t>
            </w:r>
          </w:p>
        </w:tc>
        <w:tc>
          <w:tcPr>
            <w:tcW w:w="1121" w:type="dxa"/>
            <w:vAlign w:val="center"/>
          </w:tcPr>
          <w:p w14:paraId="23FCDFC8" w14:textId="4DDC48DD" w:rsidR="006A5BB3" w:rsidRPr="00EF6635" w:rsidRDefault="007510F8" w:rsidP="00E55FD2">
            <w:pPr>
              <w:pStyle w:val="COMTabletext"/>
              <w:keepNext w:val="0"/>
              <w:jc w:val="center"/>
            </w:pPr>
            <w:r>
              <w:rPr>
                <w:rFonts w:cs="Calibri" w:hint="eastAsia"/>
                <w:color w:val="000000"/>
                <w:w w:val="15"/>
                <w:szCs w:val="20"/>
                <w:shd w:val="solid" w:color="000000" w:fill="000000"/>
                <w:fitText w:val="22" w:id="-691334646"/>
                <w14:textFill>
                  <w14:solidFill>
                    <w14:srgbClr w14:val="000000">
                      <w14:alpha w14:val="100000"/>
                    </w14:srgbClr>
                  </w14:solidFill>
                </w14:textFill>
              </w:rPr>
              <w:t xml:space="preserve">　</w:t>
            </w:r>
            <w:r>
              <w:rPr>
                <w:rFonts w:cs="Calibri"/>
                <w:color w:val="000000"/>
                <w:w w:val="15"/>
                <w:szCs w:val="20"/>
                <w:shd w:val="solid" w:color="000000" w:fill="000000"/>
                <w:fitText w:val="22" w:id="-691334646"/>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6"/>
                <w14:textFill>
                  <w14:solidFill>
                    <w14:srgbClr w14:val="000000">
                      <w14:alpha w14:val="100000"/>
                    </w14:srgbClr>
                  </w14:solidFill>
                </w14:textFill>
              </w:rPr>
              <w:t xml:space="preserve">　</w:t>
            </w:r>
            <w:r w:rsidR="00044157">
              <w:rPr>
                <w:rFonts w:cs="Calibri"/>
                <w:color w:val="000000"/>
                <w:szCs w:val="20"/>
              </w:rPr>
              <w:t xml:space="preserve"> </w:t>
            </w:r>
          </w:p>
        </w:tc>
        <w:tc>
          <w:tcPr>
            <w:tcW w:w="1122" w:type="dxa"/>
            <w:vAlign w:val="center"/>
          </w:tcPr>
          <w:p w14:paraId="3721C264" w14:textId="77777777" w:rsidR="006A5BB3" w:rsidRPr="00EF6635" w:rsidRDefault="006A5BB3" w:rsidP="00E55FD2">
            <w:pPr>
              <w:pStyle w:val="COMTabletext"/>
              <w:keepNext w:val="0"/>
              <w:jc w:val="center"/>
            </w:pPr>
            <w:r w:rsidRPr="00EF6635">
              <w:rPr>
                <w:rFonts w:cs="Calibri"/>
                <w:color w:val="000000"/>
                <w:szCs w:val="20"/>
              </w:rPr>
              <w:t>0.5575</w:t>
            </w:r>
          </w:p>
        </w:tc>
        <w:tc>
          <w:tcPr>
            <w:tcW w:w="1121" w:type="dxa"/>
            <w:vAlign w:val="center"/>
          </w:tcPr>
          <w:p w14:paraId="252B3BCA" w14:textId="0886CBBC" w:rsidR="006A5BB3" w:rsidRPr="00EF6635" w:rsidRDefault="007510F8" w:rsidP="00E55FD2">
            <w:pPr>
              <w:pStyle w:val="COMTabletext"/>
              <w:keepNext w:val="0"/>
              <w:jc w:val="center"/>
            </w:pPr>
            <w:r w:rsidRPr="007510F8">
              <w:rPr>
                <w:rFonts w:cs="Calibri" w:hint="eastAsia"/>
                <w:color w:val="000000"/>
                <w:w w:val="15"/>
                <w:szCs w:val="20"/>
                <w:shd w:val="solid" w:color="000000" w:fill="000000"/>
                <w:fitText w:val="43" w:id="-691334645"/>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5"/>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5"/>
                <w14:textFill>
                  <w14:solidFill>
                    <w14:srgbClr w14:val="000000">
                      <w14:alpha w14:val="100000"/>
                    </w14:srgbClr>
                  </w14:solidFill>
                </w14:textFill>
              </w:rPr>
              <w:t xml:space="preserve">　</w:t>
            </w:r>
            <w:r w:rsidR="00862796" w:rsidRPr="00862796">
              <w:rPr>
                <w:rFonts w:cs="Calibri"/>
                <w:color w:val="000000"/>
                <w:szCs w:val="20"/>
                <w:vertAlign w:val="superscript"/>
              </w:rPr>
              <w:t>2</w:t>
            </w:r>
          </w:p>
        </w:tc>
        <w:tc>
          <w:tcPr>
            <w:tcW w:w="1122" w:type="dxa"/>
            <w:vAlign w:val="center"/>
          </w:tcPr>
          <w:p w14:paraId="06A17679" w14:textId="143A26C1"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31"/>
                <w:szCs w:val="20"/>
                <w:shd w:val="solid" w:color="000000" w:fill="000000"/>
                <w:fitText w:val="140" w:id="-691334644"/>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44"/>
                <w14:textFill>
                  <w14:solidFill>
                    <w14:srgbClr w14:val="000000">
                      <w14:alpha w14:val="100000"/>
                    </w14:srgbClr>
                  </w14:solidFill>
                </w14:textFill>
              </w:rPr>
              <w:t>|</w:t>
            </w:r>
            <w:r w:rsidR="007510F8" w:rsidRPr="007510F8">
              <w:rPr>
                <w:rFonts w:cs="Calibri" w:hint="eastAsia"/>
                <w:color w:val="000000"/>
                <w:spacing w:val="4"/>
                <w:w w:val="31"/>
                <w:szCs w:val="20"/>
                <w:shd w:val="solid" w:color="000000" w:fill="000000"/>
                <w:fitText w:val="140" w:id="-691334644"/>
                <w14:textFill>
                  <w14:solidFill>
                    <w14:srgbClr w14:val="000000">
                      <w14:alpha w14:val="100000"/>
                    </w14:srgbClr>
                  </w14:solidFill>
                </w14:textFill>
              </w:rPr>
              <w:t xml:space="preserve">　</w:t>
            </w:r>
            <w:r w:rsidRPr="00EF6635">
              <w:rPr>
                <w:rFonts w:cs="Calibri"/>
                <w:color w:val="000000"/>
                <w:szCs w:val="20"/>
              </w:rPr>
              <w:t>%</w:t>
            </w:r>
          </w:p>
        </w:tc>
      </w:tr>
      <w:tr w:rsidR="006A5BB3" w14:paraId="7DED3A6F" w14:textId="77777777" w:rsidTr="7FB99A72">
        <w:tc>
          <w:tcPr>
            <w:tcW w:w="9017" w:type="dxa"/>
            <w:gridSpan w:val="5"/>
          </w:tcPr>
          <w:p w14:paraId="7D032D49" w14:textId="77777777" w:rsidR="006A5BB3" w:rsidRPr="00EF6635" w:rsidRDefault="006A5BB3" w:rsidP="00E55FD2">
            <w:pPr>
              <w:pStyle w:val="COMTabletext"/>
              <w:keepNext w:val="0"/>
            </w:pPr>
            <w:r w:rsidRPr="00EF6635">
              <w:rPr>
                <w:b/>
                <w:szCs w:val="20"/>
              </w:rPr>
              <w:t>Utility values (base case: health state utility values based on a post hoc analysis of the RAISE trial and MG-ADL data from trial and extension; exacerbation, myasthenic crisis and high-dose corticosteroid disutility values from the published literature)</w:t>
            </w:r>
          </w:p>
        </w:tc>
      </w:tr>
      <w:tr w:rsidR="006A5BB3" w14:paraId="37808614" w14:textId="77777777" w:rsidTr="7FB99A72">
        <w:tc>
          <w:tcPr>
            <w:tcW w:w="4531" w:type="dxa"/>
          </w:tcPr>
          <w:p w14:paraId="10E7AA57" w14:textId="77777777" w:rsidR="006A5BB3" w:rsidRPr="00EF6635" w:rsidRDefault="006A5BB3" w:rsidP="00E55FD2">
            <w:pPr>
              <w:pStyle w:val="COMTabletext"/>
              <w:keepNext w:val="0"/>
            </w:pPr>
            <w:r w:rsidRPr="5669A5A1">
              <w:lastRenderedPageBreak/>
              <w:t xml:space="preserve">Health state utility values based on equation derived in responder </w:t>
            </w:r>
            <w:proofErr w:type="spellStart"/>
            <w:proofErr w:type="gramStart"/>
            <w:r w:rsidRPr="5669A5A1">
              <w:t>population</w:t>
            </w:r>
            <w:r w:rsidRPr="5669A5A1">
              <w:rPr>
                <w:vertAlign w:val="superscript"/>
              </w:rPr>
              <w:t>a</w:t>
            </w:r>
            <w:proofErr w:type="spellEnd"/>
            <w:r w:rsidRPr="5669A5A1">
              <w:t>;</w:t>
            </w:r>
            <w:proofErr w:type="gramEnd"/>
            <w:r w:rsidRPr="5669A5A1">
              <w:t xml:space="preserve"> using baseline EQ-5D and BMI from the RAISE treatment refractory subgroup</w:t>
            </w:r>
          </w:p>
        </w:tc>
        <w:tc>
          <w:tcPr>
            <w:tcW w:w="1121" w:type="dxa"/>
            <w:vAlign w:val="center"/>
          </w:tcPr>
          <w:p w14:paraId="227E8261" w14:textId="70D5B9F1"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43"/>
                <w14:textFill>
                  <w14:solidFill>
                    <w14:srgbClr w14:val="000000">
                      <w14:alpha w14:val="100000"/>
                    </w14:srgbClr>
                  </w14:solidFill>
                </w14:textFill>
              </w:rPr>
              <w:t xml:space="preserve">　</w:t>
            </w:r>
            <w:r>
              <w:rPr>
                <w:rFonts w:cs="Calibri"/>
                <w:color w:val="000000"/>
                <w:w w:val="15"/>
                <w:szCs w:val="20"/>
                <w:shd w:val="solid" w:color="000000" w:fill="000000"/>
                <w:fitText w:val="22" w:id="-691334643"/>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3"/>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6A5C949C" w14:textId="77777777" w:rsidR="006A5BB3" w:rsidRPr="00EF6635" w:rsidRDefault="006A5BB3" w:rsidP="00E55FD2">
            <w:pPr>
              <w:pStyle w:val="COMTabletext"/>
              <w:keepNext w:val="0"/>
              <w:jc w:val="center"/>
            </w:pPr>
            <w:r w:rsidRPr="00EF6635">
              <w:rPr>
                <w:rFonts w:cs="Calibri"/>
                <w:color w:val="000000"/>
                <w:szCs w:val="20"/>
              </w:rPr>
              <w:t>0.6547</w:t>
            </w:r>
          </w:p>
        </w:tc>
        <w:tc>
          <w:tcPr>
            <w:tcW w:w="1121" w:type="dxa"/>
            <w:vAlign w:val="center"/>
          </w:tcPr>
          <w:p w14:paraId="7CBE088C" w14:textId="4034B90E"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42"/>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2"/>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2"/>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215AE7EF" w14:textId="552A8AFE"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26"/>
                <w:szCs w:val="20"/>
                <w:shd w:val="solid" w:color="000000" w:fill="000000"/>
                <w:fitText w:val="118" w:id="-691334641"/>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41"/>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41"/>
                <w14:textFill>
                  <w14:solidFill>
                    <w14:srgbClr w14:val="000000">
                      <w14:alpha w14:val="100000"/>
                    </w14:srgbClr>
                  </w14:solidFill>
                </w14:textFill>
              </w:rPr>
              <w:t xml:space="preserve">　</w:t>
            </w:r>
            <w:r w:rsidRPr="00EF6635">
              <w:rPr>
                <w:rFonts w:cs="Calibri"/>
                <w:color w:val="000000"/>
                <w:szCs w:val="20"/>
              </w:rPr>
              <w:t>%</w:t>
            </w:r>
          </w:p>
        </w:tc>
      </w:tr>
      <w:tr w:rsidR="006A5BB3" w14:paraId="426BA977" w14:textId="77777777" w:rsidTr="7FB99A72">
        <w:tc>
          <w:tcPr>
            <w:tcW w:w="4531" w:type="dxa"/>
          </w:tcPr>
          <w:p w14:paraId="6EEF3870" w14:textId="4AA9512B" w:rsidR="006A5BB3" w:rsidRPr="00EF6635" w:rsidRDefault="006A5BB3" w:rsidP="00E55FD2">
            <w:pPr>
              <w:pStyle w:val="COMTabletext"/>
              <w:keepNext w:val="0"/>
            </w:pPr>
            <w:r w:rsidRPr="00EF6635">
              <w:t xml:space="preserve">Use US value set for </w:t>
            </w:r>
            <w:r w:rsidR="001D4869" w:rsidRPr="00EF6635">
              <w:t>high-dose</w:t>
            </w:r>
            <w:r w:rsidRPr="00EF6635">
              <w:t xml:space="preserve"> corticosteroid disutility (</w:t>
            </w:r>
            <w:r w:rsidRPr="00EF6635">
              <w:noBreakHyphen/>
              <w:t>0.032)</w:t>
            </w:r>
          </w:p>
        </w:tc>
        <w:tc>
          <w:tcPr>
            <w:tcW w:w="1121" w:type="dxa"/>
            <w:vAlign w:val="center"/>
          </w:tcPr>
          <w:p w14:paraId="6A5505C3" w14:textId="7C784636" w:rsidR="006A5BB3" w:rsidRPr="000E0C37" w:rsidRDefault="007510F8" w:rsidP="00E55FD2">
            <w:pPr>
              <w:pStyle w:val="COMTabletext"/>
              <w:keepNext w:val="0"/>
              <w:jc w:val="center"/>
              <w:rPr>
                <w:rFonts w:cs="Calibri"/>
                <w:color w:val="000000"/>
                <w:szCs w:val="20"/>
                <w:highlight w:val="darkGray"/>
              </w:rPr>
            </w:pPr>
            <w:r>
              <w:rPr>
                <w:rFonts w:cs="Calibri" w:hint="eastAsia"/>
                <w:color w:val="000000"/>
                <w:w w:val="15"/>
                <w:szCs w:val="20"/>
                <w:shd w:val="solid" w:color="000000" w:fill="000000"/>
                <w:fitText w:val="22" w:id="-691334640"/>
                <w14:textFill>
                  <w14:solidFill>
                    <w14:srgbClr w14:val="000000">
                      <w14:alpha w14:val="100000"/>
                    </w14:srgbClr>
                  </w14:solidFill>
                </w14:textFill>
              </w:rPr>
              <w:t xml:space="preserve">　</w:t>
            </w:r>
            <w:r>
              <w:rPr>
                <w:rFonts w:cs="Calibri"/>
                <w:color w:val="000000"/>
                <w:w w:val="15"/>
                <w:szCs w:val="20"/>
                <w:shd w:val="solid" w:color="000000" w:fill="000000"/>
                <w:fitText w:val="22" w:id="-691334640"/>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0"/>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5ACB0B64" w14:textId="77777777" w:rsidR="006A5BB3" w:rsidRPr="00EF6635" w:rsidRDefault="006A5BB3" w:rsidP="00E55FD2">
            <w:pPr>
              <w:pStyle w:val="COMTabletext"/>
              <w:keepNext w:val="0"/>
              <w:jc w:val="center"/>
              <w:rPr>
                <w:rFonts w:cs="Calibri"/>
                <w:color w:val="000000"/>
                <w:szCs w:val="20"/>
              </w:rPr>
            </w:pPr>
            <w:r w:rsidRPr="00EF6635">
              <w:rPr>
                <w:rFonts w:cs="Calibri"/>
                <w:color w:val="000000"/>
                <w:szCs w:val="20"/>
              </w:rPr>
              <w:t>0.5674</w:t>
            </w:r>
          </w:p>
        </w:tc>
        <w:tc>
          <w:tcPr>
            <w:tcW w:w="1121" w:type="dxa"/>
            <w:vAlign w:val="center"/>
          </w:tcPr>
          <w:p w14:paraId="3A80D757" w14:textId="37057389" w:rsidR="006A5BB3" w:rsidRPr="000E0C37" w:rsidRDefault="007510F8" w:rsidP="00E55FD2">
            <w:pPr>
              <w:pStyle w:val="COMTabletext"/>
              <w:keepNext w:val="0"/>
              <w:jc w:val="center"/>
              <w:rPr>
                <w:rFonts w:cs="Calibri"/>
                <w:color w:val="000000"/>
                <w:szCs w:val="20"/>
                <w:highlight w:val="darkGray"/>
              </w:rPr>
            </w:pPr>
            <w:r w:rsidRPr="007510F8">
              <w:rPr>
                <w:rFonts w:cs="Calibri" w:hint="eastAsia"/>
                <w:color w:val="000000"/>
                <w:w w:val="15"/>
                <w:szCs w:val="20"/>
                <w:shd w:val="solid" w:color="000000" w:fill="000000"/>
                <w:fitText w:val="43" w:id="-691334656"/>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6"/>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6"/>
                <w14:textFill>
                  <w14:solidFill>
                    <w14:srgbClr w14:val="000000">
                      <w14:alpha w14:val="100000"/>
                    </w14:srgbClr>
                  </w14:solidFill>
                </w14:textFill>
              </w:rPr>
              <w:t xml:space="preserve">　</w:t>
            </w:r>
            <w:r w:rsidR="00CF3A41" w:rsidRPr="00862796">
              <w:rPr>
                <w:rFonts w:cs="Calibri"/>
                <w:color w:val="000000"/>
                <w:szCs w:val="20"/>
                <w:vertAlign w:val="superscript"/>
              </w:rPr>
              <w:t>2</w:t>
            </w:r>
          </w:p>
        </w:tc>
        <w:tc>
          <w:tcPr>
            <w:tcW w:w="1122" w:type="dxa"/>
            <w:vAlign w:val="center"/>
          </w:tcPr>
          <w:p w14:paraId="7BD2008A" w14:textId="7959E9DE" w:rsidR="006A5BB3" w:rsidRPr="00EF6635" w:rsidRDefault="006A5BB3"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31"/>
                <w:szCs w:val="20"/>
                <w:shd w:val="solid" w:color="000000" w:fill="000000"/>
                <w:fitText w:val="140" w:id="-691334655"/>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55"/>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55"/>
                <w14:textFill>
                  <w14:solidFill>
                    <w14:srgbClr w14:val="000000">
                      <w14:alpha w14:val="100000"/>
                    </w14:srgbClr>
                  </w14:solidFill>
                </w14:textFill>
              </w:rPr>
              <w:t xml:space="preserve">　</w:t>
            </w:r>
            <w:r w:rsidRPr="00EF6635">
              <w:rPr>
                <w:rFonts w:cs="Calibri"/>
                <w:color w:val="000000"/>
                <w:szCs w:val="20"/>
              </w:rPr>
              <w:t>%</w:t>
            </w:r>
          </w:p>
        </w:tc>
      </w:tr>
      <w:tr w:rsidR="006A5BB3" w14:paraId="1132B5EC" w14:textId="77777777" w:rsidTr="7FB99A72">
        <w:tc>
          <w:tcPr>
            <w:tcW w:w="4531" w:type="dxa"/>
          </w:tcPr>
          <w:p w14:paraId="37511379" w14:textId="77777777" w:rsidR="006A5BB3" w:rsidRPr="00EF6635" w:rsidRDefault="006A5BB3" w:rsidP="00E55FD2">
            <w:pPr>
              <w:pStyle w:val="COMTabletext"/>
              <w:keepNext w:val="0"/>
            </w:pPr>
            <w:r w:rsidRPr="00EF6635">
              <w:t>Remove high-dose corticosteroid disutility</w:t>
            </w:r>
          </w:p>
        </w:tc>
        <w:tc>
          <w:tcPr>
            <w:tcW w:w="1121" w:type="dxa"/>
            <w:vAlign w:val="center"/>
          </w:tcPr>
          <w:p w14:paraId="3C64C93F" w14:textId="0DAB51AC"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54"/>
                <w14:textFill>
                  <w14:solidFill>
                    <w14:srgbClr w14:val="000000">
                      <w14:alpha w14:val="100000"/>
                    </w14:srgbClr>
                  </w14:solidFill>
                </w14:textFill>
              </w:rPr>
              <w:t xml:space="preserve">　</w:t>
            </w:r>
            <w:r>
              <w:rPr>
                <w:rFonts w:cs="Calibri"/>
                <w:color w:val="000000"/>
                <w:w w:val="15"/>
                <w:szCs w:val="20"/>
                <w:shd w:val="solid" w:color="000000" w:fill="000000"/>
                <w:fitText w:val="22" w:id="-691334654"/>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54"/>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018949E3" w14:textId="77777777" w:rsidR="006A5BB3" w:rsidRPr="00EF6635" w:rsidRDefault="006A5BB3" w:rsidP="00E55FD2">
            <w:pPr>
              <w:pStyle w:val="COMTabletext"/>
              <w:keepNext w:val="0"/>
              <w:jc w:val="center"/>
            </w:pPr>
            <w:r w:rsidRPr="00EF6635">
              <w:rPr>
                <w:rFonts w:cs="Calibri"/>
                <w:color w:val="000000"/>
                <w:szCs w:val="20"/>
              </w:rPr>
              <w:t>0.4799</w:t>
            </w:r>
          </w:p>
        </w:tc>
        <w:tc>
          <w:tcPr>
            <w:tcW w:w="1121" w:type="dxa"/>
            <w:vAlign w:val="center"/>
          </w:tcPr>
          <w:p w14:paraId="0AE42E55" w14:textId="4D33F5F9"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53"/>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3"/>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3"/>
                <w14:textFill>
                  <w14:solidFill>
                    <w14:srgbClr w14:val="000000">
                      <w14:alpha w14:val="100000"/>
                    </w14:srgbClr>
                  </w14:solidFill>
                </w14:textFill>
              </w:rPr>
              <w:t xml:space="preserve">　</w:t>
            </w:r>
            <w:r w:rsidR="003D201C" w:rsidRPr="003D201C">
              <w:rPr>
                <w:rFonts w:cs="Calibri"/>
                <w:color w:val="000000"/>
                <w:szCs w:val="20"/>
                <w:vertAlign w:val="superscript"/>
              </w:rPr>
              <w:t>4</w:t>
            </w:r>
          </w:p>
        </w:tc>
        <w:tc>
          <w:tcPr>
            <w:tcW w:w="1122" w:type="dxa"/>
            <w:vAlign w:val="center"/>
          </w:tcPr>
          <w:p w14:paraId="6ED23471" w14:textId="57DE22F2"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31"/>
                <w:szCs w:val="20"/>
                <w:shd w:val="solid" w:color="000000" w:fill="000000"/>
                <w:fitText w:val="140" w:id="-691334652"/>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52"/>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52"/>
                <w14:textFill>
                  <w14:solidFill>
                    <w14:srgbClr w14:val="000000">
                      <w14:alpha w14:val="100000"/>
                    </w14:srgbClr>
                  </w14:solidFill>
                </w14:textFill>
              </w:rPr>
              <w:t xml:space="preserve">　</w:t>
            </w:r>
            <w:r w:rsidRPr="00EF6635">
              <w:rPr>
                <w:rFonts w:cs="Calibri"/>
                <w:color w:val="000000"/>
                <w:szCs w:val="20"/>
              </w:rPr>
              <w:t>%</w:t>
            </w:r>
          </w:p>
        </w:tc>
      </w:tr>
      <w:tr w:rsidR="006A5BB3" w14:paraId="1BEE4110" w14:textId="77777777" w:rsidTr="7FB99A72">
        <w:tc>
          <w:tcPr>
            <w:tcW w:w="9017" w:type="dxa"/>
            <w:gridSpan w:val="5"/>
          </w:tcPr>
          <w:p w14:paraId="0B6AD15B" w14:textId="77777777" w:rsidR="006A5BB3" w:rsidRPr="00EF6635" w:rsidRDefault="006A5BB3" w:rsidP="00E55FD2">
            <w:pPr>
              <w:pStyle w:val="COMTabletext"/>
              <w:keepNext w:val="0"/>
            </w:pPr>
            <w:r w:rsidRPr="00EF6635">
              <w:rPr>
                <w:b/>
                <w:szCs w:val="20"/>
              </w:rPr>
              <w:t>Costs (base case: resource use and unit costs based on various sources)</w:t>
            </w:r>
          </w:p>
        </w:tc>
      </w:tr>
      <w:tr w:rsidR="006A5BB3" w14:paraId="61772B9A" w14:textId="77777777" w:rsidTr="7FB99A72">
        <w:tc>
          <w:tcPr>
            <w:tcW w:w="4531" w:type="dxa"/>
          </w:tcPr>
          <w:p w14:paraId="1E42D4B6" w14:textId="29207AB0" w:rsidR="006A5BB3" w:rsidRPr="00EF6635" w:rsidRDefault="006A5BB3" w:rsidP="00E55FD2">
            <w:pPr>
              <w:pStyle w:val="COMTabletext"/>
              <w:keepNext w:val="0"/>
            </w:pPr>
            <w:r w:rsidRPr="00EF6635">
              <w:t xml:space="preserve">Proposed </w:t>
            </w:r>
            <w:proofErr w:type="spellStart"/>
            <w:r w:rsidRPr="00EF6635">
              <w:t>zilucoplan</w:t>
            </w:r>
            <w:proofErr w:type="spellEnd"/>
            <w:r w:rsidRPr="00EF6635">
              <w:t xml:space="preserve"> price in July 2024 submission ($</w:t>
            </w:r>
            <w:r w:rsidR="007510F8" w:rsidRPr="007510F8">
              <w:rPr>
                <w:color w:val="000000"/>
                <w:spacing w:val="54"/>
                <w:shd w:val="solid" w:color="000000" w:fill="000000"/>
                <w:fitText w:val="333" w:id="-691334651"/>
                <w14:textFill>
                  <w14:solidFill>
                    <w14:srgbClr w14:val="000000">
                      <w14:alpha w14:val="100000"/>
                    </w14:srgbClr>
                  </w14:solidFill>
                </w14:textFill>
              </w:rPr>
              <w:t>|||</w:t>
            </w:r>
            <w:r w:rsidR="007510F8" w:rsidRPr="007510F8">
              <w:rPr>
                <w:color w:val="000000"/>
                <w:spacing w:val="1"/>
                <w:shd w:val="solid" w:color="000000" w:fill="000000"/>
                <w:fitText w:val="333" w:id="-691334651"/>
                <w14:textFill>
                  <w14:solidFill>
                    <w14:srgbClr w14:val="000000">
                      <w14:alpha w14:val="100000"/>
                    </w14:srgbClr>
                  </w14:solidFill>
                </w14:textFill>
              </w:rPr>
              <w:t>|</w:t>
            </w:r>
            <w:r w:rsidRPr="00EF6635">
              <w:t xml:space="preserve"> compared with $</w:t>
            </w:r>
            <w:r w:rsidR="007510F8" w:rsidRPr="007510F8">
              <w:rPr>
                <w:color w:val="000000"/>
                <w:spacing w:val="54"/>
                <w:shd w:val="solid" w:color="000000" w:fill="000000"/>
                <w:fitText w:val="333" w:id="-691334650"/>
                <w14:textFill>
                  <w14:solidFill>
                    <w14:srgbClr w14:val="000000">
                      <w14:alpha w14:val="100000"/>
                    </w14:srgbClr>
                  </w14:solidFill>
                </w14:textFill>
              </w:rPr>
              <w:t>|||</w:t>
            </w:r>
            <w:r w:rsidR="007510F8" w:rsidRPr="007510F8">
              <w:rPr>
                <w:color w:val="000000"/>
                <w:spacing w:val="1"/>
                <w:shd w:val="solid" w:color="000000" w:fill="000000"/>
                <w:fitText w:val="333" w:id="-691334650"/>
                <w14:textFill>
                  <w14:solidFill>
                    <w14:srgbClr w14:val="000000">
                      <w14:alpha w14:val="100000"/>
                    </w14:srgbClr>
                  </w14:solidFill>
                </w14:textFill>
              </w:rPr>
              <w:t>|</w:t>
            </w:r>
            <w:r w:rsidRPr="00EF6635">
              <w:t xml:space="preserve"> per mg in the current submission)</w:t>
            </w:r>
          </w:p>
        </w:tc>
        <w:tc>
          <w:tcPr>
            <w:tcW w:w="1121" w:type="dxa"/>
            <w:vAlign w:val="center"/>
          </w:tcPr>
          <w:p w14:paraId="04E7120D" w14:textId="54D4651F"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49"/>
                <w14:textFill>
                  <w14:solidFill>
                    <w14:srgbClr w14:val="000000">
                      <w14:alpha w14:val="100000"/>
                    </w14:srgbClr>
                  </w14:solidFill>
                </w14:textFill>
              </w:rPr>
              <w:t xml:space="preserve">　</w:t>
            </w:r>
            <w:r>
              <w:rPr>
                <w:rFonts w:cs="Calibri"/>
                <w:color w:val="000000"/>
                <w:w w:val="15"/>
                <w:szCs w:val="20"/>
                <w:shd w:val="solid" w:color="000000" w:fill="000000"/>
                <w:fitText w:val="22" w:id="-691334649"/>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9"/>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2FAC3E96" w14:textId="77777777" w:rsidR="006A5BB3" w:rsidRPr="00EF6635" w:rsidRDefault="006A5BB3" w:rsidP="00E55FD2">
            <w:pPr>
              <w:pStyle w:val="COMTabletext"/>
              <w:keepNext w:val="0"/>
              <w:jc w:val="center"/>
            </w:pPr>
            <w:r w:rsidRPr="00EF6635">
              <w:rPr>
                <w:rFonts w:cs="Calibri"/>
                <w:color w:val="000000"/>
                <w:szCs w:val="20"/>
              </w:rPr>
              <w:t>0.6085</w:t>
            </w:r>
          </w:p>
        </w:tc>
        <w:tc>
          <w:tcPr>
            <w:tcW w:w="1121" w:type="dxa"/>
            <w:vAlign w:val="center"/>
          </w:tcPr>
          <w:p w14:paraId="7DE9CD5D" w14:textId="674B6B5C"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48"/>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8"/>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8"/>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0D7876ED" w14:textId="1CC7500F"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26"/>
                <w:szCs w:val="20"/>
                <w:shd w:val="solid" w:color="000000" w:fill="000000"/>
                <w:fitText w:val="118" w:id="-691334647"/>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47"/>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47"/>
                <w14:textFill>
                  <w14:solidFill>
                    <w14:srgbClr w14:val="000000">
                      <w14:alpha w14:val="100000"/>
                    </w14:srgbClr>
                  </w14:solidFill>
                </w14:textFill>
              </w:rPr>
              <w:t xml:space="preserve">　</w:t>
            </w:r>
            <w:r w:rsidRPr="00EF6635">
              <w:rPr>
                <w:rFonts w:cs="Calibri"/>
                <w:color w:val="000000"/>
                <w:szCs w:val="20"/>
              </w:rPr>
              <w:t>%</w:t>
            </w:r>
          </w:p>
        </w:tc>
      </w:tr>
      <w:tr w:rsidR="006A5BB3" w14:paraId="252F4103" w14:textId="77777777" w:rsidTr="7FB99A72">
        <w:tc>
          <w:tcPr>
            <w:tcW w:w="4531" w:type="dxa"/>
          </w:tcPr>
          <w:p w14:paraId="33D0940E" w14:textId="7639D9A1" w:rsidR="006A5BB3" w:rsidRPr="00EF6635" w:rsidRDefault="00D93EE6" w:rsidP="00E55FD2">
            <w:pPr>
              <w:pStyle w:val="COMTabletext"/>
              <w:keepNext w:val="0"/>
            </w:pPr>
            <w:r w:rsidRPr="00EF6635">
              <w:rPr>
                <w:szCs w:val="20"/>
              </w:rPr>
              <w:t>C</w:t>
            </w:r>
            <w:r w:rsidR="006A5BB3" w:rsidRPr="00EF6635">
              <w:rPr>
                <w:szCs w:val="20"/>
              </w:rPr>
              <w:t xml:space="preserve">hronic IVIg costs based on Australian utilisation data (approximately </w:t>
            </w:r>
            <w:r w:rsidR="006A5BB3" w:rsidRPr="00851006">
              <w:rPr>
                <w:szCs w:val="20"/>
              </w:rPr>
              <w:t>40%</w:t>
            </w:r>
            <w:r w:rsidR="006A5BB3" w:rsidRPr="00EF6635">
              <w:rPr>
                <w:szCs w:val="20"/>
              </w:rPr>
              <w:t xml:space="preserve"> of July 2024 estimates)</w:t>
            </w:r>
          </w:p>
        </w:tc>
        <w:tc>
          <w:tcPr>
            <w:tcW w:w="1121" w:type="dxa"/>
            <w:vAlign w:val="center"/>
          </w:tcPr>
          <w:p w14:paraId="63CCA025" w14:textId="56D4018C" w:rsidR="006A5BB3" w:rsidRPr="000E0C37" w:rsidRDefault="007510F8" w:rsidP="00E55FD2">
            <w:pPr>
              <w:pStyle w:val="COMTabletext"/>
              <w:keepNext w:val="0"/>
              <w:jc w:val="center"/>
              <w:rPr>
                <w:highlight w:val="darkGray"/>
              </w:rPr>
            </w:pPr>
            <w:r>
              <w:rPr>
                <w:rFonts w:cs="Calibri" w:hint="eastAsia"/>
                <w:color w:val="000000"/>
                <w:w w:val="15"/>
                <w:szCs w:val="20"/>
                <w:shd w:val="solid" w:color="000000" w:fill="000000"/>
                <w:fitText w:val="22" w:id="-691334646"/>
                <w14:textFill>
                  <w14:solidFill>
                    <w14:srgbClr w14:val="000000">
                      <w14:alpha w14:val="100000"/>
                    </w14:srgbClr>
                  </w14:solidFill>
                </w14:textFill>
              </w:rPr>
              <w:t xml:space="preserve">　</w:t>
            </w:r>
            <w:r>
              <w:rPr>
                <w:rFonts w:cs="Calibri"/>
                <w:color w:val="000000"/>
                <w:w w:val="15"/>
                <w:szCs w:val="20"/>
                <w:shd w:val="solid" w:color="000000" w:fill="000000"/>
                <w:fitText w:val="22" w:id="-691334646"/>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6"/>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3C289B16" w14:textId="77777777" w:rsidR="006A5BB3" w:rsidRPr="00EF6635" w:rsidRDefault="006A5BB3" w:rsidP="00E55FD2">
            <w:pPr>
              <w:pStyle w:val="COMTabletext"/>
              <w:keepNext w:val="0"/>
              <w:jc w:val="center"/>
            </w:pPr>
            <w:r w:rsidRPr="00EF6635">
              <w:rPr>
                <w:rFonts w:cs="Calibri"/>
                <w:color w:val="000000"/>
                <w:szCs w:val="20"/>
              </w:rPr>
              <w:t>0.6085</w:t>
            </w:r>
          </w:p>
        </w:tc>
        <w:tc>
          <w:tcPr>
            <w:tcW w:w="1121" w:type="dxa"/>
            <w:vAlign w:val="center"/>
          </w:tcPr>
          <w:p w14:paraId="7CD26731" w14:textId="1C2EF79C" w:rsidR="006A5BB3" w:rsidRPr="000E0C37" w:rsidRDefault="007510F8" w:rsidP="00E55FD2">
            <w:pPr>
              <w:pStyle w:val="COMTabletext"/>
              <w:keepNext w:val="0"/>
              <w:jc w:val="center"/>
              <w:rPr>
                <w:highlight w:val="darkGray"/>
              </w:rPr>
            </w:pPr>
            <w:r w:rsidRPr="007510F8">
              <w:rPr>
                <w:rFonts w:cs="Calibri" w:hint="eastAsia"/>
                <w:color w:val="000000"/>
                <w:w w:val="15"/>
                <w:szCs w:val="20"/>
                <w:shd w:val="solid" w:color="000000" w:fill="000000"/>
                <w:fitText w:val="43" w:id="-691334645"/>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5"/>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5"/>
                <w14:textFill>
                  <w14:solidFill>
                    <w14:srgbClr w14:val="000000">
                      <w14:alpha w14:val="100000"/>
                    </w14:srgbClr>
                  </w14:solidFill>
                </w14:textFill>
              </w:rPr>
              <w:t xml:space="preserve">　</w:t>
            </w:r>
            <w:r w:rsidR="00CF3A41" w:rsidRPr="00862796">
              <w:rPr>
                <w:rFonts w:cs="Calibri"/>
                <w:color w:val="000000"/>
                <w:szCs w:val="20"/>
                <w:vertAlign w:val="superscript"/>
              </w:rPr>
              <w:t>2</w:t>
            </w:r>
          </w:p>
        </w:tc>
        <w:tc>
          <w:tcPr>
            <w:tcW w:w="1122" w:type="dxa"/>
            <w:vAlign w:val="center"/>
          </w:tcPr>
          <w:p w14:paraId="2ECDB897" w14:textId="6EA8C806" w:rsidR="006A5BB3" w:rsidRPr="00EF6635" w:rsidRDefault="006A5BB3" w:rsidP="00E55FD2">
            <w:pPr>
              <w:pStyle w:val="COMTabletext"/>
              <w:keepNext w:val="0"/>
              <w:jc w:val="center"/>
            </w:pPr>
            <w:r w:rsidRPr="00EF6635">
              <w:rPr>
                <w:rFonts w:cs="Calibri"/>
                <w:color w:val="000000"/>
                <w:szCs w:val="20"/>
              </w:rPr>
              <w:t>+</w:t>
            </w:r>
            <w:r w:rsidR="007510F8" w:rsidRPr="007510F8">
              <w:rPr>
                <w:rFonts w:cs="Calibri" w:hint="eastAsia"/>
                <w:color w:val="000000"/>
                <w:w w:val="31"/>
                <w:szCs w:val="20"/>
                <w:shd w:val="solid" w:color="000000" w:fill="000000"/>
                <w:fitText w:val="140" w:id="-691334644"/>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44"/>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44"/>
                <w14:textFill>
                  <w14:solidFill>
                    <w14:srgbClr w14:val="000000">
                      <w14:alpha w14:val="100000"/>
                    </w14:srgbClr>
                  </w14:solidFill>
                </w14:textFill>
              </w:rPr>
              <w:t xml:space="preserve">　</w:t>
            </w:r>
            <w:r w:rsidRPr="00EF6635">
              <w:rPr>
                <w:rFonts w:cs="Calibri"/>
                <w:color w:val="000000"/>
                <w:szCs w:val="20"/>
              </w:rPr>
              <w:t>%</w:t>
            </w:r>
          </w:p>
        </w:tc>
      </w:tr>
      <w:tr w:rsidR="000F55E7" w14:paraId="17FE770D" w14:textId="77777777" w:rsidTr="7FB99A72">
        <w:tc>
          <w:tcPr>
            <w:tcW w:w="4531" w:type="dxa"/>
          </w:tcPr>
          <w:p w14:paraId="20DDE6DC" w14:textId="18F8D97E" w:rsidR="000F55E7" w:rsidRPr="00EF6635" w:rsidRDefault="000F55E7" w:rsidP="00E55FD2">
            <w:pPr>
              <w:pStyle w:val="COMTabletext"/>
              <w:keepNext w:val="0"/>
              <w:rPr>
                <w:szCs w:val="20"/>
              </w:rPr>
            </w:pPr>
            <w:bookmarkStart w:id="70" w:name="_Hlk185006834"/>
            <w:r w:rsidRPr="00EF6635">
              <w:rPr>
                <w:szCs w:val="20"/>
              </w:rPr>
              <w:t xml:space="preserve">IVIg costs </w:t>
            </w:r>
            <w:r w:rsidRPr="00851006">
              <w:rPr>
                <w:szCs w:val="20"/>
              </w:rPr>
              <w:t>$</w:t>
            </w:r>
            <w:r w:rsidR="009C6D32" w:rsidRPr="009C6D32">
              <w:rPr>
                <w:color w:val="000000"/>
                <w:spacing w:val="79"/>
                <w:szCs w:val="20"/>
                <w:shd w:val="solid" w:color="000000" w:fill="000000"/>
                <w:fitText w:val="410" w:id="-656191488"/>
                <w14:textFill>
                  <w14:solidFill>
                    <w14:srgbClr w14:val="000000">
                      <w14:alpha w14:val="100000"/>
                    </w14:srgbClr>
                  </w14:solidFill>
                </w14:textFill>
              </w:rPr>
              <w:t>|||</w:t>
            </w:r>
            <w:r w:rsidR="009C6D32" w:rsidRPr="009C6D32">
              <w:rPr>
                <w:color w:val="000000"/>
                <w:spacing w:val="3"/>
                <w:szCs w:val="20"/>
                <w:shd w:val="solid" w:color="000000" w:fill="000000"/>
                <w:fitText w:val="410" w:id="-656191488"/>
                <w14:textFill>
                  <w14:solidFill>
                    <w14:srgbClr w14:val="000000">
                      <w14:alpha w14:val="100000"/>
                    </w14:srgbClr>
                  </w14:solidFill>
                </w14:textFill>
              </w:rPr>
              <w:t>|</w:t>
            </w:r>
            <w:r w:rsidR="009C6D32">
              <w:rPr>
                <w:szCs w:val="20"/>
              </w:rPr>
              <w:t xml:space="preserve"> </w:t>
            </w:r>
            <w:r w:rsidRPr="00851006">
              <w:rPr>
                <w:szCs w:val="20"/>
              </w:rPr>
              <w:t>per gram</w:t>
            </w:r>
            <w:r w:rsidRPr="00EF6635">
              <w:rPr>
                <w:szCs w:val="20"/>
              </w:rPr>
              <w:t xml:space="preserve"> based on the total cost divided by total mg dispensed</w:t>
            </w:r>
            <w:r w:rsidR="00FF1A94" w:rsidRPr="00EF6635">
              <w:rPr>
                <w:szCs w:val="20"/>
              </w:rPr>
              <w:t xml:space="preserve"> of</w:t>
            </w:r>
            <w:r w:rsidRPr="00EF6635">
              <w:rPr>
                <w:szCs w:val="20"/>
              </w:rPr>
              <w:t xml:space="preserve"> IVIg in </w:t>
            </w:r>
            <w:r w:rsidR="00D11C45" w:rsidRPr="00EF6635">
              <w:rPr>
                <w:szCs w:val="20"/>
              </w:rPr>
              <w:t>NBA Annual R</w:t>
            </w:r>
            <w:r w:rsidR="00FF1A94" w:rsidRPr="00EF6635">
              <w:rPr>
                <w:szCs w:val="20"/>
              </w:rPr>
              <w:t>e</w:t>
            </w:r>
            <w:r w:rsidR="00D11C45" w:rsidRPr="00EF6635">
              <w:rPr>
                <w:szCs w:val="20"/>
              </w:rPr>
              <w:t>por</w:t>
            </w:r>
            <w:r w:rsidR="00FF1A94" w:rsidRPr="00EF6635">
              <w:rPr>
                <w:szCs w:val="20"/>
              </w:rPr>
              <w:t>t</w:t>
            </w:r>
            <w:r w:rsidR="00F0775D" w:rsidRPr="00EF6635">
              <w:rPr>
                <w:szCs w:val="20"/>
              </w:rPr>
              <w:t xml:space="preserve"> </w:t>
            </w:r>
            <w:r w:rsidRPr="00EF6635">
              <w:rPr>
                <w:szCs w:val="20"/>
              </w:rPr>
              <w:t>2023-2024</w:t>
            </w:r>
          </w:p>
        </w:tc>
        <w:tc>
          <w:tcPr>
            <w:tcW w:w="1121" w:type="dxa"/>
            <w:vAlign w:val="center"/>
          </w:tcPr>
          <w:p w14:paraId="7BEE466F" w14:textId="441C9523" w:rsidR="000F55E7" w:rsidRPr="000E0C37" w:rsidRDefault="007510F8" w:rsidP="00E55FD2">
            <w:pPr>
              <w:pStyle w:val="COMTabletext"/>
              <w:keepNext w:val="0"/>
              <w:jc w:val="center"/>
              <w:rPr>
                <w:rFonts w:cs="Calibri"/>
                <w:color w:val="000000"/>
                <w:szCs w:val="20"/>
                <w:highlight w:val="darkGray"/>
              </w:rPr>
            </w:pPr>
            <w:r>
              <w:rPr>
                <w:rFonts w:cs="Calibri" w:hint="eastAsia"/>
                <w:color w:val="000000"/>
                <w:w w:val="15"/>
                <w:szCs w:val="20"/>
                <w:shd w:val="solid" w:color="000000" w:fill="000000"/>
                <w:fitText w:val="22" w:id="-691334643"/>
                <w14:textFill>
                  <w14:solidFill>
                    <w14:srgbClr w14:val="000000">
                      <w14:alpha w14:val="100000"/>
                    </w14:srgbClr>
                  </w14:solidFill>
                </w14:textFill>
              </w:rPr>
              <w:t xml:space="preserve">　</w:t>
            </w:r>
            <w:r>
              <w:rPr>
                <w:rFonts w:cs="Calibri"/>
                <w:color w:val="000000"/>
                <w:w w:val="15"/>
                <w:szCs w:val="20"/>
                <w:shd w:val="solid" w:color="000000" w:fill="000000"/>
                <w:fitText w:val="22" w:id="-691334643"/>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3"/>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7F10F938" w14:textId="16EE127B" w:rsidR="000F55E7" w:rsidRPr="00EF6635" w:rsidRDefault="000F55E7" w:rsidP="00E55FD2">
            <w:pPr>
              <w:pStyle w:val="COMTabletext"/>
              <w:keepNext w:val="0"/>
              <w:jc w:val="center"/>
              <w:rPr>
                <w:rFonts w:cs="Calibri"/>
                <w:color w:val="000000"/>
                <w:szCs w:val="20"/>
              </w:rPr>
            </w:pPr>
            <w:r w:rsidRPr="00EF6635">
              <w:rPr>
                <w:rFonts w:cs="Calibri"/>
                <w:color w:val="000000"/>
                <w:szCs w:val="20"/>
              </w:rPr>
              <w:t>0.6085</w:t>
            </w:r>
          </w:p>
        </w:tc>
        <w:tc>
          <w:tcPr>
            <w:tcW w:w="1121" w:type="dxa"/>
            <w:vAlign w:val="center"/>
          </w:tcPr>
          <w:p w14:paraId="4935E4EF" w14:textId="681A73E6" w:rsidR="000F55E7" w:rsidRPr="000E0C37" w:rsidRDefault="007510F8" w:rsidP="00E55FD2">
            <w:pPr>
              <w:pStyle w:val="COMTabletext"/>
              <w:keepNext w:val="0"/>
              <w:jc w:val="center"/>
              <w:rPr>
                <w:rFonts w:cs="Calibri"/>
                <w:color w:val="000000"/>
                <w:szCs w:val="20"/>
                <w:highlight w:val="darkGray"/>
              </w:rPr>
            </w:pPr>
            <w:r w:rsidRPr="007510F8">
              <w:rPr>
                <w:rFonts w:cs="Calibri" w:hint="eastAsia"/>
                <w:color w:val="000000"/>
                <w:w w:val="15"/>
                <w:szCs w:val="20"/>
                <w:shd w:val="solid" w:color="000000" w:fill="000000"/>
                <w:fitText w:val="43" w:id="-691334642"/>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42"/>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42"/>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339C8DF3" w14:textId="45980BC6" w:rsidR="000F55E7" w:rsidRPr="00EF6635" w:rsidRDefault="000F55E7"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26"/>
                <w:szCs w:val="20"/>
                <w:shd w:val="solid" w:color="000000" w:fill="000000"/>
                <w:fitText w:val="118" w:id="-691334641"/>
                <w14:textFill>
                  <w14:solidFill>
                    <w14:srgbClr w14:val="000000">
                      <w14:alpha w14:val="100000"/>
                    </w14:srgbClr>
                  </w14:solidFill>
                </w14:textFill>
              </w:rPr>
              <w:t xml:space="preserve">　</w:t>
            </w:r>
            <w:r w:rsidR="007510F8" w:rsidRPr="007510F8">
              <w:rPr>
                <w:rFonts w:cs="Calibri"/>
                <w:color w:val="000000"/>
                <w:w w:val="26"/>
                <w:szCs w:val="20"/>
                <w:shd w:val="solid" w:color="000000" w:fill="000000"/>
                <w:fitText w:val="118" w:id="-691334641"/>
                <w14:textFill>
                  <w14:solidFill>
                    <w14:srgbClr w14:val="000000">
                      <w14:alpha w14:val="100000"/>
                    </w14:srgbClr>
                  </w14:solidFill>
                </w14:textFill>
              </w:rPr>
              <w:t>|</w:t>
            </w:r>
            <w:r w:rsidR="007510F8" w:rsidRPr="007510F8">
              <w:rPr>
                <w:rFonts w:cs="Calibri" w:hint="eastAsia"/>
                <w:color w:val="000000"/>
                <w:w w:val="26"/>
                <w:szCs w:val="20"/>
                <w:shd w:val="solid" w:color="000000" w:fill="000000"/>
                <w:fitText w:val="118" w:id="-691334641"/>
                <w14:textFill>
                  <w14:solidFill>
                    <w14:srgbClr w14:val="000000">
                      <w14:alpha w14:val="100000"/>
                    </w14:srgbClr>
                  </w14:solidFill>
                </w14:textFill>
              </w:rPr>
              <w:t xml:space="preserve">　</w:t>
            </w:r>
            <w:r w:rsidRPr="00EF6635">
              <w:rPr>
                <w:rFonts w:cs="Calibri"/>
                <w:color w:val="000000"/>
                <w:szCs w:val="20"/>
              </w:rPr>
              <w:t>%</w:t>
            </w:r>
          </w:p>
        </w:tc>
      </w:tr>
      <w:bookmarkEnd w:id="70"/>
      <w:tr w:rsidR="006A5BB3" w14:paraId="12ADF5AC" w14:textId="77777777" w:rsidTr="7FB99A72">
        <w:tc>
          <w:tcPr>
            <w:tcW w:w="4531" w:type="dxa"/>
          </w:tcPr>
          <w:p w14:paraId="349A3C30" w14:textId="77777777" w:rsidR="006A5BB3" w:rsidRPr="00EF6635" w:rsidRDefault="0902D2DA" w:rsidP="00E55FD2">
            <w:pPr>
              <w:pStyle w:val="COMTabletext"/>
              <w:keepNext w:val="0"/>
            </w:pPr>
            <w:r w:rsidRPr="7FB99A72">
              <w:t>Correction to include treatment, disease management and exacerbation costs beyond Week 16 for non-responders who do not proceed to IVIg/PLEX</w:t>
            </w:r>
          </w:p>
        </w:tc>
        <w:tc>
          <w:tcPr>
            <w:tcW w:w="1121" w:type="dxa"/>
            <w:tcBorders>
              <w:bottom w:val="single" w:sz="4" w:space="0" w:color="auto"/>
            </w:tcBorders>
            <w:vAlign w:val="center"/>
          </w:tcPr>
          <w:p w14:paraId="1C03D0FC" w14:textId="7DB57AE3" w:rsidR="006A5BB3" w:rsidRPr="000E0C37" w:rsidRDefault="007510F8" w:rsidP="00E55FD2">
            <w:pPr>
              <w:pStyle w:val="COMTabletext"/>
              <w:keepNext w:val="0"/>
              <w:jc w:val="center"/>
              <w:rPr>
                <w:rFonts w:cs="Calibri"/>
                <w:color w:val="000000"/>
                <w:szCs w:val="20"/>
                <w:highlight w:val="darkGray"/>
              </w:rPr>
            </w:pPr>
            <w:r>
              <w:rPr>
                <w:rFonts w:cs="Calibri" w:hint="eastAsia"/>
                <w:color w:val="000000"/>
                <w:w w:val="15"/>
                <w:szCs w:val="20"/>
                <w:shd w:val="solid" w:color="000000" w:fill="000000"/>
                <w:fitText w:val="22" w:id="-691334640"/>
                <w14:textFill>
                  <w14:solidFill>
                    <w14:srgbClr w14:val="000000">
                      <w14:alpha w14:val="100000"/>
                    </w14:srgbClr>
                  </w14:solidFill>
                </w14:textFill>
              </w:rPr>
              <w:t xml:space="preserve">　</w:t>
            </w:r>
            <w:r>
              <w:rPr>
                <w:rFonts w:cs="Calibri"/>
                <w:color w:val="000000"/>
                <w:w w:val="15"/>
                <w:szCs w:val="20"/>
                <w:shd w:val="solid" w:color="000000" w:fill="000000"/>
                <w:fitText w:val="22" w:id="-691334640"/>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40"/>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tcBorders>
              <w:bottom w:val="single" w:sz="4" w:space="0" w:color="auto"/>
            </w:tcBorders>
            <w:vAlign w:val="center"/>
          </w:tcPr>
          <w:p w14:paraId="59751B54" w14:textId="77777777" w:rsidR="006A5BB3" w:rsidRPr="00EF6635" w:rsidRDefault="006A5BB3" w:rsidP="00E55FD2">
            <w:pPr>
              <w:pStyle w:val="COMTabletext"/>
              <w:keepNext w:val="0"/>
              <w:jc w:val="center"/>
              <w:rPr>
                <w:rFonts w:cs="Calibri"/>
                <w:color w:val="000000"/>
                <w:szCs w:val="20"/>
              </w:rPr>
            </w:pPr>
            <w:r w:rsidRPr="00EF6635">
              <w:rPr>
                <w:rFonts w:cs="Calibri"/>
                <w:color w:val="000000"/>
                <w:szCs w:val="20"/>
              </w:rPr>
              <w:t>0.6085</w:t>
            </w:r>
          </w:p>
        </w:tc>
        <w:tc>
          <w:tcPr>
            <w:tcW w:w="1121" w:type="dxa"/>
            <w:tcBorders>
              <w:bottom w:val="single" w:sz="4" w:space="0" w:color="auto"/>
            </w:tcBorders>
            <w:vAlign w:val="center"/>
          </w:tcPr>
          <w:p w14:paraId="7CA63FCD" w14:textId="0133B8A2" w:rsidR="006A5BB3" w:rsidRPr="000E0C37" w:rsidRDefault="007510F8" w:rsidP="00E55FD2">
            <w:pPr>
              <w:pStyle w:val="COMTabletext"/>
              <w:keepNext w:val="0"/>
              <w:jc w:val="center"/>
              <w:rPr>
                <w:rFonts w:cs="Calibri"/>
                <w:color w:val="000000"/>
                <w:szCs w:val="20"/>
                <w:highlight w:val="darkGray"/>
              </w:rPr>
            </w:pPr>
            <w:r w:rsidRPr="007510F8">
              <w:rPr>
                <w:rFonts w:cs="Calibri" w:hint="eastAsia"/>
                <w:color w:val="000000"/>
                <w:w w:val="15"/>
                <w:szCs w:val="20"/>
                <w:shd w:val="solid" w:color="000000" w:fill="000000"/>
                <w:fitText w:val="43" w:id="-691334656"/>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6"/>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6"/>
                <w14:textFill>
                  <w14:solidFill>
                    <w14:srgbClr w14:val="000000">
                      <w14:alpha w14:val="100000"/>
                    </w14:srgbClr>
                  </w14:solidFill>
                </w14:textFill>
              </w:rPr>
              <w:t xml:space="preserve">　</w:t>
            </w:r>
            <w:r w:rsidR="00CF3A41" w:rsidRPr="00862796">
              <w:rPr>
                <w:rFonts w:cs="Calibri"/>
                <w:color w:val="000000"/>
                <w:szCs w:val="20"/>
                <w:vertAlign w:val="superscript"/>
              </w:rPr>
              <w:t>2</w:t>
            </w:r>
          </w:p>
        </w:tc>
        <w:tc>
          <w:tcPr>
            <w:tcW w:w="1122" w:type="dxa"/>
            <w:tcBorders>
              <w:bottom w:val="single" w:sz="4" w:space="0" w:color="auto"/>
            </w:tcBorders>
            <w:vAlign w:val="center"/>
          </w:tcPr>
          <w:p w14:paraId="10EA96F5" w14:textId="240104CC" w:rsidR="006A5BB3" w:rsidRPr="00EF6635" w:rsidRDefault="006A5BB3" w:rsidP="00E55FD2">
            <w:pPr>
              <w:pStyle w:val="COMTabletext"/>
              <w:keepNext w:val="0"/>
              <w:jc w:val="center"/>
              <w:rPr>
                <w:rFonts w:cs="Calibri"/>
                <w:color w:val="000000"/>
                <w:szCs w:val="20"/>
              </w:rPr>
            </w:pPr>
            <w:r w:rsidRPr="00EF6635">
              <w:rPr>
                <w:rFonts w:cs="Calibri"/>
                <w:color w:val="000000"/>
                <w:szCs w:val="20"/>
              </w:rPr>
              <w:t>+</w:t>
            </w:r>
            <w:r w:rsidR="007510F8" w:rsidRPr="007510F8">
              <w:rPr>
                <w:rFonts w:cs="Calibri" w:hint="eastAsia"/>
                <w:color w:val="000000"/>
                <w:w w:val="31"/>
                <w:szCs w:val="20"/>
                <w:shd w:val="solid" w:color="000000" w:fill="000000"/>
                <w:fitText w:val="140" w:id="-691334655"/>
                <w14:textFill>
                  <w14:solidFill>
                    <w14:srgbClr w14:val="000000">
                      <w14:alpha w14:val="100000"/>
                    </w14:srgbClr>
                  </w14:solidFill>
                </w14:textFill>
              </w:rPr>
              <w:t xml:space="preserve">　</w:t>
            </w:r>
            <w:r w:rsidR="007510F8" w:rsidRPr="007510F8">
              <w:rPr>
                <w:rFonts w:cs="Calibri"/>
                <w:color w:val="000000"/>
                <w:w w:val="31"/>
                <w:szCs w:val="20"/>
                <w:shd w:val="solid" w:color="000000" w:fill="000000"/>
                <w:fitText w:val="140" w:id="-691334655"/>
                <w14:textFill>
                  <w14:solidFill>
                    <w14:srgbClr w14:val="000000">
                      <w14:alpha w14:val="100000"/>
                    </w14:srgbClr>
                  </w14:solidFill>
                </w14:textFill>
              </w:rPr>
              <w:t>|</w:t>
            </w:r>
            <w:r w:rsidR="007510F8" w:rsidRPr="007510F8">
              <w:rPr>
                <w:rFonts w:cs="Calibri" w:hint="eastAsia"/>
                <w:color w:val="000000"/>
                <w:w w:val="31"/>
                <w:szCs w:val="20"/>
                <w:shd w:val="solid" w:color="000000" w:fill="000000"/>
                <w:fitText w:val="140" w:id="-691334655"/>
                <w14:textFill>
                  <w14:solidFill>
                    <w14:srgbClr w14:val="000000">
                      <w14:alpha w14:val="100000"/>
                    </w14:srgbClr>
                  </w14:solidFill>
                </w14:textFill>
              </w:rPr>
              <w:t xml:space="preserve">　</w:t>
            </w:r>
            <w:r w:rsidRPr="00EF6635">
              <w:rPr>
                <w:rFonts w:cs="Calibri"/>
                <w:color w:val="000000"/>
                <w:szCs w:val="20"/>
              </w:rPr>
              <w:t>%</w:t>
            </w:r>
          </w:p>
        </w:tc>
      </w:tr>
      <w:tr w:rsidR="006A5BB3" w14:paraId="35DDC771" w14:textId="77777777" w:rsidTr="7FB99A72">
        <w:tc>
          <w:tcPr>
            <w:tcW w:w="4531" w:type="dxa"/>
          </w:tcPr>
          <w:p w14:paraId="36B67198" w14:textId="77777777" w:rsidR="006A5BB3" w:rsidRPr="00EF6635" w:rsidRDefault="006A5BB3" w:rsidP="00E55FD2">
            <w:pPr>
              <w:pStyle w:val="COMTabletext"/>
              <w:keepNext w:val="0"/>
            </w:pPr>
            <w:r w:rsidRPr="00EF6635">
              <w:t>Rituximab costs in escalated standard therapy (corrected from $5.19 to $67.75 per 2-week cycle)</w:t>
            </w:r>
          </w:p>
        </w:tc>
        <w:tc>
          <w:tcPr>
            <w:tcW w:w="1121" w:type="dxa"/>
            <w:vAlign w:val="center"/>
          </w:tcPr>
          <w:p w14:paraId="1030B135" w14:textId="526303CC" w:rsidR="006A5BB3" w:rsidRPr="000E0C37" w:rsidRDefault="007510F8" w:rsidP="00E55FD2">
            <w:pPr>
              <w:pStyle w:val="COMTabletext"/>
              <w:keepNext w:val="0"/>
              <w:jc w:val="center"/>
              <w:rPr>
                <w:rFonts w:cs="Calibri"/>
                <w:color w:val="000000"/>
                <w:szCs w:val="20"/>
                <w:highlight w:val="darkGray"/>
              </w:rPr>
            </w:pPr>
            <w:r>
              <w:rPr>
                <w:rFonts w:cs="Calibri" w:hint="eastAsia"/>
                <w:color w:val="000000"/>
                <w:w w:val="15"/>
                <w:szCs w:val="20"/>
                <w:shd w:val="solid" w:color="000000" w:fill="000000"/>
                <w:fitText w:val="22" w:id="-691334654"/>
                <w14:textFill>
                  <w14:solidFill>
                    <w14:srgbClr w14:val="000000">
                      <w14:alpha w14:val="100000"/>
                    </w14:srgbClr>
                  </w14:solidFill>
                </w14:textFill>
              </w:rPr>
              <w:t xml:space="preserve">　</w:t>
            </w:r>
            <w:r>
              <w:rPr>
                <w:rFonts w:cs="Calibri"/>
                <w:color w:val="000000"/>
                <w:w w:val="15"/>
                <w:szCs w:val="20"/>
                <w:shd w:val="solid" w:color="000000" w:fill="000000"/>
                <w:fitText w:val="22" w:id="-691334654"/>
                <w14:textFill>
                  <w14:solidFill>
                    <w14:srgbClr w14:val="000000">
                      <w14:alpha w14:val="100000"/>
                    </w14:srgbClr>
                  </w14:solidFill>
                </w14:textFill>
              </w:rPr>
              <w:t>|</w:t>
            </w:r>
            <w:r>
              <w:rPr>
                <w:rFonts w:cs="Calibri" w:hint="eastAsia"/>
                <w:color w:val="000000"/>
                <w:spacing w:val="-44"/>
                <w:w w:val="15"/>
                <w:szCs w:val="20"/>
                <w:shd w:val="solid" w:color="000000" w:fill="000000"/>
                <w:fitText w:val="22" w:id="-691334654"/>
                <w14:textFill>
                  <w14:solidFill>
                    <w14:srgbClr w14:val="000000">
                      <w14:alpha w14:val="100000"/>
                    </w14:srgbClr>
                  </w14:solidFill>
                </w14:textFill>
              </w:rPr>
              <w:t xml:space="preserve">　</w:t>
            </w:r>
            <w:r w:rsidR="002415C6" w:rsidRPr="002415C6">
              <w:rPr>
                <w:rFonts w:cs="Calibri"/>
                <w:color w:val="000000"/>
                <w:szCs w:val="20"/>
              </w:rPr>
              <w:t xml:space="preserve"> </w:t>
            </w:r>
          </w:p>
        </w:tc>
        <w:tc>
          <w:tcPr>
            <w:tcW w:w="1122" w:type="dxa"/>
            <w:vAlign w:val="center"/>
          </w:tcPr>
          <w:p w14:paraId="370B01B1" w14:textId="77777777" w:rsidR="006A5BB3" w:rsidRPr="00EF6635" w:rsidRDefault="006A5BB3" w:rsidP="00E55FD2">
            <w:pPr>
              <w:pStyle w:val="COMTabletext"/>
              <w:keepNext w:val="0"/>
              <w:jc w:val="center"/>
              <w:rPr>
                <w:rFonts w:cs="Calibri"/>
                <w:color w:val="000000"/>
                <w:szCs w:val="20"/>
              </w:rPr>
            </w:pPr>
            <w:r w:rsidRPr="00EF6635">
              <w:rPr>
                <w:rFonts w:cs="Calibri"/>
                <w:color w:val="000000"/>
                <w:szCs w:val="20"/>
              </w:rPr>
              <w:t>0.6085</w:t>
            </w:r>
          </w:p>
        </w:tc>
        <w:tc>
          <w:tcPr>
            <w:tcW w:w="1121" w:type="dxa"/>
            <w:vAlign w:val="center"/>
          </w:tcPr>
          <w:p w14:paraId="3C4CA90F" w14:textId="6FFCD854" w:rsidR="006A5BB3" w:rsidRPr="000E0C37" w:rsidRDefault="007510F8" w:rsidP="00E55FD2">
            <w:pPr>
              <w:pStyle w:val="COMTabletext"/>
              <w:keepNext w:val="0"/>
              <w:jc w:val="center"/>
              <w:rPr>
                <w:rFonts w:cs="Calibri"/>
                <w:color w:val="000000"/>
                <w:szCs w:val="20"/>
                <w:highlight w:val="darkGray"/>
              </w:rPr>
            </w:pPr>
            <w:r w:rsidRPr="007510F8">
              <w:rPr>
                <w:rFonts w:cs="Calibri" w:hint="eastAsia"/>
                <w:color w:val="000000"/>
                <w:w w:val="15"/>
                <w:szCs w:val="20"/>
                <w:shd w:val="solid" w:color="000000" w:fill="000000"/>
                <w:fitText w:val="43" w:id="-691334653"/>
                <w14:textFill>
                  <w14:solidFill>
                    <w14:srgbClr w14:val="000000">
                      <w14:alpha w14:val="100000"/>
                    </w14:srgbClr>
                  </w14:solidFill>
                </w14:textFill>
              </w:rPr>
              <w:t xml:space="preserve">　</w:t>
            </w:r>
            <w:r w:rsidRPr="007510F8">
              <w:rPr>
                <w:rFonts w:cs="Calibri"/>
                <w:color w:val="000000"/>
                <w:w w:val="15"/>
                <w:szCs w:val="20"/>
                <w:shd w:val="solid" w:color="000000" w:fill="000000"/>
                <w:fitText w:val="43" w:id="-691334653"/>
                <w14:textFill>
                  <w14:solidFill>
                    <w14:srgbClr w14:val="000000">
                      <w14:alpha w14:val="100000"/>
                    </w14:srgbClr>
                  </w14:solidFill>
                </w14:textFill>
              </w:rPr>
              <w:t>|</w:t>
            </w:r>
            <w:r w:rsidRPr="007510F8">
              <w:rPr>
                <w:rFonts w:cs="Calibri" w:hint="eastAsia"/>
                <w:color w:val="000000"/>
                <w:spacing w:val="-22"/>
                <w:w w:val="15"/>
                <w:szCs w:val="20"/>
                <w:shd w:val="solid" w:color="000000" w:fill="000000"/>
                <w:fitText w:val="43" w:id="-691334653"/>
                <w14:textFill>
                  <w14:solidFill>
                    <w14:srgbClr w14:val="000000">
                      <w14:alpha w14:val="100000"/>
                    </w14:srgbClr>
                  </w14:solidFill>
                </w14:textFill>
              </w:rPr>
              <w:t xml:space="preserve">　</w:t>
            </w:r>
            <w:r w:rsidR="00862796" w:rsidRPr="005A73FD">
              <w:rPr>
                <w:b/>
                <w:bCs w:val="0"/>
                <w:vertAlign w:val="superscript"/>
              </w:rPr>
              <w:t>1</w:t>
            </w:r>
          </w:p>
        </w:tc>
        <w:tc>
          <w:tcPr>
            <w:tcW w:w="1122" w:type="dxa"/>
            <w:vAlign w:val="center"/>
          </w:tcPr>
          <w:p w14:paraId="63FE8268" w14:textId="3D5F6FFF" w:rsidR="006A5BB3" w:rsidRPr="00EF6635" w:rsidRDefault="006A5BB3" w:rsidP="00E55FD2">
            <w:pPr>
              <w:pStyle w:val="COMTabletext"/>
              <w:keepNext w:val="0"/>
              <w:jc w:val="center"/>
              <w:rPr>
                <w:rFonts w:cs="Calibri"/>
                <w:color w:val="000000"/>
                <w:szCs w:val="20"/>
              </w:rPr>
            </w:pPr>
            <w:r w:rsidRPr="00EF6635">
              <w:rPr>
                <w:rFonts w:cs="Calibri"/>
                <w:color w:val="000000"/>
                <w:szCs w:val="20"/>
              </w:rPr>
              <w:t>-</w:t>
            </w:r>
            <w:r w:rsidR="007510F8" w:rsidRPr="00A372B9">
              <w:rPr>
                <w:rFonts w:cs="Calibri" w:hint="eastAsia"/>
                <w:color w:val="000000"/>
                <w:w w:val="26"/>
                <w:szCs w:val="20"/>
                <w:shd w:val="solid" w:color="000000" w:fill="000000"/>
                <w:fitText w:val="118" w:id="-691334652"/>
                <w14:textFill>
                  <w14:solidFill>
                    <w14:srgbClr w14:val="000000">
                      <w14:alpha w14:val="100000"/>
                    </w14:srgbClr>
                  </w14:solidFill>
                </w14:textFill>
              </w:rPr>
              <w:t xml:space="preserve">　</w:t>
            </w:r>
            <w:r w:rsidR="007510F8" w:rsidRPr="00A372B9">
              <w:rPr>
                <w:rFonts w:cs="Calibri"/>
                <w:color w:val="000000"/>
                <w:w w:val="26"/>
                <w:szCs w:val="20"/>
                <w:shd w:val="solid" w:color="000000" w:fill="000000"/>
                <w:fitText w:val="118" w:id="-691334652"/>
                <w14:textFill>
                  <w14:solidFill>
                    <w14:srgbClr w14:val="000000">
                      <w14:alpha w14:val="100000"/>
                    </w14:srgbClr>
                  </w14:solidFill>
                </w14:textFill>
              </w:rPr>
              <w:t>|</w:t>
            </w:r>
            <w:r w:rsidR="007510F8" w:rsidRPr="00A372B9">
              <w:rPr>
                <w:rFonts w:cs="Calibri" w:hint="eastAsia"/>
                <w:color w:val="000000"/>
                <w:spacing w:val="3"/>
                <w:w w:val="26"/>
                <w:szCs w:val="20"/>
                <w:shd w:val="solid" w:color="000000" w:fill="000000"/>
                <w:fitText w:val="118" w:id="-691334652"/>
                <w14:textFill>
                  <w14:solidFill>
                    <w14:srgbClr w14:val="000000">
                      <w14:alpha w14:val="100000"/>
                    </w14:srgbClr>
                  </w14:solidFill>
                </w14:textFill>
              </w:rPr>
              <w:t xml:space="preserve">　</w:t>
            </w:r>
            <w:r w:rsidRPr="00EF6635">
              <w:rPr>
                <w:rFonts w:cs="Calibri"/>
                <w:color w:val="000000"/>
                <w:szCs w:val="20"/>
              </w:rPr>
              <w:t>%</w:t>
            </w:r>
          </w:p>
        </w:tc>
      </w:tr>
    </w:tbl>
    <w:p w14:paraId="15C79795" w14:textId="77777777" w:rsidR="00662CEC" w:rsidRDefault="295B8DB0" w:rsidP="00E55FD2">
      <w:pPr>
        <w:pStyle w:val="COMTablefooter"/>
      </w:pPr>
      <w:r w:rsidRPr="7FB99A72">
        <w:t>Source: Table 3.9-1, p198 of the resubmission and ‘</w:t>
      </w:r>
      <w:proofErr w:type="spellStart"/>
      <w:r w:rsidRPr="7FB99A72">
        <w:t>Zilbrysq</w:t>
      </w:r>
      <w:proofErr w:type="spellEnd"/>
      <w:r w:rsidRPr="7FB99A72">
        <w:t xml:space="preserve"> (</w:t>
      </w:r>
      <w:proofErr w:type="spellStart"/>
      <w:r w:rsidRPr="7FB99A72">
        <w:t>zilucoplan</w:t>
      </w:r>
      <w:proofErr w:type="spellEnd"/>
      <w:r w:rsidRPr="7FB99A72">
        <w:t>) - gMG – CEA’ Excel spreadsheet</w:t>
      </w:r>
    </w:p>
    <w:p w14:paraId="250EE48E" w14:textId="77777777" w:rsidR="00662CEC" w:rsidRDefault="00662CEC" w:rsidP="00E55FD2">
      <w:pPr>
        <w:pStyle w:val="COMTablefooter"/>
      </w:pPr>
      <w:r w:rsidRPr="00B162C2">
        <w:t xml:space="preserve">Abbreviations: ICER, incremental cost effectiveness ratio; IVIg, intravenous immunoglobulin; MG-ADL, Myasthenia Gravis Activities of Daily Living; </w:t>
      </w:r>
      <w:r>
        <w:t xml:space="preserve">NBA, National Blood Authority; </w:t>
      </w:r>
      <w:r w:rsidRPr="00B162C2">
        <w:t>PLEX, plasma exchange; QALY, quality adjusted life year</w:t>
      </w:r>
    </w:p>
    <w:p w14:paraId="48ED6F32" w14:textId="6EE94430" w:rsidR="005A73FD" w:rsidRDefault="295B8DB0" w:rsidP="00E55FD2">
      <w:pPr>
        <w:pStyle w:val="COMTablefooter"/>
      </w:pPr>
      <w:r w:rsidRPr="7FB99A72">
        <w:t xml:space="preserve">Note: Estimates have not been corrected for model errors identified during the evaluation (see </w:t>
      </w:r>
      <w:r w:rsidR="399FC5CA" w:rsidRPr="7FB99A72">
        <w:t xml:space="preserve">paragraph </w:t>
      </w:r>
      <w:r w:rsidR="00662CEC">
        <w:fldChar w:fldCharType="begin"/>
      </w:r>
      <w:r w:rsidR="00662CEC">
        <w:instrText xml:space="preserve"> REF _Ref190773078 \r \h </w:instrText>
      </w:r>
      <w:r w:rsidR="00662CEC">
        <w:fldChar w:fldCharType="separate"/>
      </w:r>
      <w:r w:rsidR="00271F88">
        <w:t>6.75</w:t>
      </w:r>
      <w:r w:rsidR="00662CEC">
        <w:fldChar w:fldCharType="end"/>
      </w:r>
      <w:r w:rsidR="74E84963" w:rsidRPr="7FB99A72">
        <w:t xml:space="preserve"> </w:t>
      </w:r>
      <w:r w:rsidR="399FC5CA" w:rsidRPr="7FB99A72">
        <w:t>above</w:t>
      </w:r>
      <w:r w:rsidRPr="7FB99A72">
        <w:t>).</w:t>
      </w:r>
      <w:r w:rsidR="005A73FD" w:rsidRPr="005A73FD">
        <w:t xml:space="preserve"> </w:t>
      </w:r>
    </w:p>
    <w:p w14:paraId="4EF3FD22" w14:textId="0D7E7F7C" w:rsidR="005A73FD" w:rsidRPr="00463888" w:rsidRDefault="005A73FD" w:rsidP="00E55FD2">
      <w:pPr>
        <w:pStyle w:val="COMTablefooter"/>
        <w:rPr>
          <w:i/>
          <w:iCs/>
        </w:rPr>
      </w:pPr>
      <w:r w:rsidRPr="00463888">
        <w:rPr>
          <w:i/>
          <w:iCs/>
        </w:rPr>
        <w:t xml:space="preserve">The redacted values correspond to the following ranges: </w:t>
      </w:r>
    </w:p>
    <w:p w14:paraId="5EAB254E" w14:textId="77777777" w:rsidR="00862796" w:rsidRPr="00463888" w:rsidRDefault="005A73FD" w:rsidP="00E55FD2">
      <w:pPr>
        <w:pStyle w:val="COMTablefooter"/>
        <w:rPr>
          <w:i/>
          <w:iCs/>
        </w:rPr>
      </w:pPr>
      <w:r w:rsidRPr="00463888">
        <w:rPr>
          <w:i/>
          <w:iCs/>
          <w:vertAlign w:val="superscript"/>
        </w:rPr>
        <w:t>1</w:t>
      </w:r>
      <w:r w:rsidRPr="00463888">
        <w:rPr>
          <w:i/>
          <w:iCs/>
        </w:rPr>
        <w:t xml:space="preserve"> </w:t>
      </w:r>
      <w:r w:rsidR="0086502D" w:rsidRPr="00463888">
        <w:rPr>
          <w:i/>
          <w:iCs/>
        </w:rPr>
        <w:t>$355,000 to &lt; $455,000</w:t>
      </w:r>
      <w:r w:rsidR="00862796" w:rsidRPr="00463888">
        <w:rPr>
          <w:i/>
          <w:iCs/>
        </w:rPr>
        <w:t xml:space="preserve"> </w:t>
      </w:r>
    </w:p>
    <w:p w14:paraId="3D869A46" w14:textId="77777777" w:rsidR="00D36257" w:rsidRPr="00463888" w:rsidRDefault="00862796" w:rsidP="00E55FD2">
      <w:pPr>
        <w:pStyle w:val="COMTablefooter"/>
        <w:rPr>
          <w:i/>
          <w:iCs/>
        </w:rPr>
      </w:pPr>
      <w:r w:rsidRPr="00463888">
        <w:rPr>
          <w:i/>
          <w:iCs/>
          <w:vertAlign w:val="superscript"/>
        </w:rPr>
        <w:t>2</w:t>
      </w:r>
      <w:r w:rsidRPr="00463888">
        <w:rPr>
          <w:i/>
          <w:iCs/>
        </w:rPr>
        <w:t xml:space="preserve"> $455,000 to &lt; $555,000</w:t>
      </w:r>
      <w:r w:rsidR="00D36257" w:rsidRPr="00463888">
        <w:rPr>
          <w:i/>
          <w:iCs/>
        </w:rPr>
        <w:t xml:space="preserve"> </w:t>
      </w:r>
    </w:p>
    <w:p w14:paraId="1E3CFE08" w14:textId="3ABB4659" w:rsidR="0086502D" w:rsidRPr="00463888" w:rsidRDefault="00D36257" w:rsidP="00E55FD2">
      <w:pPr>
        <w:pStyle w:val="COMTablefooter"/>
        <w:rPr>
          <w:i/>
          <w:iCs/>
        </w:rPr>
      </w:pPr>
      <w:r w:rsidRPr="00463888">
        <w:rPr>
          <w:i/>
          <w:iCs/>
          <w:vertAlign w:val="superscript"/>
        </w:rPr>
        <w:t>3</w:t>
      </w:r>
      <w:r w:rsidRPr="00463888">
        <w:rPr>
          <w:i/>
          <w:iCs/>
        </w:rPr>
        <w:t xml:space="preserve"> &gt; $1,055,000</w:t>
      </w:r>
    </w:p>
    <w:p w14:paraId="4762E29E" w14:textId="06D3C162" w:rsidR="00662CEC" w:rsidRPr="00463888" w:rsidRDefault="001A5D22" w:rsidP="00E55FD2">
      <w:pPr>
        <w:pStyle w:val="COMTablefooter"/>
        <w:rPr>
          <w:i/>
          <w:iCs/>
        </w:rPr>
      </w:pPr>
      <w:r w:rsidRPr="00463888">
        <w:rPr>
          <w:i/>
          <w:iCs/>
          <w:vertAlign w:val="superscript"/>
        </w:rPr>
        <w:t>4</w:t>
      </w:r>
      <w:r w:rsidR="005A73FD" w:rsidRPr="00463888">
        <w:rPr>
          <w:i/>
          <w:iCs/>
        </w:rPr>
        <w:t xml:space="preserve"> $555,000 to &lt; $655,000</w:t>
      </w:r>
    </w:p>
    <w:p w14:paraId="7E53566F" w14:textId="77777777" w:rsidR="00662CEC" w:rsidRPr="005500C7" w:rsidRDefault="295B8DB0" w:rsidP="00E55FD2">
      <w:pPr>
        <w:pStyle w:val="COMexecsummnumbered"/>
      </w:pPr>
      <w:r w:rsidRPr="7FB99A72">
        <w:t xml:space="preserve">The results of the sensitivity analyses indicate that the model is most sensitive to the assumed treatment discontinuation for the placebo arm, the proposed price of </w:t>
      </w:r>
      <w:proofErr w:type="spellStart"/>
      <w:r w:rsidRPr="7FB99A72">
        <w:t>zilucoplan</w:t>
      </w:r>
      <w:proofErr w:type="spellEnd"/>
      <w:r w:rsidRPr="7FB99A72">
        <w:t xml:space="preserve">, high-dose corticosteroid use in treatment non-responders and the </w:t>
      </w:r>
      <w:r w:rsidRPr="005500C7">
        <w:t>associated disutility, exacerbation event rates and time horizon.</w:t>
      </w:r>
    </w:p>
    <w:p w14:paraId="4539FD33" w14:textId="77248CE1" w:rsidR="00947B36" w:rsidRPr="005500C7" w:rsidRDefault="006A481E" w:rsidP="00E55FD2">
      <w:pPr>
        <w:pStyle w:val="COMexecsummnumbered"/>
      </w:pPr>
      <w:r w:rsidRPr="005500C7">
        <w:t>The evaluation and the ESC considered that i</w:t>
      </w:r>
      <w:r w:rsidR="00947B36" w:rsidRPr="005500C7">
        <w:t>t was unclear whether the results of the economic model and sensitivity analyses are robust given the multiple errors identified during the evaluation (</w:t>
      </w:r>
      <w:r w:rsidRPr="005500C7">
        <w:t xml:space="preserve">as outlined in </w:t>
      </w:r>
      <w:r w:rsidR="00947B36" w:rsidRPr="005500C7">
        <w:t xml:space="preserve">paragraph </w:t>
      </w:r>
      <w:r w:rsidRPr="005500C7">
        <w:fldChar w:fldCharType="begin"/>
      </w:r>
      <w:r w:rsidRPr="005500C7">
        <w:instrText xml:space="preserve"> REF _Ref184990735 \r \h  \* MERGEFORMAT </w:instrText>
      </w:r>
      <w:r w:rsidRPr="005500C7">
        <w:fldChar w:fldCharType="separate"/>
      </w:r>
      <w:r w:rsidR="00271F88">
        <w:t>6.69</w:t>
      </w:r>
      <w:r w:rsidRPr="005500C7">
        <w:fldChar w:fldCharType="end"/>
      </w:r>
      <w:r w:rsidR="00947B36" w:rsidRPr="005500C7">
        <w:t xml:space="preserve"> above).</w:t>
      </w:r>
    </w:p>
    <w:p w14:paraId="6107A2AA" w14:textId="7F25E431" w:rsidR="00402812" w:rsidRDefault="00B33102" w:rsidP="00E55FD2">
      <w:pPr>
        <w:pStyle w:val="COMexecsummnumbered"/>
      </w:pPr>
      <w:r w:rsidRPr="005500C7">
        <w:t>However, due to the limitations of the model structure and data inputs it was not possible to assess the impact of different modelled patient populations (with different functional impairment criteria</w:t>
      </w:r>
      <w:r w:rsidR="00AC233A" w:rsidRPr="005500C7">
        <w:t xml:space="preserve"> and concomitant therapies</w:t>
      </w:r>
      <w:r w:rsidRPr="005500C7">
        <w:t>) or different response definitions (MGC ≥</w:t>
      </w:r>
      <w:r w:rsidR="00DB55A0" w:rsidRPr="005500C7">
        <w:t>3-point</w:t>
      </w:r>
      <w:r w:rsidRPr="005500C7">
        <w:t xml:space="preserve"> reduction from baseline, QMG ≥5 point reduction from baseline; the proportion of patients achieving minimal manifestations of disease). </w:t>
      </w:r>
    </w:p>
    <w:p w14:paraId="227BE18B" w14:textId="173AD041" w:rsidR="00F12D01" w:rsidRDefault="00F12D01" w:rsidP="00E55FD2">
      <w:pPr>
        <w:pStyle w:val="COMexecsummnumbered"/>
      </w:pPr>
      <w:r>
        <w:t>Overall, the ESC considered the economic model was limited due to the lack of long-term data available and the complex nature of the condition. Specifically, the ESC considered:</w:t>
      </w:r>
    </w:p>
    <w:p w14:paraId="0588517D" w14:textId="08072594" w:rsidR="00F12D01" w:rsidRDefault="00F12D01" w:rsidP="00E55FD2">
      <w:pPr>
        <w:pStyle w:val="COMexecsummnumbered"/>
        <w:numPr>
          <w:ilvl w:val="0"/>
          <w:numId w:val="38"/>
        </w:numPr>
      </w:pPr>
      <w:r>
        <w:t xml:space="preserve">impacts on the treatment algorithm were unclear, noting the economic model positioned </w:t>
      </w:r>
      <w:proofErr w:type="spellStart"/>
      <w:r>
        <w:t>zilucoplan</w:t>
      </w:r>
      <w:proofErr w:type="spellEnd"/>
      <w:r>
        <w:t xml:space="preserve"> primarily as a subsequent therapy after treatment failure </w:t>
      </w:r>
      <w:r>
        <w:lastRenderedPageBreak/>
        <w:t xml:space="preserve">with chronic IVIg/PLEX, in contrast to the clinical management algorithm and financial implications which positioned </w:t>
      </w:r>
      <w:proofErr w:type="spellStart"/>
      <w:r>
        <w:t>zilucoplan</w:t>
      </w:r>
      <w:proofErr w:type="spellEnd"/>
      <w:r>
        <w:t xml:space="preserve"> primarily as an alternative to IVIg/PLEX. </w:t>
      </w:r>
    </w:p>
    <w:p w14:paraId="59AAE088" w14:textId="77CB141C" w:rsidR="00F12D01" w:rsidRDefault="00F12D01" w:rsidP="00E55FD2">
      <w:pPr>
        <w:pStyle w:val="COMexecsummnumbered"/>
        <w:numPr>
          <w:ilvl w:val="0"/>
          <w:numId w:val="38"/>
        </w:numPr>
      </w:pPr>
      <w:r>
        <w:t>the economic model was highly sensitive to the introduction of an assumed treatment discontinuation due to loss of response in the placebo arm (</w:t>
      </w:r>
      <w:r w:rsidRPr="00D00D9A">
        <w:t>16</w:t>
      </w:r>
      <w:r>
        <w:t xml:space="preserve">% per 2-week cycle) that was inconsistent with the clinical evidence, which suggested similar discontinuation risks between treatment arms (4.7% in the </w:t>
      </w:r>
      <w:proofErr w:type="spellStart"/>
      <w:r>
        <w:t>zilucoplan</w:t>
      </w:r>
      <w:proofErr w:type="spellEnd"/>
      <w:r>
        <w:t xml:space="preserve"> arm; 4.5% in the placebo arm over 12 weeks). The ESC noted that longer-term data were not available to inform the placebo arm. Alternative assumptions removing treatment discontinuation or assuming the same discontinuation as the </w:t>
      </w:r>
      <w:proofErr w:type="spellStart"/>
      <w:r>
        <w:t>zilucoplan</w:t>
      </w:r>
      <w:proofErr w:type="spellEnd"/>
      <w:r>
        <w:t xml:space="preserve"> arm resulted in an ICER exceeding </w:t>
      </w:r>
      <w:r w:rsidR="00621658" w:rsidRPr="00621658">
        <w:t>$955,000 to &lt; $1,055,000</w:t>
      </w:r>
      <w:r w:rsidR="009D2404">
        <w:t xml:space="preserve"> </w:t>
      </w:r>
      <w:r>
        <w:t xml:space="preserve">per QALY gained. </w:t>
      </w:r>
    </w:p>
    <w:p w14:paraId="2AFAB577" w14:textId="5CB1ED97" w:rsidR="00F12D01" w:rsidRPr="005500C7" w:rsidRDefault="00F12D01" w:rsidP="00E55FD2">
      <w:pPr>
        <w:pStyle w:val="COMexecsummnumbered"/>
        <w:numPr>
          <w:ilvl w:val="0"/>
          <w:numId w:val="38"/>
        </w:numPr>
      </w:pPr>
      <w:r>
        <w:t>use of high-dose corticosteroids in treatment responders was revised in the economic model (</w:t>
      </w:r>
      <w:r w:rsidRPr="00D00D9A">
        <w:t>from 0% to 6.9%, based on baseline use in the RAISE trial) to address feedback that a proportion of responders would not be able to discontinue high-dose corticosteroids. However, use of high-dose corticosteroids in non-responders was also increased (from 63.8% to 100%),</w:t>
      </w:r>
      <w:r>
        <w:t xml:space="preserve"> which was not adequately justified in the resubmission.</w:t>
      </w:r>
    </w:p>
    <w:p w14:paraId="64A71E0E" w14:textId="69143ECF" w:rsidR="0025135A" w:rsidRPr="005500C7" w:rsidRDefault="00456EEA" w:rsidP="00E55FD2">
      <w:pPr>
        <w:pStyle w:val="COMexecsummnumbered"/>
      </w:pPr>
      <w:r w:rsidRPr="005500C7">
        <w:t xml:space="preserve">As outlined in </w:t>
      </w:r>
      <w:r w:rsidR="004344F6">
        <w:t>Section 7</w:t>
      </w:r>
      <w:r w:rsidRPr="005500C7">
        <w:t>, t</w:t>
      </w:r>
      <w:r w:rsidR="0025135A" w:rsidRPr="005500C7">
        <w:t>he ESC considered a cost-</w:t>
      </w:r>
      <w:r w:rsidR="00FA065C">
        <w:t>comparison</w:t>
      </w:r>
      <w:r w:rsidR="00FA065C" w:rsidRPr="005500C7">
        <w:t xml:space="preserve"> </w:t>
      </w:r>
      <w:r w:rsidR="0025135A" w:rsidRPr="005500C7">
        <w:t xml:space="preserve">approach versus IVIg may provide an appropriate frame of reference for interpreting the cost of each of the four therapies in the refractory setting. The ESC was less certain as to whether this approach would be appropriate in the bridging </w:t>
      </w:r>
      <w:proofErr w:type="gramStart"/>
      <w:r w:rsidR="0025135A" w:rsidRPr="005500C7">
        <w:t>setting, and</w:t>
      </w:r>
      <w:proofErr w:type="gramEnd"/>
      <w:r w:rsidR="0025135A" w:rsidRPr="005500C7">
        <w:t xml:space="preserve"> considered that it was unclear whether these concerns would be adequately addressed by limiting use in this setting to a maximum duration of six months, along with a combined risk sharing arrangement (RSA) for any recommended drugs across both setting.</w:t>
      </w:r>
    </w:p>
    <w:p w14:paraId="472842D7" w14:textId="71241248" w:rsidR="00C25D9C" w:rsidRPr="00BB59B1" w:rsidRDefault="00C25D9C" w:rsidP="00E55FD2">
      <w:pPr>
        <w:pStyle w:val="COMH2-non-numbered"/>
      </w:pPr>
      <w:bookmarkStart w:id="71" w:name="_Toc22897646"/>
      <w:bookmarkStart w:id="72" w:name="_Toc188274687"/>
      <w:bookmarkStart w:id="73" w:name="Drug_cost"/>
      <w:r w:rsidRPr="00BB59B1">
        <w:t>Drug cost/patient/year</w:t>
      </w:r>
      <w:bookmarkEnd w:id="71"/>
      <w:bookmarkEnd w:id="72"/>
    </w:p>
    <w:p w14:paraId="73C1F783" w14:textId="77777777" w:rsidR="006721B2" w:rsidRPr="006B5726" w:rsidRDefault="006721B2" w:rsidP="00E55FD2">
      <w:pPr>
        <w:pStyle w:val="COMexecsummnumbered"/>
        <w:rPr>
          <w:lang w:val="en-US"/>
        </w:rPr>
      </w:pPr>
      <w:bookmarkStart w:id="74" w:name="_Ref104805102"/>
      <w:bookmarkEnd w:id="73"/>
      <w:r w:rsidRPr="006B5726">
        <w:t xml:space="preserve">The calculation of </w:t>
      </w:r>
      <w:proofErr w:type="spellStart"/>
      <w:r w:rsidRPr="006B5726">
        <w:t>zilucoplan</w:t>
      </w:r>
      <w:proofErr w:type="spellEnd"/>
      <w:r w:rsidRPr="006B5726">
        <w:t xml:space="preserve"> drug costs was consistent between the economic and budget impact models.</w:t>
      </w:r>
    </w:p>
    <w:p w14:paraId="74D40C4A" w14:textId="6CDE4CAC" w:rsidR="006C4BC3" w:rsidRPr="006B5726" w:rsidRDefault="006C4BC3" w:rsidP="00E55FD2">
      <w:pPr>
        <w:pStyle w:val="COMexecsummnumbered"/>
      </w:pPr>
      <w:r w:rsidRPr="78882673">
        <w:t xml:space="preserve">The estimated annual drug cost for </w:t>
      </w:r>
      <w:proofErr w:type="spellStart"/>
      <w:r w:rsidRPr="78882673">
        <w:t>zilucoplan</w:t>
      </w:r>
      <w:proofErr w:type="spellEnd"/>
      <w:r w:rsidRPr="78882673">
        <w:t xml:space="preserve"> was $</w:t>
      </w:r>
      <w:r w:rsidR="007510F8" w:rsidRPr="0077631D">
        <w:rPr>
          <w:color w:val="000000"/>
          <w:spacing w:val="6"/>
          <w:w w:val="61"/>
          <w:shd w:val="solid" w:color="000000" w:fill="000000"/>
          <w:fitText w:val="475" w:id="-691334651"/>
          <w14:textFill>
            <w14:solidFill>
              <w14:srgbClr w14:val="000000">
                <w14:alpha w14:val="100000"/>
              </w14:srgbClr>
            </w14:solidFill>
          </w14:textFill>
        </w:rPr>
        <w:t>|||</w:t>
      </w:r>
      <w:r w:rsidR="0077631D" w:rsidRPr="0077631D">
        <w:rPr>
          <w:color w:val="000000"/>
          <w:spacing w:val="6"/>
          <w:w w:val="61"/>
          <w:shd w:val="solid" w:color="000000" w:fill="000000"/>
          <w:fitText w:val="475" w:id="-691334651"/>
          <w14:textFill>
            <w14:solidFill>
              <w14:srgbClr w14:val="000000">
                <w14:alpha w14:val="100000"/>
              </w14:srgbClr>
            </w14:solidFill>
          </w14:textFill>
        </w:rPr>
        <w:t xml:space="preserve"> </w:t>
      </w:r>
      <w:r w:rsidR="007510F8" w:rsidRPr="0077631D">
        <w:rPr>
          <w:color w:val="000000"/>
          <w:spacing w:val="6"/>
          <w:w w:val="61"/>
          <w:shd w:val="solid" w:color="000000" w:fill="000000"/>
          <w:fitText w:val="475" w:id="-691334651"/>
          <w14:textFill>
            <w14:solidFill>
              <w14:srgbClr w14:val="000000">
                <w14:alpha w14:val="100000"/>
              </w14:srgbClr>
            </w14:solidFill>
          </w14:textFill>
        </w:rPr>
        <w:t>||</w:t>
      </w:r>
      <w:r w:rsidR="007510F8" w:rsidRPr="0077631D">
        <w:rPr>
          <w:color w:val="000000"/>
          <w:spacing w:val="3"/>
          <w:w w:val="61"/>
          <w:shd w:val="solid" w:color="000000" w:fill="000000"/>
          <w:fitText w:val="475" w:id="-691334651"/>
          <w14:textFill>
            <w14:solidFill>
              <w14:srgbClr w14:val="000000">
                <w14:alpha w14:val="100000"/>
              </w14:srgbClr>
            </w14:solidFill>
          </w14:textFill>
        </w:rPr>
        <w:t>|</w:t>
      </w:r>
      <w:r w:rsidRPr="78882673">
        <w:t xml:space="preserve"> (based on patients receiving 13.04 scripts per year, assuming the same distribution of patients across weight categories as the RAISE trial and using the effective AEMP of $</w:t>
      </w:r>
      <w:r w:rsidR="007510F8" w:rsidRPr="00271F88">
        <w:rPr>
          <w:color w:val="000000"/>
          <w:w w:val="15"/>
          <w:shd w:val="solid" w:color="000000" w:fill="000000"/>
          <w:fitText w:val="-20" w:id="-691334650"/>
          <w14:textFill>
            <w14:solidFill>
              <w14:srgbClr w14:val="000000">
                <w14:alpha w14:val="100000"/>
              </w14:srgbClr>
            </w14:solidFill>
          </w14:textFill>
        </w:rPr>
        <w:t>|</w:t>
      </w:r>
      <w:r w:rsidR="0077631D" w:rsidRPr="00271F88">
        <w:rPr>
          <w:color w:val="000000"/>
          <w:w w:val="15"/>
          <w:shd w:val="solid" w:color="000000" w:fill="000000"/>
          <w:fitText w:val="-20" w:id="-691334650"/>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50"/>
          <w14:textFill>
            <w14:solidFill>
              <w14:srgbClr w14:val="000000">
                <w14:alpha w14:val="100000"/>
              </w14:srgbClr>
            </w14:solidFill>
          </w14:textFill>
        </w:rPr>
        <w:t>|</w:t>
      </w:r>
      <w:r w:rsidRPr="78882673">
        <w:t xml:space="preserve"> per mg, with appropriate fees and mark-ups).</w:t>
      </w:r>
      <w:r w:rsidR="00887E2B" w:rsidRPr="78882673">
        <w:t xml:space="preserve"> </w:t>
      </w:r>
      <w:r w:rsidR="003516B4" w:rsidRPr="78882673">
        <w:t xml:space="preserve">This compares with estimated annual drug costs </w:t>
      </w:r>
      <w:r w:rsidR="00CE6E0B" w:rsidRPr="78882673">
        <w:t xml:space="preserve">for </w:t>
      </w:r>
      <w:proofErr w:type="spellStart"/>
      <w:r w:rsidR="00CE6E0B" w:rsidRPr="78882673">
        <w:t>zilucoplan</w:t>
      </w:r>
      <w:proofErr w:type="spellEnd"/>
      <w:r w:rsidR="00CE6E0B" w:rsidRPr="78882673">
        <w:t xml:space="preserve"> </w:t>
      </w:r>
      <w:r w:rsidR="003516B4" w:rsidRPr="78882673">
        <w:t>of $</w:t>
      </w:r>
      <w:r w:rsidR="007510F8" w:rsidRPr="00271F88">
        <w:rPr>
          <w:color w:val="000000"/>
          <w:w w:val="15"/>
          <w:shd w:val="solid" w:color="000000" w:fill="000000"/>
          <w:fitText w:val="-20" w:id="-691334649"/>
          <w14:textFill>
            <w14:solidFill>
              <w14:srgbClr w14:val="000000">
                <w14:alpha w14:val="100000"/>
              </w14:srgbClr>
            </w14:solidFill>
          </w14:textFill>
        </w:rPr>
        <w:t>|</w:t>
      </w:r>
      <w:r w:rsidR="0077631D" w:rsidRPr="00271F88">
        <w:rPr>
          <w:color w:val="000000"/>
          <w:w w:val="15"/>
          <w:shd w:val="solid" w:color="000000" w:fill="000000"/>
          <w:fitText w:val="-20" w:id="-691334649"/>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49"/>
          <w14:textFill>
            <w14:solidFill>
              <w14:srgbClr w14:val="000000">
                <w14:alpha w14:val="100000"/>
              </w14:srgbClr>
            </w14:solidFill>
          </w14:textFill>
        </w:rPr>
        <w:t>|</w:t>
      </w:r>
      <w:r w:rsidR="003516B4" w:rsidRPr="78882673">
        <w:t xml:space="preserve"> in the first year and $</w:t>
      </w:r>
      <w:r w:rsidR="007510F8" w:rsidRPr="00271F88">
        <w:rPr>
          <w:color w:val="000000"/>
          <w:w w:val="15"/>
          <w:shd w:val="solid" w:color="000000" w:fill="000000"/>
          <w:fitText w:val="-20" w:id="-691334648"/>
          <w14:textFill>
            <w14:solidFill>
              <w14:srgbClr w14:val="000000">
                <w14:alpha w14:val="100000"/>
              </w14:srgbClr>
            </w14:solidFill>
          </w14:textFill>
        </w:rPr>
        <w:t>|</w:t>
      </w:r>
      <w:r w:rsidR="0077631D" w:rsidRPr="00271F88">
        <w:rPr>
          <w:color w:val="000000"/>
          <w:w w:val="15"/>
          <w:shd w:val="solid" w:color="000000" w:fill="000000"/>
          <w:fitText w:val="-20" w:id="-691334648"/>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48"/>
          <w14:textFill>
            <w14:solidFill>
              <w14:srgbClr w14:val="000000">
                <w14:alpha w14:val="100000"/>
              </w14:srgbClr>
            </w14:solidFill>
          </w14:textFill>
        </w:rPr>
        <w:t>|</w:t>
      </w:r>
      <w:r w:rsidR="003516B4" w:rsidRPr="78882673">
        <w:t xml:space="preserve"> in subsequent years f</w:t>
      </w:r>
      <w:r w:rsidR="00FB4A71" w:rsidRPr="78882673">
        <w:t>rom the July 2024 submission (based on an AEMP of $</w:t>
      </w:r>
      <w:r w:rsidR="007510F8" w:rsidRPr="00271F88">
        <w:rPr>
          <w:color w:val="000000"/>
          <w:w w:val="15"/>
          <w:shd w:val="solid" w:color="000000" w:fill="000000"/>
          <w:fitText w:val="-20" w:id="-691334647"/>
          <w14:textFill>
            <w14:solidFill>
              <w14:srgbClr w14:val="000000">
                <w14:alpha w14:val="100000"/>
              </w14:srgbClr>
            </w14:solidFill>
          </w14:textFill>
        </w:rPr>
        <w:t>|</w:t>
      </w:r>
      <w:r w:rsidR="0077631D" w:rsidRPr="00271F88">
        <w:rPr>
          <w:color w:val="000000"/>
          <w:w w:val="15"/>
          <w:shd w:val="solid" w:color="000000" w:fill="000000"/>
          <w:fitText w:val="-20" w:id="-691334647"/>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47"/>
          <w14:textFill>
            <w14:solidFill>
              <w14:srgbClr w14:val="000000">
                <w14:alpha w14:val="100000"/>
              </w14:srgbClr>
            </w14:solidFill>
          </w14:textFill>
        </w:rPr>
        <w:t>|</w:t>
      </w:r>
      <w:r w:rsidR="00FB4A71" w:rsidRPr="78882673">
        <w:t xml:space="preserve"> per </w:t>
      </w:r>
      <w:r w:rsidR="00943668">
        <w:t>mg</w:t>
      </w:r>
      <w:r w:rsidR="00FB4A71" w:rsidRPr="78882673">
        <w:t>).</w:t>
      </w:r>
    </w:p>
    <w:p w14:paraId="41E740EA" w14:textId="5D341636" w:rsidR="006C4BC3" w:rsidRPr="005500C7" w:rsidRDefault="006C4BC3" w:rsidP="00E55FD2">
      <w:pPr>
        <w:pStyle w:val="COMexecsummnumbered"/>
      </w:pPr>
      <w:r w:rsidRPr="00BB59B1">
        <w:t xml:space="preserve">The estimated annual drug cost for standard therapy (anticholinesterases, corticosteroids and other immunosuppressive agents) was </w:t>
      </w:r>
      <w:r w:rsidRPr="00633C6F">
        <w:t>$1,357 per</w:t>
      </w:r>
      <w:r w:rsidRPr="00BB59B1">
        <w:t xml:space="preserve"> year </w:t>
      </w:r>
      <w:r>
        <w:t>(</w:t>
      </w:r>
      <w:r w:rsidRPr="006B5726">
        <w:t xml:space="preserve">corrected for </w:t>
      </w:r>
      <w:r w:rsidRPr="005500C7">
        <w:t xml:space="preserve">the error in the cost of mycophenolate mofetil) and for escalated standard therapy (including all patients receiving </w:t>
      </w:r>
      <w:r w:rsidR="001D4869" w:rsidRPr="005500C7">
        <w:t>high-dose</w:t>
      </w:r>
      <w:r w:rsidRPr="005500C7">
        <w:t xml:space="preserve"> corticosteroids and rituximab) was $</w:t>
      </w:r>
      <w:r w:rsidRPr="0089578C">
        <w:t>3,554</w:t>
      </w:r>
      <w:r w:rsidRPr="005500C7">
        <w:t xml:space="preserve"> per year (corrected for the error in the cost of rituximab).</w:t>
      </w:r>
    </w:p>
    <w:p w14:paraId="3F73F4C8" w14:textId="01C55570" w:rsidR="009B1269" w:rsidRPr="005500C7" w:rsidRDefault="009B1269" w:rsidP="00E55FD2">
      <w:pPr>
        <w:pStyle w:val="COMexecsummnumbered"/>
      </w:pPr>
      <w:r w:rsidRPr="005500C7">
        <w:t xml:space="preserve">The resubmission estimated </w:t>
      </w:r>
      <w:r w:rsidR="003A5176" w:rsidRPr="005500C7">
        <w:t xml:space="preserve">that the annual cost for chronic IVIg therapy (including procedure costs) </w:t>
      </w:r>
      <w:r w:rsidR="003A5176" w:rsidRPr="0089578C">
        <w:t>was $</w:t>
      </w:r>
      <w:r w:rsidR="0011411E" w:rsidRPr="0077631D">
        <w:rPr>
          <w:color w:val="000000"/>
          <w:spacing w:val="6"/>
          <w:w w:val="60"/>
          <w:shd w:val="solid" w:color="000000" w:fill="000000"/>
          <w:fitText w:val="470" w:id="-656192255"/>
          <w14:textFill>
            <w14:solidFill>
              <w14:srgbClr w14:val="000000">
                <w14:alpha w14:val="100000"/>
              </w14:srgbClr>
            </w14:solidFill>
          </w14:textFill>
        </w:rPr>
        <w:t>|||</w:t>
      </w:r>
      <w:r w:rsidR="0077631D" w:rsidRPr="0077631D">
        <w:rPr>
          <w:color w:val="000000"/>
          <w:spacing w:val="6"/>
          <w:w w:val="60"/>
          <w:shd w:val="solid" w:color="000000" w:fill="000000"/>
          <w:fitText w:val="470" w:id="-656192255"/>
          <w14:textFill>
            <w14:solidFill>
              <w14:srgbClr w14:val="000000">
                <w14:alpha w14:val="100000"/>
              </w14:srgbClr>
            </w14:solidFill>
          </w14:textFill>
        </w:rPr>
        <w:t xml:space="preserve"> </w:t>
      </w:r>
      <w:r w:rsidR="0011411E" w:rsidRPr="0077631D">
        <w:rPr>
          <w:color w:val="000000"/>
          <w:spacing w:val="6"/>
          <w:w w:val="60"/>
          <w:shd w:val="solid" w:color="000000" w:fill="000000"/>
          <w:fitText w:val="470" w:id="-656192255"/>
          <w14:textFill>
            <w14:solidFill>
              <w14:srgbClr w14:val="000000">
                <w14:alpha w14:val="100000"/>
              </w14:srgbClr>
            </w14:solidFill>
          </w14:textFill>
        </w:rPr>
        <w:t>||</w:t>
      </w:r>
      <w:r w:rsidR="0011411E" w:rsidRPr="0077631D">
        <w:rPr>
          <w:color w:val="000000"/>
          <w:spacing w:val="4"/>
          <w:w w:val="60"/>
          <w:shd w:val="solid" w:color="000000" w:fill="000000"/>
          <w:fitText w:val="470" w:id="-656192255"/>
          <w14:textFill>
            <w14:solidFill>
              <w14:srgbClr w14:val="000000">
                <w14:alpha w14:val="100000"/>
              </w14:srgbClr>
            </w14:solidFill>
          </w14:textFill>
        </w:rPr>
        <w:t>|</w:t>
      </w:r>
      <w:r w:rsidR="003A5176" w:rsidRPr="0089578C">
        <w:t xml:space="preserve"> in the first year and $</w:t>
      </w:r>
      <w:r w:rsidR="0011411E" w:rsidRPr="0077631D">
        <w:rPr>
          <w:color w:val="000000"/>
          <w:spacing w:val="6"/>
          <w:w w:val="60"/>
          <w:shd w:val="solid" w:color="000000" w:fill="000000"/>
          <w:fitText w:val="470" w:id="-656192254"/>
          <w14:textFill>
            <w14:solidFill>
              <w14:srgbClr w14:val="000000">
                <w14:alpha w14:val="100000"/>
              </w14:srgbClr>
            </w14:solidFill>
          </w14:textFill>
        </w:rPr>
        <w:t>|||</w:t>
      </w:r>
      <w:r w:rsidR="0077631D" w:rsidRPr="0077631D">
        <w:rPr>
          <w:color w:val="000000"/>
          <w:spacing w:val="6"/>
          <w:w w:val="60"/>
          <w:shd w:val="solid" w:color="000000" w:fill="000000"/>
          <w:fitText w:val="470" w:id="-656192254"/>
          <w14:textFill>
            <w14:solidFill>
              <w14:srgbClr w14:val="000000">
                <w14:alpha w14:val="100000"/>
              </w14:srgbClr>
            </w14:solidFill>
          </w14:textFill>
        </w:rPr>
        <w:t xml:space="preserve"> </w:t>
      </w:r>
      <w:r w:rsidR="0011411E" w:rsidRPr="0077631D">
        <w:rPr>
          <w:color w:val="000000"/>
          <w:spacing w:val="6"/>
          <w:w w:val="60"/>
          <w:shd w:val="solid" w:color="000000" w:fill="000000"/>
          <w:fitText w:val="470" w:id="-656192254"/>
          <w14:textFill>
            <w14:solidFill>
              <w14:srgbClr w14:val="000000">
                <w14:alpha w14:val="100000"/>
              </w14:srgbClr>
            </w14:solidFill>
          </w14:textFill>
        </w:rPr>
        <w:t>||</w:t>
      </w:r>
      <w:r w:rsidR="0011411E" w:rsidRPr="0077631D">
        <w:rPr>
          <w:color w:val="000000"/>
          <w:spacing w:val="4"/>
          <w:w w:val="60"/>
          <w:shd w:val="solid" w:color="000000" w:fill="000000"/>
          <w:fitText w:val="470" w:id="-656192254"/>
          <w14:textFill>
            <w14:solidFill>
              <w14:srgbClr w14:val="000000">
                <w14:alpha w14:val="100000"/>
              </w14:srgbClr>
            </w14:solidFill>
          </w14:textFill>
        </w:rPr>
        <w:t>|</w:t>
      </w:r>
      <w:r w:rsidR="003A5176" w:rsidRPr="0089578C">
        <w:t xml:space="preserve"> in subsequent years</w:t>
      </w:r>
      <w:r w:rsidR="0097724F" w:rsidRPr="0089578C">
        <w:t xml:space="preserve"> (based on</w:t>
      </w:r>
      <w:r w:rsidR="005E2D7C" w:rsidRPr="0089578C">
        <w:t xml:space="preserve">: </w:t>
      </w:r>
      <w:r w:rsidR="005E2D7C" w:rsidRPr="0089578C">
        <w:lastRenderedPageBreak/>
        <w:t>cost of IVIg of $</w:t>
      </w:r>
      <w:r w:rsidR="0011411E" w:rsidRPr="0077631D">
        <w:rPr>
          <w:color w:val="000000"/>
          <w:spacing w:val="6"/>
          <w:w w:val="60"/>
          <w:shd w:val="solid" w:color="000000" w:fill="000000"/>
          <w:fitText w:val="470" w:id="-656192253"/>
          <w14:textFill>
            <w14:solidFill>
              <w14:srgbClr w14:val="000000">
                <w14:alpha w14:val="100000"/>
              </w14:srgbClr>
            </w14:solidFill>
          </w14:textFill>
        </w:rPr>
        <w:t>|||</w:t>
      </w:r>
      <w:r w:rsidR="0077631D" w:rsidRPr="0077631D">
        <w:rPr>
          <w:color w:val="000000"/>
          <w:spacing w:val="6"/>
          <w:w w:val="60"/>
          <w:shd w:val="solid" w:color="000000" w:fill="000000"/>
          <w:fitText w:val="470" w:id="-656192253"/>
          <w14:textFill>
            <w14:solidFill>
              <w14:srgbClr w14:val="000000">
                <w14:alpha w14:val="100000"/>
              </w14:srgbClr>
            </w14:solidFill>
          </w14:textFill>
        </w:rPr>
        <w:t xml:space="preserve"> </w:t>
      </w:r>
      <w:r w:rsidR="0011411E" w:rsidRPr="0077631D">
        <w:rPr>
          <w:color w:val="000000"/>
          <w:spacing w:val="6"/>
          <w:w w:val="60"/>
          <w:shd w:val="solid" w:color="000000" w:fill="000000"/>
          <w:fitText w:val="470" w:id="-656192253"/>
          <w14:textFill>
            <w14:solidFill>
              <w14:srgbClr w14:val="000000">
                <w14:alpha w14:val="100000"/>
              </w14:srgbClr>
            </w14:solidFill>
          </w14:textFill>
        </w:rPr>
        <w:t>||</w:t>
      </w:r>
      <w:r w:rsidR="0011411E" w:rsidRPr="0077631D">
        <w:rPr>
          <w:color w:val="000000"/>
          <w:spacing w:val="4"/>
          <w:w w:val="60"/>
          <w:shd w:val="solid" w:color="000000" w:fill="000000"/>
          <w:fitText w:val="470" w:id="-656192253"/>
          <w14:textFill>
            <w14:solidFill>
              <w14:srgbClr w14:val="000000">
                <w14:alpha w14:val="100000"/>
              </w14:srgbClr>
            </w14:solidFill>
          </w14:textFill>
        </w:rPr>
        <w:t>|</w:t>
      </w:r>
      <w:r w:rsidR="005E2D7C" w:rsidRPr="0089578C">
        <w:t xml:space="preserve"> per gram</w:t>
      </w:r>
      <w:r w:rsidR="00816BA4" w:rsidRPr="0089578C">
        <w:t>; 60% of maximum</w:t>
      </w:r>
      <w:r w:rsidR="00816BA4" w:rsidRPr="005500C7">
        <w:t xml:space="preserve"> IVIg dose</w:t>
      </w:r>
      <w:r w:rsidR="008356E9" w:rsidRPr="005500C7">
        <w:t xml:space="preserve"> and assuming the average body weight of patients in the RAISE trial at baseline</w:t>
      </w:r>
      <w:r w:rsidR="00816BA4" w:rsidRPr="005500C7">
        <w:t xml:space="preserve">; and </w:t>
      </w:r>
      <w:r w:rsidR="00EF0FAE" w:rsidRPr="005500C7">
        <w:t>t</w:t>
      </w:r>
      <w:r w:rsidR="006224DB" w:rsidRPr="005500C7">
        <w:t>he cost of administration was estimated based on the July 2024 MBS fee for item 14245 (administration of an immunomodulating agent; $111.60) assuming 2 administrations for the loading dose</w:t>
      </w:r>
      <w:r w:rsidR="005A6865" w:rsidRPr="005500C7">
        <w:t>, then one administration every 4 weeks)</w:t>
      </w:r>
      <w:r w:rsidR="0056020F" w:rsidRPr="005500C7">
        <w:t>.</w:t>
      </w:r>
    </w:p>
    <w:p w14:paraId="5DA0AA86" w14:textId="535134C8" w:rsidR="00547C37" w:rsidRPr="005500C7" w:rsidRDefault="00456EEA" w:rsidP="00E55FD2">
      <w:pPr>
        <w:pStyle w:val="COMexecsummnumbered"/>
      </w:pPr>
      <w:r w:rsidRPr="005500C7">
        <w:t xml:space="preserve">As outlined in </w:t>
      </w:r>
      <w:r w:rsidR="004344F6">
        <w:t>Section 7</w:t>
      </w:r>
      <w:r w:rsidRPr="005500C7">
        <w:t>, t</w:t>
      </w:r>
      <w:r w:rsidR="006C4BC3" w:rsidRPr="005500C7">
        <w:t xml:space="preserve">he </w:t>
      </w:r>
      <w:r w:rsidR="00547C37" w:rsidRPr="005500C7">
        <w:t>ESC noted that</w:t>
      </w:r>
      <w:r w:rsidR="00275247" w:rsidRPr="005500C7">
        <w:t>, based on</w:t>
      </w:r>
      <w:r w:rsidR="00547C37" w:rsidRPr="005500C7">
        <w:t xml:space="preserve"> </w:t>
      </w:r>
      <w:r w:rsidR="00275247" w:rsidRPr="005500C7">
        <w:t xml:space="preserve">data received from the </w:t>
      </w:r>
      <w:r w:rsidR="004F50D8">
        <w:t>NBA</w:t>
      </w:r>
      <w:r w:rsidR="00275247" w:rsidRPr="005500C7">
        <w:t xml:space="preserve"> on the utilisation of IVIg as maintenance therapy for Myasthenia Gravis in 2023-24, the average </w:t>
      </w:r>
      <w:r w:rsidR="006C4BC3" w:rsidRPr="005500C7">
        <w:t xml:space="preserve">annual </w:t>
      </w:r>
      <w:r w:rsidRPr="005500C7">
        <w:t xml:space="preserve">drug </w:t>
      </w:r>
      <w:r w:rsidR="006C4BC3" w:rsidRPr="005500C7">
        <w:t>cost for chronic IVIg therapy</w:t>
      </w:r>
      <w:r w:rsidR="00547C37" w:rsidRPr="005500C7">
        <w:t xml:space="preserve"> per patient was $</w:t>
      </w:r>
      <w:r w:rsidR="0011411E" w:rsidRPr="0077631D">
        <w:rPr>
          <w:color w:val="000000"/>
          <w:spacing w:val="6"/>
          <w:w w:val="60"/>
          <w:shd w:val="solid" w:color="000000" w:fill="000000"/>
          <w:fitText w:val="470" w:id="-656192252"/>
          <w14:textFill>
            <w14:solidFill>
              <w14:srgbClr w14:val="000000">
                <w14:alpha w14:val="100000"/>
              </w14:srgbClr>
            </w14:solidFill>
          </w14:textFill>
        </w:rPr>
        <w:t>|||</w:t>
      </w:r>
      <w:r w:rsidR="0077631D" w:rsidRPr="0077631D">
        <w:rPr>
          <w:color w:val="000000"/>
          <w:spacing w:val="6"/>
          <w:w w:val="60"/>
          <w:shd w:val="solid" w:color="000000" w:fill="000000"/>
          <w:fitText w:val="470" w:id="-656192252"/>
          <w14:textFill>
            <w14:solidFill>
              <w14:srgbClr w14:val="000000">
                <w14:alpha w14:val="100000"/>
              </w14:srgbClr>
            </w14:solidFill>
          </w14:textFill>
        </w:rPr>
        <w:t xml:space="preserve"> </w:t>
      </w:r>
      <w:r w:rsidR="0011411E" w:rsidRPr="0077631D">
        <w:rPr>
          <w:color w:val="000000"/>
          <w:spacing w:val="6"/>
          <w:w w:val="60"/>
          <w:shd w:val="solid" w:color="000000" w:fill="000000"/>
          <w:fitText w:val="470" w:id="-656192252"/>
          <w14:textFill>
            <w14:solidFill>
              <w14:srgbClr w14:val="000000">
                <w14:alpha w14:val="100000"/>
              </w14:srgbClr>
            </w14:solidFill>
          </w14:textFill>
        </w:rPr>
        <w:t>||</w:t>
      </w:r>
      <w:r w:rsidR="0011411E" w:rsidRPr="0077631D">
        <w:rPr>
          <w:color w:val="000000"/>
          <w:spacing w:val="4"/>
          <w:w w:val="60"/>
          <w:shd w:val="solid" w:color="000000" w:fill="000000"/>
          <w:fitText w:val="470" w:id="-656192252"/>
          <w14:textFill>
            <w14:solidFill>
              <w14:srgbClr w14:val="000000">
                <w14:alpha w14:val="100000"/>
              </w14:srgbClr>
            </w14:solidFill>
          </w14:textFill>
        </w:rPr>
        <w:t>|</w:t>
      </w:r>
      <w:r w:rsidR="00547C37" w:rsidRPr="005500C7">
        <w:t xml:space="preserve"> based on an average cost per gram of $</w:t>
      </w:r>
      <w:r w:rsidR="0011411E" w:rsidRPr="0077631D">
        <w:rPr>
          <w:color w:val="000000"/>
          <w:spacing w:val="6"/>
          <w:w w:val="60"/>
          <w:shd w:val="solid" w:color="000000" w:fill="000000"/>
          <w:fitText w:val="470" w:id="-656192251"/>
          <w14:textFill>
            <w14:solidFill>
              <w14:srgbClr w14:val="000000">
                <w14:alpha w14:val="100000"/>
              </w14:srgbClr>
            </w14:solidFill>
          </w14:textFill>
        </w:rPr>
        <w:t>|||</w:t>
      </w:r>
      <w:r w:rsidR="0077631D" w:rsidRPr="0077631D">
        <w:rPr>
          <w:color w:val="000000"/>
          <w:spacing w:val="6"/>
          <w:w w:val="60"/>
          <w:shd w:val="solid" w:color="000000" w:fill="000000"/>
          <w:fitText w:val="470" w:id="-656192251"/>
          <w14:textFill>
            <w14:solidFill>
              <w14:srgbClr w14:val="000000">
                <w14:alpha w14:val="100000"/>
              </w14:srgbClr>
            </w14:solidFill>
          </w14:textFill>
        </w:rPr>
        <w:t xml:space="preserve"> </w:t>
      </w:r>
      <w:r w:rsidR="0011411E" w:rsidRPr="0077631D">
        <w:rPr>
          <w:color w:val="000000"/>
          <w:spacing w:val="6"/>
          <w:w w:val="60"/>
          <w:shd w:val="solid" w:color="000000" w:fill="000000"/>
          <w:fitText w:val="470" w:id="-656192251"/>
          <w14:textFill>
            <w14:solidFill>
              <w14:srgbClr w14:val="000000">
                <w14:alpha w14:val="100000"/>
              </w14:srgbClr>
            </w14:solidFill>
          </w14:textFill>
        </w:rPr>
        <w:t>||</w:t>
      </w:r>
      <w:r w:rsidR="0011411E" w:rsidRPr="0077631D">
        <w:rPr>
          <w:color w:val="000000"/>
          <w:spacing w:val="4"/>
          <w:w w:val="60"/>
          <w:shd w:val="solid" w:color="000000" w:fill="000000"/>
          <w:fitText w:val="470" w:id="-656192251"/>
          <w14:textFill>
            <w14:solidFill>
              <w14:srgbClr w14:val="000000">
                <w14:alpha w14:val="100000"/>
              </w14:srgbClr>
            </w14:solidFill>
          </w14:textFill>
        </w:rPr>
        <w:t>|</w:t>
      </w:r>
      <w:r w:rsidR="00547C37" w:rsidRPr="005500C7">
        <w:t xml:space="preserve"> (which is an average across all IVIg use in Australia) and an average </w:t>
      </w:r>
      <w:r w:rsidR="00547C37" w:rsidRPr="0089578C">
        <w:t>of 541.1 grams</w:t>
      </w:r>
      <w:r w:rsidR="00547C37" w:rsidRPr="005500C7">
        <w:t xml:space="preserve"> per patient per year (specific to the Myasthenia Gravis maintenance setting).</w:t>
      </w:r>
    </w:p>
    <w:p w14:paraId="5067C0E9" w14:textId="15C8A4F9" w:rsidR="006C4BC3" w:rsidRPr="00AB74F6" w:rsidRDefault="3E30D2EC" w:rsidP="00E55FD2">
      <w:pPr>
        <w:pStyle w:val="COMexecsummnumbered"/>
      </w:pPr>
      <w:r w:rsidRPr="00AB74F6">
        <w:t>The estimated annual cost for chronic PLEX (including procedure costs) was $45,107 in the first year and $42,642 in subsequent years (corrected to include procedure costs associated with administering maintenance sessions).</w:t>
      </w:r>
    </w:p>
    <w:p w14:paraId="04E76174" w14:textId="77777777" w:rsidR="00A930A8" w:rsidRPr="00A930A8" w:rsidRDefault="00A930A8" w:rsidP="00E55FD2">
      <w:pPr>
        <w:spacing w:before="60" w:after="60"/>
        <w:outlineLvl w:val="2"/>
        <w:rPr>
          <w:rFonts w:asciiTheme="minorHAnsi" w:eastAsiaTheme="minorHAnsi" w:hAnsiTheme="minorHAnsi" w:cstheme="minorBidi"/>
          <w:szCs w:val="22"/>
        </w:rPr>
      </w:pPr>
      <w:r w:rsidRPr="00A930A8">
        <w:rPr>
          <w:rFonts w:asciiTheme="minorHAnsi" w:eastAsiaTheme="minorHAnsi" w:hAnsiTheme="minorHAnsi" w:cstheme="minorBidi"/>
          <w:szCs w:val="22"/>
          <w:u w:val="single"/>
        </w:rPr>
        <w:t>Cost-comparison</w:t>
      </w:r>
    </w:p>
    <w:p w14:paraId="3B924667" w14:textId="19ABA809" w:rsidR="00A930A8" w:rsidRPr="00A930A8" w:rsidRDefault="00A930A8" w:rsidP="00E55FD2">
      <w:pPr>
        <w:pStyle w:val="COMexecsummnumbered"/>
        <w:spacing w:after="240"/>
      </w:pPr>
      <w:r w:rsidRPr="00A930A8">
        <w:t xml:space="preserve">The </w:t>
      </w:r>
      <w:r>
        <w:t>pre-PBAC response outlined equi-effec</w:t>
      </w:r>
      <w:r w:rsidR="006F0188">
        <w:t>t</w:t>
      </w:r>
      <w:r>
        <w:t xml:space="preserve">ive doses </w:t>
      </w:r>
      <w:r w:rsidR="00157E7D">
        <w:t xml:space="preserve">of </w:t>
      </w:r>
      <w:proofErr w:type="spellStart"/>
      <w:r w:rsidR="00157E7D">
        <w:t>zilucoplan</w:t>
      </w:r>
      <w:proofErr w:type="spellEnd"/>
      <w:r w:rsidR="00157E7D">
        <w:t xml:space="preserve"> and IVIg </w:t>
      </w:r>
      <w:r>
        <w:t>for the purposes of a cost-comparison</w:t>
      </w:r>
      <w:r w:rsidR="00C56889">
        <w:t xml:space="preserve">, as shown in </w:t>
      </w:r>
      <w:r w:rsidR="00C56889">
        <w:fldChar w:fldCharType="begin"/>
      </w:r>
      <w:r w:rsidR="00C56889">
        <w:instrText xml:space="preserve"> REF _Ref193725177 \h </w:instrText>
      </w:r>
      <w:r w:rsidR="00C56889">
        <w:fldChar w:fldCharType="separate"/>
      </w:r>
      <w:r w:rsidR="00271F88">
        <w:t xml:space="preserve">Table </w:t>
      </w:r>
      <w:r w:rsidR="00271F88">
        <w:rPr>
          <w:noProof/>
        </w:rPr>
        <w:t>14</w:t>
      </w:r>
      <w:r w:rsidR="00C56889">
        <w:fldChar w:fldCharType="end"/>
      </w:r>
      <w:r>
        <w:t xml:space="preserve">. </w:t>
      </w:r>
    </w:p>
    <w:p w14:paraId="75A3BE26" w14:textId="33A714FD" w:rsidR="00A930A8" w:rsidRPr="00A930A8" w:rsidRDefault="000542C7" w:rsidP="00E55FD2">
      <w:pPr>
        <w:pStyle w:val="Caption"/>
      </w:pPr>
      <w:bookmarkStart w:id="75" w:name="_Ref193725177"/>
      <w:r>
        <w:lastRenderedPageBreak/>
        <w:t xml:space="preserve">Table </w:t>
      </w:r>
      <w:r>
        <w:fldChar w:fldCharType="begin"/>
      </w:r>
      <w:r>
        <w:instrText xml:space="preserve"> SEQ Table \* ARABIC </w:instrText>
      </w:r>
      <w:r>
        <w:fldChar w:fldCharType="separate"/>
      </w:r>
      <w:r w:rsidR="00271F88">
        <w:rPr>
          <w:noProof/>
        </w:rPr>
        <w:t>14</w:t>
      </w:r>
      <w:r>
        <w:fldChar w:fldCharType="end"/>
      </w:r>
      <w:bookmarkEnd w:id="75"/>
      <w:r w:rsidR="00A930A8" w:rsidRPr="00A930A8">
        <w:t xml:space="preserve">: Comparison of the annual </w:t>
      </w:r>
      <w:r w:rsidR="00A930A8" w:rsidRPr="00C56889">
        <w:t xml:space="preserve">dose and </w:t>
      </w:r>
      <w:r w:rsidR="00A930A8" w:rsidRPr="00A930A8">
        <w:t xml:space="preserve">drug cost of maintenance therapy with </w:t>
      </w:r>
      <w:proofErr w:type="spellStart"/>
      <w:r w:rsidR="00A930A8" w:rsidRPr="00C56889">
        <w:t>zilucoplan</w:t>
      </w:r>
      <w:proofErr w:type="spellEnd"/>
      <w:r w:rsidR="00A930A8" w:rsidRPr="00A930A8">
        <w:t xml:space="preserve"> and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Comparison of the annual dose and drug cost of maintenance therapy with zilucoplan and IVIg"/>
      </w:tblPr>
      <w:tblGrid>
        <w:gridCol w:w="1129"/>
        <w:gridCol w:w="851"/>
        <w:gridCol w:w="7037"/>
      </w:tblGrid>
      <w:tr w:rsidR="00A930A8" w:rsidRPr="00A930A8" w14:paraId="0152B350" w14:textId="77777777" w:rsidTr="004A29E1">
        <w:trPr>
          <w:trHeight w:val="40"/>
        </w:trPr>
        <w:tc>
          <w:tcPr>
            <w:tcW w:w="626" w:type="pct"/>
            <w:vAlign w:val="center"/>
          </w:tcPr>
          <w:p w14:paraId="25C2A4C1" w14:textId="77777777" w:rsidR="00A930A8" w:rsidRPr="00A930A8" w:rsidRDefault="00A930A8" w:rsidP="00E55FD2">
            <w:pPr>
              <w:keepNext/>
              <w:keepLines/>
              <w:jc w:val="left"/>
              <w:rPr>
                <w:rFonts w:ascii="Arial Narrow" w:eastAsiaTheme="majorEastAsia" w:hAnsi="Arial Narrow" w:cstheme="majorBidi"/>
                <w:b/>
                <w:bCs/>
                <w:sz w:val="20"/>
              </w:rPr>
            </w:pPr>
            <w:r w:rsidRPr="00A930A8">
              <w:rPr>
                <w:rFonts w:ascii="Arial Narrow" w:eastAsiaTheme="majorEastAsia" w:hAnsi="Arial Narrow" w:cstheme="majorBidi"/>
                <w:b/>
                <w:bCs/>
                <w:sz w:val="20"/>
              </w:rPr>
              <w:t>Treatment</w:t>
            </w:r>
          </w:p>
        </w:tc>
        <w:tc>
          <w:tcPr>
            <w:tcW w:w="472" w:type="pct"/>
            <w:vAlign w:val="center"/>
          </w:tcPr>
          <w:p w14:paraId="373737C9" w14:textId="5367F002" w:rsidR="00A930A8" w:rsidRPr="00A930A8" w:rsidRDefault="00A930A8" w:rsidP="00E55FD2">
            <w:pPr>
              <w:keepNext/>
              <w:keepLines/>
              <w:jc w:val="center"/>
              <w:rPr>
                <w:rFonts w:ascii="Arial Narrow" w:eastAsiaTheme="majorEastAsia" w:hAnsi="Arial Narrow" w:cstheme="majorBidi"/>
                <w:b/>
                <w:bCs/>
                <w:sz w:val="20"/>
              </w:rPr>
            </w:pPr>
            <w:r w:rsidRPr="00A930A8">
              <w:rPr>
                <w:rFonts w:ascii="Arial Narrow" w:eastAsiaTheme="majorEastAsia" w:hAnsi="Arial Narrow" w:cstheme="majorBidi"/>
                <w:b/>
                <w:bCs/>
                <w:sz w:val="20"/>
              </w:rPr>
              <w:t>Annual cost</w:t>
            </w:r>
            <w:r>
              <w:rPr>
                <w:rFonts w:ascii="Arial Narrow" w:eastAsiaTheme="majorEastAsia" w:hAnsi="Arial Narrow" w:cstheme="majorBidi"/>
                <w:b/>
                <w:bCs/>
                <w:sz w:val="20"/>
              </w:rPr>
              <w:t xml:space="preserve"> </w:t>
            </w:r>
            <w:r w:rsidR="00C56889">
              <w:rPr>
                <w:rFonts w:ascii="Arial Narrow" w:eastAsiaTheme="majorEastAsia" w:hAnsi="Arial Narrow" w:cstheme="majorBidi"/>
                <w:b/>
                <w:bCs/>
                <w:sz w:val="20"/>
              </w:rPr>
              <w:t>or dose</w:t>
            </w:r>
          </w:p>
        </w:tc>
        <w:tc>
          <w:tcPr>
            <w:tcW w:w="3902" w:type="pct"/>
            <w:vAlign w:val="center"/>
          </w:tcPr>
          <w:p w14:paraId="5C63F249" w14:textId="77777777" w:rsidR="00A930A8" w:rsidRPr="00A930A8" w:rsidRDefault="00A930A8" w:rsidP="00E55FD2">
            <w:pPr>
              <w:keepNext/>
              <w:keepLines/>
              <w:jc w:val="center"/>
              <w:rPr>
                <w:rFonts w:ascii="Arial Narrow" w:eastAsiaTheme="majorEastAsia" w:hAnsi="Arial Narrow" w:cstheme="majorBidi"/>
                <w:b/>
                <w:bCs/>
                <w:sz w:val="20"/>
              </w:rPr>
            </w:pPr>
            <w:r w:rsidRPr="00A930A8">
              <w:rPr>
                <w:rFonts w:ascii="Arial Narrow" w:eastAsiaTheme="majorEastAsia" w:hAnsi="Arial Narrow" w:cstheme="majorBidi"/>
                <w:b/>
                <w:bCs/>
                <w:sz w:val="20"/>
              </w:rPr>
              <w:t>Source</w:t>
            </w:r>
          </w:p>
        </w:tc>
      </w:tr>
      <w:tr w:rsidR="00A930A8" w:rsidRPr="00A930A8" w14:paraId="79D696DA" w14:textId="77777777" w:rsidTr="004A29E1">
        <w:trPr>
          <w:trHeight w:val="43"/>
        </w:trPr>
        <w:tc>
          <w:tcPr>
            <w:tcW w:w="626" w:type="pct"/>
            <w:vAlign w:val="center"/>
          </w:tcPr>
          <w:p w14:paraId="5CB5C0E7" w14:textId="1484E703" w:rsidR="00A930A8" w:rsidRPr="00A930A8" w:rsidRDefault="00A930A8" w:rsidP="00E55FD2">
            <w:pPr>
              <w:keepNext/>
              <w:keepLines/>
              <w:jc w:val="left"/>
              <w:rPr>
                <w:rFonts w:ascii="Arial Narrow" w:eastAsiaTheme="majorEastAsia" w:hAnsi="Arial Narrow" w:cstheme="majorBidi"/>
                <w:bCs/>
                <w:sz w:val="20"/>
              </w:rPr>
            </w:pPr>
            <w:proofErr w:type="spellStart"/>
            <w:r>
              <w:rPr>
                <w:rFonts w:ascii="Arial Narrow" w:eastAsiaTheme="majorEastAsia" w:hAnsi="Arial Narrow" w:cstheme="majorBidi"/>
                <w:bCs/>
                <w:sz w:val="20"/>
              </w:rPr>
              <w:t>Zilucoplan</w:t>
            </w:r>
            <w:proofErr w:type="spellEnd"/>
            <w:r>
              <w:rPr>
                <w:rFonts w:ascii="Arial Narrow" w:eastAsiaTheme="majorEastAsia" w:hAnsi="Arial Narrow" w:cstheme="majorBidi"/>
                <w:bCs/>
                <w:sz w:val="20"/>
              </w:rPr>
              <w:t xml:space="preserve"> (pre-PBAC response)</w:t>
            </w:r>
          </w:p>
        </w:tc>
        <w:tc>
          <w:tcPr>
            <w:tcW w:w="472" w:type="pct"/>
            <w:vAlign w:val="center"/>
          </w:tcPr>
          <w:p w14:paraId="43B64AA4" w14:textId="556F4BC6" w:rsidR="00A930A8" w:rsidRPr="007C57D3" w:rsidRDefault="00A930A8" w:rsidP="00E55FD2">
            <w:pPr>
              <w:keepNext/>
              <w:keepLines/>
              <w:jc w:val="center"/>
              <w:rPr>
                <w:rFonts w:ascii="Arial Narrow" w:eastAsiaTheme="majorEastAsia" w:hAnsi="Arial Narrow" w:cstheme="majorBidi"/>
                <w:bCs/>
                <w:sz w:val="20"/>
              </w:rPr>
            </w:pPr>
            <w:r w:rsidRPr="007C57D3">
              <w:rPr>
                <w:rFonts w:ascii="Arial Narrow" w:eastAsiaTheme="majorEastAsia" w:hAnsi="Arial Narrow" w:cstheme="majorBidi"/>
                <w:bCs/>
                <w:sz w:val="20"/>
              </w:rPr>
              <w:t>10,475 mg per year</w:t>
            </w:r>
            <w:r w:rsidR="006F0188" w:rsidRPr="007C57D3">
              <w:rPr>
                <w:rFonts w:ascii="Arial Narrow" w:eastAsiaTheme="majorEastAsia" w:hAnsi="Arial Narrow" w:cstheme="majorBidi"/>
                <w:bCs/>
                <w:sz w:val="20"/>
              </w:rPr>
              <w:t xml:space="preserve"> </w:t>
            </w:r>
          </w:p>
        </w:tc>
        <w:tc>
          <w:tcPr>
            <w:tcW w:w="3902" w:type="pct"/>
            <w:vAlign w:val="center"/>
          </w:tcPr>
          <w:p w14:paraId="25E2A4C9" w14:textId="77777777" w:rsidR="00A930A8" w:rsidRPr="007C57D3" w:rsidRDefault="00A930A8" w:rsidP="00E55FD2">
            <w:pPr>
              <w:keepNext/>
              <w:keepLines/>
              <w:jc w:val="left"/>
              <w:rPr>
                <w:rFonts w:ascii="Arial Narrow" w:eastAsiaTheme="majorEastAsia" w:hAnsi="Arial Narrow" w:cstheme="majorBidi"/>
                <w:bCs/>
                <w:sz w:val="20"/>
              </w:rPr>
            </w:pPr>
            <w:r w:rsidRPr="007C57D3">
              <w:rPr>
                <w:rFonts w:ascii="Arial Narrow" w:eastAsiaTheme="majorEastAsia" w:hAnsi="Arial Narrow" w:cstheme="majorBidi"/>
                <w:bCs/>
                <w:sz w:val="20"/>
              </w:rPr>
              <w:t>28.68 mg daily x 365.25 days</w:t>
            </w:r>
            <w:r w:rsidR="00C01E96" w:rsidRPr="007C57D3">
              <w:rPr>
                <w:rFonts w:ascii="Arial Narrow" w:eastAsiaTheme="majorEastAsia" w:hAnsi="Arial Narrow" w:cstheme="majorBidi"/>
                <w:bCs/>
                <w:sz w:val="20"/>
              </w:rPr>
              <w:t>.</w:t>
            </w:r>
          </w:p>
          <w:p w14:paraId="5E7E14D0" w14:textId="77777777" w:rsidR="00C01E96" w:rsidRPr="007C57D3" w:rsidRDefault="00C01E96" w:rsidP="00E55FD2">
            <w:pPr>
              <w:keepNext/>
              <w:keepLines/>
              <w:jc w:val="left"/>
              <w:rPr>
                <w:rFonts w:ascii="Arial Narrow" w:eastAsiaTheme="majorEastAsia" w:hAnsi="Arial Narrow" w:cstheme="majorBidi"/>
                <w:bCs/>
                <w:sz w:val="20"/>
              </w:rPr>
            </w:pPr>
            <w:r w:rsidRPr="007C57D3">
              <w:rPr>
                <w:rFonts w:ascii="Arial Narrow" w:eastAsiaTheme="majorEastAsia" w:hAnsi="Arial Narrow" w:cstheme="majorBidi"/>
                <w:bCs/>
                <w:sz w:val="20"/>
              </w:rPr>
              <w:t xml:space="preserve">The average daily dose was based on the following dose categories: </w:t>
            </w:r>
          </w:p>
          <w:p w14:paraId="5A8D30B1" w14:textId="7B0DDB7C" w:rsidR="00C01E96" w:rsidRPr="007C57D3" w:rsidRDefault="00C01E96" w:rsidP="00E55FD2">
            <w:pPr>
              <w:pStyle w:val="ListParagraph"/>
              <w:keepNext/>
              <w:keepLines/>
              <w:numPr>
                <w:ilvl w:val="0"/>
                <w:numId w:val="35"/>
              </w:numPr>
              <w:ind w:left="257" w:hanging="141"/>
              <w:jc w:val="left"/>
              <w:rPr>
                <w:rFonts w:ascii="Arial Narrow" w:eastAsiaTheme="majorEastAsia" w:hAnsi="Arial Narrow" w:cstheme="majorBidi"/>
                <w:bCs/>
                <w:sz w:val="20"/>
              </w:rPr>
            </w:pPr>
            <w:r w:rsidRPr="007C57D3">
              <w:rPr>
                <w:rFonts w:ascii="Arial Narrow" w:eastAsiaTheme="majorEastAsia" w:hAnsi="Arial Narrow" w:cstheme="majorBidi"/>
                <w:bCs/>
                <w:sz w:val="20"/>
              </w:rPr>
              <w:t>patient weight: ≥</w:t>
            </w:r>
            <w:r w:rsidR="00025E04">
              <w:rPr>
                <w:rFonts w:ascii="Arial Narrow" w:eastAsiaTheme="majorEastAsia" w:hAnsi="Arial Narrow" w:cstheme="majorBidi"/>
                <w:bCs/>
                <w:sz w:val="20"/>
              </w:rPr>
              <w:t xml:space="preserve"> </w:t>
            </w:r>
            <w:r w:rsidRPr="007C57D3">
              <w:rPr>
                <w:rFonts w:ascii="Arial Narrow" w:eastAsiaTheme="majorEastAsia" w:hAnsi="Arial Narrow" w:cstheme="majorBidi"/>
                <w:bCs/>
                <w:sz w:val="20"/>
              </w:rPr>
              <w:t>43 to &lt;</w:t>
            </w:r>
            <w:r w:rsidR="00025E04">
              <w:rPr>
                <w:rFonts w:ascii="Arial Narrow" w:eastAsiaTheme="majorEastAsia" w:hAnsi="Arial Narrow" w:cstheme="majorBidi"/>
                <w:bCs/>
                <w:sz w:val="20"/>
              </w:rPr>
              <w:t xml:space="preserve"> </w:t>
            </w:r>
            <w:r w:rsidRPr="007C57D3">
              <w:rPr>
                <w:rFonts w:ascii="Arial Narrow" w:eastAsiaTheme="majorEastAsia" w:hAnsi="Arial Narrow" w:cstheme="majorBidi"/>
                <w:bCs/>
                <w:sz w:val="20"/>
              </w:rPr>
              <w:t xml:space="preserve">56 kg, dose 16.6 mg; 7.9% of patients in the </w:t>
            </w:r>
            <w:proofErr w:type="gramStart"/>
            <w:r w:rsidRPr="007C57D3">
              <w:rPr>
                <w:rFonts w:ascii="Arial Narrow" w:eastAsiaTheme="majorEastAsia" w:hAnsi="Arial Narrow" w:cstheme="majorBidi"/>
                <w:bCs/>
                <w:sz w:val="20"/>
              </w:rPr>
              <w:t>trial;</w:t>
            </w:r>
            <w:proofErr w:type="gramEnd"/>
          </w:p>
          <w:p w14:paraId="0A326E2A" w14:textId="023612D3" w:rsidR="00C01E96" w:rsidRPr="007C57D3" w:rsidRDefault="00C01E96" w:rsidP="00E55FD2">
            <w:pPr>
              <w:pStyle w:val="ListParagraph"/>
              <w:keepNext/>
              <w:keepLines/>
              <w:numPr>
                <w:ilvl w:val="0"/>
                <w:numId w:val="35"/>
              </w:numPr>
              <w:ind w:left="257" w:hanging="141"/>
              <w:jc w:val="left"/>
              <w:rPr>
                <w:rFonts w:ascii="Arial Narrow" w:eastAsiaTheme="majorEastAsia" w:hAnsi="Arial Narrow" w:cstheme="majorBidi"/>
                <w:bCs/>
                <w:sz w:val="20"/>
              </w:rPr>
            </w:pPr>
            <w:r w:rsidRPr="007C57D3">
              <w:rPr>
                <w:rFonts w:ascii="Arial Narrow" w:eastAsiaTheme="majorEastAsia" w:hAnsi="Arial Narrow" w:cstheme="majorBidi"/>
                <w:bCs/>
                <w:sz w:val="20"/>
              </w:rPr>
              <w:t>patient weight: ≥</w:t>
            </w:r>
            <w:r w:rsidR="00025E04">
              <w:rPr>
                <w:rFonts w:ascii="Arial Narrow" w:eastAsiaTheme="majorEastAsia" w:hAnsi="Arial Narrow" w:cstheme="majorBidi"/>
                <w:bCs/>
                <w:sz w:val="20"/>
              </w:rPr>
              <w:t xml:space="preserve"> </w:t>
            </w:r>
            <w:r w:rsidRPr="007C57D3">
              <w:rPr>
                <w:rFonts w:ascii="Arial Narrow" w:eastAsiaTheme="majorEastAsia" w:hAnsi="Arial Narrow" w:cstheme="majorBidi"/>
                <w:bCs/>
                <w:sz w:val="20"/>
              </w:rPr>
              <w:t>56 to &lt;</w:t>
            </w:r>
            <w:r w:rsidR="00025E04">
              <w:rPr>
                <w:rFonts w:ascii="Arial Narrow" w:eastAsiaTheme="majorEastAsia" w:hAnsi="Arial Narrow" w:cstheme="majorBidi"/>
                <w:bCs/>
                <w:sz w:val="20"/>
              </w:rPr>
              <w:t xml:space="preserve"> </w:t>
            </w:r>
            <w:r w:rsidRPr="007C57D3">
              <w:rPr>
                <w:rFonts w:ascii="Arial Narrow" w:eastAsiaTheme="majorEastAsia" w:hAnsi="Arial Narrow" w:cstheme="majorBidi"/>
                <w:bCs/>
                <w:sz w:val="20"/>
              </w:rPr>
              <w:t>77</w:t>
            </w:r>
            <w:r w:rsidR="006F0188" w:rsidRPr="007C57D3">
              <w:rPr>
                <w:rFonts w:ascii="Arial Narrow" w:eastAsiaTheme="majorEastAsia" w:hAnsi="Arial Narrow" w:cstheme="majorBidi"/>
                <w:bCs/>
                <w:sz w:val="20"/>
              </w:rPr>
              <w:t xml:space="preserve"> </w:t>
            </w:r>
            <w:r w:rsidRPr="007C57D3">
              <w:rPr>
                <w:rFonts w:ascii="Arial Narrow" w:eastAsiaTheme="majorEastAsia" w:hAnsi="Arial Narrow" w:cstheme="majorBidi"/>
                <w:bCs/>
                <w:sz w:val="20"/>
              </w:rPr>
              <w:t xml:space="preserve">kg, dose 23.0 mg; 26.3% of patients in the </w:t>
            </w:r>
            <w:proofErr w:type="gramStart"/>
            <w:r w:rsidRPr="007C57D3">
              <w:rPr>
                <w:rFonts w:ascii="Arial Narrow" w:eastAsiaTheme="majorEastAsia" w:hAnsi="Arial Narrow" w:cstheme="majorBidi"/>
                <w:bCs/>
                <w:sz w:val="20"/>
              </w:rPr>
              <w:t>trial;</w:t>
            </w:r>
            <w:proofErr w:type="gramEnd"/>
            <w:r w:rsidR="0077631D">
              <w:rPr>
                <w:rFonts w:ascii="Arial Narrow" w:eastAsiaTheme="majorEastAsia" w:hAnsi="Arial Narrow" w:cstheme="majorBidi"/>
                <w:bCs/>
                <w:sz w:val="20"/>
              </w:rPr>
              <w:t xml:space="preserve"> </w:t>
            </w:r>
          </w:p>
          <w:p w14:paraId="002C12F8" w14:textId="03F84513" w:rsidR="00C01E96" w:rsidRPr="007C57D3" w:rsidRDefault="00C01E96" w:rsidP="00E55FD2">
            <w:pPr>
              <w:pStyle w:val="ListParagraph"/>
              <w:keepNext/>
              <w:keepLines/>
              <w:numPr>
                <w:ilvl w:val="0"/>
                <w:numId w:val="35"/>
              </w:numPr>
              <w:ind w:left="257" w:hanging="141"/>
              <w:jc w:val="left"/>
              <w:rPr>
                <w:rFonts w:ascii="Arial Narrow" w:eastAsiaTheme="majorEastAsia" w:hAnsi="Arial Narrow" w:cstheme="majorBidi"/>
                <w:bCs/>
                <w:sz w:val="20"/>
              </w:rPr>
            </w:pPr>
            <w:r w:rsidRPr="007C57D3">
              <w:rPr>
                <w:rFonts w:ascii="Arial Narrow" w:eastAsiaTheme="majorEastAsia" w:hAnsi="Arial Narrow" w:cstheme="majorBidi"/>
                <w:bCs/>
                <w:sz w:val="20"/>
              </w:rPr>
              <w:t xml:space="preserve">patient weight: </w:t>
            </w:r>
            <w:r w:rsidR="006F0188" w:rsidRPr="007C57D3">
              <w:rPr>
                <w:rFonts w:ascii="Arial Narrow" w:eastAsiaTheme="majorEastAsia" w:hAnsi="Arial Narrow" w:cstheme="majorBidi"/>
                <w:bCs/>
                <w:sz w:val="20"/>
              </w:rPr>
              <w:t>≥</w:t>
            </w:r>
            <w:r w:rsidR="00025E04">
              <w:rPr>
                <w:rFonts w:ascii="Arial Narrow" w:eastAsiaTheme="majorEastAsia" w:hAnsi="Arial Narrow" w:cstheme="majorBidi"/>
                <w:bCs/>
                <w:sz w:val="20"/>
              </w:rPr>
              <w:t xml:space="preserve"> </w:t>
            </w:r>
            <w:r w:rsidR="006F0188" w:rsidRPr="007C57D3">
              <w:rPr>
                <w:rFonts w:ascii="Arial Narrow" w:eastAsiaTheme="majorEastAsia" w:hAnsi="Arial Narrow" w:cstheme="majorBidi"/>
                <w:bCs/>
                <w:sz w:val="20"/>
              </w:rPr>
              <w:t>77 to &lt;</w:t>
            </w:r>
            <w:r w:rsidR="00025E04">
              <w:rPr>
                <w:rFonts w:ascii="Arial Narrow" w:eastAsiaTheme="majorEastAsia" w:hAnsi="Arial Narrow" w:cstheme="majorBidi"/>
                <w:bCs/>
                <w:sz w:val="20"/>
              </w:rPr>
              <w:t xml:space="preserve"> </w:t>
            </w:r>
            <w:r w:rsidR="006F0188" w:rsidRPr="007C57D3">
              <w:rPr>
                <w:rFonts w:ascii="Arial Narrow" w:eastAsiaTheme="majorEastAsia" w:hAnsi="Arial Narrow" w:cstheme="majorBidi"/>
                <w:bCs/>
                <w:sz w:val="20"/>
              </w:rPr>
              <w:t>150 kg</w:t>
            </w:r>
            <w:r w:rsidRPr="007C57D3">
              <w:rPr>
                <w:rFonts w:ascii="Arial Narrow" w:eastAsiaTheme="majorEastAsia" w:hAnsi="Arial Narrow" w:cstheme="majorBidi"/>
                <w:bCs/>
                <w:sz w:val="20"/>
              </w:rPr>
              <w:t xml:space="preserve">, dose </w:t>
            </w:r>
            <w:r w:rsidR="006F0188" w:rsidRPr="007C57D3">
              <w:rPr>
                <w:rFonts w:ascii="Arial Narrow" w:eastAsiaTheme="majorEastAsia" w:hAnsi="Arial Narrow" w:cstheme="majorBidi"/>
                <w:bCs/>
                <w:sz w:val="20"/>
              </w:rPr>
              <w:t>32.4</w:t>
            </w:r>
            <w:r w:rsidRPr="007C57D3">
              <w:rPr>
                <w:rFonts w:ascii="Arial Narrow" w:eastAsiaTheme="majorEastAsia" w:hAnsi="Arial Narrow" w:cstheme="majorBidi"/>
                <w:bCs/>
                <w:sz w:val="20"/>
              </w:rPr>
              <w:t xml:space="preserve"> mg; 65.8% of patients in the trial</w:t>
            </w:r>
            <w:r w:rsidR="00157E7D" w:rsidRPr="007C57D3">
              <w:rPr>
                <w:rFonts w:ascii="Arial Narrow" w:eastAsiaTheme="majorEastAsia" w:hAnsi="Arial Narrow" w:cstheme="majorBidi"/>
                <w:bCs/>
                <w:sz w:val="20"/>
              </w:rPr>
              <w:t>.</w:t>
            </w:r>
            <w:r w:rsidRPr="007C57D3">
              <w:rPr>
                <w:rFonts w:ascii="Arial Narrow" w:eastAsiaTheme="majorEastAsia" w:hAnsi="Arial Narrow" w:cstheme="majorBidi"/>
                <w:bCs/>
                <w:sz w:val="20"/>
              </w:rPr>
              <w:t xml:space="preserve"> </w:t>
            </w:r>
          </w:p>
          <w:p w14:paraId="435A4A06" w14:textId="2ACEEC28" w:rsidR="00CE7D6A" w:rsidRPr="007C57D3" w:rsidRDefault="00CE7D6A" w:rsidP="00E55FD2">
            <w:pPr>
              <w:keepNext/>
              <w:keepLines/>
              <w:ind w:left="116"/>
              <w:jc w:val="left"/>
              <w:rPr>
                <w:rFonts w:ascii="Arial Narrow" w:eastAsiaTheme="majorEastAsia" w:hAnsi="Arial Narrow" w:cstheme="majorBidi"/>
                <w:bCs/>
                <w:sz w:val="20"/>
              </w:rPr>
            </w:pPr>
            <w:r w:rsidRPr="007C57D3">
              <w:rPr>
                <w:rFonts w:ascii="Arial Narrow" w:eastAsiaTheme="majorEastAsia" w:hAnsi="Arial Narrow" w:cstheme="majorBidi"/>
                <w:bCs/>
                <w:sz w:val="20"/>
              </w:rPr>
              <w:t>With 95% compliance, this would be 9,95</w:t>
            </w:r>
            <w:r w:rsidR="00E5478A" w:rsidRPr="007C57D3">
              <w:rPr>
                <w:rFonts w:ascii="Arial Narrow" w:eastAsiaTheme="majorEastAsia" w:hAnsi="Arial Narrow" w:cstheme="majorBidi"/>
                <w:bCs/>
                <w:sz w:val="20"/>
              </w:rPr>
              <w:t>1</w:t>
            </w:r>
            <w:r w:rsidRPr="007C57D3">
              <w:rPr>
                <w:rFonts w:ascii="Arial Narrow" w:eastAsiaTheme="majorEastAsia" w:hAnsi="Arial Narrow" w:cstheme="majorBidi"/>
                <w:bCs/>
                <w:sz w:val="20"/>
              </w:rPr>
              <w:t xml:space="preserve"> mg per year (10,475 mg x 95%).</w:t>
            </w:r>
          </w:p>
        </w:tc>
      </w:tr>
      <w:tr w:rsidR="00A930A8" w:rsidRPr="00A930A8" w14:paraId="7FAF0733" w14:textId="77777777" w:rsidTr="004A29E1">
        <w:trPr>
          <w:trHeight w:val="43"/>
        </w:trPr>
        <w:tc>
          <w:tcPr>
            <w:tcW w:w="5000" w:type="pct"/>
            <w:gridSpan w:val="3"/>
            <w:vAlign w:val="center"/>
          </w:tcPr>
          <w:p w14:paraId="534E58BC" w14:textId="77777777" w:rsidR="00A930A8" w:rsidRPr="00A930A8" w:rsidRDefault="00A930A8" w:rsidP="00E55FD2">
            <w:pPr>
              <w:keepNext/>
              <w:keepLines/>
              <w:jc w:val="left"/>
              <w:rPr>
                <w:rFonts w:ascii="Arial Narrow" w:eastAsiaTheme="majorEastAsia" w:hAnsi="Arial Narrow" w:cstheme="majorBidi"/>
                <w:b/>
                <w:sz w:val="20"/>
              </w:rPr>
            </w:pPr>
            <w:r w:rsidRPr="00A930A8">
              <w:rPr>
                <w:rFonts w:ascii="Arial Narrow" w:eastAsiaTheme="majorEastAsia" w:hAnsi="Arial Narrow" w:cstheme="majorBidi"/>
                <w:b/>
                <w:sz w:val="20"/>
              </w:rPr>
              <w:t>IVIg costing scenarios</w:t>
            </w:r>
          </w:p>
        </w:tc>
      </w:tr>
      <w:tr w:rsidR="00A930A8" w:rsidRPr="00A930A8" w14:paraId="7E6591CF" w14:textId="77777777" w:rsidTr="004A29E1">
        <w:trPr>
          <w:trHeight w:val="43"/>
        </w:trPr>
        <w:tc>
          <w:tcPr>
            <w:tcW w:w="626" w:type="pct"/>
            <w:vAlign w:val="center"/>
          </w:tcPr>
          <w:p w14:paraId="2E5B2AED" w14:textId="72A82ADD" w:rsidR="00A930A8" w:rsidRPr="00A930A8" w:rsidRDefault="00A930A8" w:rsidP="00E55FD2">
            <w:pPr>
              <w:keepNext/>
              <w:keepLines/>
              <w:jc w:val="left"/>
              <w:rPr>
                <w:rFonts w:ascii="Arial Narrow" w:eastAsiaTheme="majorEastAsia" w:hAnsi="Arial Narrow" w:cstheme="majorBidi"/>
                <w:bCs/>
                <w:sz w:val="20"/>
              </w:rPr>
            </w:pPr>
            <w:r w:rsidRPr="00A930A8">
              <w:rPr>
                <w:rFonts w:ascii="Arial Narrow" w:eastAsiaTheme="majorEastAsia" w:hAnsi="Arial Narrow" w:cstheme="majorBidi"/>
                <w:bCs/>
                <w:sz w:val="20"/>
              </w:rPr>
              <w:t xml:space="preserve">ESC: IVIg </w:t>
            </w:r>
            <w:r w:rsidRPr="00A930A8">
              <w:rPr>
                <w:rFonts w:ascii="Arial Narrow" w:eastAsiaTheme="majorEastAsia" w:hAnsi="Arial Narrow" w:cstheme="majorBidi"/>
                <w:bCs/>
                <w:sz w:val="20"/>
              </w:rPr>
              <w:br/>
              <w:t xml:space="preserve">(average </w:t>
            </w:r>
            <w:r w:rsidR="00992147">
              <w:rPr>
                <w:rFonts w:ascii="Arial Narrow" w:eastAsiaTheme="majorEastAsia" w:hAnsi="Arial Narrow" w:cstheme="majorBidi"/>
                <w:bCs/>
                <w:sz w:val="20"/>
              </w:rPr>
              <w:t>IVIg dose per NBA data</w:t>
            </w:r>
            <w:r w:rsidRPr="00A930A8">
              <w:rPr>
                <w:rFonts w:ascii="Arial Narrow" w:eastAsiaTheme="majorEastAsia" w:hAnsi="Arial Narrow" w:cstheme="majorBidi"/>
                <w:bCs/>
                <w:sz w:val="20"/>
              </w:rPr>
              <w:t>)</w:t>
            </w:r>
          </w:p>
        </w:tc>
        <w:tc>
          <w:tcPr>
            <w:tcW w:w="472" w:type="pct"/>
            <w:vAlign w:val="center"/>
          </w:tcPr>
          <w:p w14:paraId="2838494C" w14:textId="112062E7" w:rsidR="00D652D0" w:rsidRPr="007C57D3" w:rsidRDefault="00D652D0" w:rsidP="00E55FD2">
            <w:pPr>
              <w:keepNext/>
              <w:keepLines/>
              <w:jc w:val="center"/>
              <w:rPr>
                <w:rFonts w:ascii="Arial Narrow" w:eastAsiaTheme="majorEastAsia" w:hAnsi="Arial Narrow" w:cstheme="majorBidi"/>
                <w:bCs/>
                <w:sz w:val="20"/>
              </w:rPr>
            </w:pPr>
            <w:r w:rsidRPr="007C57D3">
              <w:rPr>
                <w:rFonts w:ascii="Arial Narrow" w:eastAsiaTheme="majorEastAsia" w:hAnsi="Arial Narrow" w:cstheme="majorBidi"/>
                <w:bCs/>
                <w:sz w:val="20"/>
              </w:rPr>
              <w:t xml:space="preserve">541 g per </w:t>
            </w:r>
            <w:proofErr w:type="gramStart"/>
            <w:r w:rsidRPr="007C57D3">
              <w:rPr>
                <w:rFonts w:ascii="Arial Narrow" w:eastAsiaTheme="majorEastAsia" w:hAnsi="Arial Narrow" w:cstheme="majorBidi"/>
                <w:bCs/>
                <w:sz w:val="20"/>
              </w:rPr>
              <w:t>year;</w:t>
            </w:r>
            <w:proofErr w:type="gramEnd"/>
            <w:r w:rsidRPr="007C57D3">
              <w:rPr>
                <w:rFonts w:ascii="Arial Narrow" w:eastAsiaTheme="majorEastAsia" w:hAnsi="Arial Narrow" w:cstheme="majorBidi"/>
                <w:bCs/>
                <w:sz w:val="20"/>
              </w:rPr>
              <w:t xml:space="preserve"> </w:t>
            </w:r>
          </w:p>
          <w:p w14:paraId="7A8A9691" w14:textId="005F8492" w:rsidR="00A930A8" w:rsidRPr="007C57D3" w:rsidRDefault="00A930A8" w:rsidP="00E55FD2">
            <w:pPr>
              <w:keepNext/>
              <w:keepLines/>
              <w:jc w:val="center"/>
              <w:rPr>
                <w:rFonts w:ascii="Arial Narrow" w:eastAsiaTheme="majorEastAsia" w:hAnsi="Arial Narrow" w:cstheme="majorBidi"/>
                <w:bCs/>
                <w:sz w:val="20"/>
              </w:rPr>
            </w:pPr>
            <w:r w:rsidRPr="007C57D3">
              <w:rPr>
                <w:rFonts w:ascii="Arial Narrow" w:eastAsiaTheme="majorEastAsia" w:hAnsi="Arial Narrow" w:cstheme="majorBidi"/>
                <w:bCs/>
                <w:sz w:val="20"/>
              </w:rPr>
              <w:t>$</w:t>
            </w:r>
            <w:r w:rsidR="0011411E" w:rsidRPr="0011411E">
              <w:rPr>
                <w:rFonts w:ascii="Arial Narrow" w:eastAsiaTheme="majorEastAsia" w:hAnsi="Arial Narrow" w:cstheme="majorBidi"/>
                <w:bCs/>
                <w:color w:val="000000"/>
                <w:spacing w:val="53"/>
                <w:sz w:val="20"/>
                <w:shd w:val="solid" w:color="000000" w:fill="000000"/>
                <w:fitText w:val="330" w:id="-656192250"/>
                <w14:textFill>
                  <w14:solidFill>
                    <w14:srgbClr w14:val="000000">
                      <w14:alpha w14:val="100000"/>
                    </w14:srgbClr>
                  </w14:solidFill>
                </w14:textFill>
              </w:rPr>
              <w:t>|||</w:t>
            </w:r>
            <w:r w:rsidR="0011411E" w:rsidRPr="0011411E">
              <w:rPr>
                <w:rFonts w:ascii="Arial Narrow" w:eastAsiaTheme="majorEastAsia" w:hAnsi="Arial Narrow" w:cstheme="majorBidi"/>
                <w:bCs/>
                <w:color w:val="000000"/>
                <w:spacing w:val="1"/>
                <w:sz w:val="20"/>
                <w:shd w:val="solid" w:color="000000" w:fill="000000"/>
                <w:fitText w:val="330" w:id="-656192250"/>
                <w14:textFill>
                  <w14:solidFill>
                    <w14:srgbClr w14:val="000000">
                      <w14:alpha w14:val="100000"/>
                    </w14:srgbClr>
                  </w14:solidFill>
                </w14:textFill>
              </w:rPr>
              <w:t>|</w:t>
            </w:r>
            <w:r w:rsidR="00D652D0" w:rsidRPr="007C57D3">
              <w:rPr>
                <w:rFonts w:ascii="Arial Narrow" w:eastAsiaTheme="majorEastAsia" w:hAnsi="Arial Narrow" w:cstheme="majorBidi"/>
                <w:bCs/>
                <w:sz w:val="20"/>
              </w:rPr>
              <w:t xml:space="preserve"> per year</w:t>
            </w:r>
          </w:p>
        </w:tc>
        <w:tc>
          <w:tcPr>
            <w:tcW w:w="3902" w:type="pct"/>
            <w:vAlign w:val="center"/>
          </w:tcPr>
          <w:p w14:paraId="31BF3C07" w14:textId="40963537" w:rsidR="00A930A8" w:rsidRPr="007C57D3" w:rsidRDefault="00A930A8" w:rsidP="00E55FD2">
            <w:pPr>
              <w:keepNext/>
              <w:keepLines/>
              <w:jc w:val="left"/>
              <w:rPr>
                <w:rFonts w:ascii="Arial Narrow" w:eastAsiaTheme="majorEastAsia" w:hAnsi="Arial Narrow" w:cstheme="majorBidi"/>
                <w:bCs/>
                <w:sz w:val="20"/>
              </w:rPr>
            </w:pPr>
            <w:r w:rsidRPr="007C57D3">
              <w:rPr>
                <w:rFonts w:ascii="Arial Narrow" w:eastAsiaTheme="majorEastAsia" w:hAnsi="Arial Narrow" w:cstheme="majorBidi"/>
                <w:bCs/>
                <w:sz w:val="20"/>
              </w:rPr>
              <w:t>Based on an estimated cost of $</w:t>
            </w:r>
            <w:r w:rsidR="0011411E" w:rsidRPr="0011411E">
              <w:rPr>
                <w:rFonts w:ascii="Arial Narrow" w:eastAsiaTheme="majorEastAsia" w:hAnsi="Arial Narrow" w:cstheme="majorBidi"/>
                <w:bCs/>
                <w:color w:val="000000"/>
                <w:spacing w:val="53"/>
                <w:sz w:val="20"/>
                <w:shd w:val="solid" w:color="000000" w:fill="000000"/>
                <w:fitText w:val="330" w:id="-656192249"/>
                <w14:textFill>
                  <w14:solidFill>
                    <w14:srgbClr w14:val="000000">
                      <w14:alpha w14:val="100000"/>
                    </w14:srgbClr>
                  </w14:solidFill>
                </w14:textFill>
              </w:rPr>
              <w:t>|||</w:t>
            </w:r>
            <w:r w:rsidR="0011411E" w:rsidRPr="0011411E">
              <w:rPr>
                <w:rFonts w:ascii="Arial Narrow" w:eastAsiaTheme="majorEastAsia" w:hAnsi="Arial Narrow" w:cstheme="majorBidi"/>
                <w:bCs/>
                <w:color w:val="000000"/>
                <w:spacing w:val="1"/>
                <w:sz w:val="20"/>
                <w:shd w:val="solid" w:color="000000" w:fill="000000"/>
                <w:fitText w:val="330" w:id="-656192249"/>
                <w14:textFill>
                  <w14:solidFill>
                    <w14:srgbClr w14:val="000000">
                      <w14:alpha w14:val="100000"/>
                    </w14:srgbClr>
                  </w14:solidFill>
                </w14:textFill>
              </w:rPr>
              <w:t>|</w:t>
            </w:r>
            <w:r w:rsidRPr="007C57D3">
              <w:rPr>
                <w:rFonts w:ascii="Arial Narrow" w:eastAsiaTheme="majorEastAsia" w:hAnsi="Arial Narrow" w:cstheme="majorBidi"/>
                <w:bCs/>
                <w:sz w:val="20"/>
              </w:rPr>
              <w:t xml:space="preserve"> per gram for IVIg and average dose of 541 grams per patient per year based on data received from the NBA for 2023-24 (refer to Section 7).</w:t>
            </w:r>
            <w:r w:rsidR="00C56889" w:rsidRPr="007C57D3">
              <w:rPr>
                <w:rFonts w:ascii="Arial Narrow" w:eastAsiaTheme="majorEastAsia" w:hAnsi="Arial Narrow" w:cstheme="majorBidi"/>
                <w:bCs/>
                <w:sz w:val="20"/>
                <w:vertAlign w:val="superscript"/>
              </w:rPr>
              <w:t>a</w:t>
            </w:r>
            <w:r w:rsidRPr="007C57D3">
              <w:rPr>
                <w:rFonts w:ascii="Arial Narrow" w:eastAsiaTheme="majorEastAsia" w:hAnsi="Arial Narrow" w:cstheme="majorBidi"/>
                <w:bCs/>
                <w:sz w:val="20"/>
              </w:rPr>
              <w:t xml:space="preserve"> </w:t>
            </w:r>
          </w:p>
          <w:p w14:paraId="106E9C0E" w14:textId="77777777" w:rsidR="00A930A8" w:rsidRPr="007C57D3" w:rsidRDefault="00A930A8" w:rsidP="00E55FD2">
            <w:pPr>
              <w:keepNext/>
              <w:keepLines/>
              <w:jc w:val="left"/>
              <w:rPr>
                <w:rFonts w:ascii="Arial Narrow" w:eastAsiaTheme="majorEastAsia" w:hAnsi="Arial Narrow" w:cstheme="majorBidi"/>
                <w:bCs/>
                <w:sz w:val="20"/>
              </w:rPr>
            </w:pPr>
            <w:r w:rsidRPr="007C57D3">
              <w:rPr>
                <w:rFonts w:ascii="Arial Narrow" w:eastAsiaTheme="majorEastAsia" w:hAnsi="Arial Narrow" w:cstheme="majorBidi"/>
                <w:bCs/>
                <w:sz w:val="20"/>
              </w:rPr>
              <w:t>This excludes patients who commenced in 2023-24, as this may represent a part year of treatment for some patients, and may include non-responders.</w:t>
            </w:r>
          </w:p>
        </w:tc>
      </w:tr>
      <w:tr w:rsidR="00A930A8" w:rsidRPr="00A930A8" w14:paraId="26AF99A7" w14:textId="77777777" w:rsidTr="004A29E1">
        <w:trPr>
          <w:trHeight w:val="43"/>
        </w:trPr>
        <w:tc>
          <w:tcPr>
            <w:tcW w:w="626" w:type="pct"/>
            <w:vAlign w:val="center"/>
          </w:tcPr>
          <w:p w14:paraId="1997B267" w14:textId="00AF1963" w:rsidR="00A930A8" w:rsidRPr="00A930A8" w:rsidRDefault="00A930A8" w:rsidP="00E55FD2">
            <w:pPr>
              <w:keepNext/>
              <w:keepLines/>
              <w:jc w:val="left"/>
              <w:rPr>
                <w:rFonts w:ascii="Arial Narrow" w:eastAsiaTheme="majorEastAsia" w:hAnsi="Arial Narrow" w:cstheme="majorBidi"/>
                <w:bCs/>
                <w:sz w:val="20"/>
              </w:rPr>
            </w:pPr>
            <w:r w:rsidRPr="00A930A8">
              <w:rPr>
                <w:rFonts w:ascii="Arial Narrow" w:eastAsiaTheme="majorEastAsia" w:hAnsi="Arial Narrow" w:cstheme="majorBidi"/>
                <w:bCs/>
                <w:sz w:val="20"/>
              </w:rPr>
              <w:t>pre-PBAC response: IVIg</w:t>
            </w:r>
            <w:r>
              <w:rPr>
                <w:rFonts w:ascii="Arial Narrow" w:eastAsiaTheme="majorEastAsia" w:hAnsi="Arial Narrow" w:cstheme="majorBidi"/>
                <w:bCs/>
                <w:sz w:val="20"/>
              </w:rPr>
              <w:t xml:space="preserve"> based on Bril 2024</w:t>
            </w:r>
            <w:r w:rsidRPr="00A930A8">
              <w:rPr>
                <w:rFonts w:ascii="Arial Narrow" w:eastAsiaTheme="majorEastAsia" w:hAnsi="Arial Narrow" w:cstheme="majorBidi"/>
                <w:bCs/>
                <w:sz w:val="20"/>
              </w:rPr>
              <w:t xml:space="preserve"> </w:t>
            </w:r>
          </w:p>
        </w:tc>
        <w:tc>
          <w:tcPr>
            <w:tcW w:w="472" w:type="pct"/>
            <w:vAlign w:val="center"/>
          </w:tcPr>
          <w:p w14:paraId="6BA3EB2A" w14:textId="06E99977" w:rsidR="00A930A8" w:rsidRPr="00354CF6" w:rsidRDefault="00D4093B" w:rsidP="00E55FD2">
            <w:pPr>
              <w:keepNext/>
              <w:keepLines/>
              <w:jc w:val="center"/>
              <w:rPr>
                <w:rFonts w:ascii="Arial Narrow" w:eastAsiaTheme="majorEastAsia" w:hAnsi="Arial Narrow" w:cstheme="majorBidi"/>
                <w:bCs/>
                <w:sz w:val="20"/>
              </w:rPr>
            </w:pPr>
            <w:r w:rsidRPr="00354CF6">
              <w:rPr>
                <w:rFonts w:ascii="Arial Narrow" w:eastAsiaTheme="majorEastAsia" w:hAnsi="Arial Narrow" w:cstheme="majorBidi"/>
                <w:bCs/>
                <w:sz w:val="20"/>
              </w:rPr>
              <w:t>617.86 g per year; $</w:t>
            </w:r>
            <w:r w:rsidR="00C04C06" w:rsidRPr="00C04C06">
              <w:rPr>
                <w:rFonts w:ascii="Arial Narrow" w:eastAsiaTheme="majorEastAsia" w:hAnsi="Arial Narrow" w:cstheme="majorBidi"/>
                <w:bCs/>
                <w:color w:val="000000"/>
                <w:spacing w:val="79"/>
                <w:sz w:val="20"/>
                <w:shd w:val="solid" w:color="000000" w:fill="000000"/>
                <w:fitText w:val="410" w:id="-655609344"/>
                <w14:textFill>
                  <w14:solidFill>
                    <w14:srgbClr w14:val="000000">
                      <w14:alpha w14:val="100000"/>
                    </w14:srgbClr>
                  </w14:solidFill>
                </w14:textFill>
              </w:rPr>
              <w:t>|||</w:t>
            </w:r>
            <w:r w:rsidR="00C04C06" w:rsidRPr="00C04C06">
              <w:rPr>
                <w:rFonts w:ascii="Arial Narrow" w:eastAsiaTheme="majorEastAsia" w:hAnsi="Arial Narrow" w:cstheme="majorBidi"/>
                <w:bCs/>
                <w:color w:val="000000"/>
                <w:spacing w:val="3"/>
                <w:sz w:val="20"/>
                <w:shd w:val="solid" w:color="000000" w:fill="000000"/>
                <w:fitText w:val="410" w:id="-655609344"/>
                <w14:textFill>
                  <w14:solidFill>
                    <w14:srgbClr w14:val="000000">
                      <w14:alpha w14:val="100000"/>
                    </w14:srgbClr>
                  </w14:solidFill>
                </w14:textFill>
              </w:rPr>
              <w:t>|</w:t>
            </w:r>
            <w:r w:rsidR="00C04C06">
              <w:rPr>
                <w:rFonts w:ascii="Arial Narrow" w:eastAsiaTheme="majorEastAsia" w:hAnsi="Arial Narrow" w:cstheme="majorBidi"/>
                <w:bCs/>
                <w:sz w:val="20"/>
              </w:rPr>
              <w:t xml:space="preserve"> </w:t>
            </w:r>
            <w:r w:rsidRPr="00354CF6">
              <w:rPr>
                <w:rFonts w:ascii="Arial Narrow" w:eastAsiaTheme="majorEastAsia" w:hAnsi="Arial Narrow" w:cstheme="majorBidi"/>
                <w:bCs/>
                <w:sz w:val="20"/>
              </w:rPr>
              <w:t>per year</w:t>
            </w:r>
          </w:p>
        </w:tc>
        <w:tc>
          <w:tcPr>
            <w:tcW w:w="3902" w:type="pct"/>
            <w:vAlign w:val="center"/>
          </w:tcPr>
          <w:p w14:paraId="18CFFD49" w14:textId="351D44C4" w:rsidR="00A930A8" w:rsidRPr="00354CF6" w:rsidRDefault="00D652D0" w:rsidP="00E55FD2">
            <w:pPr>
              <w:keepNext/>
              <w:keepLines/>
              <w:jc w:val="left"/>
              <w:rPr>
                <w:rFonts w:ascii="Arial Narrow" w:eastAsiaTheme="majorEastAsia" w:hAnsi="Arial Narrow" w:cstheme="majorBidi"/>
                <w:bCs/>
                <w:sz w:val="20"/>
              </w:rPr>
            </w:pPr>
            <w:r w:rsidRPr="00354CF6">
              <w:rPr>
                <w:rFonts w:ascii="Arial Narrow" w:eastAsiaTheme="majorEastAsia" w:hAnsi="Arial Narrow" w:cstheme="majorBidi"/>
                <w:bCs/>
                <w:sz w:val="20"/>
              </w:rPr>
              <w:t>The pre-PBAC response stated the ‘e</w:t>
            </w:r>
            <w:r w:rsidR="00A930A8" w:rsidRPr="00354CF6">
              <w:rPr>
                <w:rFonts w:ascii="Arial Narrow" w:eastAsiaTheme="majorEastAsia" w:hAnsi="Arial Narrow" w:cstheme="majorBidi"/>
                <w:bCs/>
                <w:sz w:val="20"/>
              </w:rPr>
              <w:t xml:space="preserve">qui-effective doses for </w:t>
            </w:r>
            <w:proofErr w:type="spellStart"/>
            <w:r w:rsidR="00A930A8" w:rsidRPr="00354CF6">
              <w:rPr>
                <w:rFonts w:ascii="Arial Narrow" w:eastAsiaTheme="majorEastAsia" w:hAnsi="Arial Narrow" w:cstheme="majorBidi"/>
                <w:bCs/>
                <w:sz w:val="20"/>
              </w:rPr>
              <w:t>zilucoplan</w:t>
            </w:r>
            <w:proofErr w:type="spellEnd"/>
            <w:r w:rsidR="00A930A8" w:rsidRPr="00354CF6">
              <w:rPr>
                <w:rFonts w:ascii="Arial Narrow" w:eastAsiaTheme="majorEastAsia" w:hAnsi="Arial Narrow" w:cstheme="majorBidi"/>
                <w:bCs/>
                <w:sz w:val="20"/>
              </w:rPr>
              <w:t xml:space="preserve"> versus IVIg should be established based on the dosing in NCT02473952</w:t>
            </w:r>
            <w:r w:rsidRPr="00354CF6">
              <w:rPr>
                <w:rFonts w:ascii="Arial Narrow" w:eastAsiaTheme="majorEastAsia" w:hAnsi="Arial Narrow" w:cstheme="majorBidi"/>
                <w:bCs/>
                <w:sz w:val="20"/>
              </w:rPr>
              <w:t xml:space="preserve"> (published as Bril 2024)</w:t>
            </w:r>
            <w:r w:rsidR="00A930A8" w:rsidRPr="00354CF6">
              <w:rPr>
                <w:rFonts w:ascii="Arial Narrow" w:eastAsiaTheme="majorEastAsia" w:hAnsi="Arial Narrow" w:cstheme="majorBidi"/>
                <w:bCs/>
                <w:sz w:val="20"/>
              </w:rPr>
              <w:t>. The data from this trial informed the indirect comparisons and the associated claims of non-inferior efficacy</w:t>
            </w:r>
            <w:r w:rsidR="00157E7D" w:rsidRPr="00354CF6">
              <w:rPr>
                <w:rFonts w:ascii="Arial Narrow" w:eastAsiaTheme="majorEastAsia" w:hAnsi="Arial Narrow" w:cstheme="majorBidi"/>
                <w:bCs/>
                <w:sz w:val="20"/>
              </w:rPr>
              <w:t>.</w:t>
            </w:r>
            <w:r w:rsidRPr="00354CF6">
              <w:rPr>
                <w:rFonts w:ascii="Arial Narrow" w:eastAsiaTheme="majorEastAsia" w:hAnsi="Arial Narrow" w:cstheme="majorBidi"/>
                <w:bCs/>
                <w:sz w:val="20"/>
              </w:rPr>
              <w:t xml:space="preserve">’ </w:t>
            </w:r>
          </w:p>
          <w:p w14:paraId="481691E8" w14:textId="77777777" w:rsidR="00D4093B" w:rsidRPr="00354CF6" w:rsidRDefault="00D4093B" w:rsidP="00E55FD2">
            <w:pPr>
              <w:keepNext/>
              <w:keepLines/>
              <w:jc w:val="left"/>
              <w:rPr>
                <w:rFonts w:ascii="Arial Narrow" w:eastAsiaTheme="majorEastAsia" w:hAnsi="Arial Narrow" w:cstheme="majorBidi"/>
                <w:bCs/>
                <w:sz w:val="20"/>
              </w:rPr>
            </w:pPr>
          </w:p>
          <w:p w14:paraId="0A818A9F" w14:textId="2216F918" w:rsidR="00A930A8" w:rsidRPr="00354CF6" w:rsidRDefault="00D652D0" w:rsidP="00E55FD2">
            <w:pPr>
              <w:keepNext/>
              <w:keepLines/>
              <w:jc w:val="left"/>
              <w:rPr>
                <w:rFonts w:ascii="Arial Narrow" w:eastAsiaTheme="majorEastAsia" w:hAnsi="Arial Narrow" w:cstheme="majorBidi"/>
                <w:bCs/>
                <w:sz w:val="20"/>
              </w:rPr>
            </w:pPr>
            <w:r w:rsidRPr="00354CF6">
              <w:rPr>
                <w:rFonts w:ascii="Arial Narrow" w:eastAsiaTheme="majorEastAsia" w:hAnsi="Arial Narrow" w:cstheme="majorBidi"/>
                <w:bCs/>
                <w:sz w:val="20"/>
              </w:rPr>
              <w:t xml:space="preserve">The dose used in Bril 2024 was a loading dose of 2g/kg over 2-4 days, and maintenance dose of 1g/kg every 3 weeks. This was higher than </w:t>
            </w:r>
            <w:r w:rsidR="00157E7D" w:rsidRPr="00354CF6">
              <w:rPr>
                <w:rFonts w:ascii="Arial Narrow" w:eastAsiaTheme="majorEastAsia" w:hAnsi="Arial Narrow" w:cstheme="majorBidi"/>
                <w:bCs/>
                <w:sz w:val="20"/>
              </w:rPr>
              <w:t xml:space="preserve">outlined </w:t>
            </w:r>
            <w:r w:rsidRPr="00354CF6">
              <w:rPr>
                <w:rFonts w:ascii="Arial Narrow" w:eastAsiaTheme="majorEastAsia" w:hAnsi="Arial Narrow" w:cstheme="majorBidi"/>
                <w:bCs/>
                <w:sz w:val="20"/>
              </w:rPr>
              <w:t xml:space="preserve">in the Product Information. </w:t>
            </w:r>
            <w:r w:rsidR="00C01E96" w:rsidRPr="00354CF6">
              <w:rPr>
                <w:rFonts w:ascii="Arial Narrow" w:eastAsiaTheme="majorEastAsia" w:hAnsi="Arial Narrow" w:cstheme="majorBidi"/>
                <w:bCs/>
                <w:sz w:val="20"/>
              </w:rPr>
              <w:t>The pre-PBAC response assumed patients would use 40% of the</w:t>
            </w:r>
            <w:r w:rsidR="006F0188" w:rsidRPr="00354CF6">
              <w:rPr>
                <w:rFonts w:ascii="Arial Narrow" w:eastAsiaTheme="majorEastAsia" w:hAnsi="Arial Narrow" w:cstheme="majorBidi"/>
                <w:bCs/>
                <w:sz w:val="20"/>
              </w:rPr>
              <w:t xml:space="preserve"> IVIg</w:t>
            </w:r>
            <w:r w:rsidR="00C01E96" w:rsidRPr="00354CF6">
              <w:rPr>
                <w:rFonts w:ascii="Arial Narrow" w:eastAsiaTheme="majorEastAsia" w:hAnsi="Arial Narrow" w:cstheme="majorBidi"/>
                <w:bCs/>
                <w:sz w:val="20"/>
              </w:rPr>
              <w:t xml:space="preserve"> dose outlined in Bril 2024. </w:t>
            </w:r>
            <w:r w:rsidRPr="00354CF6">
              <w:rPr>
                <w:rFonts w:ascii="Arial Narrow" w:eastAsiaTheme="majorEastAsia" w:hAnsi="Arial Narrow" w:cstheme="majorBidi"/>
                <w:bCs/>
                <w:sz w:val="20"/>
              </w:rPr>
              <w:t xml:space="preserve">The </w:t>
            </w:r>
            <w:r w:rsidR="00D4093B" w:rsidRPr="00354CF6">
              <w:rPr>
                <w:rFonts w:ascii="Arial Narrow" w:eastAsiaTheme="majorEastAsia" w:hAnsi="Arial Narrow" w:cstheme="majorBidi"/>
                <w:bCs/>
                <w:sz w:val="20"/>
              </w:rPr>
              <w:t xml:space="preserve">pre-PBAC response assumed an </w:t>
            </w:r>
            <w:r w:rsidRPr="00354CF6">
              <w:rPr>
                <w:rFonts w:ascii="Arial Narrow" w:eastAsiaTheme="majorEastAsia" w:hAnsi="Arial Narrow" w:cstheme="majorBidi"/>
                <w:bCs/>
                <w:sz w:val="20"/>
              </w:rPr>
              <w:t>average patient weight</w:t>
            </w:r>
            <w:r w:rsidR="00D4093B" w:rsidRPr="00354CF6">
              <w:rPr>
                <w:rFonts w:ascii="Arial Narrow" w:eastAsiaTheme="majorEastAsia" w:hAnsi="Arial Narrow" w:cstheme="majorBidi"/>
                <w:bCs/>
                <w:sz w:val="20"/>
              </w:rPr>
              <w:t xml:space="preserve"> of 80.2 </w:t>
            </w:r>
            <w:proofErr w:type="gramStart"/>
            <w:r w:rsidR="00D4093B" w:rsidRPr="00354CF6">
              <w:rPr>
                <w:rFonts w:ascii="Arial Narrow" w:eastAsiaTheme="majorEastAsia" w:hAnsi="Arial Narrow" w:cstheme="majorBidi"/>
                <w:bCs/>
                <w:sz w:val="20"/>
              </w:rPr>
              <w:t>kg</w:t>
            </w:r>
            <w:r w:rsidR="00C01E96" w:rsidRPr="00354CF6">
              <w:rPr>
                <w:rFonts w:ascii="Arial Narrow" w:eastAsiaTheme="majorEastAsia" w:hAnsi="Arial Narrow" w:cstheme="majorBidi"/>
                <w:bCs/>
                <w:sz w:val="20"/>
              </w:rPr>
              <w:t>, and</w:t>
            </w:r>
            <w:proofErr w:type="gramEnd"/>
            <w:r w:rsidR="00C01E96" w:rsidRPr="00354CF6">
              <w:rPr>
                <w:rFonts w:ascii="Arial Narrow" w:eastAsiaTheme="majorEastAsia" w:hAnsi="Arial Narrow" w:cstheme="majorBidi"/>
                <w:bCs/>
                <w:sz w:val="20"/>
              </w:rPr>
              <w:t xml:space="preserve"> assumed that patients would receive 19.26 infusions per year. The cost is based</w:t>
            </w:r>
            <w:r w:rsidR="00A930A8" w:rsidRPr="00354CF6">
              <w:rPr>
                <w:rFonts w:ascii="Arial Narrow" w:eastAsiaTheme="majorEastAsia" w:hAnsi="Arial Narrow" w:cstheme="majorBidi"/>
                <w:bCs/>
                <w:sz w:val="20"/>
              </w:rPr>
              <w:t xml:space="preserve"> on </w:t>
            </w:r>
            <w:r w:rsidR="00C01E96" w:rsidRPr="00354CF6">
              <w:rPr>
                <w:rFonts w:ascii="Arial Narrow" w:eastAsiaTheme="majorEastAsia" w:hAnsi="Arial Narrow" w:cstheme="majorBidi"/>
                <w:bCs/>
                <w:sz w:val="20"/>
              </w:rPr>
              <w:t xml:space="preserve">an </w:t>
            </w:r>
            <w:r w:rsidR="00A930A8" w:rsidRPr="00354CF6">
              <w:rPr>
                <w:rFonts w:ascii="Arial Narrow" w:eastAsiaTheme="majorEastAsia" w:hAnsi="Arial Narrow" w:cstheme="majorBidi"/>
                <w:bCs/>
                <w:sz w:val="20"/>
              </w:rPr>
              <w:t>IVIg cost of $</w:t>
            </w:r>
            <w:r w:rsidR="0011411E" w:rsidRPr="009C6D32">
              <w:rPr>
                <w:rFonts w:ascii="Arial Narrow" w:eastAsiaTheme="majorEastAsia" w:hAnsi="Arial Narrow" w:cstheme="majorBidi"/>
                <w:bCs/>
                <w:color w:val="000000"/>
                <w:spacing w:val="53"/>
                <w:sz w:val="20"/>
                <w:shd w:val="solid" w:color="000000" w:fill="000000"/>
                <w:fitText w:val="330" w:id="-656192248"/>
                <w14:textFill>
                  <w14:solidFill>
                    <w14:srgbClr w14:val="000000">
                      <w14:alpha w14:val="100000"/>
                    </w14:srgbClr>
                  </w14:solidFill>
                </w14:textFill>
              </w:rPr>
              <w:t>|||</w:t>
            </w:r>
            <w:r w:rsidR="0011411E" w:rsidRPr="009C6D32">
              <w:rPr>
                <w:rFonts w:ascii="Arial Narrow" w:eastAsiaTheme="majorEastAsia" w:hAnsi="Arial Narrow" w:cstheme="majorBidi"/>
                <w:bCs/>
                <w:color w:val="000000"/>
                <w:spacing w:val="1"/>
                <w:sz w:val="20"/>
                <w:shd w:val="solid" w:color="000000" w:fill="000000"/>
                <w:fitText w:val="330" w:id="-656192248"/>
                <w14:textFill>
                  <w14:solidFill>
                    <w14:srgbClr w14:val="000000">
                      <w14:alpha w14:val="100000"/>
                    </w14:srgbClr>
                  </w14:solidFill>
                </w14:textFill>
              </w:rPr>
              <w:t>|</w:t>
            </w:r>
            <w:r w:rsidR="00A930A8" w:rsidRPr="00354CF6">
              <w:rPr>
                <w:rFonts w:ascii="Arial Narrow" w:eastAsiaTheme="majorEastAsia" w:hAnsi="Arial Narrow" w:cstheme="majorBidi"/>
                <w:bCs/>
                <w:sz w:val="20"/>
              </w:rPr>
              <w:t xml:space="preserve"> per gram</w:t>
            </w:r>
            <w:r w:rsidRPr="00354CF6">
              <w:rPr>
                <w:rFonts w:ascii="Arial Narrow" w:eastAsiaTheme="majorEastAsia" w:hAnsi="Arial Narrow" w:cstheme="majorBidi"/>
                <w:bCs/>
                <w:sz w:val="20"/>
              </w:rPr>
              <w:t>.</w:t>
            </w:r>
          </w:p>
        </w:tc>
      </w:tr>
      <w:tr w:rsidR="00992147" w:rsidRPr="00A930A8" w14:paraId="195B1616" w14:textId="77777777" w:rsidTr="00992147">
        <w:trPr>
          <w:trHeight w:val="43"/>
        </w:trPr>
        <w:tc>
          <w:tcPr>
            <w:tcW w:w="5000" w:type="pct"/>
            <w:gridSpan w:val="3"/>
            <w:vAlign w:val="center"/>
          </w:tcPr>
          <w:p w14:paraId="5DF84AD1" w14:textId="0B263675" w:rsidR="00992147" w:rsidRDefault="00992147" w:rsidP="00E55FD2">
            <w:pPr>
              <w:pStyle w:val="TableText"/>
              <w:widowControl/>
              <w:rPr>
                <w:bCs w:val="0"/>
              </w:rPr>
            </w:pPr>
            <w:r>
              <w:rPr>
                <w:b/>
                <w:bCs w:val="0"/>
              </w:rPr>
              <w:t>IVIg costing scenarios: sensitivity analyses</w:t>
            </w:r>
          </w:p>
        </w:tc>
      </w:tr>
      <w:tr w:rsidR="00992147" w:rsidRPr="00A930A8" w14:paraId="4B107D0D" w14:textId="77777777" w:rsidTr="004A29E1">
        <w:trPr>
          <w:trHeight w:val="43"/>
        </w:trPr>
        <w:tc>
          <w:tcPr>
            <w:tcW w:w="626" w:type="pct"/>
            <w:vAlign w:val="center"/>
          </w:tcPr>
          <w:p w14:paraId="4216B18E" w14:textId="3B19E150" w:rsidR="00992147" w:rsidRPr="00A930A8" w:rsidRDefault="00992147" w:rsidP="00E55FD2">
            <w:pPr>
              <w:keepNext/>
              <w:keepLines/>
              <w:jc w:val="left"/>
              <w:rPr>
                <w:rFonts w:ascii="Arial Narrow" w:eastAsiaTheme="majorEastAsia" w:hAnsi="Arial Narrow" w:cstheme="majorBidi"/>
                <w:bCs/>
                <w:sz w:val="20"/>
              </w:rPr>
            </w:pPr>
            <w:r w:rsidRPr="00992147">
              <w:rPr>
                <w:rFonts w:ascii="Arial Narrow" w:eastAsiaTheme="majorEastAsia" w:hAnsi="Arial Narrow" w:cstheme="majorBidi"/>
                <w:bCs/>
                <w:sz w:val="20"/>
              </w:rPr>
              <w:t xml:space="preserve">Average IVIg dose per NBA data plus IVIg price based on MSAC review </w:t>
            </w:r>
          </w:p>
        </w:tc>
        <w:tc>
          <w:tcPr>
            <w:tcW w:w="472" w:type="pct"/>
            <w:vAlign w:val="center"/>
          </w:tcPr>
          <w:p w14:paraId="7BA67C82" w14:textId="6AE59699" w:rsidR="00992147" w:rsidRPr="00354CF6" w:rsidRDefault="00992147" w:rsidP="00E55FD2">
            <w:pPr>
              <w:keepNext/>
              <w:keepLines/>
              <w:jc w:val="center"/>
              <w:rPr>
                <w:rFonts w:ascii="Arial Narrow" w:eastAsiaTheme="majorEastAsia" w:hAnsi="Arial Narrow" w:cstheme="majorBidi"/>
                <w:bCs/>
                <w:sz w:val="20"/>
              </w:rPr>
            </w:pPr>
            <w:r w:rsidRPr="00354CF6">
              <w:rPr>
                <w:rFonts w:ascii="Arial Narrow" w:eastAsiaTheme="majorEastAsia" w:hAnsi="Arial Narrow" w:cstheme="majorBidi"/>
                <w:bCs/>
                <w:sz w:val="20"/>
              </w:rPr>
              <w:t>$32,688</w:t>
            </w:r>
          </w:p>
        </w:tc>
        <w:tc>
          <w:tcPr>
            <w:tcW w:w="3902" w:type="pct"/>
            <w:vAlign w:val="center"/>
          </w:tcPr>
          <w:p w14:paraId="04CF51F0" w14:textId="77777777" w:rsidR="00992147" w:rsidRPr="00354CF6" w:rsidRDefault="00992147" w:rsidP="00E55FD2">
            <w:pPr>
              <w:pStyle w:val="TableText"/>
              <w:keepNext w:val="0"/>
              <w:widowControl/>
              <w:rPr>
                <w:iCs w:val="0"/>
              </w:rPr>
            </w:pPr>
            <w:r w:rsidRPr="00354CF6">
              <w:rPr>
                <w:iCs w:val="0"/>
              </w:rPr>
              <w:t xml:space="preserve">The MSAC review of ‘Immunoglobulin therapy for Myasthenia Gravis’ from April 2020 </w:t>
            </w:r>
            <w:r w:rsidRPr="00354CF6">
              <w:rPr>
                <w:iCs w:val="0"/>
                <w:vertAlign w:val="superscript"/>
              </w:rPr>
              <w:t>b</w:t>
            </w:r>
            <w:r w:rsidRPr="00354CF6">
              <w:rPr>
                <w:iCs w:val="0"/>
              </w:rPr>
              <w:t xml:space="preserve"> used a price of $60.41 per gram in the base case based on NBA data from 2017-18 i.e. this was the cost at which the cost-effectiveness of IVIg was assessed. </w:t>
            </w:r>
          </w:p>
          <w:p w14:paraId="3D0384F5" w14:textId="71FCA26A" w:rsidR="00992147" w:rsidRPr="00354CF6" w:rsidRDefault="00992147" w:rsidP="00E55FD2">
            <w:pPr>
              <w:keepNext/>
              <w:keepLines/>
              <w:jc w:val="left"/>
              <w:rPr>
                <w:rFonts w:ascii="Arial Narrow" w:eastAsiaTheme="majorEastAsia" w:hAnsi="Arial Narrow" w:cstheme="majorBidi"/>
                <w:bCs/>
                <w:sz w:val="20"/>
              </w:rPr>
            </w:pPr>
            <w:r w:rsidRPr="00354CF6">
              <w:rPr>
                <w:rFonts w:ascii="Arial Narrow" w:eastAsiaTheme="majorEastAsia" w:hAnsi="Arial Narrow" w:cstheme="majorBidi"/>
                <w:bCs/>
                <w:sz w:val="20"/>
              </w:rPr>
              <w:t>Average IVIg dose of 541 grams per patient per year based on data received from the NBA for 2023-24</w:t>
            </w:r>
            <w:r w:rsidR="008B77E6" w:rsidRPr="00354CF6">
              <w:rPr>
                <w:rFonts w:ascii="Arial Narrow" w:eastAsiaTheme="majorEastAsia" w:hAnsi="Arial Narrow" w:cstheme="majorBidi"/>
                <w:bCs/>
                <w:sz w:val="20"/>
              </w:rPr>
              <w:t>.</w:t>
            </w:r>
          </w:p>
        </w:tc>
      </w:tr>
      <w:tr w:rsidR="00992147" w:rsidRPr="00A930A8" w14:paraId="08985F61" w14:textId="77777777" w:rsidTr="004A29E1">
        <w:trPr>
          <w:trHeight w:val="43"/>
        </w:trPr>
        <w:tc>
          <w:tcPr>
            <w:tcW w:w="626" w:type="pct"/>
            <w:vAlign w:val="center"/>
          </w:tcPr>
          <w:p w14:paraId="41C37A57" w14:textId="259B705F" w:rsidR="00992147" w:rsidRPr="00A930A8" w:rsidRDefault="00220C40" w:rsidP="00E55FD2">
            <w:pPr>
              <w:keepNext/>
              <w:keepLines/>
              <w:jc w:val="left"/>
              <w:rPr>
                <w:rFonts w:ascii="Arial Narrow" w:eastAsiaTheme="majorEastAsia" w:hAnsi="Arial Narrow" w:cstheme="majorBidi"/>
                <w:bCs/>
                <w:sz w:val="20"/>
              </w:rPr>
            </w:pPr>
            <w:r w:rsidRPr="00220C40">
              <w:rPr>
                <w:rFonts w:ascii="Arial Narrow" w:eastAsiaTheme="majorEastAsia" w:hAnsi="Arial Narrow" w:cstheme="majorBidi"/>
                <w:bCs/>
                <w:sz w:val="20"/>
              </w:rPr>
              <w:t xml:space="preserve">Maximum dose recommended in IVIg Product Info </w:t>
            </w:r>
            <w:r w:rsidR="00992147" w:rsidRPr="00992147">
              <w:rPr>
                <w:rFonts w:ascii="Arial Narrow" w:eastAsiaTheme="majorEastAsia" w:hAnsi="Arial Narrow" w:cstheme="majorBidi"/>
                <w:bCs/>
                <w:sz w:val="20"/>
              </w:rPr>
              <w:t>plus IVIg price based on MSAC review</w:t>
            </w:r>
          </w:p>
        </w:tc>
        <w:tc>
          <w:tcPr>
            <w:tcW w:w="472" w:type="pct"/>
            <w:vAlign w:val="center"/>
          </w:tcPr>
          <w:p w14:paraId="03394329" w14:textId="27CF1C5B" w:rsidR="00992147" w:rsidRPr="00354CF6" w:rsidRDefault="00992147" w:rsidP="00E55FD2">
            <w:pPr>
              <w:keepNext/>
              <w:keepLines/>
              <w:jc w:val="center"/>
              <w:rPr>
                <w:rFonts w:ascii="Arial Narrow" w:eastAsiaTheme="majorEastAsia" w:hAnsi="Arial Narrow" w:cstheme="majorBidi"/>
                <w:bCs/>
                <w:sz w:val="20"/>
              </w:rPr>
            </w:pPr>
            <w:r w:rsidRPr="00354CF6">
              <w:rPr>
                <w:rFonts w:ascii="Arial Narrow" w:eastAsiaTheme="majorEastAsia" w:hAnsi="Arial Narrow" w:cstheme="majorBidi"/>
                <w:bCs/>
                <w:sz w:val="20"/>
              </w:rPr>
              <w:t>$70,788</w:t>
            </w:r>
          </w:p>
        </w:tc>
        <w:tc>
          <w:tcPr>
            <w:tcW w:w="3902" w:type="pct"/>
            <w:vAlign w:val="center"/>
          </w:tcPr>
          <w:p w14:paraId="46D2306B" w14:textId="51FB8145" w:rsidR="00992147" w:rsidRPr="00354CF6" w:rsidRDefault="00992147" w:rsidP="00E55FD2">
            <w:pPr>
              <w:keepNext/>
              <w:keepLines/>
              <w:jc w:val="left"/>
              <w:rPr>
                <w:rFonts w:ascii="Arial Narrow" w:eastAsiaTheme="majorEastAsia" w:hAnsi="Arial Narrow" w:cstheme="majorBidi"/>
                <w:bCs/>
                <w:sz w:val="20"/>
              </w:rPr>
            </w:pPr>
            <w:r w:rsidRPr="00354CF6">
              <w:rPr>
                <w:rFonts w:ascii="Arial Narrow" w:eastAsiaTheme="majorEastAsia" w:hAnsi="Arial Narrow" w:cstheme="majorBidi"/>
                <w:bCs/>
                <w:sz w:val="20"/>
              </w:rPr>
              <w:t>As above for the price of IVIg. IVIg dose based on a loading dose of 2 g/kg; maintenance dose of 1 g/kg Q4W for a total of 1,172 g per year</w:t>
            </w:r>
            <w:r w:rsidR="008B77E6" w:rsidRPr="00354CF6">
              <w:rPr>
                <w:rFonts w:ascii="Arial Narrow" w:eastAsiaTheme="majorEastAsia" w:hAnsi="Arial Narrow" w:cstheme="majorBidi"/>
                <w:bCs/>
                <w:sz w:val="20"/>
              </w:rPr>
              <w:t>.</w:t>
            </w:r>
          </w:p>
        </w:tc>
      </w:tr>
    </w:tbl>
    <w:p w14:paraId="39A675BC" w14:textId="45AF650F" w:rsidR="00A930A8" w:rsidRPr="00A930A8" w:rsidRDefault="00A930A8" w:rsidP="00E55FD2">
      <w:pPr>
        <w:spacing w:after="120"/>
        <w:contextualSpacing/>
        <w:rPr>
          <w:rFonts w:ascii="Arial Narrow" w:hAnsi="Arial Narrow"/>
          <w:snapToGrid w:val="0"/>
          <w:sz w:val="18"/>
          <w:szCs w:val="22"/>
        </w:rPr>
      </w:pPr>
      <w:r w:rsidRPr="00A930A8">
        <w:rPr>
          <w:rFonts w:ascii="Arial Narrow" w:hAnsi="Arial Narrow"/>
          <w:snapToGrid w:val="0"/>
          <w:sz w:val="18"/>
          <w:szCs w:val="22"/>
        </w:rPr>
        <w:t xml:space="preserve">Source: </w:t>
      </w:r>
      <w:r w:rsidR="00D4093B">
        <w:rPr>
          <w:rFonts w:ascii="Arial Narrow" w:hAnsi="Arial Narrow"/>
          <w:snapToGrid w:val="0"/>
          <w:sz w:val="18"/>
          <w:szCs w:val="22"/>
        </w:rPr>
        <w:t xml:space="preserve">Compiled during preparation of the PBAC </w:t>
      </w:r>
      <w:r w:rsidR="008F0152">
        <w:rPr>
          <w:rFonts w:ascii="Arial Narrow" w:hAnsi="Arial Narrow"/>
          <w:snapToGrid w:val="0"/>
          <w:sz w:val="18"/>
          <w:szCs w:val="22"/>
        </w:rPr>
        <w:t>PSD</w:t>
      </w:r>
    </w:p>
    <w:p w14:paraId="41FF6D83" w14:textId="77777777" w:rsidR="00A930A8" w:rsidRDefault="00A930A8" w:rsidP="00E55FD2">
      <w:pPr>
        <w:spacing w:after="240"/>
        <w:contextualSpacing/>
        <w:rPr>
          <w:rFonts w:ascii="Arial Narrow" w:hAnsi="Arial Narrow"/>
          <w:snapToGrid w:val="0"/>
          <w:sz w:val="18"/>
          <w:szCs w:val="22"/>
        </w:rPr>
      </w:pPr>
      <w:r w:rsidRPr="00A930A8">
        <w:rPr>
          <w:rFonts w:ascii="Arial Narrow" w:hAnsi="Arial Narrow"/>
          <w:snapToGrid w:val="0"/>
          <w:sz w:val="18"/>
          <w:szCs w:val="22"/>
        </w:rPr>
        <w:t>Abbreviations: IVIg, intravenous immunoglobulin; NBA, National Blood Authority</w:t>
      </w:r>
    </w:p>
    <w:p w14:paraId="395A6479" w14:textId="206294CC" w:rsidR="00C56889" w:rsidRDefault="00C56889" w:rsidP="00E55FD2">
      <w:pPr>
        <w:spacing w:after="240"/>
        <w:contextualSpacing/>
        <w:rPr>
          <w:rFonts w:ascii="Arial Narrow" w:hAnsi="Arial Narrow"/>
          <w:snapToGrid w:val="0"/>
          <w:sz w:val="18"/>
          <w:szCs w:val="22"/>
        </w:rPr>
      </w:pPr>
      <w:bookmarkStart w:id="76" w:name="_Hlk194587355"/>
      <w:proofErr w:type="spellStart"/>
      <w:proofErr w:type="gramStart"/>
      <w:r>
        <w:rPr>
          <w:rFonts w:ascii="Arial Narrow" w:hAnsi="Arial Narrow"/>
          <w:snapToGrid w:val="0"/>
          <w:sz w:val="18"/>
          <w:szCs w:val="22"/>
          <w:vertAlign w:val="superscript"/>
        </w:rPr>
        <w:t>a</w:t>
      </w:r>
      <w:proofErr w:type="spellEnd"/>
      <w:proofErr w:type="gramEnd"/>
      <w:r>
        <w:rPr>
          <w:rFonts w:ascii="Arial Narrow" w:hAnsi="Arial Narrow"/>
          <w:snapToGrid w:val="0"/>
          <w:sz w:val="18"/>
          <w:szCs w:val="22"/>
        </w:rPr>
        <w:t xml:space="preserve"> Actual IVIg dose used in the calculations was 541.0625 g</w:t>
      </w:r>
    </w:p>
    <w:p w14:paraId="6E1665A0" w14:textId="658D9D79" w:rsidR="009B60B9" w:rsidRPr="005C5895" w:rsidRDefault="009B60B9" w:rsidP="00E55FD2">
      <w:pPr>
        <w:spacing w:after="120"/>
        <w:rPr>
          <w:rFonts w:ascii="Arial Narrow" w:hAnsi="Arial Narrow"/>
          <w:snapToGrid w:val="0"/>
          <w:sz w:val="18"/>
          <w:szCs w:val="22"/>
        </w:rPr>
      </w:pPr>
      <w:r w:rsidRPr="009B60B9">
        <w:rPr>
          <w:rFonts w:ascii="Arial Narrow" w:hAnsi="Arial Narrow"/>
          <w:snapToGrid w:val="0"/>
          <w:sz w:val="18"/>
          <w:szCs w:val="22"/>
          <w:vertAlign w:val="superscript"/>
        </w:rPr>
        <w:t xml:space="preserve">b </w:t>
      </w:r>
      <w:r>
        <w:rPr>
          <w:rFonts w:ascii="Arial Narrow" w:hAnsi="Arial Narrow"/>
          <w:snapToGrid w:val="0"/>
          <w:sz w:val="18"/>
          <w:szCs w:val="22"/>
        </w:rPr>
        <w:t>Based on MSAC P</w:t>
      </w:r>
      <w:r w:rsidRPr="005C5895">
        <w:rPr>
          <w:rFonts w:ascii="Arial Narrow" w:hAnsi="Arial Narrow"/>
          <w:snapToGrid w:val="0"/>
          <w:sz w:val="18"/>
          <w:szCs w:val="22"/>
        </w:rPr>
        <w:t>ublic Summary Document</w:t>
      </w:r>
      <w:r>
        <w:rPr>
          <w:rFonts w:ascii="Arial Narrow" w:hAnsi="Arial Narrow"/>
          <w:snapToGrid w:val="0"/>
          <w:sz w:val="18"/>
          <w:szCs w:val="22"/>
        </w:rPr>
        <w:t>,</w:t>
      </w:r>
      <w:r w:rsidRPr="005C5895">
        <w:rPr>
          <w:rFonts w:ascii="Arial Narrow" w:hAnsi="Arial Narrow"/>
          <w:snapToGrid w:val="0"/>
          <w:sz w:val="18"/>
          <w:szCs w:val="22"/>
        </w:rPr>
        <w:t xml:space="preserve"> Application No. 1566 – Review of immunoglobulin use for Myasthenia Gravi</w:t>
      </w:r>
      <w:r>
        <w:rPr>
          <w:rFonts w:ascii="Arial Narrow" w:hAnsi="Arial Narrow"/>
          <w:snapToGrid w:val="0"/>
          <w:sz w:val="18"/>
          <w:szCs w:val="22"/>
        </w:rPr>
        <w:t>s, 3 April 2020. Available at:</w:t>
      </w:r>
      <w:r w:rsidRPr="005C5895">
        <w:rPr>
          <w:rFonts w:ascii="Arial Narrow" w:hAnsi="Arial Narrow"/>
          <w:snapToGrid w:val="0"/>
          <w:sz w:val="18"/>
          <w:szCs w:val="22"/>
        </w:rPr>
        <w:t xml:space="preserve"> https://www.msac.gov.au/sites/default/files/documents/1566%2520Final%2520PSD_Apr2020.pdf </w:t>
      </w:r>
    </w:p>
    <w:bookmarkEnd w:id="76"/>
    <w:p w14:paraId="6D88FD42" w14:textId="326B6CE6" w:rsidR="006A0400" w:rsidRPr="00157E7D" w:rsidRDefault="006A0400" w:rsidP="00E55FD2">
      <w:pPr>
        <w:pStyle w:val="COMexecsummnumbered"/>
      </w:pPr>
      <w:r w:rsidRPr="00157E7D">
        <w:t>The PBAC noted that the</w:t>
      </w:r>
      <w:r w:rsidR="000542C7" w:rsidRPr="00157E7D">
        <w:t xml:space="preserve"> pre-PBAC response estimated the</w:t>
      </w:r>
      <w:r w:rsidRPr="00157E7D">
        <w:t xml:space="preserve"> average dose of </w:t>
      </w:r>
      <w:proofErr w:type="spellStart"/>
      <w:r w:rsidR="000542C7" w:rsidRPr="00157E7D">
        <w:t>zilucoplan</w:t>
      </w:r>
      <w:proofErr w:type="spellEnd"/>
      <w:r w:rsidR="000542C7" w:rsidRPr="00157E7D">
        <w:t xml:space="preserve"> </w:t>
      </w:r>
      <w:r w:rsidRPr="00354CF6">
        <w:t xml:space="preserve">would be </w:t>
      </w:r>
      <w:r w:rsidR="000542C7" w:rsidRPr="00354CF6">
        <w:t xml:space="preserve">10,475 </w:t>
      </w:r>
      <w:r w:rsidRPr="00354CF6">
        <w:t xml:space="preserve">mg </w:t>
      </w:r>
      <w:r w:rsidR="000542C7" w:rsidRPr="00354CF6">
        <w:t>per year</w:t>
      </w:r>
      <w:r w:rsidRPr="00354CF6">
        <w:t xml:space="preserve"> based on the dose outlined in the Product Information, with 100% dose intensity and compliance, and assuming the same weight distribution as patients in the trial (refer to</w:t>
      </w:r>
      <w:r w:rsidR="000542C7" w:rsidRPr="00354CF6">
        <w:t xml:space="preserve"> </w:t>
      </w:r>
      <w:r w:rsidR="000542C7" w:rsidRPr="00354CF6">
        <w:fldChar w:fldCharType="begin"/>
      </w:r>
      <w:r w:rsidR="000542C7" w:rsidRPr="00354CF6">
        <w:instrText xml:space="preserve"> REF _Ref193725177 \h </w:instrText>
      </w:r>
      <w:r w:rsidR="00157E7D" w:rsidRPr="00354CF6">
        <w:instrText xml:space="preserve"> \* MERGEFORMAT </w:instrText>
      </w:r>
      <w:r w:rsidR="000542C7" w:rsidRPr="00354CF6">
        <w:fldChar w:fldCharType="separate"/>
      </w:r>
      <w:r w:rsidR="00271F88">
        <w:t xml:space="preserve">Table </w:t>
      </w:r>
      <w:r w:rsidR="00271F88">
        <w:rPr>
          <w:noProof/>
        </w:rPr>
        <w:t>14</w:t>
      </w:r>
      <w:r w:rsidR="000542C7" w:rsidRPr="00354CF6">
        <w:fldChar w:fldCharType="end"/>
      </w:r>
      <w:r w:rsidRPr="00354CF6">
        <w:t>).</w:t>
      </w:r>
      <w:r w:rsidR="000542C7" w:rsidRPr="00354CF6">
        <w:t xml:space="preserve"> </w:t>
      </w:r>
      <w:r w:rsidR="00F90383" w:rsidRPr="00354CF6">
        <w:t>With 95% dose intensity, this would be 9,952 mg per patient per year.</w:t>
      </w:r>
    </w:p>
    <w:p w14:paraId="19DBAAA8" w14:textId="388DB964" w:rsidR="000542C7" w:rsidRDefault="000542C7" w:rsidP="00E55FD2">
      <w:pPr>
        <w:pStyle w:val="COMexecsummnumbered"/>
      </w:pPr>
      <w:r w:rsidRPr="00157E7D">
        <w:t>Additional costs</w:t>
      </w:r>
      <w:r>
        <w:t xml:space="preserve"> associated with </w:t>
      </w:r>
      <w:proofErr w:type="spellStart"/>
      <w:r>
        <w:t>zilucoplan</w:t>
      </w:r>
      <w:proofErr w:type="spellEnd"/>
      <w:r>
        <w:t xml:space="preserve"> include:</w:t>
      </w:r>
    </w:p>
    <w:p w14:paraId="1B2E9B8B" w14:textId="0A27F396" w:rsidR="000542C7" w:rsidRDefault="000542C7" w:rsidP="00E55FD2">
      <w:pPr>
        <w:pStyle w:val="COMbodybulletlist"/>
        <w:tabs>
          <w:tab w:val="clear" w:pos="360"/>
          <w:tab w:val="num" w:pos="1418"/>
        </w:tabs>
        <w:spacing w:after="120"/>
        <w:ind w:left="1276" w:hanging="425"/>
      </w:pPr>
      <w:r>
        <w:lastRenderedPageBreak/>
        <w:t xml:space="preserve">meningococcal vaccines (meningococcal B and ACWY boosters), and for patients who initiate </w:t>
      </w:r>
      <w:proofErr w:type="spellStart"/>
      <w:r w:rsidR="00B849F2">
        <w:t>zilucoplan</w:t>
      </w:r>
      <w:proofErr w:type="spellEnd"/>
      <w:r>
        <w:t xml:space="preserve"> less than 2 weeks after receiving a meningococcal vaccine</w:t>
      </w:r>
      <w:r w:rsidR="00157E7D">
        <w:t>,</w:t>
      </w:r>
      <w:r>
        <w:t xml:space="preserve"> prophylactic antibiotics are required until 2 weeks after vaccination; and </w:t>
      </w:r>
    </w:p>
    <w:p w14:paraId="6611D2EC" w14:textId="7D4AE465" w:rsidR="000542C7" w:rsidRDefault="000542C7" w:rsidP="00E55FD2">
      <w:pPr>
        <w:pStyle w:val="COMbodybulletlist"/>
        <w:tabs>
          <w:tab w:val="clear" w:pos="360"/>
          <w:tab w:val="num" w:pos="1418"/>
        </w:tabs>
        <w:spacing w:after="120"/>
        <w:ind w:left="1276" w:hanging="425"/>
      </w:pPr>
      <w:r>
        <w:t>there may be no administration costs</w:t>
      </w:r>
      <w:r w:rsidR="00157E7D">
        <w:t xml:space="preserve"> given</w:t>
      </w:r>
      <w:r>
        <w:t xml:space="preserve"> the Product Information stat</w:t>
      </w:r>
      <w:r w:rsidR="00157E7D">
        <w:t>es</w:t>
      </w:r>
      <w:r>
        <w:t xml:space="preserve"> </w:t>
      </w:r>
      <w:proofErr w:type="spellStart"/>
      <w:r>
        <w:t>zilucoplan</w:t>
      </w:r>
      <w:proofErr w:type="spellEnd"/>
      <w:r>
        <w:t xml:space="preserve"> is a </w:t>
      </w:r>
      <w:r w:rsidRPr="000542C7">
        <w:t>self-administered daily subcutaneous injection</w:t>
      </w:r>
      <w:r>
        <w:t>.</w:t>
      </w:r>
    </w:p>
    <w:p w14:paraId="3EC0E9CD" w14:textId="647D6895" w:rsidR="00A930A8" w:rsidRPr="00255BCB" w:rsidRDefault="006F0188" w:rsidP="00E55FD2">
      <w:pPr>
        <w:pStyle w:val="COMexecsummnumbered"/>
      </w:pPr>
      <w:r w:rsidRPr="006F0188">
        <w:t xml:space="preserve">The pre-PBAC response stated the IVIg </w:t>
      </w:r>
      <w:r w:rsidR="000542C7">
        <w:t xml:space="preserve">equi-effective dose </w:t>
      </w:r>
      <w:r w:rsidRPr="006F0188">
        <w:t xml:space="preserve">should be </w:t>
      </w:r>
      <w:r w:rsidR="000542C7">
        <w:t>‘</w:t>
      </w:r>
      <w:r w:rsidRPr="006F0188">
        <w:t>established based on the dosing in NCT02473952 (published as Bril 2024). These data from this trial informed the indirect comparisons and the associated claims of non-inferior efficacy’.</w:t>
      </w:r>
      <w:r>
        <w:t xml:space="preserve"> In its calculation of equi-effective doses, the pre-PBAC response </w:t>
      </w:r>
      <w:r w:rsidRPr="006F0188">
        <w:t xml:space="preserve">assumed patients would </w:t>
      </w:r>
      <w:r w:rsidRPr="00354CF6">
        <w:t>use 40% of</w:t>
      </w:r>
      <w:r w:rsidRPr="006F0188">
        <w:t xml:space="preserve"> the IVIg dose outlined in Bril 2024</w:t>
      </w:r>
      <w:r>
        <w:t xml:space="preserve">. The rationale for this was not stated in the </w:t>
      </w:r>
      <w:proofErr w:type="spellStart"/>
      <w:r>
        <w:t>zilucoplan</w:t>
      </w:r>
      <w:proofErr w:type="spellEnd"/>
      <w:r>
        <w:t xml:space="preserve"> submission though appeared to be based on a sensitivity analysis in the previous </w:t>
      </w:r>
      <w:r w:rsidR="008F0152">
        <w:t xml:space="preserve">PSD </w:t>
      </w:r>
      <w:r>
        <w:t xml:space="preserve">(Table 16, </w:t>
      </w:r>
      <w:proofErr w:type="spellStart"/>
      <w:r>
        <w:t>zilucoplan</w:t>
      </w:r>
      <w:proofErr w:type="spellEnd"/>
      <w:r>
        <w:t xml:space="preserve"> </w:t>
      </w:r>
      <w:r w:rsidR="00644FD6">
        <w:t>PSD</w:t>
      </w:r>
      <w:r>
        <w:t>, July</w:t>
      </w:r>
      <w:r w:rsidR="008F0152">
        <w:t> </w:t>
      </w:r>
      <w:r>
        <w:t xml:space="preserve">2024 </w:t>
      </w:r>
      <w:r w:rsidRPr="00255BCB">
        <w:t xml:space="preserve">PBAC meeting). </w:t>
      </w:r>
    </w:p>
    <w:p w14:paraId="75F6E0EA" w14:textId="77777777" w:rsidR="000542C7" w:rsidRPr="00255BCB" w:rsidRDefault="000542C7" w:rsidP="00E55FD2">
      <w:pPr>
        <w:pStyle w:val="COMexecsummnumbered"/>
        <w:numPr>
          <w:ilvl w:val="0"/>
          <w:numId w:val="0"/>
        </w:numPr>
        <w:outlineLvl w:val="2"/>
        <w:rPr>
          <w:u w:val="single"/>
        </w:rPr>
      </w:pPr>
      <w:r w:rsidRPr="00255BCB">
        <w:rPr>
          <w:u w:val="single"/>
        </w:rPr>
        <w:t>Cost-per-responder</w:t>
      </w:r>
    </w:p>
    <w:p w14:paraId="1B1F6633" w14:textId="259C9E13" w:rsidR="000542C7" w:rsidRPr="00255BCB" w:rsidRDefault="000542C7" w:rsidP="00E55FD2">
      <w:pPr>
        <w:pStyle w:val="COMexecsummnumbered"/>
        <w:numPr>
          <w:ilvl w:val="1"/>
          <w:numId w:val="1"/>
        </w:numPr>
      </w:pPr>
      <w:bookmarkStart w:id="77" w:name="_Ref193117741"/>
      <w:r w:rsidRPr="00255BCB">
        <w:t xml:space="preserve">The PBAC noted that, at the price proposed by the sponsor, the </w:t>
      </w:r>
      <w:r w:rsidR="00EC332C">
        <w:t xml:space="preserve">incremental </w:t>
      </w:r>
      <w:r w:rsidRPr="00255BCB">
        <w:t xml:space="preserve">cost-per-responder </w:t>
      </w:r>
      <w:r w:rsidR="00EC332C">
        <w:t xml:space="preserve">versus placebo </w:t>
      </w:r>
      <w:r w:rsidRPr="00255BCB">
        <w:t xml:space="preserve">would be </w:t>
      </w:r>
      <w:r w:rsidR="002778A8" w:rsidRPr="002778A8">
        <w:t>$115,000 to &lt; $135,000</w:t>
      </w:r>
      <w:r w:rsidR="002778A8" w:rsidRPr="002778A8" w:rsidDel="002778A8">
        <w:t xml:space="preserve"> </w:t>
      </w:r>
      <w:r w:rsidRPr="00255BCB">
        <w:t xml:space="preserve">(based on </w:t>
      </w:r>
      <w:r w:rsidRPr="002D7DDF">
        <w:t>16.5%</w:t>
      </w:r>
      <w:r w:rsidRPr="00255BCB">
        <w:t xml:space="preserve"> difference in the proportion of patients with ≥2 point reduction in MG-ADL at </w:t>
      </w:r>
      <w:r w:rsidR="00020F1D" w:rsidRPr="00255BCB">
        <w:t>1</w:t>
      </w:r>
      <w:r w:rsidRPr="00255BCB">
        <w:t>2</w:t>
      </w:r>
      <w:r w:rsidR="002D7DDF">
        <w:t> </w:t>
      </w:r>
      <w:r w:rsidRPr="00255BCB">
        <w:t>weeks, and a cost of $</w:t>
      </w:r>
      <w:r w:rsidR="007510F8" w:rsidRPr="00271F88">
        <w:rPr>
          <w:color w:val="000000"/>
          <w:w w:val="15"/>
          <w:shd w:val="solid" w:color="000000" w:fill="000000"/>
          <w:fitText w:val="-20" w:id="-691334646"/>
          <w14:textFill>
            <w14:solidFill>
              <w14:srgbClr w14:val="000000">
                <w14:alpha w14:val="100000"/>
              </w14:srgbClr>
            </w14:solidFill>
          </w14:textFill>
        </w:rPr>
        <w:t>|</w:t>
      </w:r>
      <w:r w:rsidR="0077631D" w:rsidRPr="00271F88">
        <w:rPr>
          <w:color w:val="000000"/>
          <w:w w:val="15"/>
          <w:shd w:val="solid" w:color="000000" w:fill="000000"/>
          <w:fitText w:val="-20" w:id="-691334646"/>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646"/>
          <w14:textFill>
            <w14:solidFill>
              <w14:srgbClr w14:val="000000">
                <w14:alpha w14:val="100000"/>
              </w14:srgbClr>
            </w14:solidFill>
          </w14:textFill>
        </w:rPr>
        <w:t>|</w:t>
      </w:r>
      <w:r w:rsidRPr="00255BCB">
        <w:t xml:space="preserve"> for </w:t>
      </w:r>
      <w:r w:rsidR="00EF0B90" w:rsidRPr="00255BCB">
        <w:t>1</w:t>
      </w:r>
      <w:r w:rsidRPr="00255BCB">
        <w:t>2 weeks of therapy). The PBAC advised that this was unacceptably high in the context of previous cost-per-responder analyses.</w:t>
      </w:r>
      <w:bookmarkEnd w:id="77"/>
      <w:r w:rsidRPr="00255BCB">
        <w:t xml:space="preserve"> </w:t>
      </w:r>
    </w:p>
    <w:p w14:paraId="1EA0694D" w14:textId="4ECA43FD" w:rsidR="000542C7" w:rsidRPr="00255BCB" w:rsidRDefault="000542C7" w:rsidP="00E55FD2">
      <w:pPr>
        <w:pStyle w:val="COMexecsummnumbered"/>
        <w:numPr>
          <w:ilvl w:val="1"/>
          <w:numId w:val="1"/>
        </w:numPr>
      </w:pPr>
      <w:bookmarkStart w:id="78" w:name="_Ref193117743"/>
      <w:r w:rsidRPr="00255BCB">
        <w:t xml:space="preserve">The PBAC noted that, at a cost per patient per year of </w:t>
      </w:r>
      <w:r w:rsidRPr="002D7DDF">
        <w:t>$</w:t>
      </w:r>
      <w:r w:rsidR="0011411E" w:rsidRPr="0077631D">
        <w:rPr>
          <w:color w:val="000000"/>
          <w:spacing w:val="6"/>
          <w:w w:val="60"/>
          <w:shd w:val="solid" w:color="000000" w:fill="000000"/>
          <w:fitText w:val="470" w:id="-656192247"/>
          <w14:textFill>
            <w14:solidFill>
              <w14:srgbClr w14:val="000000">
                <w14:alpha w14:val="100000"/>
              </w14:srgbClr>
            </w14:solidFill>
          </w14:textFill>
        </w:rPr>
        <w:t>|||</w:t>
      </w:r>
      <w:r w:rsidR="0077631D" w:rsidRPr="0077631D">
        <w:rPr>
          <w:color w:val="000000"/>
          <w:spacing w:val="6"/>
          <w:w w:val="60"/>
          <w:shd w:val="solid" w:color="000000" w:fill="000000"/>
          <w:fitText w:val="470" w:id="-656192247"/>
          <w14:textFill>
            <w14:solidFill>
              <w14:srgbClr w14:val="000000">
                <w14:alpha w14:val="100000"/>
              </w14:srgbClr>
            </w14:solidFill>
          </w14:textFill>
        </w:rPr>
        <w:t xml:space="preserve"> </w:t>
      </w:r>
      <w:r w:rsidR="0011411E" w:rsidRPr="0077631D">
        <w:rPr>
          <w:color w:val="000000"/>
          <w:spacing w:val="6"/>
          <w:w w:val="60"/>
          <w:shd w:val="solid" w:color="000000" w:fill="000000"/>
          <w:fitText w:val="470" w:id="-656192247"/>
          <w14:textFill>
            <w14:solidFill>
              <w14:srgbClr w14:val="000000">
                <w14:alpha w14:val="100000"/>
              </w14:srgbClr>
            </w14:solidFill>
          </w14:textFill>
        </w:rPr>
        <w:t>||</w:t>
      </w:r>
      <w:r w:rsidR="0011411E" w:rsidRPr="0077631D">
        <w:rPr>
          <w:color w:val="000000"/>
          <w:spacing w:val="4"/>
          <w:w w:val="60"/>
          <w:shd w:val="solid" w:color="000000" w:fill="000000"/>
          <w:fitText w:val="470" w:id="-656192247"/>
          <w14:textFill>
            <w14:solidFill>
              <w14:srgbClr w14:val="000000">
                <w14:alpha w14:val="100000"/>
              </w14:srgbClr>
            </w14:solidFill>
          </w14:textFill>
        </w:rPr>
        <w:t>|</w:t>
      </w:r>
      <w:r w:rsidRPr="00255BCB">
        <w:t xml:space="preserve">, and assuming </w:t>
      </w:r>
      <w:r w:rsidR="00EC332C" w:rsidRPr="00EC332C">
        <w:t xml:space="preserve">the average of the incremental difference in response rates across the four gMG trials </w:t>
      </w:r>
      <w:r w:rsidRPr="00255BCB">
        <w:t>(24% at 12 weeks, based on a simple mean of the proportion of patients with ≥2 point reduction in MG-ADL in the four key trials), the</w:t>
      </w:r>
      <w:r w:rsidR="00FE1DB0">
        <w:t xml:space="preserve"> incremental</w:t>
      </w:r>
      <w:r w:rsidRPr="00255BCB">
        <w:t xml:space="preserve"> cost-per-responder </w:t>
      </w:r>
      <w:r w:rsidR="00FE1DB0">
        <w:t xml:space="preserve">versus placebo </w:t>
      </w:r>
      <w:r w:rsidRPr="00255BCB">
        <w:t>would be</w:t>
      </w:r>
      <w:r w:rsidR="00FE1DB0">
        <w:t xml:space="preserve"> around</w:t>
      </w:r>
      <w:r w:rsidRPr="00255BCB">
        <w:t xml:space="preserve"> </w:t>
      </w:r>
      <w:r w:rsidR="007A0CB2" w:rsidRPr="007A0CB2">
        <w:t>$55,000 to &lt; $75,000</w:t>
      </w:r>
      <w:r w:rsidRPr="00255BCB">
        <w:t>.</w:t>
      </w:r>
      <w:bookmarkEnd w:id="78"/>
    </w:p>
    <w:p w14:paraId="268768EF" w14:textId="3626F292" w:rsidR="00B60939" w:rsidRPr="00BB59B1" w:rsidRDefault="00B60939" w:rsidP="00E55FD2">
      <w:pPr>
        <w:pStyle w:val="COMH2-non-numbered"/>
      </w:pPr>
      <w:bookmarkStart w:id="79" w:name="_Toc22897647"/>
      <w:bookmarkStart w:id="80" w:name="_Toc188274688"/>
      <w:bookmarkEnd w:id="74"/>
      <w:r w:rsidRPr="00BB59B1">
        <w:t>Estimated PBS usage &amp; financial implications</w:t>
      </w:r>
      <w:bookmarkEnd w:id="79"/>
      <w:bookmarkEnd w:id="80"/>
    </w:p>
    <w:p w14:paraId="1D6AA41E" w14:textId="687CA27C" w:rsidR="00AA171C" w:rsidRPr="0055150A" w:rsidRDefault="00AA171C" w:rsidP="00E55FD2">
      <w:pPr>
        <w:pStyle w:val="COMexecsummnumbered"/>
        <w:rPr>
          <w:color w:val="0066FF"/>
        </w:rPr>
      </w:pPr>
      <w:r w:rsidRPr="0098262F">
        <w:t xml:space="preserve">This </w:t>
      </w:r>
      <w:r>
        <w:t>re</w:t>
      </w:r>
      <w:r w:rsidRPr="0098262F">
        <w:t>submission w</w:t>
      </w:r>
      <w:r w:rsidR="008C2A2E">
        <w:t>as</w:t>
      </w:r>
      <w:r w:rsidRPr="0098262F">
        <w:t xml:space="preserve"> not considered by DUSC</w:t>
      </w:r>
      <w:r w:rsidRPr="0098262F">
        <w:rPr>
          <w:color w:val="0070C0"/>
        </w:rPr>
        <w:t xml:space="preserve">. </w:t>
      </w:r>
    </w:p>
    <w:p w14:paraId="1F26D044" w14:textId="3AD4E611" w:rsidR="00AA171C" w:rsidRDefault="6BB7952B" w:rsidP="00E55FD2">
      <w:pPr>
        <w:pStyle w:val="COMexecsummnumbered"/>
      </w:pPr>
      <w:r w:rsidRPr="7FB99A72">
        <w:t xml:space="preserve">The resubmission used an epidemiological approach to estimate the utilisation and financial impact of listing </w:t>
      </w:r>
      <w:proofErr w:type="spellStart"/>
      <w:r w:rsidRPr="7FB99A72">
        <w:t>zilucoplan</w:t>
      </w:r>
      <w:proofErr w:type="spellEnd"/>
      <w:r w:rsidRPr="7FB99A72">
        <w:t xml:space="preserve"> for adult patients with </w:t>
      </w:r>
      <w:proofErr w:type="spellStart"/>
      <w:r w:rsidRPr="7FB99A72">
        <w:t>AChR</w:t>
      </w:r>
      <w:proofErr w:type="spellEnd"/>
      <w:r w:rsidRPr="7FB99A72">
        <w:t xml:space="preserve"> positive generalised myasthenia gravis who are treatment refractory. Key inputs used in the resubmission are summarised in </w:t>
      </w:r>
      <w:r w:rsidR="00AA171C">
        <w:fldChar w:fldCharType="begin"/>
      </w:r>
      <w:r w:rsidR="00AA171C">
        <w:instrText xml:space="preserve"> REF _Ref184972422 \h </w:instrText>
      </w:r>
      <w:r w:rsidR="00AA171C">
        <w:fldChar w:fldCharType="separate"/>
      </w:r>
      <w:r w:rsidR="00271F88" w:rsidRPr="00BB59B1">
        <w:t xml:space="preserve">Table </w:t>
      </w:r>
      <w:r w:rsidR="00271F88">
        <w:rPr>
          <w:noProof/>
        </w:rPr>
        <w:t>15</w:t>
      </w:r>
      <w:r w:rsidR="00AA171C">
        <w:fldChar w:fldCharType="end"/>
      </w:r>
      <w:r w:rsidRPr="7FB99A72">
        <w:t>.</w:t>
      </w:r>
    </w:p>
    <w:p w14:paraId="59A07BEB" w14:textId="641A055B" w:rsidR="00467A6D" w:rsidRPr="00FF3ECD" w:rsidRDefault="00467A6D" w:rsidP="00E55FD2">
      <w:pPr>
        <w:pStyle w:val="COMtablefigcaption"/>
      </w:pPr>
      <w:bookmarkStart w:id="81" w:name="_Ref184972422"/>
      <w:r w:rsidRPr="00BB59B1">
        <w:lastRenderedPageBreak/>
        <w:t xml:space="preserve">Table </w:t>
      </w:r>
      <w:r w:rsidR="00891FF9">
        <w:fldChar w:fldCharType="begin"/>
      </w:r>
      <w:r w:rsidR="00891FF9">
        <w:instrText xml:space="preserve"> SEQ Table \* ARABIC </w:instrText>
      </w:r>
      <w:r w:rsidR="00891FF9">
        <w:fldChar w:fldCharType="separate"/>
      </w:r>
      <w:r w:rsidR="00271F88">
        <w:rPr>
          <w:noProof/>
        </w:rPr>
        <w:t>15</w:t>
      </w:r>
      <w:r w:rsidR="00891FF9">
        <w:rPr>
          <w:noProof/>
        </w:rPr>
        <w:fldChar w:fldCharType="end"/>
      </w:r>
      <w:bookmarkEnd w:id="81"/>
      <w:r w:rsidRPr="00BB59B1">
        <w:t>: Key inputs for financial estimates</w:t>
      </w:r>
      <w:r w:rsidR="00157E7D">
        <w:t xml:space="preserve">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inputs for financial estimates presented in the resubmission"/>
      </w:tblPr>
      <w:tblGrid>
        <w:gridCol w:w="1311"/>
        <w:gridCol w:w="3854"/>
        <w:gridCol w:w="3852"/>
      </w:tblGrid>
      <w:tr w:rsidR="00467A6D" w:rsidRPr="0098262F" w14:paraId="2605725F" w14:textId="77777777" w:rsidTr="7FB99A72">
        <w:trPr>
          <w:cantSplit/>
          <w:tblHeader/>
        </w:trPr>
        <w:tc>
          <w:tcPr>
            <w:tcW w:w="727" w:type="pct"/>
            <w:shd w:val="clear" w:color="auto" w:fill="auto"/>
            <w:vAlign w:val="center"/>
          </w:tcPr>
          <w:p w14:paraId="7CBECE25" w14:textId="77777777" w:rsidR="00467A6D" w:rsidRPr="0098262F" w:rsidRDefault="00467A6D" w:rsidP="00E55FD2">
            <w:pPr>
              <w:pStyle w:val="COMTableheadingrow"/>
              <w:keepNext w:val="0"/>
            </w:pPr>
            <w:r w:rsidRPr="0098262F">
              <w:t>Parameter</w:t>
            </w:r>
          </w:p>
        </w:tc>
        <w:tc>
          <w:tcPr>
            <w:tcW w:w="2137" w:type="pct"/>
            <w:shd w:val="clear" w:color="auto" w:fill="auto"/>
            <w:vAlign w:val="center"/>
          </w:tcPr>
          <w:p w14:paraId="3EF7513C" w14:textId="77777777" w:rsidR="00467A6D" w:rsidRPr="006B5726" w:rsidRDefault="00467A6D" w:rsidP="00E55FD2">
            <w:pPr>
              <w:pStyle w:val="COMTableheadingrow"/>
              <w:keepNext w:val="0"/>
            </w:pPr>
            <w:r w:rsidRPr="006B5726">
              <w:t>Value applied and source</w:t>
            </w:r>
          </w:p>
        </w:tc>
        <w:tc>
          <w:tcPr>
            <w:tcW w:w="2136" w:type="pct"/>
            <w:shd w:val="clear" w:color="auto" w:fill="auto"/>
            <w:vAlign w:val="center"/>
          </w:tcPr>
          <w:p w14:paraId="30F444F0" w14:textId="77777777" w:rsidR="00467A6D" w:rsidRPr="006B5726" w:rsidRDefault="00467A6D" w:rsidP="00E55FD2">
            <w:pPr>
              <w:pStyle w:val="COMTableheadingrow"/>
              <w:keepNext w:val="0"/>
            </w:pPr>
            <w:r w:rsidRPr="006B5726">
              <w:t>Comment</w:t>
            </w:r>
          </w:p>
        </w:tc>
      </w:tr>
      <w:tr w:rsidR="00467A6D" w:rsidRPr="0098262F" w14:paraId="308F8EB8" w14:textId="77777777" w:rsidTr="7FB99A72">
        <w:trPr>
          <w:cantSplit/>
        </w:trPr>
        <w:tc>
          <w:tcPr>
            <w:tcW w:w="727" w:type="pct"/>
            <w:shd w:val="clear" w:color="auto" w:fill="auto"/>
            <w:vAlign w:val="center"/>
          </w:tcPr>
          <w:p w14:paraId="3A016F6B" w14:textId="77777777" w:rsidR="00467A6D" w:rsidRPr="0098262F" w:rsidRDefault="00467A6D" w:rsidP="00E55FD2">
            <w:pPr>
              <w:pStyle w:val="COMTabletext"/>
              <w:keepNext w:val="0"/>
            </w:pPr>
            <w:r w:rsidRPr="00B162C2">
              <w:t>Prevalence of myasthenia gravis</w:t>
            </w:r>
          </w:p>
        </w:tc>
        <w:tc>
          <w:tcPr>
            <w:tcW w:w="2137" w:type="pct"/>
            <w:shd w:val="clear" w:color="auto" w:fill="auto"/>
            <w:vAlign w:val="center"/>
          </w:tcPr>
          <w:p w14:paraId="641C2B98" w14:textId="77777777" w:rsidR="00467A6D" w:rsidRPr="006B5726" w:rsidRDefault="00467A6D" w:rsidP="00E55FD2">
            <w:pPr>
              <w:pStyle w:val="COMTabletext"/>
              <w:keepNext w:val="0"/>
              <w:spacing w:after="120"/>
            </w:pPr>
            <w:r w:rsidRPr="006B5726">
              <w:t>22.4 per 100,000 persons.</w:t>
            </w:r>
          </w:p>
          <w:p w14:paraId="27C14A40" w14:textId="06B5A95B" w:rsidR="00467A6D" w:rsidRPr="006B5726" w:rsidRDefault="00467A6D" w:rsidP="00E55FD2">
            <w:pPr>
              <w:pStyle w:val="COMTabletext"/>
              <w:keepNext w:val="0"/>
              <w:spacing w:after="120"/>
            </w:pPr>
            <w:r w:rsidRPr="78882673">
              <w:t>The resubmission identified a published systematic review and meta-analysis of myasthenia gravis epidemiology studies published between 1952 and 2022 (Sciancalepore 2024). The study noted that the average prevalence increased from 9.7 cases per 100,000 persons in 1952-2007 to 22.0 cases per 100,000 in 2008-2021.</w:t>
            </w:r>
          </w:p>
          <w:p w14:paraId="3D4A3F89" w14:textId="668A1FB2" w:rsidR="00467A6D" w:rsidRPr="006B5726" w:rsidRDefault="00467A6D" w:rsidP="00E55FD2">
            <w:pPr>
              <w:pStyle w:val="COMTabletext"/>
              <w:keepNext w:val="0"/>
            </w:pPr>
            <w:r w:rsidRPr="78882673">
              <w:t xml:space="preserve">The resubmission also conducted a supplementary literature search to identify more recently published studies (Ye 2024, Vissing 2024, </w:t>
            </w:r>
            <w:proofErr w:type="spellStart"/>
            <w:r w:rsidRPr="78882673">
              <w:t>Keovilayhong</w:t>
            </w:r>
            <w:proofErr w:type="spellEnd"/>
            <w:r w:rsidRPr="78882673">
              <w:t xml:space="preserve"> 2024, Tsai 2024, </w:t>
            </w:r>
            <w:proofErr w:type="spellStart"/>
            <w:r w:rsidRPr="78882673">
              <w:t>Salort</w:t>
            </w:r>
            <w:proofErr w:type="spellEnd"/>
            <w:r w:rsidRPr="78882673">
              <w:t>-Campana 2024, Sechi 2024, Engebretsen 2024). A meta-analysis of studies published between 2014-2024 indicated a global prevalence of 22.4 cases per 100,000 persons. The submission claimed that this analysis suggested that the prevalence of the disease has stabilised over time.</w:t>
            </w:r>
          </w:p>
        </w:tc>
        <w:tc>
          <w:tcPr>
            <w:tcW w:w="2136" w:type="pct"/>
            <w:shd w:val="clear" w:color="auto" w:fill="auto"/>
            <w:vAlign w:val="center"/>
          </w:tcPr>
          <w:p w14:paraId="64742CC8" w14:textId="77777777" w:rsidR="00467A6D" w:rsidRPr="006B5726" w:rsidRDefault="00467A6D" w:rsidP="00E55FD2">
            <w:pPr>
              <w:pStyle w:val="COMTabletext"/>
              <w:keepNext w:val="0"/>
              <w:spacing w:after="120"/>
            </w:pPr>
            <w:r w:rsidRPr="006B5726">
              <w:t>The Sciancalepore 2024 review noted significant variation in frequencies of myasthenia gravis between and within countries because of methodological biases and complex heterogeneity of the disease characterised by several phenotypes and different clinical responses.</w:t>
            </w:r>
          </w:p>
          <w:p w14:paraId="57E6CF78" w14:textId="0402A599" w:rsidR="00467A6D" w:rsidRPr="006B5726" w:rsidRDefault="00467A6D" w:rsidP="00E55FD2">
            <w:pPr>
              <w:pStyle w:val="COMTabletext"/>
              <w:keepNext w:val="0"/>
              <w:spacing w:after="120"/>
            </w:pPr>
            <w:r w:rsidRPr="006B5726">
              <w:t xml:space="preserve">The supplementary literature search and meta-analysis presented in the submission was not adequately documented (such as the exclusion of Bettini 2017 study from prevalence estimates and the selection of a sensitivity analyses over the main analysis in the Antonini 2023 study). </w:t>
            </w:r>
          </w:p>
          <w:p w14:paraId="4CB20E20" w14:textId="77777777" w:rsidR="00467A6D" w:rsidRPr="006B5726" w:rsidRDefault="00467A6D" w:rsidP="00E55FD2">
            <w:pPr>
              <w:pStyle w:val="COMTabletext"/>
              <w:keepNext w:val="0"/>
              <w:spacing w:after="120"/>
            </w:pPr>
            <w:r w:rsidRPr="006B5726">
              <w:t xml:space="preserve">Published prevalence estimates presented in the submission varied widely from 0.9 to 55.3 cases per 100,000 persons in the last 10 years. </w:t>
            </w:r>
          </w:p>
          <w:p w14:paraId="65D4D22A" w14:textId="4CB680CD" w:rsidR="00467A6D" w:rsidRPr="006B5726" w:rsidRDefault="00467A6D" w:rsidP="00E55FD2">
            <w:pPr>
              <w:pStyle w:val="COMTabletext"/>
              <w:keepNext w:val="0"/>
            </w:pPr>
            <w:proofErr w:type="gramStart"/>
            <w:r w:rsidRPr="78882673">
              <w:t>In regard to</w:t>
            </w:r>
            <w:proofErr w:type="gramEnd"/>
            <w:r w:rsidRPr="78882673">
              <w:t xml:space="preserve"> changes over time, the average prevalence from studies published in the last 5 years (27.9 per 100,000 persons) suggests that prevalence may still be increasing over time.</w:t>
            </w:r>
          </w:p>
        </w:tc>
      </w:tr>
      <w:tr w:rsidR="00157E7D" w:rsidRPr="0098262F" w14:paraId="5852CACD" w14:textId="77777777" w:rsidTr="7FB99A72">
        <w:trPr>
          <w:cantSplit/>
        </w:trPr>
        <w:tc>
          <w:tcPr>
            <w:tcW w:w="727" w:type="pct"/>
            <w:shd w:val="clear" w:color="auto" w:fill="auto"/>
            <w:vAlign w:val="center"/>
          </w:tcPr>
          <w:p w14:paraId="43E9FA01" w14:textId="278EAE1B" w:rsidR="00157E7D" w:rsidRPr="00B162C2" w:rsidRDefault="00157E7D" w:rsidP="00E55FD2">
            <w:pPr>
              <w:pStyle w:val="COMTabletext"/>
              <w:keepNext w:val="0"/>
            </w:pPr>
            <w:r w:rsidRPr="00157E7D">
              <w:t xml:space="preserve">Proportion of patients with generalised myasthenia gravis who are </w:t>
            </w:r>
            <w:proofErr w:type="spellStart"/>
            <w:r w:rsidRPr="00157E7D">
              <w:t>AChR</w:t>
            </w:r>
            <w:proofErr w:type="spellEnd"/>
            <w:r w:rsidRPr="00157E7D">
              <w:t>+</w:t>
            </w:r>
          </w:p>
        </w:tc>
        <w:tc>
          <w:tcPr>
            <w:tcW w:w="2137" w:type="pct"/>
            <w:shd w:val="clear" w:color="auto" w:fill="auto"/>
            <w:vAlign w:val="center"/>
          </w:tcPr>
          <w:p w14:paraId="0228DB0C" w14:textId="3EC91E92" w:rsidR="00157E7D" w:rsidRPr="006B5726" w:rsidRDefault="00157E7D" w:rsidP="00E55FD2">
            <w:pPr>
              <w:pStyle w:val="COMTabletext"/>
              <w:keepNext w:val="0"/>
              <w:spacing w:after="120"/>
            </w:pPr>
            <w:r>
              <w:t xml:space="preserve">85.57%. </w:t>
            </w:r>
            <w:r w:rsidRPr="3341901F">
              <w:t>Pooled estimate derived from 12 studies identified in a literature search conducted for the resubmission. Estimates ranged from 42.1% to 98.2% across the studies.</w:t>
            </w:r>
          </w:p>
        </w:tc>
        <w:tc>
          <w:tcPr>
            <w:tcW w:w="2136" w:type="pct"/>
            <w:shd w:val="clear" w:color="auto" w:fill="auto"/>
            <w:vAlign w:val="center"/>
          </w:tcPr>
          <w:p w14:paraId="7468174D" w14:textId="315BF70E" w:rsidR="00157E7D" w:rsidRPr="006B5726" w:rsidRDefault="00157E7D" w:rsidP="00E55FD2">
            <w:pPr>
              <w:pStyle w:val="COMTabletext"/>
              <w:keepNext w:val="0"/>
              <w:spacing w:after="120"/>
            </w:pPr>
            <w:r w:rsidRPr="00157E7D">
              <w:t xml:space="preserve">DUSC previously considered that this estimate was reasonable (Table 17, </w:t>
            </w:r>
            <w:proofErr w:type="spellStart"/>
            <w:r w:rsidRPr="00157E7D">
              <w:t>zilucoplan</w:t>
            </w:r>
            <w:proofErr w:type="spellEnd"/>
            <w:r w:rsidRPr="00157E7D">
              <w:t xml:space="preserve"> PBAC </w:t>
            </w:r>
            <w:r w:rsidR="000A6756">
              <w:t>PSD</w:t>
            </w:r>
            <w:r w:rsidRPr="00157E7D">
              <w:t>, July 2024 PBAC meeting).</w:t>
            </w:r>
          </w:p>
        </w:tc>
      </w:tr>
      <w:tr w:rsidR="00157E7D" w:rsidRPr="0098262F" w14:paraId="2FE416D3" w14:textId="77777777" w:rsidTr="7FB99A72">
        <w:trPr>
          <w:cantSplit/>
        </w:trPr>
        <w:tc>
          <w:tcPr>
            <w:tcW w:w="727" w:type="pct"/>
            <w:shd w:val="clear" w:color="auto" w:fill="auto"/>
            <w:vAlign w:val="center"/>
          </w:tcPr>
          <w:p w14:paraId="0E62ED2F" w14:textId="77777777" w:rsidR="00157E7D" w:rsidRPr="0098262F" w:rsidRDefault="00157E7D" w:rsidP="00E55FD2">
            <w:pPr>
              <w:pStyle w:val="COMTabletext"/>
              <w:keepNext w:val="0"/>
            </w:pPr>
            <w:r>
              <w:t xml:space="preserve">Proportion of patients with </w:t>
            </w:r>
            <w:proofErr w:type="spellStart"/>
            <w:r>
              <w:t>AChR</w:t>
            </w:r>
            <w:proofErr w:type="spellEnd"/>
            <w:r>
              <w:t xml:space="preserve">+ </w:t>
            </w:r>
            <w:r w:rsidRPr="00B162C2">
              <w:t xml:space="preserve">generalised myasthenia gravis </w:t>
            </w:r>
            <w:r>
              <w:t>that are treatment refractory</w:t>
            </w:r>
          </w:p>
        </w:tc>
        <w:tc>
          <w:tcPr>
            <w:tcW w:w="2137" w:type="pct"/>
            <w:shd w:val="clear" w:color="auto" w:fill="auto"/>
            <w:vAlign w:val="center"/>
          </w:tcPr>
          <w:p w14:paraId="0431CA5E" w14:textId="55F0EE5D" w:rsidR="00157E7D" w:rsidRPr="006B5726" w:rsidRDefault="00157E7D" w:rsidP="00E55FD2">
            <w:pPr>
              <w:pStyle w:val="COMTabletext"/>
              <w:keepNext w:val="0"/>
            </w:pPr>
            <w:r w:rsidRPr="78882673">
              <w:t>20.78%. Pooled estimate (weighted by sample size) derived from 4 international studies identified in a literature search conducted for the resubmission. Estimates ranged from 9.2% to 37.0% across the studies. The resubmission acknowledged the definitions of refractory were not identical to the clinical criteria in the proposed restriction but claimed that the definitions were otherwise aligned in terms of treatment criteria and requirements for patients to be uncontrolled.</w:t>
            </w:r>
          </w:p>
        </w:tc>
        <w:tc>
          <w:tcPr>
            <w:tcW w:w="2136" w:type="pct"/>
            <w:shd w:val="clear" w:color="auto" w:fill="auto"/>
            <w:vAlign w:val="center"/>
          </w:tcPr>
          <w:p w14:paraId="052D24A9" w14:textId="74977EF3" w:rsidR="00157E7D" w:rsidRPr="00D3251C" w:rsidRDefault="00157E7D" w:rsidP="00E55FD2">
            <w:pPr>
              <w:pStyle w:val="TableText"/>
              <w:keepNext w:val="0"/>
              <w:keepLines w:val="0"/>
              <w:widowControl/>
              <w:rPr>
                <w:i/>
              </w:rPr>
            </w:pPr>
            <w:r w:rsidRPr="78882673">
              <w:t>Definitions of inadequate symptom control/disease burden differed across the studies with no defined instruments in two studies (</w:t>
            </w:r>
            <w:proofErr w:type="spellStart"/>
            <w:r w:rsidRPr="78882673">
              <w:t>Tokuyasu</w:t>
            </w:r>
            <w:proofErr w:type="spellEnd"/>
            <w:r w:rsidRPr="78882673">
              <w:t xml:space="preserve"> 2024, Ojha 2023) and different instruments and thresholds applied in two other studies (Li 2024, Rath 2020). There were additional differences in terms of treatment criteria between studies (e.g. prior/concomitant, duration and doses). These definitions also differed from the functional impairment and treatment criteria in the proposed restriction. </w:t>
            </w:r>
            <w:r w:rsidRPr="00E537AF">
              <w:t>The evaluation and the ESC considered that the pooled estimate was uncertain given the wide range of estimates from the included studies. The PSCR outlined that this was informed by the best available evidence.</w:t>
            </w:r>
          </w:p>
        </w:tc>
      </w:tr>
      <w:tr w:rsidR="00157E7D" w:rsidRPr="0098262F" w14:paraId="4DD089FB" w14:textId="77777777" w:rsidTr="7FB99A72">
        <w:trPr>
          <w:cantSplit/>
        </w:trPr>
        <w:tc>
          <w:tcPr>
            <w:tcW w:w="727" w:type="pct"/>
            <w:shd w:val="clear" w:color="auto" w:fill="auto"/>
            <w:vAlign w:val="center"/>
          </w:tcPr>
          <w:p w14:paraId="5C4C75AA" w14:textId="77777777" w:rsidR="00157E7D" w:rsidRPr="0098262F" w:rsidRDefault="00157E7D" w:rsidP="00E55FD2">
            <w:pPr>
              <w:pStyle w:val="COMTabletext"/>
              <w:keepNext w:val="0"/>
            </w:pPr>
            <w:proofErr w:type="spellStart"/>
            <w:r>
              <w:t>Zilucoplan</w:t>
            </w:r>
            <w:proofErr w:type="spellEnd"/>
            <w:r>
              <w:t xml:space="preserve"> uptake rate</w:t>
            </w:r>
          </w:p>
        </w:tc>
        <w:tc>
          <w:tcPr>
            <w:tcW w:w="2137" w:type="pct"/>
            <w:shd w:val="clear" w:color="auto" w:fill="auto"/>
            <w:vAlign w:val="center"/>
          </w:tcPr>
          <w:p w14:paraId="7C4AF2DD" w14:textId="0152EA6A" w:rsidR="00157E7D" w:rsidRPr="006B5726" w:rsidRDefault="00157E7D" w:rsidP="00E55FD2">
            <w:pPr>
              <w:pStyle w:val="COMTabletext"/>
              <w:keepNext w:val="0"/>
            </w:pPr>
            <w:r w:rsidRPr="006B5726">
              <w:t xml:space="preserve">Derived based on assumed uptake rates of </w:t>
            </w:r>
            <w:r w:rsidR="007510F8" w:rsidRPr="007510F8">
              <w:rPr>
                <w:color w:val="000000"/>
                <w:spacing w:val="54"/>
                <w:shd w:val="solid" w:color="000000" w:fill="000000"/>
                <w:fitText w:val="333" w:id="-691334645"/>
                <w14:textFill>
                  <w14:solidFill>
                    <w14:srgbClr w14:val="000000">
                      <w14:alpha w14:val="100000"/>
                    </w14:srgbClr>
                  </w14:solidFill>
                </w14:textFill>
              </w:rPr>
              <w:t>|||</w:t>
            </w:r>
            <w:r w:rsidR="007510F8" w:rsidRPr="007510F8">
              <w:rPr>
                <w:color w:val="000000"/>
                <w:spacing w:val="1"/>
                <w:shd w:val="solid" w:color="000000" w:fill="000000"/>
                <w:fitText w:val="333" w:id="-691334645"/>
                <w14:textFill>
                  <w14:solidFill>
                    <w14:srgbClr w14:val="000000">
                      <w14:alpha w14:val="100000"/>
                    </w14:srgbClr>
                  </w14:solidFill>
                </w14:textFill>
              </w:rPr>
              <w:t>|</w:t>
            </w:r>
            <w:r w:rsidRPr="006B5726">
              <w:t xml:space="preserve">%, </w:t>
            </w:r>
            <w:r w:rsidR="007510F8" w:rsidRPr="007510F8">
              <w:rPr>
                <w:color w:val="000000"/>
                <w:spacing w:val="54"/>
                <w:shd w:val="solid" w:color="000000" w:fill="000000"/>
                <w:fitText w:val="333" w:id="-691334644"/>
                <w14:textFill>
                  <w14:solidFill>
                    <w14:srgbClr w14:val="000000">
                      <w14:alpha w14:val="100000"/>
                    </w14:srgbClr>
                  </w14:solidFill>
                </w14:textFill>
              </w:rPr>
              <w:t>|||</w:t>
            </w:r>
            <w:r w:rsidR="007510F8" w:rsidRPr="007510F8">
              <w:rPr>
                <w:color w:val="000000"/>
                <w:spacing w:val="1"/>
                <w:shd w:val="solid" w:color="000000" w:fill="000000"/>
                <w:fitText w:val="333" w:id="-691334644"/>
                <w14:textFill>
                  <w14:solidFill>
                    <w14:srgbClr w14:val="000000">
                      <w14:alpha w14:val="100000"/>
                    </w14:srgbClr>
                  </w14:solidFill>
                </w14:textFill>
              </w:rPr>
              <w:t>|</w:t>
            </w:r>
            <w:r w:rsidRPr="006B5726">
              <w:t xml:space="preserve">%, </w:t>
            </w:r>
            <w:r w:rsidR="007510F8" w:rsidRPr="007510F8">
              <w:rPr>
                <w:color w:val="000000"/>
                <w:spacing w:val="54"/>
                <w:shd w:val="solid" w:color="000000" w:fill="000000"/>
                <w:fitText w:val="333" w:id="-691334643"/>
                <w14:textFill>
                  <w14:solidFill>
                    <w14:srgbClr w14:val="000000">
                      <w14:alpha w14:val="100000"/>
                    </w14:srgbClr>
                  </w14:solidFill>
                </w14:textFill>
              </w:rPr>
              <w:t>|||</w:t>
            </w:r>
            <w:r w:rsidR="007510F8" w:rsidRPr="007510F8">
              <w:rPr>
                <w:color w:val="000000"/>
                <w:spacing w:val="1"/>
                <w:shd w:val="solid" w:color="000000" w:fill="000000"/>
                <w:fitText w:val="333" w:id="-691334643"/>
                <w14:textFill>
                  <w14:solidFill>
                    <w14:srgbClr w14:val="000000">
                      <w14:alpha w14:val="100000"/>
                    </w14:srgbClr>
                  </w14:solidFill>
                </w14:textFill>
              </w:rPr>
              <w:t>|</w:t>
            </w:r>
            <w:r w:rsidRPr="006B5726">
              <w:t xml:space="preserve">%, </w:t>
            </w:r>
            <w:r w:rsidR="007510F8" w:rsidRPr="005116BA">
              <w:rPr>
                <w:color w:val="000000"/>
                <w:spacing w:val="54"/>
                <w:shd w:val="solid" w:color="000000" w:fill="000000"/>
                <w:fitText w:val="333" w:id="-691334642"/>
                <w14:textFill>
                  <w14:solidFill>
                    <w14:srgbClr w14:val="000000">
                      <w14:alpha w14:val="100000"/>
                    </w14:srgbClr>
                  </w14:solidFill>
                </w14:textFill>
              </w:rPr>
              <w:t>|||</w:t>
            </w:r>
            <w:r w:rsidR="007510F8" w:rsidRPr="005116BA">
              <w:rPr>
                <w:color w:val="000000"/>
                <w:spacing w:val="1"/>
                <w:shd w:val="solid" w:color="000000" w:fill="000000"/>
                <w:fitText w:val="333" w:id="-691334642"/>
                <w14:textFill>
                  <w14:solidFill>
                    <w14:srgbClr w14:val="000000">
                      <w14:alpha w14:val="100000"/>
                    </w14:srgbClr>
                  </w14:solidFill>
                </w14:textFill>
              </w:rPr>
              <w:t>|</w:t>
            </w:r>
            <w:r w:rsidRPr="006B5726">
              <w:t xml:space="preserve">%, </w:t>
            </w:r>
            <w:r w:rsidR="007510F8" w:rsidRPr="007510F8">
              <w:rPr>
                <w:color w:val="000000"/>
                <w:spacing w:val="54"/>
                <w:shd w:val="solid" w:color="000000" w:fill="000000"/>
                <w:fitText w:val="334" w:id="-691334641"/>
                <w14:textFill>
                  <w14:solidFill>
                    <w14:srgbClr w14:val="000000">
                      <w14:alpha w14:val="100000"/>
                    </w14:srgbClr>
                  </w14:solidFill>
                </w14:textFill>
              </w:rPr>
              <w:t>|||</w:t>
            </w:r>
            <w:r w:rsidR="007510F8" w:rsidRPr="007510F8">
              <w:rPr>
                <w:color w:val="000000"/>
                <w:spacing w:val="2"/>
                <w:shd w:val="solid" w:color="000000" w:fill="000000"/>
                <w:fitText w:val="334" w:id="-691334641"/>
                <w14:textFill>
                  <w14:solidFill>
                    <w14:srgbClr w14:val="000000">
                      <w14:alpha w14:val="100000"/>
                    </w14:srgbClr>
                  </w14:solidFill>
                </w14:textFill>
              </w:rPr>
              <w:t>|</w:t>
            </w:r>
            <w:r w:rsidRPr="006B5726">
              <w:t xml:space="preserve">% and </w:t>
            </w:r>
            <w:r w:rsidR="007510F8" w:rsidRPr="007510F8">
              <w:rPr>
                <w:color w:val="000000"/>
                <w:spacing w:val="54"/>
                <w:shd w:val="solid" w:color="000000" w:fill="000000"/>
                <w:fitText w:val="333" w:id="-691334640"/>
                <w14:textFill>
                  <w14:solidFill>
                    <w14:srgbClr w14:val="000000">
                      <w14:alpha w14:val="100000"/>
                    </w14:srgbClr>
                  </w14:solidFill>
                </w14:textFill>
              </w:rPr>
              <w:t>|||</w:t>
            </w:r>
            <w:r w:rsidR="007510F8" w:rsidRPr="007510F8">
              <w:rPr>
                <w:color w:val="000000"/>
                <w:spacing w:val="1"/>
                <w:shd w:val="solid" w:color="000000" w:fill="000000"/>
                <w:fitText w:val="333" w:id="-691334640"/>
                <w14:textFill>
                  <w14:solidFill>
                    <w14:srgbClr w14:val="000000">
                      <w14:alpha w14:val="100000"/>
                    </w14:srgbClr>
                  </w14:solidFill>
                </w14:textFill>
              </w:rPr>
              <w:t>|</w:t>
            </w:r>
            <w:r w:rsidRPr="006B5726">
              <w:t xml:space="preserve">% in eligible patients who had not previously been treated with </w:t>
            </w:r>
            <w:proofErr w:type="spellStart"/>
            <w:r w:rsidRPr="006B5726">
              <w:t>zilucoplan</w:t>
            </w:r>
            <w:proofErr w:type="spellEnd"/>
            <w:r w:rsidRPr="006B5726">
              <w:t>.</w:t>
            </w:r>
          </w:p>
        </w:tc>
        <w:tc>
          <w:tcPr>
            <w:tcW w:w="2136" w:type="pct"/>
            <w:shd w:val="clear" w:color="auto" w:fill="auto"/>
            <w:vAlign w:val="center"/>
          </w:tcPr>
          <w:p w14:paraId="62540F01" w14:textId="30219041" w:rsidR="00157E7D" w:rsidRPr="003A3A5B" w:rsidRDefault="00157E7D" w:rsidP="00E55FD2">
            <w:pPr>
              <w:pStyle w:val="TableText"/>
              <w:keepNext w:val="0"/>
              <w:keepLines w:val="0"/>
              <w:widowControl/>
              <w:rPr>
                <w:i/>
              </w:rPr>
            </w:pPr>
            <w:r w:rsidRPr="006B5726">
              <w:rPr>
                <w:iCs w:val="0"/>
              </w:rPr>
              <w:t xml:space="preserve">DUSC previously considered the </w:t>
            </w:r>
            <w:proofErr w:type="spellStart"/>
            <w:r w:rsidRPr="006B5726">
              <w:rPr>
                <w:iCs w:val="0"/>
              </w:rPr>
              <w:t>zilucoplan</w:t>
            </w:r>
            <w:proofErr w:type="spellEnd"/>
            <w:r w:rsidRPr="006B5726">
              <w:rPr>
                <w:iCs w:val="0"/>
              </w:rPr>
              <w:t xml:space="preserve"> uptake rates </w:t>
            </w:r>
            <w:r>
              <w:rPr>
                <w:iCs w:val="0"/>
              </w:rPr>
              <w:t>were</w:t>
            </w:r>
            <w:r w:rsidRPr="006B5726">
              <w:rPr>
                <w:iCs w:val="0"/>
              </w:rPr>
              <w:t xml:space="preserve"> overestimated (Table 17, </w:t>
            </w:r>
            <w:proofErr w:type="spellStart"/>
            <w:r w:rsidRPr="006B5726">
              <w:rPr>
                <w:iCs w:val="0"/>
              </w:rPr>
              <w:t>zilucoplan</w:t>
            </w:r>
            <w:proofErr w:type="spellEnd"/>
            <w:r w:rsidRPr="006B5726">
              <w:rPr>
                <w:iCs w:val="0"/>
              </w:rPr>
              <w:t xml:space="preserve"> </w:t>
            </w:r>
            <w:r w:rsidRPr="006B5726">
              <w:rPr>
                <w:rFonts w:eastAsia="PlantinStd"/>
                <w:iCs w:val="0"/>
              </w:rPr>
              <w:t xml:space="preserve">PBAC </w:t>
            </w:r>
            <w:r w:rsidR="000A6756">
              <w:rPr>
                <w:rFonts w:eastAsia="PlantinStd"/>
                <w:iCs w:val="0"/>
              </w:rPr>
              <w:t>PSD</w:t>
            </w:r>
            <w:r w:rsidRPr="006B5726">
              <w:rPr>
                <w:iCs w:val="0"/>
              </w:rPr>
              <w:t>, July 2024 PBAC meeting).</w:t>
            </w:r>
            <w:r>
              <w:rPr>
                <w:i/>
              </w:rPr>
              <w:t xml:space="preserve"> </w:t>
            </w:r>
          </w:p>
        </w:tc>
      </w:tr>
      <w:tr w:rsidR="00157E7D" w:rsidRPr="0098262F" w14:paraId="76B83FB3" w14:textId="77777777" w:rsidTr="7FB99A72">
        <w:trPr>
          <w:cantSplit/>
        </w:trPr>
        <w:tc>
          <w:tcPr>
            <w:tcW w:w="727" w:type="pct"/>
            <w:shd w:val="clear" w:color="auto" w:fill="auto"/>
            <w:vAlign w:val="center"/>
          </w:tcPr>
          <w:p w14:paraId="544A3C3F" w14:textId="77777777" w:rsidR="00157E7D" w:rsidRPr="0098262F" w:rsidRDefault="00157E7D" w:rsidP="00E55FD2">
            <w:pPr>
              <w:pStyle w:val="COMTabletext"/>
              <w:keepNext w:val="0"/>
            </w:pPr>
            <w:proofErr w:type="spellStart"/>
            <w:r>
              <w:lastRenderedPageBreak/>
              <w:t>Zilucoplan</w:t>
            </w:r>
            <w:proofErr w:type="spellEnd"/>
            <w:r>
              <w:t xml:space="preserve"> response rate</w:t>
            </w:r>
          </w:p>
        </w:tc>
        <w:tc>
          <w:tcPr>
            <w:tcW w:w="2137" w:type="pct"/>
            <w:shd w:val="clear" w:color="auto" w:fill="auto"/>
            <w:vAlign w:val="center"/>
          </w:tcPr>
          <w:p w14:paraId="3EF62377" w14:textId="169A12B3" w:rsidR="00157E7D" w:rsidRPr="006B5726" w:rsidRDefault="00157E7D" w:rsidP="00E55FD2">
            <w:pPr>
              <w:pStyle w:val="COMTabletext"/>
              <w:keepNext w:val="0"/>
            </w:pPr>
            <w:r w:rsidRPr="78882673">
              <w:t>84.9%. Based on the proportion achieving a ≥3-point reduction in MG-ADL at 16 weeks in the RAISE extension study. All responders were assumed to remain on treatment for the remainder of the first year.</w:t>
            </w:r>
          </w:p>
        </w:tc>
        <w:tc>
          <w:tcPr>
            <w:tcW w:w="2136" w:type="pct"/>
            <w:shd w:val="clear" w:color="auto" w:fill="auto"/>
            <w:vAlign w:val="center"/>
          </w:tcPr>
          <w:p w14:paraId="03BB5943" w14:textId="6ED29160" w:rsidR="00157E7D" w:rsidRPr="006B5726" w:rsidRDefault="00157E7D" w:rsidP="00E55FD2">
            <w:pPr>
              <w:pStyle w:val="COMTabletext"/>
              <w:keepNext w:val="0"/>
              <w:spacing w:after="120"/>
            </w:pPr>
            <w:r w:rsidRPr="78882673">
              <w:t xml:space="preserve">The </w:t>
            </w:r>
            <w:r w:rsidR="00EB0C76">
              <w:t xml:space="preserve">evaluation considered that the </w:t>
            </w:r>
            <w:r w:rsidRPr="78882673">
              <w:t xml:space="preserve">appropriateness of this estimate is dependent on the optimal timing of response assessment. The response assessment in the proposed restriction (either 16 or 24 weeks of initial script coverage) was longer than the 12 weeks suggested at the stakeholder meeting (May 2024 Myasthenia Gravis Stakeholder Meeting Outcomes Statement). The response rate for </w:t>
            </w:r>
            <w:proofErr w:type="spellStart"/>
            <w:r w:rsidRPr="78882673">
              <w:t>zilucoplan</w:t>
            </w:r>
            <w:proofErr w:type="spellEnd"/>
            <w:r w:rsidRPr="78882673">
              <w:t xml:space="preserve"> at 12 weeks in the RAISE trial was 73.1%, which is lower than the response rate at </w:t>
            </w:r>
            <w:r w:rsidRPr="00366D77">
              <w:t>16 weeks</w:t>
            </w:r>
            <w:r w:rsidRPr="78882673">
              <w:t>.</w:t>
            </w:r>
          </w:p>
          <w:p w14:paraId="455C0853" w14:textId="77777777" w:rsidR="00157E7D" w:rsidRPr="006B5726" w:rsidRDefault="00157E7D" w:rsidP="00E55FD2">
            <w:pPr>
              <w:pStyle w:val="TableText"/>
              <w:keepNext w:val="0"/>
              <w:keepLines w:val="0"/>
              <w:widowControl/>
              <w:rPr>
                <w:iCs w:val="0"/>
              </w:rPr>
            </w:pPr>
            <w:r w:rsidRPr="006B5726">
              <w:rPr>
                <w:iCs w:val="0"/>
              </w:rPr>
              <w:t>There is potential for ongoing use in patients who do not meet the proposed response threshold given it is greater than the MCID of ≥2-point reduction in MG-ADL.</w:t>
            </w:r>
          </w:p>
        </w:tc>
      </w:tr>
      <w:tr w:rsidR="00157E7D" w:rsidRPr="0098262F" w14:paraId="62D2AF7B" w14:textId="77777777" w:rsidTr="7FB99A72">
        <w:trPr>
          <w:cantSplit/>
        </w:trPr>
        <w:tc>
          <w:tcPr>
            <w:tcW w:w="727" w:type="pct"/>
            <w:shd w:val="clear" w:color="auto" w:fill="auto"/>
            <w:vAlign w:val="center"/>
          </w:tcPr>
          <w:p w14:paraId="1570B748" w14:textId="77777777" w:rsidR="00157E7D" w:rsidRPr="0098262F" w:rsidRDefault="00157E7D" w:rsidP="00E55FD2">
            <w:pPr>
              <w:pStyle w:val="COMTabletext"/>
              <w:keepNext w:val="0"/>
            </w:pPr>
            <w:proofErr w:type="spellStart"/>
            <w:r>
              <w:t>Zilucoplan</w:t>
            </w:r>
            <w:proofErr w:type="spellEnd"/>
            <w:r>
              <w:t xml:space="preserve"> persistence</w:t>
            </w:r>
          </w:p>
        </w:tc>
        <w:tc>
          <w:tcPr>
            <w:tcW w:w="2137" w:type="pct"/>
            <w:shd w:val="clear" w:color="auto" w:fill="auto"/>
            <w:vAlign w:val="center"/>
          </w:tcPr>
          <w:p w14:paraId="2034055F" w14:textId="4C6AB239" w:rsidR="00157E7D" w:rsidRPr="006B5726" w:rsidRDefault="00157E7D" w:rsidP="00E55FD2">
            <w:pPr>
              <w:pStyle w:val="COMTabletext"/>
              <w:keepNext w:val="0"/>
            </w:pPr>
            <w:r w:rsidRPr="00BF6FD4">
              <w:t xml:space="preserve">Yr 1 to 2: 83.08%, Yr 2 to 3: 85.02%, Yr 3 to 4: 85.27%, Yr 4 to 5: 85.24%, Yr 5 to 6: 85.21%. Derived from the economic model for the </w:t>
            </w:r>
            <w:proofErr w:type="spellStart"/>
            <w:r w:rsidRPr="00BF6FD4">
              <w:t>zilucoplan</w:t>
            </w:r>
            <w:proofErr w:type="spellEnd"/>
            <w:r w:rsidRPr="00BF6FD4">
              <w:t xml:space="preserve"> arm. The persistence estimate was applied to the recommended number of scripts per year (365.25 ÷ 28 = 13.04 scripts per year) to derive the number of scripts per patient in each subsequent year</w:t>
            </w:r>
          </w:p>
        </w:tc>
        <w:tc>
          <w:tcPr>
            <w:tcW w:w="2136" w:type="pct"/>
            <w:shd w:val="clear" w:color="auto" w:fill="auto"/>
            <w:vAlign w:val="center"/>
          </w:tcPr>
          <w:p w14:paraId="06BEDA8B" w14:textId="07B28300" w:rsidR="00157E7D" w:rsidRPr="006B5726" w:rsidRDefault="00157E7D" w:rsidP="00E55FD2">
            <w:pPr>
              <w:pStyle w:val="COMTabletext"/>
              <w:keepNext w:val="0"/>
            </w:pPr>
            <w:r w:rsidRPr="78882673">
              <w:t xml:space="preserve">The </w:t>
            </w:r>
            <w:r w:rsidR="00EB0C76">
              <w:t xml:space="preserve">evaluation considered that the </w:t>
            </w:r>
            <w:r w:rsidRPr="78882673">
              <w:t>appropriateness of persistence estimates is dependent on the validity of assumptions regarding treatment discontinuation (due to adverse events, exacerbation, myasthenic crisis and deaths) in the economic model. The lower persistence estimates compared to the previous submission appear to be the result of higher clinical events rates compared to the July 2024 submission (previously considered likely to have substantially overestimated event risks), offsetting revised assumptions regarding discontinuation following an event.</w:t>
            </w:r>
          </w:p>
        </w:tc>
      </w:tr>
      <w:tr w:rsidR="00157E7D" w:rsidRPr="0098262F" w14:paraId="0ADB8A54" w14:textId="77777777" w:rsidTr="7FB99A72">
        <w:trPr>
          <w:cantSplit/>
        </w:trPr>
        <w:tc>
          <w:tcPr>
            <w:tcW w:w="727" w:type="pct"/>
            <w:shd w:val="clear" w:color="auto" w:fill="auto"/>
            <w:vAlign w:val="center"/>
          </w:tcPr>
          <w:p w14:paraId="47A2E93C" w14:textId="77777777" w:rsidR="00157E7D" w:rsidRPr="0098262F" w:rsidRDefault="00157E7D" w:rsidP="00E55FD2">
            <w:pPr>
              <w:pStyle w:val="COMTabletext"/>
              <w:keepNext w:val="0"/>
            </w:pPr>
            <w:r>
              <w:t xml:space="preserve">Proportion of patients initiating </w:t>
            </w:r>
            <w:proofErr w:type="spellStart"/>
            <w:r>
              <w:t>zilucoplan</w:t>
            </w:r>
            <w:proofErr w:type="spellEnd"/>
            <w:r>
              <w:t xml:space="preserve"> who would otherwise receive chronic IVIg/PLEX</w:t>
            </w:r>
          </w:p>
        </w:tc>
        <w:tc>
          <w:tcPr>
            <w:tcW w:w="2137" w:type="pct"/>
            <w:shd w:val="clear" w:color="auto" w:fill="auto"/>
            <w:vAlign w:val="center"/>
          </w:tcPr>
          <w:p w14:paraId="4FDA7DAF" w14:textId="77777777" w:rsidR="00157E7D" w:rsidRPr="006B5726" w:rsidRDefault="00157E7D" w:rsidP="00E55FD2">
            <w:pPr>
              <w:pStyle w:val="TableText"/>
              <w:keepNext w:val="0"/>
              <w:keepLines w:val="0"/>
              <w:widowControl/>
              <w:rPr>
                <w:iCs w:val="0"/>
              </w:rPr>
            </w:pPr>
            <w:r w:rsidRPr="006B5726">
              <w:rPr>
                <w:iCs w:val="0"/>
              </w:rPr>
              <w:t>89.8%. Based on the subgroup of patients in the RAISE trial who are treatment refractory (as per trial definitions) with prior recorded use of rescue/chronic IVIg/PLEX.</w:t>
            </w:r>
          </w:p>
        </w:tc>
        <w:tc>
          <w:tcPr>
            <w:tcW w:w="2136" w:type="pct"/>
            <w:shd w:val="clear" w:color="auto" w:fill="auto"/>
            <w:vAlign w:val="center"/>
          </w:tcPr>
          <w:p w14:paraId="0C148914" w14:textId="13770B14" w:rsidR="00157E7D" w:rsidRPr="006B5726" w:rsidRDefault="00157E7D" w:rsidP="00E55FD2">
            <w:pPr>
              <w:pStyle w:val="COMTabletext"/>
              <w:keepNext w:val="0"/>
            </w:pPr>
            <w:r w:rsidRPr="7FB99A72">
              <w:t xml:space="preserve">The </w:t>
            </w:r>
            <w:r w:rsidR="00EB0C76">
              <w:t xml:space="preserve">evaluation considered that the </w:t>
            </w:r>
            <w:r w:rsidRPr="7FB99A72">
              <w:t>trial-based estimate may not be applicable to the PBS population given the recorded usage did not differentiate between rescue and chronic treatment. Additionally, the trial excluded patients with recent use (28 days) of IVIg/PLEX.</w:t>
            </w:r>
          </w:p>
        </w:tc>
      </w:tr>
      <w:tr w:rsidR="00157E7D" w:rsidRPr="0098262F" w14:paraId="665C401B" w14:textId="77777777" w:rsidTr="7FB99A72">
        <w:trPr>
          <w:cantSplit/>
        </w:trPr>
        <w:tc>
          <w:tcPr>
            <w:tcW w:w="727" w:type="pct"/>
            <w:shd w:val="clear" w:color="auto" w:fill="auto"/>
            <w:vAlign w:val="center"/>
          </w:tcPr>
          <w:p w14:paraId="235665A0" w14:textId="77777777" w:rsidR="00157E7D" w:rsidRPr="0098262F" w:rsidRDefault="00157E7D" w:rsidP="00E55FD2">
            <w:pPr>
              <w:pStyle w:val="COMTabletext"/>
              <w:keepNext w:val="0"/>
            </w:pPr>
            <w:r>
              <w:t>Chronic</w:t>
            </w:r>
            <w:r w:rsidRPr="00B162C2">
              <w:t xml:space="preserve"> IVIg/PLEX</w:t>
            </w:r>
            <w:r>
              <w:t xml:space="preserve"> response rate</w:t>
            </w:r>
          </w:p>
        </w:tc>
        <w:tc>
          <w:tcPr>
            <w:tcW w:w="2137" w:type="pct"/>
            <w:shd w:val="clear" w:color="auto" w:fill="auto"/>
            <w:vAlign w:val="center"/>
          </w:tcPr>
          <w:p w14:paraId="44856BF0" w14:textId="5C60A31A" w:rsidR="00157E7D" w:rsidRPr="006B5726" w:rsidRDefault="00157E7D" w:rsidP="00E55FD2">
            <w:pPr>
              <w:pStyle w:val="TableText"/>
              <w:keepNext w:val="0"/>
              <w:keepLines w:val="0"/>
              <w:widowControl/>
              <w:rPr>
                <w:iCs w:val="0"/>
              </w:rPr>
            </w:pPr>
            <w:r w:rsidRPr="006B5726">
              <w:rPr>
                <w:iCs w:val="0"/>
              </w:rPr>
              <w:t>70%. Based on the proportion of patients treated with chronic IVIg achieving a ≥2-point reduction in MG-ADL at 24 weeks in the Bril 2024 trial (NCT02473952).</w:t>
            </w:r>
          </w:p>
        </w:tc>
        <w:tc>
          <w:tcPr>
            <w:tcW w:w="2136" w:type="pct"/>
            <w:shd w:val="clear" w:color="auto" w:fill="auto"/>
            <w:vAlign w:val="center"/>
          </w:tcPr>
          <w:p w14:paraId="4D8AB499" w14:textId="78170BA6" w:rsidR="00157E7D" w:rsidRPr="006B5726" w:rsidRDefault="00157E7D" w:rsidP="00E55FD2">
            <w:pPr>
              <w:pStyle w:val="COMTabletext"/>
              <w:keepNext w:val="0"/>
            </w:pPr>
            <w:r w:rsidRPr="7FB99A72">
              <w:t xml:space="preserve">The evaluation </w:t>
            </w:r>
            <w:r w:rsidR="00EB0C76">
              <w:t>noted that t</w:t>
            </w:r>
            <w:r w:rsidRPr="7FB99A72">
              <w:t>he dosing regimen used in the Bril 2024 trial is unlikely to reflect Australian clinical practice as it is inconsistent with the approved product information, exceeds the maximum subsidised dose under the NBA and is substantially higher than supported by the available Australian IVIg utilisation data.</w:t>
            </w:r>
          </w:p>
          <w:p w14:paraId="5D3F2653" w14:textId="77777777" w:rsidR="00157E7D" w:rsidRPr="006B5726" w:rsidRDefault="00157E7D" w:rsidP="00E55FD2">
            <w:pPr>
              <w:pStyle w:val="COMTabletext"/>
              <w:keepNext w:val="0"/>
            </w:pPr>
          </w:p>
          <w:p w14:paraId="5AAE28B3" w14:textId="77777777" w:rsidR="00157E7D" w:rsidRPr="006B5726" w:rsidRDefault="00157E7D" w:rsidP="00E55FD2">
            <w:pPr>
              <w:pStyle w:val="COMTabletext"/>
              <w:keepNext w:val="0"/>
            </w:pPr>
            <w:r w:rsidRPr="7FB99A72">
              <w:t>This was inconsistent with the National Blood Authority continuing treatment criteria for IVIg that required a ≥3-point improvement in MGC score OR clinical benefit but with end-of-cycle deterioration after 16 weeks of therapy.</w:t>
            </w:r>
          </w:p>
        </w:tc>
      </w:tr>
      <w:tr w:rsidR="00157E7D" w:rsidRPr="0098262F" w14:paraId="1693794D" w14:textId="77777777" w:rsidTr="7FB99A72">
        <w:trPr>
          <w:cantSplit/>
        </w:trPr>
        <w:tc>
          <w:tcPr>
            <w:tcW w:w="727" w:type="pct"/>
            <w:shd w:val="clear" w:color="auto" w:fill="auto"/>
            <w:vAlign w:val="center"/>
          </w:tcPr>
          <w:p w14:paraId="7C1426EB" w14:textId="77777777" w:rsidR="00157E7D" w:rsidRPr="0098262F" w:rsidRDefault="00157E7D" w:rsidP="00E55FD2">
            <w:pPr>
              <w:pStyle w:val="COMTabletext"/>
              <w:keepNext w:val="0"/>
            </w:pPr>
            <w:r>
              <w:t xml:space="preserve">Chronic </w:t>
            </w:r>
            <w:r w:rsidRPr="00B162C2">
              <w:t>IVIg/PLEX persistence</w:t>
            </w:r>
          </w:p>
        </w:tc>
        <w:tc>
          <w:tcPr>
            <w:tcW w:w="2137" w:type="pct"/>
            <w:shd w:val="clear" w:color="auto" w:fill="auto"/>
            <w:vAlign w:val="center"/>
          </w:tcPr>
          <w:p w14:paraId="2C2600C8" w14:textId="77777777" w:rsidR="00157E7D" w:rsidRPr="006B5726" w:rsidRDefault="00157E7D" w:rsidP="00E55FD2">
            <w:pPr>
              <w:pStyle w:val="COMTabletext"/>
              <w:keepNext w:val="0"/>
            </w:pPr>
            <w:r w:rsidRPr="006B5726">
              <w:t xml:space="preserve">Assumed to be the same as for </w:t>
            </w:r>
            <w:proofErr w:type="spellStart"/>
            <w:r w:rsidRPr="006B5726">
              <w:t>zilucoplan</w:t>
            </w:r>
            <w:proofErr w:type="spellEnd"/>
            <w:r w:rsidRPr="006B5726">
              <w:t>.</w:t>
            </w:r>
          </w:p>
        </w:tc>
        <w:tc>
          <w:tcPr>
            <w:tcW w:w="2136" w:type="pct"/>
            <w:shd w:val="clear" w:color="auto" w:fill="auto"/>
            <w:vAlign w:val="center"/>
          </w:tcPr>
          <w:p w14:paraId="48F8B26D" w14:textId="64283FA1" w:rsidR="00157E7D" w:rsidRPr="006B5726" w:rsidRDefault="00157E7D" w:rsidP="00E55FD2">
            <w:pPr>
              <w:pStyle w:val="COMTabletext"/>
              <w:keepNext w:val="0"/>
            </w:pPr>
            <w:r w:rsidRPr="006B5726">
              <w:t xml:space="preserve">DUSC previously considered the assumption of the same treatment persistence for IVIg and PLEX as </w:t>
            </w:r>
            <w:proofErr w:type="spellStart"/>
            <w:r w:rsidRPr="006B5726">
              <w:t>zilucoplan</w:t>
            </w:r>
            <w:proofErr w:type="spellEnd"/>
            <w:r w:rsidRPr="006B5726">
              <w:t xml:space="preserve"> was not adequately justified (Table 17, </w:t>
            </w:r>
            <w:proofErr w:type="spellStart"/>
            <w:r w:rsidRPr="006B5726">
              <w:t>zilucoplan</w:t>
            </w:r>
            <w:proofErr w:type="spellEnd"/>
            <w:r w:rsidRPr="006B5726">
              <w:t xml:space="preserve"> </w:t>
            </w:r>
            <w:r w:rsidRPr="006B5726">
              <w:rPr>
                <w:rFonts w:eastAsia="PlantinStd"/>
              </w:rPr>
              <w:t xml:space="preserve">PBAC </w:t>
            </w:r>
            <w:r w:rsidR="008F0152">
              <w:rPr>
                <w:rFonts w:eastAsia="PlantinStd"/>
              </w:rPr>
              <w:t>PSD</w:t>
            </w:r>
            <w:r w:rsidRPr="006B5726">
              <w:t xml:space="preserve">, July 2024 PBAC meeting). </w:t>
            </w:r>
          </w:p>
          <w:p w14:paraId="07E1DB2A" w14:textId="77777777" w:rsidR="00157E7D" w:rsidRPr="006B5726" w:rsidRDefault="00157E7D" w:rsidP="00E55FD2">
            <w:pPr>
              <w:pStyle w:val="COMTabletext"/>
              <w:keepNext w:val="0"/>
            </w:pPr>
          </w:p>
          <w:p w14:paraId="7EA18C62" w14:textId="53E8001A" w:rsidR="00157E7D" w:rsidRPr="006B5726" w:rsidRDefault="00157E7D" w:rsidP="00E55FD2">
            <w:pPr>
              <w:pStyle w:val="COMTabletext"/>
              <w:keepNext w:val="0"/>
            </w:pPr>
            <w:r w:rsidRPr="78882673">
              <w:t xml:space="preserve">The persistence estimates were substantially higher than applied in the economic model. </w:t>
            </w:r>
          </w:p>
        </w:tc>
      </w:tr>
      <w:tr w:rsidR="00157E7D" w:rsidRPr="0098262F" w14:paraId="3068A049" w14:textId="77777777" w:rsidTr="7FB99A72">
        <w:trPr>
          <w:cantSplit/>
        </w:trPr>
        <w:tc>
          <w:tcPr>
            <w:tcW w:w="727" w:type="pct"/>
            <w:shd w:val="clear" w:color="auto" w:fill="auto"/>
            <w:vAlign w:val="center"/>
          </w:tcPr>
          <w:p w14:paraId="32A12F74" w14:textId="77777777" w:rsidR="00157E7D" w:rsidRDefault="00157E7D" w:rsidP="00E55FD2">
            <w:pPr>
              <w:pStyle w:val="COMTabletext"/>
              <w:keepNext w:val="0"/>
            </w:pPr>
            <w:r>
              <w:lastRenderedPageBreak/>
              <w:t>Dispensed IVIg per patient</w:t>
            </w:r>
          </w:p>
        </w:tc>
        <w:tc>
          <w:tcPr>
            <w:tcW w:w="2137" w:type="pct"/>
            <w:shd w:val="clear" w:color="auto" w:fill="auto"/>
            <w:vAlign w:val="center"/>
          </w:tcPr>
          <w:p w14:paraId="6CA63C9F" w14:textId="57ABDA90" w:rsidR="00157E7D" w:rsidRPr="000F14CC" w:rsidRDefault="00157E7D" w:rsidP="00E55FD2">
            <w:pPr>
              <w:pStyle w:val="COMTabletext"/>
              <w:keepNext w:val="0"/>
              <w:spacing w:after="120"/>
            </w:pPr>
            <w:r w:rsidRPr="000F14CC">
              <w:t>Responder initial year: 718 g, responder subsequent year: 696 g, non-responder: 260 g. Doses were calculated based on mean body weight in the RAISE trial and the maximum doses recommended in the IVIg (</w:t>
            </w:r>
            <w:proofErr w:type="spellStart"/>
            <w:r w:rsidRPr="000F14CC">
              <w:t>Privigen</w:t>
            </w:r>
            <w:proofErr w:type="spellEnd"/>
            <w:r w:rsidRPr="000F14CC">
              <w:rPr>
                <w:vertAlign w:val="superscript"/>
              </w:rPr>
              <w:t>®</w:t>
            </w:r>
            <w:r w:rsidRPr="000F14CC">
              <w:t xml:space="preserve">) product information. </w:t>
            </w:r>
          </w:p>
          <w:p w14:paraId="4070848A" w14:textId="21EFED96" w:rsidR="00157E7D" w:rsidRPr="000F14CC" w:rsidRDefault="00157E7D" w:rsidP="00E55FD2">
            <w:pPr>
              <w:pStyle w:val="COMTabletext"/>
              <w:spacing w:after="120"/>
            </w:pPr>
            <w:r w:rsidRPr="000F14CC">
              <w:t xml:space="preserve">In the previous submission, doses were calculated based on mean body weight in the RAISE trial (89.1 kg) and maximum doses recommended in the IVIg product information. The resubmission noted that a sensitivity analysis in the </w:t>
            </w:r>
            <w:proofErr w:type="spellStart"/>
            <w:r w:rsidRPr="000F14CC">
              <w:t>zilucoplan</w:t>
            </w:r>
            <w:proofErr w:type="spellEnd"/>
            <w:r w:rsidRPr="000F14CC">
              <w:t xml:space="preserve"> July 2024 PBAC </w:t>
            </w:r>
            <w:r w:rsidR="008F0152" w:rsidRPr="000F14CC">
              <w:t xml:space="preserve">PSD </w:t>
            </w:r>
            <w:r w:rsidRPr="000F14CC">
              <w:t xml:space="preserve">assumed a 60% reduction in the estimated IVIg dose (i.e. to a dose consistent with average dose reported in the MSAC review of IVIg use for myasthenia gravis of 492 g per patient), but argued that a 40% reduction (resulting in a higher dose) would be more appropriate in a treatment refractory population. </w:t>
            </w:r>
          </w:p>
          <w:p w14:paraId="379987D0" w14:textId="188BF866" w:rsidR="00157E7D" w:rsidRPr="000F14CC" w:rsidRDefault="00157E7D" w:rsidP="00E55FD2">
            <w:pPr>
              <w:pStyle w:val="COMTabletext"/>
            </w:pPr>
            <w:r w:rsidRPr="000F14CC">
              <w:t xml:space="preserve">The resubmission stated that the highest dose frequency in the recommended range was chosen (i.e. induction dose split over 2 administrations and maintenance dose every 4 weeks). Additionally, the number of administrations in the initial year were adjusted assuming the same treatment durations as for </w:t>
            </w:r>
            <w:proofErr w:type="spellStart"/>
            <w:r w:rsidRPr="000F14CC">
              <w:t>zilucoplan</w:t>
            </w:r>
            <w:proofErr w:type="spellEnd"/>
            <w:r w:rsidRPr="000F14CC">
              <w:t xml:space="preserve"> for the initial 16-week period (15.55 weeks) and subsequent 16- to 52-week period (34.29 weeks). This approach yielded a total dispensed dose of 718 g (calculated as [106.9 g + (12 × 53.5g)] x 95.9%) for initial year responders, 696 g for subsequent year responders (calculated as 53.5 g × 13) and 260 g for non-responders (calculated as [106.9 g + (53.5 g x 3)] × 97.2%].</w:t>
            </w:r>
          </w:p>
        </w:tc>
        <w:tc>
          <w:tcPr>
            <w:tcW w:w="2136" w:type="pct"/>
            <w:shd w:val="clear" w:color="auto" w:fill="auto"/>
            <w:vAlign w:val="center"/>
          </w:tcPr>
          <w:p w14:paraId="17FBFCB3" w14:textId="77777777" w:rsidR="00157E7D" w:rsidRPr="000F14CC" w:rsidRDefault="00157E7D" w:rsidP="00E55FD2">
            <w:pPr>
              <w:pStyle w:val="COMTabletext"/>
              <w:keepNext w:val="0"/>
            </w:pPr>
            <w:r w:rsidRPr="000F14CC">
              <w:t>No data were provided to support the resubmission’s claim that IVIg doses would be higher in treatment refractory populations.</w:t>
            </w:r>
          </w:p>
          <w:p w14:paraId="391A131A" w14:textId="77777777" w:rsidR="00157E7D" w:rsidRPr="000F14CC" w:rsidRDefault="00157E7D" w:rsidP="00E55FD2">
            <w:pPr>
              <w:pStyle w:val="COMTabletext"/>
              <w:keepNext w:val="0"/>
            </w:pPr>
          </w:p>
          <w:p w14:paraId="385BAF80" w14:textId="78937735" w:rsidR="00157E7D" w:rsidRPr="000F14CC" w:rsidRDefault="00157E7D" w:rsidP="00E55FD2">
            <w:pPr>
              <w:pStyle w:val="COMTabletext"/>
              <w:keepNext w:val="0"/>
            </w:pPr>
            <w:r w:rsidRPr="000F14CC">
              <w:t>Overall, the resubmission’s approach yielded an IVIg dose of 696 g for the majority of patients who receive ongoing treatment, which was higher than the mean IVIg maintenance dose among patients with myasthenia gravis reported in the MSAC review of immunoglobulin use for myasthenia gravis (492 g) and in the NBA data on the utilisation of IVIg as maintenance therapy in 2023-24 (541</w:t>
            </w:r>
            <w:r w:rsidR="000F14CC" w:rsidRPr="000F14CC">
              <w:t> </w:t>
            </w:r>
            <w:r w:rsidRPr="000F14CC">
              <w:t>g).</w:t>
            </w:r>
          </w:p>
        </w:tc>
      </w:tr>
      <w:tr w:rsidR="00157E7D" w:rsidRPr="0098262F" w14:paraId="3012A815" w14:textId="77777777" w:rsidTr="7FB99A72">
        <w:trPr>
          <w:cantSplit/>
        </w:trPr>
        <w:tc>
          <w:tcPr>
            <w:tcW w:w="727" w:type="pct"/>
            <w:shd w:val="clear" w:color="auto" w:fill="auto"/>
            <w:vAlign w:val="center"/>
          </w:tcPr>
          <w:p w14:paraId="38D9E1BE" w14:textId="77777777" w:rsidR="00157E7D" w:rsidRDefault="00157E7D" w:rsidP="00E55FD2">
            <w:pPr>
              <w:pStyle w:val="COMTabletext"/>
              <w:keepNext w:val="0"/>
            </w:pPr>
            <w:proofErr w:type="spellStart"/>
            <w:r>
              <w:t>Zilucoplan</w:t>
            </w:r>
            <w:proofErr w:type="spellEnd"/>
            <w:r>
              <w:t xml:space="preserve"> cost</w:t>
            </w:r>
          </w:p>
        </w:tc>
        <w:tc>
          <w:tcPr>
            <w:tcW w:w="2137" w:type="pct"/>
            <w:shd w:val="clear" w:color="auto" w:fill="auto"/>
            <w:vAlign w:val="center"/>
          </w:tcPr>
          <w:p w14:paraId="19B60BF8" w14:textId="703491E8" w:rsidR="00157E7D" w:rsidRPr="005500C7" w:rsidRDefault="00157E7D" w:rsidP="00E55FD2">
            <w:pPr>
              <w:pStyle w:val="COMTabletext"/>
              <w:keepNext w:val="0"/>
            </w:pPr>
            <w:r w:rsidRPr="005500C7">
              <w:t>16.6 mg: $</w:t>
            </w:r>
            <w:r w:rsidR="007510F8" w:rsidRPr="007510F8">
              <w:rPr>
                <w:color w:val="000000"/>
                <w:spacing w:val="54"/>
                <w:shd w:val="solid" w:color="000000" w:fill="000000"/>
                <w:fitText w:val="334" w:id="-691334656"/>
                <w14:textFill>
                  <w14:solidFill>
                    <w14:srgbClr w14:val="000000">
                      <w14:alpha w14:val="100000"/>
                    </w14:srgbClr>
                  </w14:solidFill>
                </w14:textFill>
              </w:rPr>
              <w:t>|||</w:t>
            </w:r>
            <w:r w:rsidR="007510F8" w:rsidRPr="007510F8">
              <w:rPr>
                <w:color w:val="000000"/>
                <w:spacing w:val="2"/>
                <w:shd w:val="solid" w:color="000000" w:fill="000000"/>
                <w:fitText w:val="334" w:id="-691334656"/>
                <w14:textFill>
                  <w14:solidFill>
                    <w14:srgbClr w14:val="000000">
                      <w14:alpha w14:val="100000"/>
                    </w14:srgbClr>
                  </w14:solidFill>
                </w14:textFill>
              </w:rPr>
              <w:t>|</w:t>
            </w:r>
            <w:r w:rsidRPr="005500C7">
              <w:t>, 23.0 mg: $</w:t>
            </w:r>
            <w:r w:rsidR="007510F8" w:rsidRPr="007510F8">
              <w:rPr>
                <w:color w:val="000000"/>
                <w:spacing w:val="54"/>
                <w:shd w:val="solid" w:color="000000" w:fill="000000"/>
                <w:fitText w:val="333" w:id="-691334655"/>
                <w14:textFill>
                  <w14:solidFill>
                    <w14:srgbClr w14:val="000000">
                      <w14:alpha w14:val="100000"/>
                    </w14:srgbClr>
                  </w14:solidFill>
                </w14:textFill>
              </w:rPr>
              <w:t>|||</w:t>
            </w:r>
            <w:r w:rsidR="007510F8" w:rsidRPr="007510F8">
              <w:rPr>
                <w:color w:val="000000"/>
                <w:spacing w:val="1"/>
                <w:shd w:val="solid" w:color="000000" w:fill="000000"/>
                <w:fitText w:val="333" w:id="-691334655"/>
                <w14:textFill>
                  <w14:solidFill>
                    <w14:srgbClr w14:val="000000">
                      <w14:alpha w14:val="100000"/>
                    </w14:srgbClr>
                  </w14:solidFill>
                </w14:textFill>
              </w:rPr>
              <w:t>|</w:t>
            </w:r>
            <w:r w:rsidRPr="005500C7">
              <w:t>, 32.4 mg: $</w:t>
            </w:r>
            <w:r w:rsidR="007510F8" w:rsidRPr="007510F8">
              <w:rPr>
                <w:color w:val="000000"/>
                <w:spacing w:val="50"/>
                <w:shd w:val="solid" w:color="000000" w:fill="000000"/>
                <w:fitText w:val="322" w:id="-691334654"/>
                <w14:textFill>
                  <w14:solidFill>
                    <w14:srgbClr w14:val="000000">
                      <w14:alpha w14:val="100000"/>
                    </w14:srgbClr>
                  </w14:solidFill>
                </w14:textFill>
              </w:rPr>
              <w:t>|||</w:t>
            </w:r>
            <w:r w:rsidR="007510F8" w:rsidRPr="007510F8">
              <w:rPr>
                <w:color w:val="000000"/>
                <w:spacing w:val="2"/>
                <w:shd w:val="solid" w:color="000000" w:fill="000000"/>
                <w:fitText w:val="322" w:id="-691334654"/>
                <w14:textFill>
                  <w14:solidFill>
                    <w14:srgbClr w14:val="000000">
                      <w14:alpha w14:val="100000"/>
                    </w14:srgbClr>
                  </w14:solidFill>
                </w14:textFill>
              </w:rPr>
              <w:t>|</w:t>
            </w:r>
            <w:r w:rsidRPr="005500C7">
              <w:t xml:space="preserve"> based on the proposed effective AEMP.</w:t>
            </w:r>
          </w:p>
        </w:tc>
        <w:tc>
          <w:tcPr>
            <w:tcW w:w="2136" w:type="pct"/>
            <w:shd w:val="clear" w:color="auto" w:fill="auto"/>
            <w:vAlign w:val="center"/>
          </w:tcPr>
          <w:p w14:paraId="77F5E9AE" w14:textId="1BA79F54" w:rsidR="00157E7D" w:rsidRPr="005500C7" w:rsidRDefault="00157E7D" w:rsidP="00E55FD2">
            <w:pPr>
              <w:pStyle w:val="COMTabletext"/>
              <w:keepNext w:val="0"/>
            </w:pPr>
            <w:r w:rsidRPr="005500C7">
              <w:t>The proposed effective AEMP was $</w:t>
            </w:r>
            <w:r w:rsidR="007510F8" w:rsidRPr="007510F8">
              <w:rPr>
                <w:color w:val="000000"/>
                <w:spacing w:val="54"/>
                <w:shd w:val="solid" w:color="000000" w:fill="000000"/>
                <w:fitText w:val="333" w:id="-691334653"/>
                <w14:textFill>
                  <w14:solidFill>
                    <w14:srgbClr w14:val="000000">
                      <w14:alpha w14:val="100000"/>
                    </w14:srgbClr>
                  </w14:solidFill>
                </w14:textFill>
              </w:rPr>
              <w:t>|||</w:t>
            </w:r>
            <w:r w:rsidR="007510F8" w:rsidRPr="007510F8">
              <w:rPr>
                <w:color w:val="000000"/>
                <w:spacing w:val="1"/>
                <w:shd w:val="solid" w:color="000000" w:fill="000000"/>
                <w:fitText w:val="333" w:id="-691334653"/>
                <w14:textFill>
                  <w14:solidFill>
                    <w14:srgbClr w14:val="000000">
                      <w14:alpha w14:val="100000"/>
                    </w14:srgbClr>
                  </w14:solidFill>
                </w14:textFill>
              </w:rPr>
              <w:t>|</w:t>
            </w:r>
            <w:r w:rsidRPr="005500C7">
              <w:t xml:space="preserve"> per mg, representing an </w:t>
            </w:r>
            <w:r w:rsidR="007510F8" w:rsidRPr="007510F8">
              <w:rPr>
                <w:color w:val="000000"/>
                <w:spacing w:val="54"/>
                <w:shd w:val="solid" w:color="000000" w:fill="000000"/>
                <w:fitText w:val="333" w:id="-691334652"/>
                <w14:textFill>
                  <w14:solidFill>
                    <w14:srgbClr w14:val="000000">
                      <w14:alpha w14:val="100000"/>
                    </w14:srgbClr>
                  </w14:solidFill>
                </w14:textFill>
              </w:rPr>
              <w:t>|||</w:t>
            </w:r>
            <w:r w:rsidR="007510F8" w:rsidRPr="007510F8">
              <w:rPr>
                <w:color w:val="000000"/>
                <w:spacing w:val="1"/>
                <w:shd w:val="solid" w:color="000000" w:fill="000000"/>
                <w:fitText w:val="333" w:id="-691334652"/>
                <w14:textFill>
                  <w14:solidFill>
                    <w14:srgbClr w14:val="000000">
                      <w14:alpha w14:val="100000"/>
                    </w14:srgbClr>
                  </w14:solidFill>
                </w14:textFill>
              </w:rPr>
              <w:t>|</w:t>
            </w:r>
            <w:r w:rsidRPr="005500C7">
              <w:t>% increase compared to $</w:t>
            </w:r>
            <w:r w:rsidR="007510F8" w:rsidRPr="007510F8">
              <w:rPr>
                <w:color w:val="000000"/>
                <w:spacing w:val="50"/>
                <w:shd w:val="solid" w:color="000000" w:fill="000000"/>
                <w:fitText w:val="323" w:id="-691334651"/>
                <w14:textFill>
                  <w14:solidFill>
                    <w14:srgbClr w14:val="000000">
                      <w14:alpha w14:val="100000"/>
                    </w14:srgbClr>
                  </w14:solidFill>
                </w14:textFill>
              </w:rPr>
              <w:t>|||</w:t>
            </w:r>
            <w:r w:rsidR="007510F8" w:rsidRPr="007510F8">
              <w:rPr>
                <w:color w:val="000000"/>
                <w:spacing w:val="3"/>
                <w:shd w:val="solid" w:color="000000" w:fill="000000"/>
                <w:fitText w:val="323" w:id="-691334651"/>
                <w14:textFill>
                  <w14:solidFill>
                    <w14:srgbClr w14:val="000000">
                      <w14:alpha w14:val="100000"/>
                    </w14:srgbClr>
                  </w14:solidFill>
                </w14:textFill>
              </w:rPr>
              <w:t>|</w:t>
            </w:r>
            <w:r w:rsidRPr="005500C7">
              <w:t xml:space="preserve"> per mg in the July 2024 submission.</w:t>
            </w:r>
          </w:p>
        </w:tc>
      </w:tr>
      <w:tr w:rsidR="00157E7D" w:rsidRPr="0098262F" w14:paraId="78646CFF" w14:textId="77777777" w:rsidTr="7FB99A72">
        <w:trPr>
          <w:cantSplit/>
        </w:trPr>
        <w:tc>
          <w:tcPr>
            <w:tcW w:w="727" w:type="pct"/>
            <w:shd w:val="clear" w:color="auto" w:fill="auto"/>
            <w:vAlign w:val="center"/>
          </w:tcPr>
          <w:p w14:paraId="56C6E872" w14:textId="77777777" w:rsidR="00157E7D" w:rsidRDefault="00157E7D" w:rsidP="00E55FD2">
            <w:pPr>
              <w:pStyle w:val="COMTabletext"/>
              <w:keepNext w:val="0"/>
            </w:pPr>
            <w:r>
              <w:t>IVIg cost</w:t>
            </w:r>
          </w:p>
        </w:tc>
        <w:tc>
          <w:tcPr>
            <w:tcW w:w="2137" w:type="pct"/>
            <w:shd w:val="clear" w:color="auto" w:fill="auto"/>
            <w:vAlign w:val="center"/>
          </w:tcPr>
          <w:p w14:paraId="27D04DCF" w14:textId="5F0553E7" w:rsidR="00157E7D" w:rsidRPr="005500C7" w:rsidRDefault="00157E7D" w:rsidP="00E55FD2">
            <w:pPr>
              <w:pStyle w:val="COMTabletext"/>
              <w:keepNext w:val="0"/>
            </w:pPr>
            <w:r w:rsidRPr="005500C7">
              <w:t>$</w:t>
            </w:r>
            <w:r w:rsidR="0011411E" w:rsidRPr="0011411E">
              <w:rPr>
                <w:color w:val="000000"/>
                <w:spacing w:val="53"/>
                <w:shd w:val="solid" w:color="000000" w:fill="000000"/>
                <w:fitText w:val="330" w:id="-656192246"/>
                <w14:textFill>
                  <w14:solidFill>
                    <w14:srgbClr w14:val="000000">
                      <w14:alpha w14:val="100000"/>
                    </w14:srgbClr>
                  </w14:solidFill>
                </w14:textFill>
              </w:rPr>
              <w:t>|||</w:t>
            </w:r>
            <w:r w:rsidR="0011411E" w:rsidRPr="0011411E">
              <w:rPr>
                <w:color w:val="000000"/>
                <w:spacing w:val="1"/>
                <w:shd w:val="solid" w:color="000000" w:fill="000000"/>
                <w:fitText w:val="330" w:id="-656192246"/>
                <w14:textFill>
                  <w14:solidFill>
                    <w14:srgbClr w14:val="000000">
                      <w14:alpha w14:val="100000"/>
                    </w14:srgbClr>
                  </w14:solidFill>
                </w14:textFill>
              </w:rPr>
              <w:t>|</w:t>
            </w:r>
            <w:r w:rsidRPr="005500C7">
              <w:t xml:space="preserve"> per gram. Based on the price of </w:t>
            </w:r>
            <w:proofErr w:type="spellStart"/>
            <w:r w:rsidRPr="005500C7">
              <w:t>Intragam</w:t>
            </w:r>
            <w:proofErr w:type="spellEnd"/>
            <w:r w:rsidRPr="005500C7">
              <w:t xml:space="preserve"> 10 (2.5 g/25 mL: $</w:t>
            </w:r>
            <w:r w:rsidR="0011411E" w:rsidRPr="005116BA">
              <w:rPr>
                <w:color w:val="000000"/>
                <w:spacing w:val="53"/>
                <w:shd w:val="solid" w:color="000000" w:fill="000000"/>
                <w:fitText w:val="330" w:id="-656192245"/>
                <w14:textFill>
                  <w14:solidFill>
                    <w14:srgbClr w14:val="000000">
                      <w14:alpha w14:val="100000"/>
                    </w14:srgbClr>
                  </w14:solidFill>
                </w14:textFill>
              </w:rPr>
              <w:t>|||</w:t>
            </w:r>
            <w:r w:rsidR="0011411E" w:rsidRPr="005116BA">
              <w:rPr>
                <w:color w:val="000000"/>
                <w:spacing w:val="1"/>
                <w:shd w:val="solid" w:color="000000" w:fill="000000"/>
                <w:fitText w:val="330" w:id="-656192245"/>
                <w14:textFill>
                  <w14:solidFill>
                    <w14:srgbClr w14:val="000000">
                      <w14:alpha w14:val="100000"/>
                    </w14:srgbClr>
                  </w14:solidFill>
                </w14:textFill>
              </w:rPr>
              <w:t>|</w:t>
            </w:r>
            <w:r w:rsidRPr="005500C7">
              <w:t>; NBA National Product Price List October 2024).</w:t>
            </w:r>
          </w:p>
        </w:tc>
        <w:tc>
          <w:tcPr>
            <w:tcW w:w="2136" w:type="pct"/>
            <w:shd w:val="clear" w:color="auto" w:fill="auto"/>
            <w:vAlign w:val="center"/>
          </w:tcPr>
          <w:p w14:paraId="7D45C35B" w14:textId="100487C3" w:rsidR="00157E7D" w:rsidRPr="005500C7" w:rsidRDefault="00157E7D" w:rsidP="00E55FD2">
            <w:pPr>
              <w:pStyle w:val="COMTabletext"/>
              <w:keepNext w:val="0"/>
            </w:pPr>
            <w:r w:rsidRPr="005500C7">
              <w:t xml:space="preserve">Based on data from the NBA, the average cost per gram of IVIg </w:t>
            </w:r>
            <w:r w:rsidRPr="005F59A9">
              <w:t>was $</w:t>
            </w:r>
            <w:r w:rsidR="0011411E" w:rsidRPr="009C6D32">
              <w:rPr>
                <w:color w:val="000000"/>
                <w:spacing w:val="49"/>
                <w:shd w:val="solid" w:color="000000" w:fill="000000"/>
                <w:fitText w:val="320" w:id="-656192244"/>
                <w14:textFill>
                  <w14:solidFill>
                    <w14:srgbClr w14:val="000000">
                      <w14:alpha w14:val="100000"/>
                    </w14:srgbClr>
                  </w14:solidFill>
                </w14:textFill>
              </w:rPr>
              <w:t>|||</w:t>
            </w:r>
            <w:r w:rsidR="0011411E" w:rsidRPr="009C6D32">
              <w:rPr>
                <w:color w:val="000000"/>
                <w:spacing w:val="3"/>
                <w:shd w:val="solid" w:color="000000" w:fill="000000"/>
                <w:fitText w:val="320" w:id="-656192244"/>
                <w14:textFill>
                  <w14:solidFill>
                    <w14:srgbClr w14:val="000000">
                      <w14:alpha w14:val="100000"/>
                    </w14:srgbClr>
                  </w14:solidFill>
                </w14:textFill>
              </w:rPr>
              <w:t>|</w:t>
            </w:r>
            <w:r w:rsidRPr="005F59A9">
              <w:t xml:space="preserve"> in</w:t>
            </w:r>
            <w:r w:rsidRPr="005500C7">
              <w:t xml:space="preserve"> 2023-24.</w:t>
            </w:r>
          </w:p>
        </w:tc>
      </w:tr>
    </w:tbl>
    <w:p w14:paraId="3FB6650D" w14:textId="77777777" w:rsidR="00467A6D" w:rsidRPr="00B162C2" w:rsidRDefault="00467A6D" w:rsidP="00E55FD2">
      <w:pPr>
        <w:pStyle w:val="COMTablefooter"/>
      </w:pPr>
      <w:r w:rsidRPr="00B162C2">
        <w:t xml:space="preserve">Source: Section 4, </w:t>
      </w:r>
      <w:r>
        <w:t>pp199-234</w:t>
      </w:r>
      <w:r w:rsidRPr="00B162C2">
        <w:t xml:space="preserve"> of the </w:t>
      </w:r>
      <w:r>
        <w:t>re</w:t>
      </w:r>
      <w:r w:rsidRPr="00B162C2">
        <w:t>submission; Section 4 utilisation and financial impacts Excel workbook</w:t>
      </w:r>
    </w:p>
    <w:p w14:paraId="534F8BA6" w14:textId="4D954841" w:rsidR="00467A6D" w:rsidRPr="00B162C2" w:rsidRDefault="00467A6D" w:rsidP="00E55FD2">
      <w:pPr>
        <w:pStyle w:val="COMTablefooter"/>
      </w:pPr>
      <w:r w:rsidRPr="00B162C2">
        <w:t xml:space="preserve">Abbreviations: </w:t>
      </w:r>
      <w:proofErr w:type="spellStart"/>
      <w:r w:rsidRPr="00B162C2">
        <w:t>AChR</w:t>
      </w:r>
      <w:proofErr w:type="spellEnd"/>
      <w:r w:rsidRPr="00B162C2">
        <w:t>+, acetylcholine receptor antibody positive; AEMP, approved ex-manufacturer price; IVIg, intravenous immunoglobulin; MG-ADL, Myasthenia Gravis Activities of Daily Living; MGC, Myasthenia Gravis Composite score; MSAC, Medical Services Advisory Committee; NBA, National Blood Authority; PLEX, plasma exchange;</w:t>
      </w:r>
      <w:r w:rsidR="000A6756">
        <w:t xml:space="preserve"> PSD = Public </w:t>
      </w:r>
      <w:r w:rsidR="002814AE">
        <w:t>S</w:t>
      </w:r>
      <w:r w:rsidR="000A6756">
        <w:t xml:space="preserve">ummary </w:t>
      </w:r>
      <w:r w:rsidR="002814AE">
        <w:t>D</w:t>
      </w:r>
      <w:r w:rsidR="000A6756">
        <w:t>ocument</w:t>
      </w:r>
      <w:r w:rsidR="00C61ACA">
        <w:t>;</w:t>
      </w:r>
      <w:r w:rsidRPr="00B162C2">
        <w:t xml:space="preserve"> Yr, Year</w:t>
      </w:r>
    </w:p>
    <w:p w14:paraId="6B0548B3" w14:textId="71845F4C" w:rsidR="00463C95" w:rsidRPr="00B067B3" w:rsidRDefault="00E1324E" w:rsidP="00E55FD2">
      <w:pPr>
        <w:pStyle w:val="COMexecsummnumbered"/>
      </w:pPr>
      <w:r>
        <w:fldChar w:fldCharType="begin"/>
      </w:r>
      <w:r>
        <w:instrText xml:space="preserve"> REF _Ref104805295 \h </w:instrText>
      </w:r>
      <w:r>
        <w:fldChar w:fldCharType="separate"/>
      </w:r>
      <w:r w:rsidR="00271F88" w:rsidRPr="00BB59B1">
        <w:t xml:space="preserve">Table </w:t>
      </w:r>
      <w:r w:rsidR="00271F88">
        <w:rPr>
          <w:noProof/>
        </w:rPr>
        <w:t>16</w:t>
      </w:r>
      <w:r>
        <w:fldChar w:fldCharType="end"/>
      </w:r>
      <w:r>
        <w:t xml:space="preserve"> </w:t>
      </w:r>
      <w:r w:rsidR="00463C95">
        <w:t xml:space="preserve">summarises the </w:t>
      </w:r>
      <w:r w:rsidR="00EB0C76">
        <w:t xml:space="preserve">submission’s </w:t>
      </w:r>
      <w:r w:rsidR="00463C95">
        <w:t xml:space="preserve">estimated eligible population, scripts dispensed and net cost to </w:t>
      </w:r>
      <w:r w:rsidR="008B7E30" w:rsidRPr="5669A5A1">
        <w:t xml:space="preserve">PBS/RPBS/NBA/MBS </w:t>
      </w:r>
      <w:r w:rsidR="00463C95">
        <w:t xml:space="preserve">of listing </w:t>
      </w:r>
      <w:proofErr w:type="spellStart"/>
      <w:r w:rsidR="00463C95">
        <w:t>zilucoplan</w:t>
      </w:r>
      <w:proofErr w:type="spellEnd"/>
      <w:r w:rsidR="00463C95">
        <w:t xml:space="preserve"> </w:t>
      </w:r>
      <w:r w:rsidR="00463C95" w:rsidRPr="009F4FD0">
        <w:t xml:space="preserve">adult patients with </w:t>
      </w:r>
      <w:proofErr w:type="spellStart"/>
      <w:r w:rsidR="00463C95" w:rsidRPr="009F4FD0">
        <w:t>AChR</w:t>
      </w:r>
      <w:proofErr w:type="spellEnd"/>
      <w:r w:rsidR="00463C95" w:rsidRPr="009F4FD0">
        <w:t xml:space="preserve"> positive generalised myasthenia gravis who are treatment refractory</w:t>
      </w:r>
      <w:r w:rsidR="00463C95">
        <w:t>.</w:t>
      </w:r>
    </w:p>
    <w:p w14:paraId="38EC053C" w14:textId="5F007CC8" w:rsidR="00C25D9C" w:rsidRDefault="00E16AD8" w:rsidP="00E55FD2">
      <w:pPr>
        <w:pStyle w:val="COMtablefigcaption"/>
      </w:pPr>
      <w:bookmarkStart w:id="82" w:name="_Ref104805295"/>
      <w:r w:rsidRPr="00BB59B1">
        <w:lastRenderedPageBreak/>
        <w:t xml:space="preserve">Table </w:t>
      </w:r>
      <w:r w:rsidR="00891FF9">
        <w:fldChar w:fldCharType="begin"/>
      </w:r>
      <w:r w:rsidR="00891FF9">
        <w:instrText xml:space="preserve"> SEQ Table \* ARABIC </w:instrText>
      </w:r>
      <w:r w:rsidR="00891FF9">
        <w:fldChar w:fldCharType="separate"/>
      </w:r>
      <w:r w:rsidR="00271F88">
        <w:rPr>
          <w:noProof/>
        </w:rPr>
        <w:t>16</w:t>
      </w:r>
      <w:r w:rsidR="00891FF9">
        <w:rPr>
          <w:noProof/>
        </w:rPr>
        <w:fldChar w:fldCharType="end"/>
      </w:r>
      <w:bookmarkEnd w:id="82"/>
      <w:r w:rsidRPr="00BB59B1">
        <w:t>:</w:t>
      </w:r>
      <w:r w:rsidR="002A2F50" w:rsidRPr="00BB59B1">
        <w:t xml:space="preserve"> Estimated use and financial implications</w:t>
      </w:r>
      <w:r w:rsidR="00463C95">
        <w:t xml:space="preserve"> of listing </w:t>
      </w:r>
      <w:proofErr w:type="spellStart"/>
      <w:r w:rsidR="00463C95">
        <w:t>zilucoplan</w:t>
      </w:r>
      <w:proofErr w:type="spellEnd"/>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of listing zilucoplan"/>
      </w:tblPr>
      <w:tblGrid>
        <w:gridCol w:w="2400"/>
        <w:gridCol w:w="1103"/>
        <w:gridCol w:w="1105"/>
        <w:gridCol w:w="1103"/>
        <w:gridCol w:w="1105"/>
        <w:gridCol w:w="1103"/>
        <w:gridCol w:w="1105"/>
      </w:tblGrid>
      <w:tr w:rsidR="0083174D" w:rsidRPr="0098262F" w14:paraId="5BC5E08C" w14:textId="77777777" w:rsidTr="007C6425">
        <w:trPr>
          <w:tblHeader/>
        </w:trPr>
        <w:tc>
          <w:tcPr>
            <w:tcW w:w="1330" w:type="pct"/>
            <w:shd w:val="clear" w:color="auto" w:fill="auto"/>
            <w:vAlign w:val="center"/>
          </w:tcPr>
          <w:p w14:paraId="4B020EBB" w14:textId="77777777" w:rsidR="0083174D" w:rsidRPr="0098262F" w:rsidRDefault="0083174D" w:rsidP="00E55FD2">
            <w:pPr>
              <w:pStyle w:val="COMTableheadingrow"/>
            </w:pPr>
          </w:p>
        </w:tc>
        <w:tc>
          <w:tcPr>
            <w:tcW w:w="611" w:type="pct"/>
            <w:shd w:val="clear" w:color="auto" w:fill="auto"/>
            <w:vAlign w:val="center"/>
          </w:tcPr>
          <w:p w14:paraId="28FBF1E1" w14:textId="77777777" w:rsidR="0083174D" w:rsidRPr="0098262F" w:rsidRDefault="0083174D" w:rsidP="00E55FD2">
            <w:pPr>
              <w:pStyle w:val="COMTableheadingrow"/>
              <w:jc w:val="center"/>
            </w:pPr>
            <w:r w:rsidRPr="0098262F">
              <w:t>Year 1</w:t>
            </w:r>
          </w:p>
        </w:tc>
        <w:tc>
          <w:tcPr>
            <w:tcW w:w="612" w:type="pct"/>
            <w:shd w:val="clear" w:color="auto" w:fill="auto"/>
            <w:vAlign w:val="center"/>
          </w:tcPr>
          <w:p w14:paraId="647B0553" w14:textId="77777777" w:rsidR="0083174D" w:rsidRPr="0098262F" w:rsidRDefault="0083174D" w:rsidP="00E55FD2">
            <w:pPr>
              <w:pStyle w:val="COMTableheadingrow"/>
              <w:jc w:val="center"/>
            </w:pPr>
            <w:r w:rsidRPr="0098262F">
              <w:t>Year 2</w:t>
            </w:r>
          </w:p>
        </w:tc>
        <w:tc>
          <w:tcPr>
            <w:tcW w:w="611" w:type="pct"/>
            <w:shd w:val="clear" w:color="auto" w:fill="auto"/>
            <w:vAlign w:val="center"/>
          </w:tcPr>
          <w:p w14:paraId="5E883105" w14:textId="77777777" w:rsidR="0083174D" w:rsidRPr="0098262F" w:rsidRDefault="0083174D" w:rsidP="00E55FD2">
            <w:pPr>
              <w:pStyle w:val="COMTableheadingrow"/>
              <w:jc w:val="center"/>
            </w:pPr>
            <w:r w:rsidRPr="0098262F">
              <w:t>Year 3</w:t>
            </w:r>
          </w:p>
        </w:tc>
        <w:tc>
          <w:tcPr>
            <w:tcW w:w="612" w:type="pct"/>
            <w:shd w:val="clear" w:color="auto" w:fill="auto"/>
            <w:vAlign w:val="center"/>
          </w:tcPr>
          <w:p w14:paraId="29CD6DED" w14:textId="77777777" w:rsidR="0083174D" w:rsidRPr="0098262F" w:rsidRDefault="0083174D" w:rsidP="00E55FD2">
            <w:pPr>
              <w:pStyle w:val="COMTableheadingrow"/>
              <w:jc w:val="center"/>
            </w:pPr>
            <w:r w:rsidRPr="0098262F">
              <w:t>Year 4</w:t>
            </w:r>
          </w:p>
        </w:tc>
        <w:tc>
          <w:tcPr>
            <w:tcW w:w="611" w:type="pct"/>
            <w:shd w:val="clear" w:color="auto" w:fill="auto"/>
            <w:vAlign w:val="center"/>
          </w:tcPr>
          <w:p w14:paraId="48FEE029" w14:textId="77777777" w:rsidR="0083174D" w:rsidRPr="0098262F" w:rsidRDefault="0083174D" w:rsidP="00E55FD2">
            <w:pPr>
              <w:pStyle w:val="COMTableheadingrow"/>
              <w:jc w:val="center"/>
            </w:pPr>
            <w:r w:rsidRPr="0098262F">
              <w:t>Year 5</w:t>
            </w:r>
          </w:p>
        </w:tc>
        <w:tc>
          <w:tcPr>
            <w:tcW w:w="612" w:type="pct"/>
            <w:vAlign w:val="center"/>
          </w:tcPr>
          <w:p w14:paraId="74EA4E2C" w14:textId="77777777" w:rsidR="0083174D" w:rsidRPr="0098262F" w:rsidRDefault="0083174D" w:rsidP="00E55FD2">
            <w:pPr>
              <w:pStyle w:val="COMTableheadingrow"/>
              <w:jc w:val="center"/>
            </w:pPr>
            <w:r w:rsidRPr="0098262F">
              <w:t>Year 6</w:t>
            </w:r>
          </w:p>
        </w:tc>
      </w:tr>
      <w:tr w:rsidR="0083174D" w:rsidRPr="0098262F" w14:paraId="3E325E55" w14:textId="77777777" w:rsidTr="007C6425">
        <w:tc>
          <w:tcPr>
            <w:tcW w:w="1330" w:type="pct"/>
            <w:shd w:val="clear" w:color="auto" w:fill="auto"/>
            <w:vAlign w:val="center"/>
          </w:tcPr>
          <w:p w14:paraId="514450B9" w14:textId="77777777" w:rsidR="0083174D" w:rsidRPr="00E26A1F" w:rsidRDefault="0083174D" w:rsidP="00E55FD2">
            <w:pPr>
              <w:pStyle w:val="COMTabletext"/>
            </w:pPr>
            <w:r w:rsidRPr="00E26A1F">
              <w:t xml:space="preserve">Prevalent </w:t>
            </w:r>
            <w:r>
              <w:t>MG patients</w:t>
            </w:r>
          </w:p>
        </w:tc>
        <w:tc>
          <w:tcPr>
            <w:tcW w:w="611" w:type="pct"/>
            <w:shd w:val="clear" w:color="auto" w:fill="auto"/>
          </w:tcPr>
          <w:p w14:paraId="44D99855" w14:textId="44AF6BEF"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50"/>
                <w14:textFill>
                  <w14:solidFill>
                    <w14:srgbClr w14:val="000000">
                      <w14:alpha w14:val="100000"/>
                    </w14:srgbClr>
                  </w14:solidFill>
                </w14:textFill>
              </w:rPr>
              <w:t xml:space="preserve">　</w:t>
            </w:r>
            <w:r w:rsidRPr="007510F8">
              <w:rPr>
                <w:color w:val="000000"/>
                <w:w w:val="15"/>
                <w:shd w:val="solid" w:color="000000" w:fill="000000"/>
                <w:fitText w:val="43" w:id="-691334650"/>
                <w14:textFill>
                  <w14:solidFill>
                    <w14:srgbClr w14:val="000000">
                      <w14:alpha w14:val="100000"/>
                    </w14:srgbClr>
                  </w14:solidFill>
                </w14:textFill>
              </w:rPr>
              <w:t>|</w:t>
            </w:r>
            <w:r w:rsidRPr="007510F8">
              <w:rPr>
                <w:rFonts w:hint="eastAsia"/>
                <w:color w:val="000000"/>
                <w:spacing w:val="-22"/>
                <w:w w:val="15"/>
                <w:shd w:val="solid" w:color="000000" w:fill="000000"/>
                <w:fitText w:val="43" w:id="-691334650"/>
                <w14:textFill>
                  <w14:solidFill>
                    <w14:srgbClr w14:val="000000">
                      <w14:alpha w14:val="100000"/>
                    </w14:srgbClr>
                  </w14:solidFill>
                </w14:textFill>
              </w:rPr>
              <w:t xml:space="preserve">　</w:t>
            </w:r>
            <w:r w:rsidR="008C2D16" w:rsidRPr="008C2D16">
              <w:rPr>
                <w:vertAlign w:val="superscript"/>
              </w:rPr>
              <w:t>1</w:t>
            </w:r>
          </w:p>
        </w:tc>
        <w:tc>
          <w:tcPr>
            <w:tcW w:w="612" w:type="pct"/>
            <w:shd w:val="clear" w:color="auto" w:fill="auto"/>
          </w:tcPr>
          <w:p w14:paraId="6AB5C786" w14:textId="601348CF"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49"/>
                <w14:textFill>
                  <w14:solidFill>
                    <w14:srgbClr w14:val="000000">
                      <w14:alpha w14:val="100000"/>
                    </w14:srgbClr>
                  </w14:solidFill>
                </w14:textFill>
              </w:rPr>
              <w:t xml:space="preserve">　</w:t>
            </w:r>
            <w:r w:rsidRPr="007510F8">
              <w:rPr>
                <w:color w:val="000000"/>
                <w:w w:val="15"/>
                <w:shd w:val="solid" w:color="000000" w:fill="000000"/>
                <w:fitText w:val="43" w:id="-691334649"/>
                <w14:textFill>
                  <w14:solidFill>
                    <w14:srgbClr w14:val="000000">
                      <w14:alpha w14:val="100000"/>
                    </w14:srgbClr>
                  </w14:solidFill>
                </w14:textFill>
              </w:rPr>
              <w:t>|</w:t>
            </w:r>
            <w:r w:rsidRPr="007510F8">
              <w:rPr>
                <w:rFonts w:hint="eastAsia"/>
                <w:color w:val="000000"/>
                <w:spacing w:val="-22"/>
                <w:w w:val="15"/>
                <w:shd w:val="solid" w:color="000000" w:fill="000000"/>
                <w:fitText w:val="43" w:id="-691334649"/>
                <w14:textFill>
                  <w14:solidFill>
                    <w14:srgbClr w14:val="000000">
                      <w14:alpha w14:val="100000"/>
                    </w14:srgbClr>
                  </w14:solidFill>
                </w14:textFill>
              </w:rPr>
              <w:t xml:space="preserve">　</w:t>
            </w:r>
            <w:r w:rsidR="00C72C20" w:rsidRPr="008C2D16">
              <w:rPr>
                <w:vertAlign w:val="superscript"/>
              </w:rPr>
              <w:t>1</w:t>
            </w:r>
          </w:p>
        </w:tc>
        <w:tc>
          <w:tcPr>
            <w:tcW w:w="611" w:type="pct"/>
            <w:shd w:val="clear" w:color="auto" w:fill="auto"/>
          </w:tcPr>
          <w:p w14:paraId="5AB446EE" w14:textId="0867ACC5"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48"/>
                <w14:textFill>
                  <w14:solidFill>
                    <w14:srgbClr w14:val="000000">
                      <w14:alpha w14:val="100000"/>
                    </w14:srgbClr>
                  </w14:solidFill>
                </w14:textFill>
              </w:rPr>
              <w:t xml:space="preserve">　</w:t>
            </w:r>
            <w:r w:rsidRPr="007510F8">
              <w:rPr>
                <w:color w:val="000000"/>
                <w:w w:val="15"/>
                <w:shd w:val="solid" w:color="000000" w:fill="000000"/>
                <w:fitText w:val="43" w:id="-691334648"/>
                <w14:textFill>
                  <w14:solidFill>
                    <w14:srgbClr w14:val="000000">
                      <w14:alpha w14:val="100000"/>
                    </w14:srgbClr>
                  </w14:solidFill>
                </w14:textFill>
              </w:rPr>
              <w:t>|</w:t>
            </w:r>
            <w:r w:rsidRPr="007510F8">
              <w:rPr>
                <w:rFonts w:hint="eastAsia"/>
                <w:color w:val="000000"/>
                <w:spacing w:val="-22"/>
                <w:w w:val="15"/>
                <w:shd w:val="solid" w:color="000000" w:fill="000000"/>
                <w:fitText w:val="43" w:id="-691334648"/>
                <w14:textFill>
                  <w14:solidFill>
                    <w14:srgbClr w14:val="000000">
                      <w14:alpha w14:val="100000"/>
                    </w14:srgbClr>
                  </w14:solidFill>
                </w14:textFill>
              </w:rPr>
              <w:t xml:space="preserve">　</w:t>
            </w:r>
            <w:r w:rsidR="00C72C20" w:rsidRPr="008C2D16">
              <w:rPr>
                <w:vertAlign w:val="superscript"/>
              </w:rPr>
              <w:t>1</w:t>
            </w:r>
          </w:p>
        </w:tc>
        <w:tc>
          <w:tcPr>
            <w:tcW w:w="612" w:type="pct"/>
            <w:shd w:val="clear" w:color="auto" w:fill="auto"/>
          </w:tcPr>
          <w:p w14:paraId="5111FDD7" w14:textId="379AE7B1"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47"/>
                <w14:textFill>
                  <w14:solidFill>
                    <w14:srgbClr w14:val="000000">
                      <w14:alpha w14:val="100000"/>
                    </w14:srgbClr>
                  </w14:solidFill>
                </w14:textFill>
              </w:rPr>
              <w:t xml:space="preserve">　</w:t>
            </w:r>
            <w:r w:rsidRPr="007510F8">
              <w:rPr>
                <w:color w:val="000000"/>
                <w:w w:val="15"/>
                <w:shd w:val="solid" w:color="000000" w:fill="000000"/>
                <w:fitText w:val="43" w:id="-691334647"/>
                <w14:textFill>
                  <w14:solidFill>
                    <w14:srgbClr w14:val="000000">
                      <w14:alpha w14:val="100000"/>
                    </w14:srgbClr>
                  </w14:solidFill>
                </w14:textFill>
              </w:rPr>
              <w:t>|</w:t>
            </w:r>
            <w:r w:rsidRPr="007510F8">
              <w:rPr>
                <w:rFonts w:hint="eastAsia"/>
                <w:color w:val="000000"/>
                <w:spacing w:val="-22"/>
                <w:w w:val="15"/>
                <w:shd w:val="solid" w:color="000000" w:fill="000000"/>
                <w:fitText w:val="43" w:id="-691334647"/>
                <w14:textFill>
                  <w14:solidFill>
                    <w14:srgbClr w14:val="000000">
                      <w14:alpha w14:val="100000"/>
                    </w14:srgbClr>
                  </w14:solidFill>
                </w14:textFill>
              </w:rPr>
              <w:t xml:space="preserve">　</w:t>
            </w:r>
            <w:r w:rsidR="00C72C20" w:rsidRPr="008C2D16">
              <w:rPr>
                <w:vertAlign w:val="superscript"/>
              </w:rPr>
              <w:t>1</w:t>
            </w:r>
          </w:p>
        </w:tc>
        <w:tc>
          <w:tcPr>
            <w:tcW w:w="611" w:type="pct"/>
            <w:shd w:val="clear" w:color="auto" w:fill="auto"/>
          </w:tcPr>
          <w:p w14:paraId="3A43F1BB" w14:textId="5C8268E6"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46"/>
                <w14:textFill>
                  <w14:solidFill>
                    <w14:srgbClr w14:val="000000">
                      <w14:alpha w14:val="100000"/>
                    </w14:srgbClr>
                  </w14:solidFill>
                </w14:textFill>
              </w:rPr>
              <w:t xml:space="preserve">　</w:t>
            </w:r>
            <w:r w:rsidRPr="007510F8">
              <w:rPr>
                <w:color w:val="000000"/>
                <w:w w:val="15"/>
                <w:shd w:val="solid" w:color="000000" w:fill="000000"/>
                <w:fitText w:val="43" w:id="-691334646"/>
                <w14:textFill>
                  <w14:solidFill>
                    <w14:srgbClr w14:val="000000">
                      <w14:alpha w14:val="100000"/>
                    </w14:srgbClr>
                  </w14:solidFill>
                </w14:textFill>
              </w:rPr>
              <w:t>|</w:t>
            </w:r>
            <w:r w:rsidRPr="007510F8">
              <w:rPr>
                <w:rFonts w:hint="eastAsia"/>
                <w:color w:val="000000"/>
                <w:spacing w:val="-22"/>
                <w:w w:val="15"/>
                <w:shd w:val="solid" w:color="000000" w:fill="000000"/>
                <w:fitText w:val="43" w:id="-691334646"/>
                <w14:textFill>
                  <w14:solidFill>
                    <w14:srgbClr w14:val="000000">
                      <w14:alpha w14:val="100000"/>
                    </w14:srgbClr>
                  </w14:solidFill>
                </w14:textFill>
              </w:rPr>
              <w:t xml:space="preserve">　</w:t>
            </w:r>
            <w:r w:rsidR="00C72C20" w:rsidRPr="008C2D16">
              <w:rPr>
                <w:vertAlign w:val="superscript"/>
              </w:rPr>
              <w:t>1</w:t>
            </w:r>
          </w:p>
        </w:tc>
        <w:tc>
          <w:tcPr>
            <w:tcW w:w="612" w:type="pct"/>
          </w:tcPr>
          <w:p w14:paraId="5B9D577E" w14:textId="430F1527"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45"/>
                <w14:textFill>
                  <w14:solidFill>
                    <w14:srgbClr w14:val="000000">
                      <w14:alpha w14:val="100000"/>
                    </w14:srgbClr>
                  </w14:solidFill>
                </w14:textFill>
              </w:rPr>
              <w:t xml:space="preserve">　</w:t>
            </w:r>
            <w:r w:rsidRPr="007510F8">
              <w:rPr>
                <w:color w:val="000000"/>
                <w:w w:val="15"/>
                <w:shd w:val="solid" w:color="000000" w:fill="000000"/>
                <w:fitText w:val="43" w:id="-691334645"/>
                <w14:textFill>
                  <w14:solidFill>
                    <w14:srgbClr w14:val="000000">
                      <w14:alpha w14:val="100000"/>
                    </w14:srgbClr>
                  </w14:solidFill>
                </w14:textFill>
              </w:rPr>
              <w:t>|</w:t>
            </w:r>
            <w:r w:rsidRPr="007510F8">
              <w:rPr>
                <w:rFonts w:hint="eastAsia"/>
                <w:color w:val="000000"/>
                <w:spacing w:val="-22"/>
                <w:w w:val="15"/>
                <w:shd w:val="solid" w:color="000000" w:fill="000000"/>
                <w:fitText w:val="43" w:id="-691334645"/>
                <w14:textFill>
                  <w14:solidFill>
                    <w14:srgbClr w14:val="000000">
                      <w14:alpha w14:val="100000"/>
                    </w14:srgbClr>
                  </w14:solidFill>
                </w14:textFill>
              </w:rPr>
              <w:t xml:space="preserve">　</w:t>
            </w:r>
            <w:r w:rsidR="00C72C20" w:rsidRPr="008C2D16">
              <w:rPr>
                <w:vertAlign w:val="superscript"/>
              </w:rPr>
              <w:t>1</w:t>
            </w:r>
          </w:p>
        </w:tc>
      </w:tr>
      <w:tr w:rsidR="0083174D" w:rsidRPr="0098262F" w14:paraId="7855CABE" w14:textId="77777777" w:rsidTr="007C6425">
        <w:tc>
          <w:tcPr>
            <w:tcW w:w="1330" w:type="pct"/>
            <w:shd w:val="clear" w:color="auto" w:fill="auto"/>
            <w:vAlign w:val="center"/>
          </w:tcPr>
          <w:p w14:paraId="2D59A963" w14:textId="485A9508" w:rsidR="0083174D" w:rsidRPr="00E26A1F" w:rsidRDefault="0083174D" w:rsidP="00E55FD2">
            <w:pPr>
              <w:pStyle w:val="COMTabletext"/>
            </w:pPr>
            <w:r w:rsidRPr="00E26A1F">
              <w:t xml:space="preserve">Eligible </w:t>
            </w:r>
            <w:r w:rsidR="00BE7D89">
              <w:t xml:space="preserve">refractory </w:t>
            </w:r>
            <w:r w:rsidRPr="00E26A1F">
              <w:t>population</w:t>
            </w:r>
          </w:p>
        </w:tc>
        <w:tc>
          <w:tcPr>
            <w:tcW w:w="611" w:type="pct"/>
            <w:shd w:val="clear" w:color="auto" w:fill="auto"/>
          </w:tcPr>
          <w:p w14:paraId="63C411E1" w14:textId="0DBE1FFD" w:rsidR="0083174D" w:rsidRPr="00ED0788" w:rsidRDefault="007510F8" w:rsidP="00E55FD2">
            <w:pPr>
              <w:pStyle w:val="COMTabletext"/>
              <w:jc w:val="center"/>
              <w:rPr>
                <w:highlight w:val="darkGray"/>
              </w:rPr>
            </w:pPr>
            <w:r w:rsidRPr="007510F8">
              <w:rPr>
                <w:rFonts w:hint="eastAsia"/>
                <w:color w:val="000000"/>
                <w:w w:val="16"/>
                <w:shd w:val="solid" w:color="000000" w:fill="000000"/>
                <w:fitText w:val="75" w:id="-691334644"/>
                <w14:textFill>
                  <w14:solidFill>
                    <w14:srgbClr w14:val="000000">
                      <w14:alpha w14:val="100000"/>
                    </w14:srgbClr>
                  </w14:solidFill>
                </w14:textFill>
              </w:rPr>
              <w:t xml:space="preserve">　</w:t>
            </w:r>
            <w:r w:rsidRPr="007510F8">
              <w:rPr>
                <w:color w:val="000000"/>
                <w:w w:val="16"/>
                <w:shd w:val="solid" w:color="000000" w:fill="000000"/>
                <w:fitText w:val="75" w:id="-691334644"/>
                <w14:textFill>
                  <w14:solidFill>
                    <w14:srgbClr w14:val="000000">
                      <w14:alpha w14:val="100000"/>
                    </w14:srgbClr>
                  </w14:solidFill>
                </w14:textFill>
              </w:rPr>
              <w:t>|</w:t>
            </w:r>
            <w:r w:rsidRPr="007510F8">
              <w:rPr>
                <w:rFonts w:hint="eastAsia"/>
                <w:color w:val="000000"/>
                <w:spacing w:val="5"/>
                <w:w w:val="16"/>
                <w:shd w:val="solid" w:color="000000" w:fill="000000"/>
                <w:fitText w:val="75" w:id="-691334644"/>
                <w14:textFill>
                  <w14:solidFill>
                    <w14:srgbClr w14:val="000000">
                      <w14:alpha w14:val="100000"/>
                    </w14:srgbClr>
                  </w14:solidFill>
                </w14:textFill>
              </w:rPr>
              <w:t xml:space="preserve">　</w:t>
            </w:r>
            <w:r w:rsidR="002415C6" w:rsidRPr="002415C6">
              <w:t xml:space="preserve"> </w:t>
            </w:r>
            <w:r w:rsidR="00F77292" w:rsidRPr="00F77292">
              <w:rPr>
                <w:vertAlign w:val="superscript"/>
              </w:rPr>
              <w:t>2</w:t>
            </w:r>
          </w:p>
        </w:tc>
        <w:tc>
          <w:tcPr>
            <w:tcW w:w="612" w:type="pct"/>
            <w:shd w:val="clear" w:color="auto" w:fill="auto"/>
          </w:tcPr>
          <w:p w14:paraId="73EED98C" w14:textId="104ADE60"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64" w:id="-691334643"/>
                <w14:textFill>
                  <w14:solidFill>
                    <w14:srgbClr w14:val="000000">
                      <w14:alpha w14:val="100000"/>
                    </w14:srgbClr>
                  </w14:solidFill>
                </w14:textFill>
              </w:rPr>
              <w:t xml:space="preserve">　</w:t>
            </w:r>
            <w:r w:rsidRPr="007510F8">
              <w:rPr>
                <w:color w:val="000000"/>
                <w:w w:val="15"/>
                <w:shd w:val="solid" w:color="000000" w:fill="000000"/>
                <w:fitText w:val="64" w:id="-691334643"/>
                <w14:textFill>
                  <w14:solidFill>
                    <w14:srgbClr w14:val="000000">
                      <w14:alpha w14:val="100000"/>
                    </w14:srgbClr>
                  </w14:solidFill>
                </w14:textFill>
              </w:rPr>
              <w:t>|</w:t>
            </w:r>
            <w:r w:rsidRPr="007510F8">
              <w:rPr>
                <w:rFonts w:hint="eastAsia"/>
                <w:color w:val="000000"/>
                <w:spacing w:val="-1"/>
                <w:w w:val="15"/>
                <w:shd w:val="solid" w:color="000000" w:fill="000000"/>
                <w:fitText w:val="64" w:id="-691334643"/>
                <w14:textFill>
                  <w14:solidFill>
                    <w14:srgbClr w14:val="000000">
                      <w14:alpha w14:val="100000"/>
                    </w14:srgbClr>
                  </w14:solidFill>
                </w14:textFill>
              </w:rPr>
              <w:t xml:space="preserve">　</w:t>
            </w:r>
            <w:r w:rsidR="002415C6" w:rsidRPr="002415C6">
              <w:t xml:space="preserve"> </w:t>
            </w:r>
            <w:r w:rsidR="00F77292" w:rsidRPr="00F77292">
              <w:rPr>
                <w:vertAlign w:val="superscript"/>
              </w:rPr>
              <w:t>2</w:t>
            </w:r>
          </w:p>
        </w:tc>
        <w:tc>
          <w:tcPr>
            <w:tcW w:w="611" w:type="pct"/>
            <w:shd w:val="clear" w:color="auto" w:fill="auto"/>
          </w:tcPr>
          <w:p w14:paraId="2D1CD6E2" w14:textId="10F219DF" w:rsidR="0083174D" w:rsidRPr="00ED0788" w:rsidRDefault="007510F8" w:rsidP="00E55FD2">
            <w:pPr>
              <w:pStyle w:val="COMTabletext"/>
              <w:jc w:val="center"/>
              <w:rPr>
                <w:highlight w:val="darkGray"/>
              </w:rPr>
            </w:pPr>
            <w:r w:rsidRPr="007510F8">
              <w:rPr>
                <w:rFonts w:hint="eastAsia"/>
                <w:color w:val="000000"/>
                <w:w w:val="16"/>
                <w:shd w:val="solid" w:color="000000" w:fill="000000"/>
                <w:fitText w:val="75" w:id="-691334642"/>
                <w14:textFill>
                  <w14:solidFill>
                    <w14:srgbClr w14:val="000000">
                      <w14:alpha w14:val="100000"/>
                    </w14:srgbClr>
                  </w14:solidFill>
                </w14:textFill>
              </w:rPr>
              <w:t xml:space="preserve">　</w:t>
            </w:r>
            <w:r w:rsidRPr="007510F8">
              <w:rPr>
                <w:color w:val="000000"/>
                <w:w w:val="16"/>
                <w:shd w:val="solid" w:color="000000" w:fill="000000"/>
                <w:fitText w:val="75" w:id="-691334642"/>
                <w14:textFill>
                  <w14:solidFill>
                    <w14:srgbClr w14:val="000000">
                      <w14:alpha w14:val="100000"/>
                    </w14:srgbClr>
                  </w14:solidFill>
                </w14:textFill>
              </w:rPr>
              <w:t>|</w:t>
            </w:r>
            <w:r w:rsidRPr="007510F8">
              <w:rPr>
                <w:rFonts w:hint="eastAsia"/>
                <w:color w:val="000000"/>
                <w:spacing w:val="5"/>
                <w:w w:val="16"/>
                <w:shd w:val="solid" w:color="000000" w:fill="000000"/>
                <w:fitText w:val="75" w:id="-691334642"/>
                <w14:textFill>
                  <w14:solidFill>
                    <w14:srgbClr w14:val="000000">
                      <w14:alpha w14:val="100000"/>
                    </w14:srgbClr>
                  </w14:solidFill>
                </w14:textFill>
              </w:rPr>
              <w:t xml:space="preserve">　</w:t>
            </w:r>
            <w:r w:rsidR="002415C6" w:rsidRPr="002415C6">
              <w:t xml:space="preserve"> </w:t>
            </w:r>
            <w:r w:rsidR="00F77292" w:rsidRPr="00F77292">
              <w:rPr>
                <w:vertAlign w:val="superscript"/>
              </w:rPr>
              <w:t>2</w:t>
            </w:r>
          </w:p>
        </w:tc>
        <w:tc>
          <w:tcPr>
            <w:tcW w:w="612" w:type="pct"/>
            <w:shd w:val="clear" w:color="auto" w:fill="auto"/>
          </w:tcPr>
          <w:p w14:paraId="466C5BDE" w14:textId="66C507B1"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64" w:id="-691334641"/>
                <w14:textFill>
                  <w14:solidFill>
                    <w14:srgbClr w14:val="000000">
                      <w14:alpha w14:val="100000"/>
                    </w14:srgbClr>
                  </w14:solidFill>
                </w14:textFill>
              </w:rPr>
              <w:t xml:space="preserve">　</w:t>
            </w:r>
            <w:r w:rsidRPr="007510F8">
              <w:rPr>
                <w:color w:val="000000"/>
                <w:w w:val="15"/>
                <w:shd w:val="solid" w:color="000000" w:fill="000000"/>
                <w:fitText w:val="64" w:id="-691334641"/>
                <w14:textFill>
                  <w14:solidFill>
                    <w14:srgbClr w14:val="000000">
                      <w14:alpha w14:val="100000"/>
                    </w14:srgbClr>
                  </w14:solidFill>
                </w14:textFill>
              </w:rPr>
              <w:t>|</w:t>
            </w:r>
            <w:r w:rsidRPr="007510F8">
              <w:rPr>
                <w:rFonts w:hint="eastAsia"/>
                <w:color w:val="000000"/>
                <w:spacing w:val="-1"/>
                <w:w w:val="15"/>
                <w:shd w:val="solid" w:color="000000" w:fill="000000"/>
                <w:fitText w:val="64" w:id="-691334641"/>
                <w14:textFill>
                  <w14:solidFill>
                    <w14:srgbClr w14:val="000000">
                      <w14:alpha w14:val="100000"/>
                    </w14:srgbClr>
                  </w14:solidFill>
                </w14:textFill>
              </w:rPr>
              <w:t xml:space="preserve">　</w:t>
            </w:r>
            <w:r w:rsidR="002415C6" w:rsidRPr="002415C6">
              <w:t xml:space="preserve"> </w:t>
            </w:r>
            <w:r w:rsidR="00F77292" w:rsidRPr="00F77292">
              <w:rPr>
                <w:vertAlign w:val="superscript"/>
              </w:rPr>
              <w:t>2</w:t>
            </w:r>
          </w:p>
        </w:tc>
        <w:tc>
          <w:tcPr>
            <w:tcW w:w="611" w:type="pct"/>
            <w:shd w:val="clear" w:color="auto" w:fill="auto"/>
          </w:tcPr>
          <w:p w14:paraId="460D1D3A" w14:textId="14F39369" w:rsidR="0083174D" w:rsidRPr="00ED0788" w:rsidRDefault="007510F8" w:rsidP="00E55FD2">
            <w:pPr>
              <w:pStyle w:val="COMTabletext"/>
              <w:jc w:val="center"/>
              <w:rPr>
                <w:highlight w:val="darkGray"/>
              </w:rPr>
            </w:pPr>
            <w:r w:rsidRPr="007510F8">
              <w:rPr>
                <w:rFonts w:hint="eastAsia"/>
                <w:color w:val="000000"/>
                <w:w w:val="16"/>
                <w:shd w:val="solid" w:color="000000" w:fill="000000"/>
                <w:fitText w:val="75" w:id="-691334640"/>
                <w14:textFill>
                  <w14:solidFill>
                    <w14:srgbClr w14:val="000000">
                      <w14:alpha w14:val="100000"/>
                    </w14:srgbClr>
                  </w14:solidFill>
                </w14:textFill>
              </w:rPr>
              <w:t xml:space="preserve">　</w:t>
            </w:r>
            <w:r w:rsidRPr="007510F8">
              <w:rPr>
                <w:color w:val="000000"/>
                <w:w w:val="16"/>
                <w:shd w:val="solid" w:color="000000" w:fill="000000"/>
                <w:fitText w:val="75" w:id="-691334640"/>
                <w14:textFill>
                  <w14:solidFill>
                    <w14:srgbClr w14:val="000000">
                      <w14:alpha w14:val="100000"/>
                    </w14:srgbClr>
                  </w14:solidFill>
                </w14:textFill>
              </w:rPr>
              <w:t>|</w:t>
            </w:r>
            <w:r w:rsidRPr="007510F8">
              <w:rPr>
                <w:rFonts w:hint="eastAsia"/>
                <w:color w:val="000000"/>
                <w:spacing w:val="5"/>
                <w:w w:val="16"/>
                <w:shd w:val="solid" w:color="000000" w:fill="000000"/>
                <w:fitText w:val="75" w:id="-691334640"/>
                <w14:textFill>
                  <w14:solidFill>
                    <w14:srgbClr w14:val="000000">
                      <w14:alpha w14:val="100000"/>
                    </w14:srgbClr>
                  </w14:solidFill>
                </w14:textFill>
              </w:rPr>
              <w:t xml:space="preserve">　</w:t>
            </w:r>
            <w:r w:rsidR="002415C6" w:rsidRPr="002415C6">
              <w:t xml:space="preserve"> </w:t>
            </w:r>
            <w:r w:rsidR="00F77292" w:rsidRPr="00F77292">
              <w:rPr>
                <w:vertAlign w:val="superscript"/>
              </w:rPr>
              <w:t>2</w:t>
            </w:r>
          </w:p>
        </w:tc>
        <w:tc>
          <w:tcPr>
            <w:tcW w:w="612" w:type="pct"/>
          </w:tcPr>
          <w:p w14:paraId="00272226" w14:textId="472B72B0"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64" w:id="-691334656"/>
                <w14:textFill>
                  <w14:solidFill>
                    <w14:srgbClr w14:val="000000">
                      <w14:alpha w14:val="100000"/>
                    </w14:srgbClr>
                  </w14:solidFill>
                </w14:textFill>
              </w:rPr>
              <w:t xml:space="preserve">　</w:t>
            </w:r>
            <w:r w:rsidRPr="007510F8">
              <w:rPr>
                <w:color w:val="000000"/>
                <w:w w:val="15"/>
                <w:shd w:val="solid" w:color="000000" w:fill="000000"/>
                <w:fitText w:val="64" w:id="-691334656"/>
                <w14:textFill>
                  <w14:solidFill>
                    <w14:srgbClr w14:val="000000">
                      <w14:alpha w14:val="100000"/>
                    </w14:srgbClr>
                  </w14:solidFill>
                </w14:textFill>
              </w:rPr>
              <w:t>|</w:t>
            </w:r>
            <w:r w:rsidRPr="007510F8">
              <w:rPr>
                <w:rFonts w:hint="eastAsia"/>
                <w:color w:val="000000"/>
                <w:spacing w:val="-1"/>
                <w:w w:val="15"/>
                <w:shd w:val="solid" w:color="000000" w:fill="000000"/>
                <w:fitText w:val="64" w:id="-691334656"/>
                <w14:textFill>
                  <w14:solidFill>
                    <w14:srgbClr w14:val="000000">
                      <w14:alpha w14:val="100000"/>
                    </w14:srgbClr>
                  </w14:solidFill>
                </w14:textFill>
              </w:rPr>
              <w:t xml:space="preserve">　</w:t>
            </w:r>
            <w:r w:rsidR="002415C6" w:rsidRPr="002415C6">
              <w:t xml:space="preserve"> </w:t>
            </w:r>
            <w:r w:rsidR="00F77292" w:rsidRPr="00F77292">
              <w:rPr>
                <w:vertAlign w:val="superscript"/>
              </w:rPr>
              <w:t>2</w:t>
            </w:r>
          </w:p>
        </w:tc>
      </w:tr>
      <w:tr w:rsidR="0083174D" w:rsidRPr="0098262F" w14:paraId="078F0596" w14:textId="77777777" w:rsidTr="007C6425">
        <w:tc>
          <w:tcPr>
            <w:tcW w:w="1330" w:type="pct"/>
            <w:shd w:val="clear" w:color="auto" w:fill="B8CCE4" w:themeFill="accent1" w:themeFillTint="66"/>
            <w:vAlign w:val="center"/>
          </w:tcPr>
          <w:p w14:paraId="0E4FCB0C" w14:textId="77777777" w:rsidR="0083174D" w:rsidRPr="00E26A1F" w:rsidRDefault="0083174D" w:rsidP="00E55FD2">
            <w:pPr>
              <w:pStyle w:val="COMTabletext"/>
            </w:pPr>
            <w:r>
              <w:t>July 2024 submission, eligible population</w:t>
            </w:r>
          </w:p>
        </w:tc>
        <w:tc>
          <w:tcPr>
            <w:tcW w:w="611" w:type="pct"/>
            <w:shd w:val="clear" w:color="auto" w:fill="B8CCE4" w:themeFill="accent1" w:themeFillTint="66"/>
            <w:vAlign w:val="center"/>
          </w:tcPr>
          <w:p w14:paraId="262D3C24" w14:textId="37C00658"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55"/>
                <w14:textFill>
                  <w14:solidFill>
                    <w14:srgbClr w14:val="000000">
                      <w14:alpha w14:val="100000"/>
                    </w14:srgbClr>
                  </w14:solidFill>
                </w14:textFill>
              </w:rPr>
              <w:t xml:space="preserve">　</w:t>
            </w:r>
            <w:r w:rsidRPr="007510F8">
              <w:rPr>
                <w:color w:val="000000"/>
                <w:w w:val="15"/>
                <w:shd w:val="solid" w:color="000000" w:fill="000000"/>
                <w:fitText w:val="43" w:id="-691334655"/>
                <w14:textFill>
                  <w14:solidFill>
                    <w14:srgbClr w14:val="000000">
                      <w14:alpha w14:val="100000"/>
                    </w14:srgbClr>
                  </w14:solidFill>
                </w14:textFill>
              </w:rPr>
              <w:t>|</w:t>
            </w:r>
            <w:r w:rsidRPr="007510F8">
              <w:rPr>
                <w:rFonts w:hint="eastAsia"/>
                <w:color w:val="000000"/>
                <w:spacing w:val="-22"/>
                <w:w w:val="15"/>
                <w:shd w:val="solid" w:color="000000" w:fill="000000"/>
                <w:fitText w:val="43" w:id="-691334655"/>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B8CCE4" w:themeFill="accent1" w:themeFillTint="66"/>
            <w:vAlign w:val="center"/>
          </w:tcPr>
          <w:p w14:paraId="3068EE12" w14:textId="48EFA3AF"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54"/>
                <w14:textFill>
                  <w14:solidFill>
                    <w14:srgbClr w14:val="000000">
                      <w14:alpha w14:val="100000"/>
                    </w14:srgbClr>
                  </w14:solidFill>
                </w14:textFill>
              </w:rPr>
              <w:t xml:space="preserve">　</w:t>
            </w:r>
            <w:r w:rsidRPr="007510F8">
              <w:rPr>
                <w:color w:val="000000"/>
                <w:w w:val="15"/>
                <w:shd w:val="solid" w:color="000000" w:fill="000000"/>
                <w:fitText w:val="43" w:id="-691334654"/>
                <w14:textFill>
                  <w14:solidFill>
                    <w14:srgbClr w14:val="000000">
                      <w14:alpha w14:val="100000"/>
                    </w14:srgbClr>
                  </w14:solidFill>
                </w14:textFill>
              </w:rPr>
              <w:t>|</w:t>
            </w:r>
            <w:r w:rsidRPr="007510F8">
              <w:rPr>
                <w:rFonts w:hint="eastAsia"/>
                <w:color w:val="000000"/>
                <w:spacing w:val="-22"/>
                <w:w w:val="15"/>
                <w:shd w:val="solid" w:color="000000" w:fill="000000"/>
                <w:fitText w:val="43" w:id="-691334654"/>
                <w14:textFill>
                  <w14:solidFill>
                    <w14:srgbClr w14:val="000000">
                      <w14:alpha w14:val="100000"/>
                    </w14:srgbClr>
                  </w14:solidFill>
                </w14:textFill>
              </w:rPr>
              <w:t xml:space="preserve">　</w:t>
            </w:r>
            <w:r w:rsidR="003069FC" w:rsidRPr="00F77292">
              <w:rPr>
                <w:vertAlign w:val="superscript"/>
              </w:rPr>
              <w:t>2</w:t>
            </w:r>
          </w:p>
        </w:tc>
        <w:tc>
          <w:tcPr>
            <w:tcW w:w="611" w:type="pct"/>
            <w:shd w:val="clear" w:color="auto" w:fill="B8CCE4" w:themeFill="accent1" w:themeFillTint="66"/>
            <w:vAlign w:val="center"/>
          </w:tcPr>
          <w:p w14:paraId="4481FCD5" w14:textId="2DBE24E0"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53"/>
                <w14:textFill>
                  <w14:solidFill>
                    <w14:srgbClr w14:val="000000">
                      <w14:alpha w14:val="100000"/>
                    </w14:srgbClr>
                  </w14:solidFill>
                </w14:textFill>
              </w:rPr>
              <w:t xml:space="preserve">　</w:t>
            </w:r>
            <w:r w:rsidRPr="007510F8">
              <w:rPr>
                <w:color w:val="000000"/>
                <w:w w:val="15"/>
                <w:shd w:val="solid" w:color="000000" w:fill="000000"/>
                <w:fitText w:val="43" w:id="-691334653"/>
                <w14:textFill>
                  <w14:solidFill>
                    <w14:srgbClr w14:val="000000">
                      <w14:alpha w14:val="100000"/>
                    </w14:srgbClr>
                  </w14:solidFill>
                </w14:textFill>
              </w:rPr>
              <w:t>|</w:t>
            </w:r>
            <w:r w:rsidRPr="007510F8">
              <w:rPr>
                <w:rFonts w:hint="eastAsia"/>
                <w:color w:val="000000"/>
                <w:spacing w:val="-22"/>
                <w:w w:val="15"/>
                <w:shd w:val="solid" w:color="000000" w:fill="000000"/>
                <w:fitText w:val="43" w:id="-691334653"/>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B8CCE4" w:themeFill="accent1" w:themeFillTint="66"/>
            <w:vAlign w:val="center"/>
          </w:tcPr>
          <w:p w14:paraId="49CD5E7B" w14:textId="7A1C9FC7"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52"/>
                <w14:textFill>
                  <w14:solidFill>
                    <w14:srgbClr w14:val="000000">
                      <w14:alpha w14:val="100000"/>
                    </w14:srgbClr>
                  </w14:solidFill>
                </w14:textFill>
              </w:rPr>
              <w:t xml:space="preserve">　</w:t>
            </w:r>
            <w:r w:rsidRPr="007510F8">
              <w:rPr>
                <w:color w:val="000000"/>
                <w:w w:val="15"/>
                <w:shd w:val="solid" w:color="000000" w:fill="000000"/>
                <w:fitText w:val="43" w:id="-691334652"/>
                <w14:textFill>
                  <w14:solidFill>
                    <w14:srgbClr w14:val="000000">
                      <w14:alpha w14:val="100000"/>
                    </w14:srgbClr>
                  </w14:solidFill>
                </w14:textFill>
              </w:rPr>
              <w:t>|</w:t>
            </w:r>
            <w:r w:rsidRPr="007510F8">
              <w:rPr>
                <w:rFonts w:hint="eastAsia"/>
                <w:color w:val="000000"/>
                <w:spacing w:val="-22"/>
                <w:w w:val="15"/>
                <w:shd w:val="solid" w:color="000000" w:fill="000000"/>
                <w:fitText w:val="43" w:id="-691334652"/>
                <w14:textFill>
                  <w14:solidFill>
                    <w14:srgbClr w14:val="000000">
                      <w14:alpha w14:val="100000"/>
                    </w14:srgbClr>
                  </w14:solidFill>
                </w14:textFill>
              </w:rPr>
              <w:t xml:space="preserve">　</w:t>
            </w:r>
            <w:r w:rsidR="003069FC" w:rsidRPr="00F77292">
              <w:rPr>
                <w:vertAlign w:val="superscript"/>
              </w:rPr>
              <w:t>2</w:t>
            </w:r>
          </w:p>
        </w:tc>
        <w:tc>
          <w:tcPr>
            <w:tcW w:w="611" w:type="pct"/>
            <w:shd w:val="clear" w:color="auto" w:fill="B8CCE4" w:themeFill="accent1" w:themeFillTint="66"/>
            <w:vAlign w:val="center"/>
          </w:tcPr>
          <w:p w14:paraId="66AE6C1F" w14:textId="5BB57619"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51"/>
                <w14:textFill>
                  <w14:solidFill>
                    <w14:srgbClr w14:val="000000">
                      <w14:alpha w14:val="100000"/>
                    </w14:srgbClr>
                  </w14:solidFill>
                </w14:textFill>
              </w:rPr>
              <w:t xml:space="preserve">　</w:t>
            </w:r>
            <w:r w:rsidRPr="007510F8">
              <w:rPr>
                <w:color w:val="000000"/>
                <w:w w:val="15"/>
                <w:shd w:val="solid" w:color="000000" w:fill="000000"/>
                <w:fitText w:val="43" w:id="-691334651"/>
                <w14:textFill>
                  <w14:solidFill>
                    <w14:srgbClr w14:val="000000">
                      <w14:alpha w14:val="100000"/>
                    </w14:srgbClr>
                  </w14:solidFill>
                </w14:textFill>
              </w:rPr>
              <w:t>|</w:t>
            </w:r>
            <w:r w:rsidRPr="007510F8">
              <w:rPr>
                <w:rFonts w:hint="eastAsia"/>
                <w:color w:val="000000"/>
                <w:spacing w:val="-22"/>
                <w:w w:val="15"/>
                <w:shd w:val="solid" w:color="000000" w:fill="000000"/>
                <w:fitText w:val="43" w:id="-691334651"/>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B8CCE4" w:themeFill="accent1" w:themeFillTint="66"/>
            <w:vAlign w:val="center"/>
          </w:tcPr>
          <w:p w14:paraId="4C76E07D" w14:textId="15E1EFD2"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50"/>
                <w14:textFill>
                  <w14:solidFill>
                    <w14:srgbClr w14:val="000000">
                      <w14:alpha w14:val="100000"/>
                    </w14:srgbClr>
                  </w14:solidFill>
                </w14:textFill>
              </w:rPr>
              <w:t xml:space="preserve">　</w:t>
            </w:r>
            <w:r w:rsidRPr="007510F8">
              <w:rPr>
                <w:color w:val="000000"/>
                <w:w w:val="15"/>
                <w:shd w:val="solid" w:color="000000" w:fill="000000"/>
                <w:fitText w:val="43" w:id="-691334650"/>
                <w14:textFill>
                  <w14:solidFill>
                    <w14:srgbClr w14:val="000000">
                      <w14:alpha w14:val="100000"/>
                    </w14:srgbClr>
                  </w14:solidFill>
                </w14:textFill>
              </w:rPr>
              <w:t>|</w:t>
            </w:r>
            <w:r w:rsidRPr="007510F8">
              <w:rPr>
                <w:rFonts w:hint="eastAsia"/>
                <w:color w:val="000000"/>
                <w:spacing w:val="-22"/>
                <w:w w:val="15"/>
                <w:shd w:val="solid" w:color="000000" w:fill="000000"/>
                <w:fitText w:val="43" w:id="-691334650"/>
                <w14:textFill>
                  <w14:solidFill>
                    <w14:srgbClr w14:val="000000">
                      <w14:alpha w14:val="100000"/>
                    </w14:srgbClr>
                  </w14:solidFill>
                </w14:textFill>
              </w:rPr>
              <w:t xml:space="preserve">　</w:t>
            </w:r>
            <w:r w:rsidR="003069FC" w:rsidRPr="00F77292">
              <w:rPr>
                <w:vertAlign w:val="superscript"/>
              </w:rPr>
              <w:t>2</w:t>
            </w:r>
          </w:p>
        </w:tc>
      </w:tr>
      <w:tr w:rsidR="0083174D" w:rsidRPr="0098262F" w14:paraId="1D814036" w14:textId="77777777" w:rsidTr="007C6425">
        <w:tc>
          <w:tcPr>
            <w:tcW w:w="1330" w:type="pct"/>
            <w:shd w:val="clear" w:color="auto" w:fill="auto"/>
            <w:vAlign w:val="center"/>
          </w:tcPr>
          <w:p w14:paraId="14D60DBB" w14:textId="33B96B1F" w:rsidR="0083174D" w:rsidRPr="00E26A1F" w:rsidRDefault="0083174D" w:rsidP="00E55FD2">
            <w:pPr>
              <w:pStyle w:val="COMTabletext"/>
            </w:pPr>
            <w:r>
              <w:t xml:space="preserve">Treated </w:t>
            </w:r>
            <w:r w:rsidR="00BE7D89">
              <w:t xml:space="preserve">refractory </w:t>
            </w:r>
            <w:r>
              <w:t>population</w:t>
            </w:r>
          </w:p>
        </w:tc>
        <w:tc>
          <w:tcPr>
            <w:tcW w:w="611" w:type="pct"/>
            <w:shd w:val="clear" w:color="auto" w:fill="auto"/>
          </w:tcPr>
          <w:p w14:paraId="72D98849" w14:textId="7C78181A"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49"/>
                <w14:textFill>
                  <w14:solidFill>
                    <w14:srgbClr w14:val="000000">
                      <w14:alpha w14:val="100000"/>
                    </w14:srgbClr>
                  </w14:solidFill>
                </w14:textFill>
              </w:rPr>
              <w:t xml:space="preserve">　</w:t>
            </w:r>
            <w:r w:rsidRPr="007510F8">
              <w:rPr>
                <w:color w:val="000000"/>
                <w:w w:val="15"/>
                <w:shd w:val="solid" w:color="000000" w:fill="000000"/>
                <w:fitText w:val="43" w:id="-691334649"/>
                <w14:textFill>
                  <w14:solidFill>
                    <w14:srgbClr w14:val="000000">
                      <w14:alpha w14:val="100000"/>
                    </w14:srgbClr>
                  </w14:solidFill>
                </w14:textFill>
              </w:rPr>
              <w:t>|</w:t>
            </w:r>
            <w:r w:rsidRPr="007510F8">
              <w:rPr>
                <w:rFonts w:hint="eastAsia"/>
                <w:color w:val="000000"/>
                <w:spacing w:val="-22"/>
                <w:w w:val="15"/>
                <w:shd w:val="solid" w:color="000000" w:fill="000000"/>
                <w:fitText w:val="43" w:id="-691334649"/>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auto"/>
          </w:tcPr>
          <w:p w14:paraId="1E4E520E" w14:textId="66AEA3B5"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48"/>
                <w14:textFill>
                  <w14:solidFill>
                    <w14:srgbClr w14:val="000000">
                      <w14:alpha w14:val="100000"/>
                    </w14:srgbClr>
                  </w14:solidFill>
                </w14:textFill>
              </w:rPr>
              <w:t xml:space="preserve">　</w:t>
            </w:r>
            <w:r w:rsidRPr="007510F8">
              <w:rPr>
                <w:color w:val="000000"/>
                <w:w w:val="15"/>
                <w:shd w:val="solid" w:color="000000" w:fill="000000"/>
                <w:fitText w:val="43" w:id="-691334648"/>
                <w14:textFill>
                  <w14:solidFill>
                    <w14:srgbClr w14:val="000000">
                      <w14:alpha w14:val="100000"/>
                    </w14:srgbClr>
                  </w14:solidFill>
                </w14:textFill>
              </w:rPr>
              <w:t>|</w:t>
            </w:r>
            <w:r w:rsidRPr="007510F8">
              <w:rPr>
                <w:rFonts w:hint="eastAsia"/>
                <w:color w:val="000000"/>
                <w:spacing w:val="-22"/>
                <w:w w:val="15"/>
                <w:shd w:val="solid" w:color="000000" w:fill="000000"/>
                <w:fitText w:val="43" w:id="-691334648"/>
                <w14:textFill>
                  <w14:solidFill>
                    <w14:srgbClr w14:val="000000">
                      <w14:alpha w14:val="100000"/>
                    </w14:srgbClr>
                  </w14:solidFill>
                </w14:textFill>
              </w:rPr>
              <w:t xml:space="preserve">　</w:t>
            </w:r>
            <w:r w:rsidR="003069FC" w:rsidRPr="003069FC">
              <w:rPr>
                <w:vertAlign w:val="superscript"/>
              </w:rPr>
              <w:t>3</w:t>
            </w:r>
          </w:p>
        </w:tc>
        <w:tc>
          <w:tcPr>
            <w:tcW w:w="611" w:type="pct"/>
            <w:shd w:val="clear" w:color="auto" w:fill="auto"/>
          </w:tcPr>
          <w:p w14:paraId="3DAEAE8A" w14:textId="70BF58BE"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47"/>
                <w14:textFill>
                  <w14:solidFill>
                    <w14:srgbClr w14:val="000000">
                      <w14:alpha w14:val="100000"/>
                    </w14:srgbClr>
                  </w14:solidFill>
                </w14:textFill>
              </w:rPr>
              <w:t xml:space="preserve">　</w:t>
            </w:r>
            <w:r w:rsidRPr="007510F8">
              <w:rPr>
                <w:color w:val="000000"/>
                <w:w w:val="15"/>
                <w:shd w:val="solid" w:color="000000" w:fill="000000"/>
                <w:fitText w:val="43" w:id="-691334647"/>
                <w14:textFill>
                  <w14:solidFill>
                    <w14:srgbClr w14:val="000000">
                      <w14:alpha w14:val="100000"/>
                    </w14:srgbClr>
                  </w14:solidFill>
                </w14:textFill>
              </w:rPr>
              <w:t>|</w:t>
            </w:r>
            <w:r w:rsidRPr="007510F8">
              <w:rPr>
                <w:rFonts w:hint="eastAsia"/>
                <w:color w:val="000000"/>
                <w:spacing w:val="-22"/>
                <w:w w:val="15"/>
                <w:shd w:val="solid" w:color="000000" w:fill="000000"/>
                <w:fitText w:val="43" w:id="-691334647"/>
                <w14:textFill>
                  <w14:solidFill>
                    <w14:srgbClr w14:val="000000">
                      <w14:alpha w14:val="100000"/>
                    </w14:srgbClr>
                  </w14:solidFill>
                </w14:textFill>
              </w:rPr>
              <w:t xml:space="preserve">　</w:t>
            </w:r>
            <w:r w:rsidR="003069FC" w:rsidRPr="003069FC">
              <w:rPr>
                <w:vertAlign w:val="superscript"/>
              </w:rPr>
              <w:t>3</w:t>
            </w:r>
          </w:p>
        </w:tc>
        <w:tc>
          <w:tcPr>
            <w:tcW w:w="612" w:type="pct"/>
            <w:shd w:val="clear" w:color="auto" w:fill="auto"/>
          </w:tcPr>
          <w:p w14:paraId="716ABA99" w14:textId="3858F79B"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46"/>
                <w14:textFill>
                  <w14:solidFill>
                    <w14:srgbClr w14:val="000000">
                      <w14:alpha w14:val="100000"/>
                    </w14:srgbClr>
                  </w14:solidFill>
                </w14:textFill>
              </w:rPr>
              <w:t xml:space="preserve">　</w:t>
            </w:r>
            <w:r w:rsidRPr="007510F8">
              <w:rPr>
                <w:color w:val="000000"/>
                <w:w w:val="15"/>
                <w:shd w:val="solid" w:color="000000" w:fill="000000"/>
                <w:fitText w:val="43" w:id="-691334646"/>
                <w14:textFill>
                  <w14:solidFill>
                    <w14:srgbClr w14:val="000000">
                      <w14:alpha w14:val="100000"/>
                    </w14:srgbClr>
                  </w14:solidFill>
                </w14:textFill>
              </w:rPr>
              <w:t>|</w:t>
            </w:r>
            <w:r w:rsidRPr="007510F8">
              <w:rPr>
                <w:rFonts w:hint="eastAsia"/>
                <w:color w:val="000000"/>
                <w:spacing w:val="-22"/>
                <w:w w:val="15"/>
                <w:shd w:val="solid" w:color="000000" w:fill="000000"/>
                <w:fitText w:val="43" w:id="-691334646"/>
                <w14:textFill>
                  <w14:solidFill>
                    <w14:srgbClr w14:val="000000">
                      <w14:alpha w14:val="100000"/>
                    </w14:srgbClr>
                  </w14:solidFill>
                </w14:textFill>
              </w:rPr>
              <w:t xml:space="preserve">　</w:t>
            </w:r>
            <w:r w:rsidR="003069FC" w:rsidRPr="003069FC">
              <w:rPr>
                <w:vertAlign w:val="superscript"/>
              </w:rPr>
              <w:t>3</w:t>
            </w:r>
          </w:p>
        </w:tc>
        <w:tc>
          <w:tcPr>
            <w:tcW w:w="611" w:type="pct"/>
            <w:shd w:val="clear" w:color="auto" w:fill="auto"/>
          </w:tcPr>
          <w:p w14:paraId="268570F3" w14:textId="56256CE8"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645"/>
                <w14:textFill>
                  <w14:solidFill>
                    <w14:srgbClr w14:val="000000">
                      <w14:alpha w14:val="100000"/>
                    </w14:srgbClr>
                  </w14:solidFill>
                </w14:textFill>
              </w:rPr>
              <w:t xml:space="preserve">　</w:t>
            </w:r>
            <w:r w:rsidRPr="007510F8">
              <w:rPr>
                <w:color w:val="000000"/>
                <w:w w:val="15"/>
                <w:shd w:val="solid" w:color="000000" w:fill="000000"/>
                <w:fitText w:val="43" w:id="-691334645"/>
                <w14:textFill>
                  <w14:solidFill>
                    <w14:srgbClr w14:val="000000">
                      <w14:alpha w14:val="100000"/>
                    </w14:srgbClr>
                  </w14:solidFill>
                </w14:textFill>
              </w:rPr>
              <w:t>|</w:t>
            </w:r>
            <w:r w:rsidRPr="007510F8">
              <w:rPr>
                <w:rFonts w:hint="eastAsia"/>
                <w:color w:val="000000"/>
                <w:spacing w:val="-22"/>
                <w:w w:val="15"/>
                <w:shd w:val="solid" w:color="000000" w:fill="000000"/>
                <w:fitText w:val="43" w:id="-691334645"/>
                <w14:textFill>
                  <w14:solidFill>
                    <w14:srgbClr w14:val="000000">
                      <w14:alpha w14:val="100000"/>
                    </w14:srgbClr>
                  </w14:solidFill>
                </w14:textFill>
              </w:rPr>
              <w:t xml:space="preserve">　</w:t>
            </w:r>
            <w:r w:rsidR="003069FC" w:rsidRPr="003069FC">
              <w:rPr>
                <w:vertAlign w:val="superscript"/>
              </w:rPr>
              <w:t>3</w:t>
            </w:r>
          </w:p>
        </w:tc>
        <w:tc>
          <w:tcPr>
            <w:tcW w:w="612" w:type="pct"/>
          </w:tcPr>
          <w:p w14:paraId="684AED5F" w14:textId="74F3DF54"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400"/>
                <w14:textFill>
                  <w14:solidFill>
                    <w14:srgbClr w14:val="000000">
                      <w14:alpha w14:val="100000"/>
                    </w14:srgbClr>
                  </w14:solidFill>
                </w14:textFill>
              </w:rPr>
              <w:t xml:space="preserve">　</w:t>
            </w:r>
            <w:r w:rsidRPr="007510F8">
              <w:rPr>
                <w:color w:val="000000"/>
                <w:w w:val="15"/>
                <w:shd w:val="solid" w:color="000000" w:fill="000000"/>
                <w:fitText w:val="43" w:id="-691334400"/>
                <w14:textFill>
                  <w14:solidFill>
                    <w14:srgbClr w14:val="000000">
                      <w14:alpha w14:val="100000"/>
                    </w14:srgbClr>
                  </w14:solidFill>
                </w14:textFill>
              </w:rPr>
              <w:t>|</w:t>
            </w:r>
            <w:r w:rsidRPr="007510F8">
              <w:rPr>
                <w:rFonts w:hint="eastAsia"/>
                <w:color w:val="000000"/>
                <w:spacing w:val="-22"/>
                <w:w w:val="15"/>
                <w:shd w:val="solid" w:color="000000" w:fill="000000"/>
                <w:fitText w:val="43" w:id="-691334400"/>
                <w14:textFill>
                  <w14:solidFill>
                    <w14:srgbClr w14:val="000000">
                      <w14:alpha w14:val="100000"/>
                    </w14:srgbClr>
                  </w14:solidFill>
                </w14:textFill>
              </w:rPr>
              <w:t xml:space="preserve">　</w:t>
            </w:r>
            <w:r w:rsidR="003069FC" w:rsidRPr="003069FC">
              <w:rPr>
                <w:vertAlign w:val="superscript"/>
              </w:rPr>
              <w:t>3</w:t>
            </w:r>
          </w:p>
        </w:tc>
      </w:tr>
      <w:tr w:rsidR="0083174D" w:rsidRPr="0098262F" w14:paraId="385C0B06" w14:textId="77777777" w:rsidTr="007C6425">
        <w:tc>
          <w:tcPr>
            <w:tcW w:w="1330" w:type="pct"/>
            <w:shd w:val="clear" w:color="auto" w:fill="B8CCE4" w:themeFill="accent1" w:themeFillTint="66"/>
            <w:vAlign w:val="center"/>
          </w:tcPr>
          <w:p w14:paraId="02892446" w14:textId="77777777" w:rsidR="0083174D" w:rsidRPr="00E26A1F" w:rsidRDefault="0083174D" w:rsidP="00E55FD2">
            <w:pPr>
              <w:pStyle w:val="COMTabletext"/>
            </w:pPr>
            <w:r>
              <w:t>July 2024 submission, treated population</w:t>
            </w:r>
          </w:p>
        </w:tc>
        <w:tc>
          <w:tcPr>
            <w:tcW w:w="611" w:type="pct"/>
            <w:shd w:val="clear" w:color="auto" w:fill="B8CCE4" w:themeFill="accent1" w:themeFillTint="66"/>
            <w:vAlign w:val="center"/>
          </w:tcPr>
          <w:p w14:paraId="62413DEF" w14:textId="078C07A6"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9"/>
                <w14:textFill>
                  <w14:solidFill>
                    <w14:srgbClr w14:val="000000">
                      <w14:alpha w14:val="100000"/>
                    </w14:srgbClr>
                  </w14:solidFill>
                </w14:textFill>
              </w:rPr>
              <w:t xml:space="preserve">　</w:t>
            </w:r>
            <w:r w:rsidRPr="007510F8">
              <w:rPr>
                <w:color w:val="000000"/>
                <w:w w:val="15"/>
                <w:shd w:val="solid" w:color="000000" w:fill="000000"/>
                <w:fitText w:val="43" w:id="-691334399"/>
                <w14:textFill>
                  <w14:solidFill>
                    <w14:srgbClr w14:val="000000">
                      <w14:alpha w14:val="100000"/>
                    </w14:srgbClr>
                  </w14:solidFill>
                </w14:textFill>
              </w:rPr>
              <w:t>|</w:t>
            </w:r>
            <w:r w:rsidRPr="007510F8">
              <w:rPr>
                <w:rFonts w:hint="eastAsia"/>
                <w:color w:val="000000"/>
                <w:spacing w:val="-22"/>
                <w:w w:val="15"/>
                <w:shd w:val="solid" w:color="000000" w:fill="000000"/>
                <w:fitText w:val="43" w:id="-691334399"/>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B8CCE4" w:themeFill="accent1" w:themeFillTint="66"/>
            <w:vAlign w:val="center"/>
          </w:tcPr>
          <w:p w14:paraId="7BF1F5FB" w14:textId="4E93C918"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8"/>
                <w14:textFill>
                  <w14:solidFill>
                    <w14:srgbClr w14:val="000000">
                      <w14:alpha w14:val="100000"/>
                    </w14:srgbClr>
                  </w14:solidFill>
                </w14:textFill>
              </w:rPr>
              <w:t xml:space="preserve">　</w:t>
            </w:r>
            <w:r w:rsidRPr="007510F8">
              <w:rPr>
                <w:color w:val="000000"/>
                <w:w w:val="15"/>
                <w:shd w:val="solid" w:color="000000" w:fill="000000"/>
                <w:fitText w:val="43" w:id="-691334398"/>
                <w14:textFill>
                  <w14:solidFill>
                    <w14:srgbClr w14:val="000000">
                      <w14:alpha w14:val="100000"/>
                    </w14:srgbClr>
                  </w14:solidFill>
                </w14:textFill>
              </w:rPr>
              <w:t>|</w:t>
            </w:r>
            <w:r w:rsidRPr="007510F8">
              <w:rPr>
                <w:rFonts w:hint="eastAsia"/>
                <w:color w:val="000000"/>
                <w:spacing w:val="-22"/>
                <w:w w:val="15"/>
                <w:shd w:val="solid" w:color="000000" w:fill="000000"/>
                <w:fitText w:val="43" w:id="-691334398"/>
                <w14:textFill>
                  <w14:solidFill>
                    <w14:srgbClr w14:val="000000">
                      <w14:alpha w14:val="100000"/>
                    </w14:srgbClr>
                  </w14:solidFill>
                </w14:textFill>
              </w:rPr>
              <w:t xml:space="preserve">　</w:t>
            </w:r>
            <w:r w:rsidR="003069FC" w:rsidRPr="00F77292">
              <w:rPr>
                <w:vertAlign w:val="superscript"/>
              </w:rPr>
              <w:t>2</w:t>
            </w:r>
          </w:p>
        </w:tc>
        <w:tc>
          <w:tcPr>
            <w:tcW w:w="611" w:type="pct"/>
            <w:shd w:val="clear" w:color="auto" w:fill="B8CCE4" w:themeFill="accent1" w:themeFillTint="66"/>
            <w:vAlign w:val="center"/>
          </w:tcPr>
          <w:p w14:paraId="0C768E34" w14:textId="0E1139ED"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7"/>
                <w14:textFill>
                  <w14:solidFill>
                    <w14:srgbClr w14:val="000000">
                      <w14:alpha w14:val="100000"/>
                    </w14:srgbClr>
                  </w14:solidFill>
                </w14:textFill>
              </w:rPr>
              <w:t xml:space="preserve">　</w:t>
            </w:r>
            <w:r w:rsidRPr="007510F8">
              <w:rPr>
                <w:color w:val="000000"/>
                <w:w w:val="15"/>
                <w:shd w:val="solid" w:color="000000" w:fill="000000"/>
                <w:fitText w:val="43" w:id="-691334397"/>
                <w14:textFill>
                  <w14:solidFill>
                    <w14:srgbClr w14:val="000000">
                      <w14:alpha w14:val="100000"/>
                    </w14:srgbClr>
                  </w14:solidFill>
                </w14:textFill>
              </w:rPr>
              <w:t>|</w:t>
            </w:r>
            <w:r w:rsidRPr="007510F8">
              <w:rPr>
                <w:rFonts w:hint="eastAsia"/>
                <w:color w:val="000000"/>
                <w:spacing w:val="-22"/>
                <w:w w:val="15"/>
                <w:shd w:val="solid" w:color="000000" w:fill="000000"/>
                <w:fitText w:val="43" w:id="-691334397"/>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B8CCE4" w:themeFill="accent1" w:themeFillTint="66"/>
            <w:vAlign w:val="center"/>
          </w:tcPr>
          <w:p w14:paraId="3B3A29A6" w14:textId="4CF2D7F8"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6"/>
                <w14:textFill>
                  <w14:solidFill>
                    <w14:srgbClr w14:val="000000">
                      <w14:alpha w14:val="100000"/>
                    </w14:srgbClr>
                  </w14:solidFill>
                </w14:textFill>
              </w:rPr>
              <w:t xml:space="preserve">　</w:t>
            </w:r>
            <w:r w:rsidRPr="007510F8">
              <w:rPr>
                <w:color w:val="000000"/>
                <w:w w:val="15"/>
                <w:shd w:val="solid" w:color="000000" w:fill="000000"/>
                <w:fitText w:val="43" w:id="-691334396"/>
                <w14:textFill>
                  <w14:solidFill>
                    <w14:srgbClr w14:val="000000">
                      <w14:alpha w14:val="100000"/>
                    </w14:srgbClr>
                  </w14:solidFill>
                </w14:textFill>
              </w:rPr>
              <w:t>|</w:t>
            </w:r>
            <w:r w:rsidRPr="007510F8">
              <w:rPr>
                <w:rFonts w:hint="eastAsia"/>
                <w:color w:val="000000"/>
                <w:spacing w:val="-22"/>
                <w:w w:val="15"/>
                <w:shd w:val="solid" w:color="000000" w:fill="000000"/>
                <w:fitText w:val="43" w:id="-691334396"/>
                <w14:textFill>
                  <w14:solidFill>
                    <w14:srgbClr w14:val="000000">
                      <w14:alpha w14:val="100000"/>
                    </w14:srgbClr>
                  </w14:solidFill>
                </w14:textFill>
              </w:rPr>
              <w:t xml:space="preserve">　</w:t>
            </w:r>
            <w:r w:rsidR="003069FC" w:rsidRPr="00F77292">
              <w:rPr>
                <w:vertAlign w:val="superscript"/>
              </w:rPr>
              <w:t>2</w:t>
            </w:r>
          </w:p>
        </w:tc>
        <w:tc>
          <w:tcPr>
            <w:tcW w:w="611" w:type="pct"/>
            <w:shd w:val="clear" w:color="auto" w:fill="B8CCE4" w:themeFill="accent1" w:themeFillTint="66"/>
            <w:vAlign w:val="center"/>
          </w:tcPr>
          <w:p w14:paraId="415C8718" w14:textId="343BB05E"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5"/>
                <w14:textFill>
                  <w14:solidFill>
                    <w14:srgbClr w14:val="000000">
                      <w14:alpha w14:val="100000"/>
                    </w14:srgbClr>
                  </w14:solidFill>
                </w14:textFill>
              </w:rPr>
              <w:t xml:space="preserve">　</w:t>
            </w:r>
            <w:r w:rsidRPr="007510F8">
              <w:rPr>
                <w:color w:val="000000"/>
                <w:w w:val="15"/>
                <w:shd w:val="solid" w:color="000000" w:fill="000000"/>
                <w:fitText w:val="43" w:id="-691334395"/>
                <w14:textFill>
                  <w14:solidFill>
                    <w14:srgbClr w14:val="000000">
                      <w14:alpha w14:val="100000"/>
                    </w14:srgbClr>
                  </w14:solidFill>
                </w14:textFill>
              </w:rPr>
              <w:t>|</w:t>
            </w:r>
            <w:r w:rsidRPr="007510F8">
              <w:rPr>
                <w:rFonts w:hint="eastAsia"/>
                <w:color w:val="000000"/>
                <w:spacing w:val="-22"/>
                <w:w w:val="15"/>
                <w:shd w:val="solid" w:color="000000" w:fill="000000"/>
                <w:fitText w:val="43" w:id="-691334395"/>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B8CCE4" w:themeFill="accent1" w:themeFillTint="66"/>
            <w:vAlign w:val="center"/>
          </w:tcPr>
          <w:p w14:paraId="15B769A1" w14:textId="059D77FF"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4"/>
                <w14:textFill>
                  <w14:solidFill>
                    <w14:srgbClr w14:val="000000">
                      <w14:alpha w14:val="100000"/>
                    </w14:srgbClr>
                  </w14:solidFill>
                </w14:textFill>
              </w:rPr>
              <w:t xml:space="preserve">　</w:t>
            </w:r>
            <w:r w:rsidRPr="007510F8">
              <w:rPr>
                <w:color w:val="000000"/>
                <w:w w:val="15"/>
                <w:shd w:val="solid" w:color="000000" w:fill="000000"/>
                <w:fitText w:val="43" w:id="-691334394"/>
                <w14:textFill>
                  <w14:solidFill>
                    <w14:srgbClr w14:val="000000">
                      <w14:alpha w14:val="100000"/>
                    </w14:srgbClr>
                  </w14:solidFill>
                </w14:textFill>
              </w:rPr>
              <w:t>|</w:t>
            </w:r>
            <w:r w:rsidRPr="007510F8">
              <w:rPr>
                <w:rFonts w:hint="eastAsia"/>
                <w:color w:val="000000"/>
                <w:spacing w:val="-22"/>
                <w:w w:val="15"/>
                <w:shd w:val="solid" w:color="000000" w:fill="000000"/>
                <w:fitText w:val="43" w:id="-691334394"/>
                <w14:textFill>
                  <w14:solidFill>
                    <w14:srgbClr w14:val="000000">
                      <w14:alpha w14:val="100000"/>
                    </w14:srgbClr>
                  </w14:solidFill>
                </w14:textFill>
              </w:rPr>
              <w:t xml:space="preserve">　</w:t>
            </w:r>
            <w:r w:rsidR="003069FC" w:rsidRPr="00F77292">
              <w:rPr>
                <w:vertAlign w:val="superscript"/>
              </w:rPr>
              <w:t>2</w:t>
            </w:r>
          </w:p>
        </w:tc>
      </w:tr>
      <w:tr w:rsidR="0083174D" w:rsidRPr="0098262F" w14:paraId="6046151D" w14:textId="77777777" w:rsidTr="007C6425">
        <w:tc>
          <w:tcPr>
            <w:tcW w:w="1330" w:type="pct"/>
            <w:shd w:val="clear" w:color="auto" w:fill="auto"/>
            <w:vAlign w:val="center"/>
          </w:tcPr>
          <w:p w14:paraId="3E1FAE3C" w14:textId="77777777" w:rsidR="0083174D" w:rsidRPr="0098262F" w:rsidRDefault="0083174D" w:rsidP="00E55FD2">
            <w:pPr>
              <w:pStyle w:val="COMTabletext"/>
            </w:pPr>
            <w:proofErr w:type="spellStart"/>
            <w:r>
              <w:t>Zilucoplan</w:t>
            </w:r>
            <w:proofErr w:type="spellEnd"/>
            <w:r>
              <w:t xml:space="preserve"> 16.6 mg scripts</w:t>
            </w:r>
          </w:p>
        </w:tc>
        <w:tc>
          <w:tcPr>
            <w:tcW w:w="611" w:type="pct"/>
            <w:shd w:val="clear" w:color="auto" w:fill="auto"/>
            <w:vAlign w:val="center"/>
          </w:tcPr>
          <w:p w14:paraId="606C1175" w14:textId="1FDD3D00"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3"/>
                <w14:textFill>
                  <w14:solidFill>
                    <w14:srgbClr w14:val="000000">
                      <w14:alpha w14:val="100000"/>
                    </w14:srgbClr>
                  </w14:solidFill>
                </w14:textFill>
              </w:rPr>
              <w:t xml:space="preserve">　</w:t>
            </w:r>
            <w:r w:rsidRPr="007510F8">
              <w:rPr>
                <w:color w:val="000000"/>
                <w:w w:val="15"/>
                <w:shd w:val="solid" w:color="000000" w:fill="000000"/>
                <w:fitText w:val="43" w:id="-691334393"/>
                <w14:textFill>
                  <w14:solidFill>
                    <w14:srgbClr w14:val="000000">
                      <w14:alpha w14:val="100000"/>
                    </w14:srgbClr>
                  </w14:solidFill>
                </w14:textFill>
              </w:rPr>
              <w:t>|</w:t>
            </w:r>
            <w:r w:rsidRPr="007510F8">
              <w:rPr>
                <w:rFonts w:hint="eastAsia"/>
                <w:color w:val="000000"/>
                <w:spacing w:val="-22"/>
                <w:w w:val="15"/>
                <w:shd w:val="solid" w:color="000000" w:fill="000000"/>
                <w:fitText w:val="43" w:id="-691334393"/>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auto"/>
            <w:vAlign w:val="center"/>
          </w:tcPr>
          <w:p w14:paraId="2CE6914B" w14:textId="2ECFC480"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2"/>
                <w14:textFill>
                  <w14:solidFill>
                    <w14:srgbClr w14:val="000000">
                      <w14:alpha w14:val="100000"/>
                    </w14:srgbClr>
                  </w14:solidFill>
                </w14:textFill>
              </w:rPr>
              <w:t xml:space="preserve">　</w:t>
            </w:r>
            <w:r w:rsidRPr="007510F8">
              <w:rPr>
                <w:color w:val="000000"/>
                <w:w w:val="15"/>
                <w:shd w:val="solid" w:color="000000" w:fill="000000"/>
                <w:fitText w:val="43" w:id="-691334392"/>
                <w14:textFill>
                  <w14:solidFill>
                    <w14:srgbClr w14:val="000000">
                      <w14:alpha w14:val="100000"/>
                    </w14:srgbClr>
                  </w14:solidFill>
                </w14:textFill>
              </w:rPr>
              <w:t>|</w:t>
            </w:r>
            <w:r w:rsidRPr="007510F8">
              <w:rPr>
                <w:rFonts w:hint="eastAsia"/>
                <w:color w:val="000000"/>
                <w:spacing w:val="-22"/>
                <w:w w:val="15"/>
                <w:shd w:val="solid" w:color="000000" w:fill="000000"/>
                <w:fitText w:val="43" w:id="-691334392"/>
                <w14:textFill>
                  <w14:solidFill>
                    <w14:srgbClr w14:val="000000">
                      <w14:alpha w14:val="100000"/>
                    </w14:srgbClr>
                  </w14:solidFill>
                </w14:textFill>
              </w:rPr>
              <w:t xml:space="preserve">　</w:t>
            </w:r>
            <w:r w:rsidR="003069FC" w:rsidRPr="003069FC">
              <w:rPr>
                <w:vertAlign w:val="superscript"/>
              </w:rPr>
              <w:t>3</w:t>
            </w:r>
          </w:p>
        </w:tc>
        <w:tc>
          <w:tcPr>
            <w:tcW w:w="611" w:type="pct"/>
            <w:shd w:val="clear" w:color="auto" w:fill="auto"/>
            <w:vAlign w:val="center"/>
          </w:tcPr>
          <w:p w14:paraId="2460B148" w14:textId="3ED120B6"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1"/>
                <w14:textFill>
                  <w14:solidFill>
                    <w14:srgbClr w14:val="000000">
                      <w14:alpha w14:val="100000"/>
                    </w14:srgbClr>
                  </w14:solidFill>
                </w14:textFill>
              </w:rPr>
              <w:t xml:space="preserve">　</w:t>
            </w:r>
            <w:r w:rsidRPr="007510F8">
              <w:rPr>
                <w:color w:val="000000"/>
                <w:w w:val="15"/>
                <w:shd w:val="solid" w:color="000000" w:fill="000000"/>
                <w:fitText w:val="43" w:id="-691334391"/>
                <w14:textFill>
                  <w14:solidFill>
                    <w14:srgbClr w14:val="000000">
                      <w14:alpha w14:val="100000"/>
                    </w14:srgbClr>
                  </w14:solidFill>
                </w14:textFill>
              </w:rPr>
              <w:t>|</w:t>
            </w:r>
            <w:r w:rsidRPr="007510F8">
              <w:rPr>
                <w:rFonts w:hint="eastAsia"/>
                <w:color w:val="000000"/>
                <w:spacing w:val="-22"/>
                <w:w w:val="15"/>
                <w:shd w:val="solid" w:color="000000" w:fill="000000"/>
                <w:fitText w:val="43" w:id="-691334391"/>
                <w14:textFill>
                  <w14:solidFill>
                    <w14:srgbClr w14:val="000000">
                      <w14:alpha w14:val="100000"/>
                    </w14:srgbClr>
                  </w14:solidFill>
                </w14:textFill>
              </w:rPr>
              <w:t xml:space="preserve">　</w:t>
            </w:r>
            <w:r w:rsidR="003069FC" w:rsidRPr="003069FC">
              <w:rPr>
                <w:vertAlign w:val="superscript"/>
              </w:rPr>
              <w:t>3</w:t>
            </w:r>
          </w:p>
        </w:tc>
        <w:tc>
          <w:tcPr>
            <w:tcW w:w="612" w:type="pct"/>
            <w:shd w:val="clear" w:color="auto" w:fill="auto"/>
            <w:vAlign w:val="center"/>
          </w:tcPr>
          <w:p w14:paraId="2C7DD220" w14:textId="6AC02DBB"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0"/>
                <w14:textFill>
                  <w14:solidFill>
                    <w14:srgbClr w14:val="000000">
                      <w14:alpha w14:val="100000"/>
                    </w14:srgbClr>
                  </w14:solidFill>
                </w14:textFill>
              </w:rPr>
              <w:t xml:space="preserve">　</w:t>
            </w:r>
            <w:r w:rsidRPr="007510F8">
              <w:rPr>
                <w:color w:val="000000"/>
                <w:w w:val="15"/>
                <w:shd w:val="solid" w:color="000000" w:fill="000000"/>
                <w:fitText w:val="43" w:id="-691334390"/>
                <w14:textFill>
                  <w14:solidFill>
                    <w14:srgbClr w14:val="000000">
                      <w14:alpha w14:val="100000"/>
                    </w14:srgbClr>
                  </w14:solidFill>
                </w14:textFill>
              </w:rPr>
              <w:t>|</w:t>
            </w:r>
            <w:r w:rsidRPr="007510F8">
              <w:rPr>
                <w:rFonts w:hint="eastAsia"/>
                <w:color w:val="000000"/>
                <w:spacing w:val="-22"/>
                <w:w w:val="15"/>
                <w:shd w:val="solid" w:color="000000" w:fill="000000"/>
                <w:fitText w:val="43" w:id="-691334390"/>
                <w14:textFill>
                  <w14:solidFill>
                    <w14:srgbClr w14:val="000000">
                      <w14:alpha w14:val="100000"/>
                    </w14:srgbClr>
                  </w14:solidFill>
                </w14:textFill>
              </w:rPr>
              <w:t xml:space="preserve">　</w:t>
            </w:r>
            <w:r w:rsidR="003069FC" w:rsidRPr="003069FC">
              <w:rPr>
                <w:vertAlign w:val="superscript"/>
              </w:rPr>
              <w:t>3</w:t>
            </w:r>
          </w:p>
        </w:tc>
        <w:tc>
          <w:tcPr>
            <w:tcW w:w="611" w:type="pct"/>
            <w:shd w:val="clear" w:color="auto" w:fill="auto"/>
            <w:vAlign w:val="center"/>
          </w:tcPr>
          <w:p w14:paraId="71F2ED97" w14:textId="3809205E"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9"/>
                <w14:textFill>
                  <w14:solidFill>
                    <w14:srgbClr w14:val="000000">
                      <w14:alpha w14:val="100000"/>
                    </w14:srgbClr>
                  </w14:solidFill>
                </w14:textFill>
              </w:rPr>
              <w:t xml:space="preserve">　</w:t>
            </w:r>
            <w:r w:rsidRPr="007510F8">
              <w:rPr>
                <w:color w:val="000000"/>
                <w:w w:val="15"/>
                <w:shd w:val="solid" w:color="000000" w:fill="000000"/>
                <w:fitText w:val="43" w:id="-691334389"/>
                <w14:textFill>
                  <w14:solidFill>
                    <w14:srgbClr w14:val="000000">
                      <w14:alpha w14:val="100000"/>
                    </w14:srgbClr>
                  </w14:solidFill>
                </w14:textFill>
              </w:rPr>
              <w:t>|</w:t>
            </w:r>
            <w:r w:rsidRPr="007510F8">
              <w:rPr>
                <w:rFonts w:hint="eastAsia"/>
                <w:color w:val="000000"/>
                <w:spacing w:val="-22"/>
                <w:w w:val="15"/>
                <w:shd w:val="solid" w:color="000000" w:fill="000000"/>
                <w:fitText w:val="43" w:id="-691334389"/>
                <w14:textFill>
                  <w14:solidFill>
                    <w14:srgbClr w14:val="000000">
                      <w14:alpha w14:val="100000"/>
                    </w14:srgbClr>
                  </w14:solidFill>
                </w14:textFill>
              </w:rPr>
              <w:t xml:space="preserve">　</w:t>
            </w:r>
            <w:r w:rsidR="003069FC" w:rsidRPr="003069FC">
              <w:rPr>
                <w:vertAlign w:val="superscript"/>
              </w:rPr>
              <w:t>3</w:t>
            </w:r>
          </w:p>
        </w:tc>
        <w:tc>
          <w:tcPr>
            <w:tcW w:w="612" w:type="pct"/>
            <w:vAlign w:val="center"/>
          </w:tcPr>
          <w:p w14:paraId="0F919D24" w14:textId="14CA6E50"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8"/>
                <w14:textFill>
                  <w14:solidFill>
                    <w14:srgbClr w14:val="000000">
                      <w14:alpha w14:val="100000"/>
                    </w14:srgbClr>
                  </w14:solidFill>
                </w14:textFill>
              </w:rPr>
              <w:t xml:space="preserve">　</w:t>
            </w:r>
            <w:r w:rsidRPr="007510F8">
              <w:rPr>
                <w:color w:val="000000"/>
                <w:w w:val="15"/>
                <w:shd w:val="solid" w:color="000000" w:fill="000000"/>
                <w:fitText w:val="43" w:id="-691334388"/>
                <w14:textFill>
                  <w14:solidFill>
                    <w14:srgbClr w14:val="000000">
                      <w14:alpha w14:val="100000"/>
                    </w14:srgbClr>
                  </w14:solidFill>
                </w14:textFill>
              </w:rPr>
              <w:t>|</w:t>
            </w:r>
            <w:r w:rsidRPr="007510F8">
              <w:rPr>
                <w:rFonts w:hint="eastAsia"/>
                <w:color w:val="000000"/>
                <w:spacing w:val="-22"/>
                <w:w w:val="15"/>
                <w:shd w:val="solid" w:color="000000" w:fill="000000"/>
                <w:fitText w:val="43" w:id="-691334388"/>
                <w14:textFill>
                  <w14:solidFill>
                    <w14:srgbClr w14:val="000000">
                      <w14:alpha w14:val="100000"/>
                    </w14:srgbClr>
                  </w14:solidFill>
                </w14:textFill>
              </w:rPr>
              <w:t xml:space="preserve">　</w:t>
            </w:r>
            <w:r w:rsidR="003069FC" w:rsidRPr="003069FC">
              <w:rPr>
                <w:vertAlign w:val="superscript"/>
              </w:rPr>
              <w:t>3</w:t>
            </w:r>
          </w:p>
        </w:tc>
      </w:tr>
      <w:tr w:rsidR="0083174D" w:rsidRPr="0098262F" w14:paraId="5EA8A528" w14:textId="77777777" w:rsidTr="007C6425">
        <w:tc>
          <w:tcPr>
            <w:tcW w:w="1330" w:type="pct"/>
            <w:shd w:val="clear" w:color="auto" w:fill="auto"/>
            <w:vAlign w:val="center"/>
          </w:tcPr>
          <w:p w14:paraId="7BA4EBB9" w14:textId="77777777" w:rsidR="0083174D" w:rsidRPr="0098262F" w:rsidRDefault="0083174D" w:rsidP="00E55FD2">
            <w:pPr>
              <w:pStyle w:val="COMTabletext"/>
            </w:pPr>
            <w:proofErr w:type="spellStart"/>
            <w:r>
              <w:t>Zilucoplan</w:t>
            </w:r>
            <w:proofErr w:type="spellEnd"/>
            <w:r>
              <w:t xml:space="preserve"> 23.0 mg scripts</w:t>
            </w:r>
          </w:p>
        </w:tc>
        <w:tc>
          <w:tcPr>
            <w:tcW w:w="611" w:type="pct"/>
            <w:shd w:val="clear" w:color="auto" w:fill="auto"/>
            <w:vAlign w:val="center"/>
          </w:tcPr>
          <w:p w14:paraId="00F41185" w14:textId="5788B99D"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7"/>
                <w14:textFill>
                  <w14:solidFill>
                    <w14:srgbClr w14:val="000000">
                      <w14:alpha w14:val="100000"/>
                    </w14:srgbClr>
                  </w14:solidFill>
                </w14:textFill>
              </w:rPr>
              <w:t xml:space="preserve">　</w:t>
            </w:r>
            <w:r w:rsidRPr="007510F8">
              <w:rPr>
                <w:color w:val="000000"/>
                <w:w w:val="15"/>
                <w:shd w:val="solid" w:color="000000" w:fill="000000"/>
                <w:fitText w:val="43" w:id="-691334387"/>
                <w14:textFill>
                  <w14:solidFill>
                    <w14:srgbClr w14:val="000000">
                      <w14:alpha w14:val="100000"/>
                    </w14:srgbClr>
                  </w14:solidFill>
                </w14:textFill>
              </w:rPr>
              <w:t>|</w:t>
            </w:r>
            <w:r w:rsidRPr="007510F8">
              <w:rPr>
                <w:rFonts w:hint="eastAsia"/>
                <w:color w:val="000000"/>
                <w:spacing w:val="-22"/>
                <w:w w:val="15"/>
                <w:shd w:val="solid" w:color="000000" w:fill="000000"/>
                <w:fitText w:val="43" w:id="-691334387"/>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auto"/>
            <w:vAlign w:val="center"/>
          </w:tcPr>
          <w:p w14:paraId="2E50D1CA" w14:textId="5D53B82B"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6"/>
                <w14:textFill>
                  <w14:solidFill>
                    <w14:srgbClr w14:val="000000">
                      <w14:alpha w14:val="100000"/>
                    </w14:srgbClr>
                  </w14:solidFill>
                </w14:textFill>
              </w:rPr>
              <w:t xml:space="preserve">　</w:t>
            </w:r>
            <w:r w:rsidRPr="007510F8">
              <w:rPr>
                <w:color w:val="000000"/>
                <w:w w:val="15"/>
                <w:shd w:val="solid" w:color="000000" w:fill="000000"/>
                <w:fitText w:val="43" w:id="-691334386"/>
                <w14:textFill>
                  <w14:solidFill>
                    <w14:srgbClr w14:val="000000">
                      <w14:alpha w14:val="100000"/>
                    </w14:srgbClr>
                  </w14:solidFill>
                </w14:textFill>
              </w:rPr>
              <w:t>|</w:t>
            </w:r>
            <w:r w:rsidRPr="007510F8">
              <w:rPr>
                <w:rFonts w:hint="eastAsia"/>
                <w:color w:val="000000"/>
                <w:spacing w:val="-22"/>
                <w:w w:val="15"/>
                <w:shd w:val="solid" w:color="000000" w:fill="000000"/>
                <w:fitText w:val="43" w:id="-691334386"/>
                <w14:textFill>
                  <w14:solidFill>
                    <w14:srgbClr w14:val="000000">
                      <w14:alpha w14:val="100000"/>
                    </w14:srgbClr>
                  </w14:solidFill>
                </w14:textFill>
              </w:rPr>
              <w:t xml:space="preserve">　</w:t>
            </w:r>
            <w:r w:rsidR="003069FC" w:rsidRPr="00F77292">
              <w:rPr>
                <w:vertAlign w:val="superscript"/>
              </w:rPr>
              <w:t>2</w:t>
            </w:r>
          </w:p>
        </w:tc>
        <w:tc>
          <w:tcPr>
            <w:tcW w:w="611" w:type="pct"/>
            <w:shd w:val="clear" w:color="auto" w:fill="auto"/>
            <w:vAlign w:val="center"/>
          </w:tcPr>
          <w:p w14:paraId="6D8D0E3E" w14:textId="04D35D78"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5"/>
                <w14:textFill>
                  <w14:solidFill>
                    <w14:srgbClr w14:val="000000">
                      <w14:alpha w14:val="100000"/>
                    </w14:srgbClr>
                  </w14:solidFill>
                </w14:textFill>
              </w:rPr>
              <w:t xml:space="preserve">　</w:t>
            </w:r>
            <w:r w:rsidRPr="007510F8">
              <w:rPr>
                <w:color w:val="000000"/>
                <w:w w:val="15"/>
                <w:shd w:val="solid" w:color="000000" w:fill="000000"/>
                <w:fitText w:val="43" w:id="-691334385"/>
                <w14:textFill>
                  <w14:solidFill>
                    <w14:srgbClr w14:val="000000">
                      <w14:alpha w14:val="100000"/>
                    </w14:srgbClr>
                  </w14:solidFill>
                </w14:textFill>
              </w:rPr>
              <w:t>|</w:t>
            </w:r>
            <w:r w:rsidRPr="007510F8">
              <w:rPr>
                <w:rFonts w:hint="eastAsia"/>
                <w:color w:val="000000"/>
                <w:spacing w:val="-22"/>
                <w:w w:val="15"/>
                <w:shd w:val="solid" w:color="000000" w:fill="000000"/>
                <w:fitText w:val="43" w:id="-691334385"/>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auto"/>
            <w:vAlign w:val="center"/>
          </w:tcPr>
          <w:p w14:paraId="57686063" w14:textId="48A93276"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4"/>
                <w14:textFill>
                  <w14:solidFill>
                    <w14:srgbClr w14:val="000000">
                      <w14:alpha w14:val="100000"/>
                    </w14:srgbClr>
                  </w14:solidFill>
                </w14:textFill>
              </w:rPr>
              <w:t xml:space="preserve">　</w:t>
            </w:r>
            <w:r w:rsidRPr="007510F8">
              <w:rPr>
                <w:color w:val="000000"/>
                <w:w w:val="15"/>
                <w:shd w:val="solid" w:color="000000" w:fill="000000"/>
                <w:fitText w:val="43" w:id="-691334384"/>
                <w14:textFill>
                  <w14:solidFill>
                    <w14:srgbClr w14:val="000000">
                      <w14:alpha w14:val="100000"/>
                    </w14:srgbClr>
                  </w14:solidFill>
                </w14:textFill>
              </w:rPr>
              <w:t>|</w:t>
            </w:r>
            <w:r w:rsidRPr="007510F8">
              <w:rPr>
                <w:rFonts w:hint="eastAsia"/>
                <w:color w:val="000000"/>
                <w:spacing w:val="-22"/>
                <w:w w:val="15"/>
                <w:shd w:val="solid" w:color="000000" w:fill="000000"/>
                <w:fitText w:val="43" w:id="-691334384"/>
                <w14:textFill>
                  <w14:solidFill>
                    <w14:srgbClr w14:val="000000">
                      <w14:alpha w14:val="100000"/>
                    </w14:srgbClr>
                  </w14:solidFill>
                </w14:textFill>
              </w:rPr>
              <w:t xml:space="preserve">　</w:t>
            </w:r>
            <w:r w:rsidR="003069FC" w:rsidRPr="00F77292">
              <w:rPr>
                <w:vertAlign w:val="superscript"/>
              </w:rPr>
              <w:t>2</w:t>
            </w:r>
          </w:p>
        </w:tc>
        <w:tc>
          <w:tcPr>
            <w:tcW w:w="611" w:type="pct"/>
            <w:shd w:val="clear" w:color="auto" w:fill="auto"/>
            <w:vAlign w:val="center"/>
          </w:tcPr>
          <w:p w14:paraId="5A46A1EF" w14:textId="70F2E804"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400"/>
                <w14:textFill>
                  <w14:solidFill>
                    <w14:srgbClr w14:val="000000">
                      <w14:alpha w14:val="100000"/>
                    </w14:srgbClr>
                  </w14:solidFill>
                </w14:textFill>
              </w:rPr>
              <w:t xml:space="preserve">　</w:t>
            </w:r>
            <w:r w:rsidRPr="007510F8">
              <w:rPr>
                <w:color w:val="000000"/>
                <w:w w:val="15"/>
                <w:shd w:val="solid" w:color="000000" w:fill="000000"/>
                <w:fitText w:val="43" w:id="-691334400"/>
                <w14:textFill>
                  <w14:solidFill>
                    <w14:srgbClr w14:val="000000">
                      <w14:alpha w14:val="100000"/>
                    </w14:srgbClr>
                  </w14:solidFill>
                </w14:textFill>
              </w:rPr>
              <w:t>|</w:t>
            </w:r>
            <w:r w:rsidRPr="007510F8">
              <w:rPr>
                <w:rFonts w:hint="eastAsia"/>
                <w:color w:val="000000"/>
                <w:spacing w:val="-22"/>
                <w:w w:val="15"/>
                <w:shd w:val="solid" w:color="000000" w:fill="000000"/>
                <w:fitText w:val="43" w:id="-691334400"/>
                <w14:textFill>
                  <w14:solidFill>
                    <w14:srgbClr w14:val="000000">
                      <w14:alpha w14:val="100000"/>
                    </w14:srgbClr>
                  </w14:solidFill>
                </w14:textFill>
              </w:rPr>
              <w:t xml:space="preserve">　</w:t>
            </w:r>
            <w:r w:rsidR="003069FC" w:rsidRPr="00F77292">
              <w:rPr>
                <w:vertAlign w:val="superscript"/>
              </w:rPr>
              <w:t>2</w:t>
            </w:r>
          </w:p>
        </w:tc>
        <w:tc>
          <w:tcPr>
            <w:tcW w:w="612" w:type="pct"/>
            <w:vAlign w:val="center"/>
          </w:tcPr>
          <w:p w14:paraId="62BF4436" w14:textId="2CB86C09"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9"/>
                <w14:textFill>
                  <w14:solidFill>
                    <w14:srgbClr w14:val="000000">
                      <w14:alpha w14:val="100000"/>
                    </w14:srgbClr>
                  </w14:solidFill>
                </w14:textFill>
              </w:rPr>
              <w:t xml:space="preserve">　</w:t>
            </w:r>
            <w:r w:rsidRPr="007510F8">
              <w:rPr>
                <w:color w:val="000000"/>
                <w:w w:val="15"/>
                <w:shd w:val="solid" w:color="000000" w:fill="000000"/>
                <w:fitText w:val="43" w:id="-691334399"/>
                <w14:textFill>
                  <w14:solidFill>
                    <w14:srgbClr w14:val="000000">
                      <w14:alpha w14:val="100000"/>
                    </w14:srgbClr>
                  </w14:solidFill>
                </w14:textFill>
              </w:rPr>
              <w:t>|</w:t>
            </w:r>
            <w:r w:rsidRPr="007510F8">
              <w:rPr>
                <w:rFonts w:hint="eastAsia"/>
                <w:color w:val="000000"/>
                <w:spacing w:val="-22"/>
                <w:w w:val="15"/>
                <w:shd w:val="solid" w:color="000000" w:fill="000000"/>
                <w:fitText w:val="43" w:id="-691334399"/>
                <w14:textFill>
                  <w14:solidFill>
                    <w14:srgbClr w14:val="000000">
                      <w14:alpha w14:val="100000"/>
                    </w14:srgbClr>
                  </w14:solidFill>
                </w14:textFill>
              </w:rPr>
              <w:t xml:space="preserve">　</w:t>
            </w:r>
            <w:r w:rsidR="003069FC" w:rsidRPr="00F77292">
              <w:rPr>
                <w:vertAlign w:val="superscript"/>
              </w:rPr>
              <w:t>2</w:t>
            </w:r>
          </w:p>
        </w:tc>
      </w:tr>
      <w:tr w:rsidR="0083174D" w:rsidRPr="0098262F" w14:paraId="10EEF3D1" w14:textId="77777777" w:rsidTr="007C6425">
        <w:tc>
          <w:tcPr>
            <w:tcW w:w="1330" w:type="pct"/>
            <w:shd w:val="clear" w:color="auto" w:fill="auto"/>
            <w:vAlign w:val="center"/>
          </w:tcPr>
          <w:p w14:paraId="06D4CBB2" w14:textId="77777777" w:rsidR="0083174D" w:rsidRPr="0098262F" w:rsidRDefault="0083174D" w:rsidP="00E55FD2">
            <w:pPr>
              <w:pStyle w:val="COMTabletext"/>
            </w:pPr>
            <w:proofErr w:type="spellStart"/>
            <w:r>
              <w:t>Zilucoplan</w:t>
            </w:r>
            <w:proofErr w:type="spellEnd"/>
            <w:r>
              <w:t xml:space="preserve"> 32.4 mg scripts</w:t>
            </w:r>
          </w:p>
        </w:tc>
        <w:tc>
          <w:tcPr>
            <w:tcW w:w="611" w:type="pct"/>
            <w:shd w:val="clear" w:color="auto" w:fill="auto"/>
            <w:vAlign w:val="center"/>
          </w:tcPr>
          <w:p w14:paraId="2C972F2D" w14:textId="0DCC69C7"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8"/>
                <w14:textFill>
                  <w14:solidFill>
                    <w14:srgbClr w14:val="000000">
                      <w14:alpha w14:val="100000"/>
                    </w14:srgbClr>
                  </w14:solidFill>
                </w14:textFill>
              </w:rPr>
              <w:t xml:space="preserve">　</w:t>
            </w:r>
            <w:r w:rsidRPr="007510F8">
              <w:rPr>
                <w:color w:val="000000"/>
                <w:w w:val="15"/>
                <w:shd w:val="solid" w:color="000000" w:fill="000000"/>
                <w:fitText w:val="43" w:id="-691334398"/>
                <w14:textFill>
                  <w14:solidFill>
                    <w14:srgbClr w14:val="000000">
                      <w14:alpha w14:val="100000"/>
                    </w14:srgbClr>
                  </w14:solidFill>
                </w14:textFill>
              </w:rPr>
              <w:t>|</w:t>
            </w:r>
            <w:r w:rsidRPr="007510F8">
              <w:rPr>
                <w:rFonts w:hint="eastAsia"/>
                <w:color w:val="000000"/>
                <w:spacing w:val="-22"/>
                <w:w w:val="15"/>
                <w:shd w:val="solid" w:color="000000" w:fill="000000"/>
                <w:fitText w:val="43" w:id="-691334398"/>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auto"/>
            <w:vAlign w:val="center"/>
          </w:tcPr>
          <w:p w14:paraId="3EF99E13" w14:textId="48371412"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7"/>
                <w14:textFill>
                  <w14:solidFill>
                    <w14:srgbClr w14:val="000000">
                      <w14:alpha w14:val="100000"/>
                    </w14:srgbClr>
                  </w14:solidFill>
                </w14:textFill>
              </w:rPr>
              <w:t xml:space="preserve">　</w:t>
            </w:r>
            <w:r w:rsidRPr="007510F8">
              <w:rPr>
                <w:color w:val="000000"/>
                <w:w w:val="15"/>
                <w:shd w:val="solid" w:color="000000" w:fill="000000"/>
                <w:fitText w:val="43" w:id="-691334397"/>
                <w14:textFill>
                  <w14:solidFill>
                    <w14:srgbClr w14:val="000000">
                      <w14:alpha w14:val="100000"/>
                    </w14:srgbClr>
                  </w14:solidFill>
                </w14:textFill>
              </w:rPr>
              <w:t>|</w:t>
            </w:r>
            <w:r w:rsidRPr="007510F8">
              <w:rPr>
                <w:rFonts w:hint="eastAsia"/>
                <w:color w:val="000000"/>
                <w:spacing w:val="-22"/>
                <w:w w:val="15"/>
                <w:shd w:val="solid" w:color="000000" w:fill="000000"/>
                <w:fitText w:val="43" w:id="-691334397"/>
                <w14:textFill>
                  <w14:solidFill>
                    <w14:srgbClr w14:val="000000">
                      <w14:alpha w14:val="100000"/>
                    </w14:srgbClr>
                  </w14:solidFill>
                </w14:textFill>
              </w:rPr>
              <w:t xml:space="preserve">　</w:t>
            </w:r>
            <w:r w:rsidR="003069FC" w:rsidRPr="00F77292">
              <w:rPr>
                <w:vertAlign w:val="superscript"/>
              </w:rPr>
              <w:t>2</w:t>
            </w:r>
          </w:p>
        </w:tc>
        <w:tc>
          <w:tcPr>
            <w:tcW w:w="611" w:type="pct"/>
            <w:shd w:val="clear" w:color="auto" w:fill="auto"/>
            <w:vAlign w:val="center"/>
          </w:tcPr>
          <w:p w14:paraId="093218BF" w14:textId="1A3DBA85"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6"/>
                <w14:textFill>
                  <w14:solidFill>
                    <w14:srgbClr w14:val="000000">
                      <w14:alpha w14:val="100000"/>
                    </w14:srgbClr>
                  </w14:solidFill>
                </w14:textFill>
              </w:rPr>
              <w:t xml:space="preserve">　</w:t>
            </w:r>
            <w:r w:rsidRPr="007510F8">
              <w:rPr>
                <w:color w:val="000000"/>
                <w:w w:val="15"/>
                <w:shd w:val="solid" w:color="000000" w:fill="000000"/>
                <w:fitText w:val="43" w:id="-691334396"/>
                <w14:textFill>
                  <w14:solidFill>
                    <w14:srgbClr w14:val="000000">
                      <w14:alpha w14:val="100000"/>
                    </w14:srgbClr>
                  </w14:solidFill>
                </w14:textFill>
              </w:rPr>
              <w:t>|</w:t>
            </w:r>
            <w:r w:rsidRPr="007510F8">
              <w:rPr>
                <w:rFonts w:hint="eastAsia"/>
                <w:color w:val="000000"/>
                <w:spacing w:val="-22"/>
                <w:w w:val="15"/>
                <w:shd w:val="solid" w:color="000000" w:fill="000000"/>
                <w:fitText w:val="43" w:id="-691334396"/>
                <w14:textFill>
                  <w14:solidFill>
                    <w14:srgbClr w14:val="000000">
                      <w14:alpha w14:val="100000"/>
                    </w14:srgbClr>
                  </w14:solidFill>
                </w14:textFill>
              </w:rPr>
              <w:t xml:space="preserve">　</w:t>
            </w:r>
            <w:r w:rsidR="003069FC" w:rsidRPr="00F77292">
              <w:rPr>
                <w:vertAlign w:val="superscript"/>
              </w:rPr>
              <w:t>2</w:t>
            </w:r>
          </w:p>
        </w:tc>
        <w:tc>
          <w:tcPr>
            <w:tcW w:w="612" w:type="pct"/>
            <w:shd w:val="clear" w:color="auto" w:fill="auto"/>
            <w:vAlign w:val="center"/>
          </w:tcPr>
          <w:p w14:paraId="61EC02B2" w14:textId="50FBFF98"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5"/>
                <w14:textFill>
                  <w14:solidFill>
                    <w14:srgbClr w14:val="000000">
                      <w14:alpha w14:val="100000"/>
                    </w14:srgbClr>
                  </w14:solidFill>
                </w14:textFill>
              </w:rPr>
              <w:t xml:space="preserve">　</w:t>
            </w:r>
            <w:r w:rsidRPr="007510F8">
              <w:rPr>
                <w:color w:val="000000"/>
                <w:w w:val="15"/>
                <w:shd w:val="solid" w:color="000000" w:fill="000000"/>
                <w:fitText w:val="43" w:id="-691334395"/>
                <w14:textFill>
                  <w14:solidFill>
                    <w14:srgbClr w14:val="000000">
                      <w14:alpha w14:val="100000"/>
                    </w14:srgbClr>
                  </w14:solidFill>
                </w14:textFill>
              </w:rPr>
              <w:t>|</w:t>
            </w:r>
            <w:r w:rsidRPr="007510F8">
              <w:rPr>
                <w:rFonts w:hint="eastAsia"/>
                <w:color w:val="000000"/>
                <w:spacing w:val="-22"/>
                <w:w w:val="15"/>
                <w:shd w:val="solid" w:color="000000" w:fill="000000"/>
                <w:fitText w:val="43" w:id="-691334395"/>
                <w14:textFill>
                  <w14:solidFill>
                    <w14:srgbClr w14:val="000000">
                      <w14:alpha w14:val="100000"/>
                    </w14:srgbClr>
                  </w14:solidFill>
                </w14:textFill>
              </w:rPr>
              <w:t xml:space="preserve">　</w:t>
            </w:r>
            <w:r w:rsidR="003069FC" w:rsidRPr="00F77292">
              <w:rPr>
                <w:vertAlign w:val="superscript"/>
              </w:rPr>
              <w:t>2</w:t>
            </w:r>
          </w:p>
        </w:tc>
        <w:tc>
          <w:tcPr>
            <w:tcW w:w="611" w:type="pct"/>
            <w:shd w:val="clear" w:color="auto" w:fill="auto"/>
            <w:vAlign w:val="center"/>
          </w:tcPr>
          <w:p w14:paraId="3630400E" w14:textId="27A54548"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4"/>
                <w14:textFill>
                  <w14:solidFill>
                    <w14:srgbClr w14:val="000000">
                      <w14:alpha w14:val="100000"/>
                    </w14:srgbClr>
                  </w14:solidFill>
                </w14:textFill>
              </w:rPr>
              <w:t xml:space="preserve">　</w:t>
            </w:r>
            <w:r w:rsidRPr="007510F8">
              <w:rPr>
                <w:color w:val="000000"/>
                <w:w w:val="15"/>
                <w:shd w:val="solid" w:color="000000" w:fill="000000"/>
                <w:fitText w:val="43" w:id="-691334394"/>
                <w14:textFill>
                  <w14:solidFill>
                    <w14:srgbClr w14:val="000000">
                      <w14:alpha w14:val="100000"/>
                    </w14:srgbClr>
                  </w14:solidFill>
                </w14:textFill>
              </w:rPr>
              <w:t>|</w:t>
            </w:r>
            <w:r w:rsidRPr="007510F8">
              <w:rPr>
                <w:rFonts w:hint="eastAsia"/>
                <w:color w:val="000000"/>
                <w:spacing w:val="-22"/>
                <w:w w:val="15"/>
                <w:shd w:val="solid" w:color="000000" w:fill="000000"/>
                <w:fitText w:val="43" w:id="-691334394"/>
                <w14:textFill>
                  <w14:solidFill>
                    <w14:srgbClr w14:val="000000">
                      <w14:alpha w14:val="100000"/>
                    </w14:srgbClr>
                  </w14:solidFill>
                </w14:textFill>
              </w:rPr>
              <w:t xml:space="preserve">　</w:t>
            </w:r>
            <w:r w:rsidR="003069FC" w:rsidRPr="00F77292">
              <w:rPr>
                <w:vertAlign w:val="superscript"/>
              </w:rPr>
              <w:t>2</w:t>
            </w:r>
          </w:p>
        </w:tc>
        <w:tc>
          <w:tcPr>
            <w:tcW w:w="612" w:type="pct"/>
            <w:vAlign w:val="center"/>
          </w:tcPr>
          <w:p w14:paraId="7416274F" w14:textId="27E0088C"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3"/>
                <w14:textFill>
                  <w14:solidFill>
                    <w14:srgbClr w14:val="000000">
                      <w14:alpha w14:val="100000"/>
                    </w14:srgbClr>
                  </w14:solidFill>
                </w14:textFill>
              </w:rPr>
              <w:t xml:space="preserve">　</w:t>
            </w:r>
            <w:r w:rsidRPr="007510F8">
              <w:rPr>
                <w:color w:val="000000"/>
                <w:w w:val="15"/>
                <w:shd w:val="solid" w:color="000000" w:fill="000000"/>
                <w:fitText w:val="43" w:id="-691334393"/>
                <w14:textFill>
                  <w14:solidFill>
                    <w14:srgbClr w14:val="000000">
                      <w14:alpha w14:val="100000"/>
                    </w14:srgbClr>
                  </w14:solidFill>
                </w14:textFill>
              </w:rPr>
              <w:t>|</w:t>
            </w:r>
            <w:r w:rsidRPr="007510F8">
              <w:rPr>
                <w:rFonts w:hint="eastAsia"/>
                <w:color w:val="000000"/>
                <w:spacing w:val="-22"/>
                <w:w w:val="15"/>
                <w:shd w:val="solid" w:color="000000" w:fill="000000"/>
                <w:fitText w:val="43" w:id="-691334393"/>
                <w14:textFill>
                  <w14:solidFill>
                    <w14:srgbClr w14:val="000000">
                      <w14:alpha w14:val="100000"/>
                    </w14:srgbClr>
                  </w14:solidFill>
                </w14:textFill>
              </w:rPr>
              <w:t xml:space="preserve">　</w:t>
            </w:r>
            <w:r w:rsidR="003069FC" w:rsidRPr="00F77292">
              <w:rPr>
                <w:vertAlign w:val="superscript"/>
              </w:rPr>
              <w:t>2</w:t>
            </w:r>
          </w:p>
        </w:tc>
      </w:tr>
      <w:tr w:rsidR="0083174D" w:rsidRPr="00027135" w14:paraId="471BC9B5" w14:textId="77777777" w:rsidTr="007C6425">
        <w:tc>
          <w:tcPr>
            <w:tcW w:w="1330" w:type="pct"/>
            <w:shd w:val="clear" w:color="auto" w:fill="auto"/>
            <w:vAlign w:val="center"/>
          </w:tcPr>
          <w:p w14:paraId="3A0C64FB" w14:textId="77777777" w:rsidR="0083174D" w:rsidRPr="00027135" w:rsidRDefault="0083174D" w:rsidP="00E55FD2">
            <w:pPr>
              <w:pStyle w:val="COMTabletext"/>
              <w:rPr>
                <w:b/>
                <w:bCs w:val="0"/>
              </w:rPr>
            </w:pPr>
            <w:r w:rsidRPr="00027135">
              <w:rPr>
                <w:b/>
                <w:bCs w:val="0"/>
              </w:rPr>
              <w:t>Cost to PBS/RPBS less copay</w:t>
            </w:r>
          </w:p>
        </w:tc>
        <w:tc>
          <w:tcPr>
            <w:tcW w:w="611" w:type="pct"/>
            <w:shd w:val="clear" w:color="auto" w:fill="auto"/>
            <w:vAlign w:val="center"/>
          </w:tcPr>
          <w:p w14:paraId="088AB2AD" w14:textId="1CA2EFC7" w:rsidR="0083174D" w:rsidRPr="00ED0788" w:rsidRDefault="007510F8" w:rsidP="00E55FD2">
            <w:pPr>
              <w:pStyle w:val="COMTabletext"/>
              <w:jc w:val="center"/>
              <w:rPr>
                <w:b/>
                <w:bCs w:val="0"/>
                <w:highlight w:val="darkGray"/>
              </w:rPr>
            </w:pPr>
            <w:r w:rsidRPr="007510F8">
              <w:rPr>
                <w:rFonts w:hint="eastAsia"/>
                <w:b/>
                <w:bCs w:val="0"/>
                <w:color w:val="000000"/>
                <w:w w:val="21"/>
                <w:shd w:val="solid" w:color="000000" w:fill="000000"/>
                <w:fitText w:val="96" w:id="-691334392"/>
                <w14:textFill>
                  <w14:solidFill>
                    <w14:srgbClr w14:val="000000">
                      <w14:alpha w14:val="100000"/>
                    </w14:srgbClr>
                  </w14:solidFill>
                </w14:textFill>
              </w:rPr>
              <w:t xml:space="preserve">　</w:t>
            </w:r>
            <w:r w:rsidRPr="007510F8">
              <w:rPr>
                <w:b/>
                <w:bCs w:val="0"/>
                <w:color w:val="000000"/>
                <w:w w:val="21"/>
                <w:shd w:val="solid" w:color="000000" w:fill="000000"/>
                <w:fitText w:val="96" w:id="-691334392"/>
                <w14:textFill>
                  <w14:solidFill>
                    <w14:srgbClr w14:val="000000">
                      <w14:alpha w14:val="100000"/>
                    </w14:srgbClr>
                  </w14:solidFill>
                </w14:textFill>
              </w:rPr>
              <w:t>|</w:t>
            </w:r>
            <w:r w:rsidRPr="007510F8">
              <w:rPr>
                <w:rFonts w:hint="eastAsia"/>
                <w:b/>
                <w:bCs w:val="0"/>
                <w:color w:val="000000"/>
                <w:spacing w:val="5"/>
                <w:w w:val="21"/>
                <w:shd w:val="solid" w:color="000000" w:fill="000000"/>
                <w:fitText w:val="96" w:id="-691334392"/>
                <w14:textFill>
                  <w14:solidFill>
                    <w14:srgbClr w14:val="000000">
                      <w14:alpha w14:val="100000"/>
                    </w14:srgbClr>
                  </w14:solidFill>
                </w14:textFill>
              </w:rPr>
              <w:t xml:space="preserve">　</w:t>
            </w:r>
            <w:r w:rsidR="00D93980" w:rsidRPr="0096252E">
              <w:rPr>
                <w:b/>
                <w:bCs w:val="0"/>
                <w:vertAlign w:val="superscript"/>
              </w:rPr>
              <w:t>4</w:t>
            </w:r>
          </w:p>
        </w:tc>
        <w:tc>
          <w:tcPr>
            <w:tcW w:w="612" w:type="pct"/>
            <w:shd w:val="clear" w:color="auto" w:fill="auto"/>
            <w:vAlign w:val="center"/>
          </w:tcPr>
          <w:p w14:paraId="4BF540E2" w14:textId="387FDFF6" w:rsidR="0083174D" w:rsidRPr="00ED0788" w:rsidRDefault="007510F8" w:rsidP="00E55FD2">
            <w:pPr>
              <w:pStyle w:val="COMTabletext"/>
              <w:jc w:val="center"/>
              <w:rPr>
                <w:b/>
                <w:bCs w:val="0"/>
                <w:highlight w:val="darkGray"/>
              </w:rPr>
            </w:pPr>
            <w:r w:rsidRPr="007510F8">
              <w:rPr>
                <w:rFonts w:hint="eastAsia"/>
                <w:b/>
                <w:bCs w:val="0"/>
                <w:color w:val="000000"/>
                <w:w w:val="21"/>
                <w:shd w:val="solid" w:color="000000" w:fill="000000"/>
                <w:fitText w:val="96" w:id="-691334391"/>
                <w14:textFill>
                  <w14:solidFill>
                    <w14:srgbClr w14:val="000000">
                      <w14:alpha w14:val="100000"/>
                    </w14:srgbClr>
                  </w14:solidFill>
                </w14:textFill>
              </w:rPr>
              <w:t xml:space="preserve">　</w:t>
            </w:r>
            <w:r w:rsidRPr="007510F8">
              <w:rPr>
                <w:b/>
                <w:bCs w:val="0"/>
                <w:color w:val="000000"/>
                <w:w w:val="21"/>
                <w:shd w:val="solid" w:color="000000" w:fill="000000"/>
                <w:fitText w:val="96" w:id="-691334391"/>
                <w14:textFill>
                  <w14:solidFill>
                    <w14:srgbClr w14:val="000000">
                      <w14:alpha w14:val="100000"/>
                    </w14:srgbClr>
                  </w14:solidFill>
                </w14:textFill>
              </w:rPr>
              <w:t>|</w:t>
            </w:r>
            <w:r w:rsidRPr="007510F8">
              <w:rPr>
                <w:rFonts w:hint="eastAsia"/>
                <w:b/>
                <w:bCs w:val="0"/>
                <w:color w:val="000000"/>
                <w:spacing w:val="5"/>
                <w:w w:val="21"/>
                <w:shd w:val="solid" w:color="000000" w:fill="000000"/>
                <w:fitText w:val="96" w:id="-691334391"/>
                <w14:textFill>
                  <w14:solidFill>
                    <w14:srgbClr w14:val="000000">
                      <w14:alpha w14:val="100000"/>
                    </w14:srgbClr>
                  </w14:solidFill>
                </w14:textFill>
              </w:rPr>
              <w:t xml:space="preserve">　</w:t>
            </w:r>
            <w:r w:rsidR="0096252E" w:rsidRPr="0096252E">
              <w:rPr>
                <w:b/>
                <w:bCs w:val="0"/>
                <w:vertAlign w:val="superscript"/>
              </w:rPr>
              <w:t>4</w:t>
            </w:r>
          </w:p>
        </w:tc>
        <w:tc>
          <w:tcPr>
            <w:tcW w:w="611" w:type="pct"/>
            <w:shd w:val="clear" w:color="auto" w:fill="auto"/>
            <w:vAlign w:val="center"/>
          </w:tcPr>
          <w:p w14:paraId="1AC6F41F" w14:textId="14B1B727" w:rsidR="0083174D" w:rsidRPr="00ED0788" w:rsidRDefault="007510F8" w:rsidP="00E55FD2">
            <w:pPr>
              <w:pStyle w:val="COMTabletext"/>
              <w:jc w:val="center"/>
              <w:rPr>
                <w:b/>
                <w:bCs w:val="0"/>
                <w:highlight w:val="darkGray"/>
              </w:rPr>
            </w:pPr>
            <w:r w:rsidRPr="007510F8">
              <w:rPr>
                <w:rFonts w:hint="eastAsia"/>
                <w:b/>
                <w:bCs w:val="0"/>
                <w:color w:val="000000"/>
                <w:w w:val="21"/>
                <w:shd w:val="solid" w:color="000000" w:fill="000000"/>
                <w:fitText w:val="96" w:id="-691334390"/>
                <w14:textFill>
                  <w14:solidFill>
                    <w14:srgbClr w14:val="000000">
                      <w14:alpha w14:val="100000"/>
                    </w14:srgbClr>
                  </w14:solidFill>
                </w14:textFill>
              </w:rPr>
              <w:t xml:space="preserve">　</w:t>
            </w:r>
            <w:r w:rsidRPr="007510F8">
              <w:rPr>
                <w:b/>
                <w:bCs w:val="0"/>
                <w:color w:val="000000"/>
                <w:w w:val="21"/>
                <w:shd w:val="solid" w:color="000000" w:fill="000000"/>
                <w:fitText w:val="96" w:id="-691334390"/>
                <w14:textFill>
                  <w14:solidFill>
                    <w14:srgbClr w14:val="000000">
                      <w14:alpha w14:val="100000"/>
                    </w14:srgbClr>
                  </w14:solidFill>
                </w14:textFill>
              </w:rPr>
              <w:t>|</w:t>
            </w:r>
            <w:r w:rsidRPr="007510F8">
              <w:rPr>
                <w:rFonts w:hint="eastAsia"/>
                <w:b/>
                <w:bCs w:val="0"/>
                <w:color w:val="000000"/>
                <w:spacing w:val="5"/>
                <w:w w:val="21"/>
                <w:shd w:val="solid" w:color="000000" w:fill="000000"/>
                <w:fitText w:val="96" w:id="-691334390"/>
                <w14:textFill>
                  <w14:solidFill>
                    <w14:srgbClr w14:val="000000">
                      <w14:alpha w14:val="100000"/>
                    </w14:srgbClr>
                  </w14:solidFill>
                </w14:textFill>
              </w:rPr>
              <w:t xml:space="preserve">　</w:t>
            </w:r>
            <w:r w:rsidR="0096252E" w:rsidRPr="0096252E">
              <w:rPr>
                <w:b/>
                <w:bCs w:val="0"/>
                <w:vertAlign w:val="superscript"/>
              </w:rPr>
              <w:t>4</w:t>
            </w:r>
          </w:p>
        </w:tc>
        <w:tc>
          <w:tcPr>
            <w:tcW w:w="612" w:type="pct"/>
            <w:shd w:val="clear" w:color="auto" w:fill="auto"/>
            <w:vAlign w:val="center"/>
          </w:tcPr>
          <w:p w14:paraId="5D9010D1" w14:textId="28025C1B" w:rsidR="0083174D" w:rsidRPr="00ED0788" w:rsidRDefault="007510F8" w:rsidP="00E55FD2">
            <w:pPr>
              <w:pStyle w:val="COMTabletext"/>
              <w:jc w:val="center"/>
              <w:rPr>
                <w:b/>
                <w:bCs w:val="0"/>
                <w:highlight w:val="darkGray"/>
              </w:rPr>
            </w:pPr>
            <w:r w:rsidRPr="007510F8">
              <w:rPr>
                <w:rFonts w:hint="eastAsia"/>
                <w:b/>
                <w:bCs w:val="0"/>
                <w:color w:val="000000"/>
                <w:w w:val="21"/>
                <w:shd w:val="solid" w:color="000000" w:fill="000000"/>
                <w:fitText w:val="97" w:id="-691334389"/>
                <w14:textFill>
                  <w14:solidFill>
                    <w14:srgbClr w14:val="000000">
                      <w14:alpha w14:val="100000"/>
                    </w14:srgbClr>
                  </w14:solidFill>
                </w14:textFill>
              </w:rPr>
              <w:t xml:space="preserve">　</w:t>
            </w:r>
            <w:r w:rsidRPr="007510F8">
              <w:rPr>
                <w:b/>
                <w:bCs w:val="0"/>
                <w:color w:val="000000"/>
                <w:w w:val="21"/>
                <w:shd w:val="solid" w:color="000000" w:fill="000000"/>
                <w:fitText w:val="97" w:id="-691334389"/>
                <w14:textFill>
                  <w14:solidFill>
                    <w14:srgbClr w14:val="000000">
                      <w14:alpha w14:val="100000"/>
                    </w14:srgbClr>
                  </w14:solidFill>
                </w14:textFill>
              </w:rPr>
              <w:t>|</w:t>
            </w:r>
            <w:r w:rsidRPr="007510F8">
              <w:rPr>
                <w:rFonts w:hint="eastAsia"/>
                <w:b/>
                <w:bCs w:val="0"/>
                <w:color w:val="000000"/>
                <w:spacing w:val="6"/>
                <w:w w:val="21"/>
                <w:shd w:val="solid" w:color="000000" w:fill="000000"/>
                <w:fitText w:val="97" w:id="-691334389"/>
                <w14:textFill>
                  <w14:solidFill>
                    <w14:srgbClr w14:val="000000">
                      <w14:alpha w14:val="100000"/>
                    </w14:srgbClr>
                  </w14:solidFill>
                </w14:textFill>
              </w:rPr>
              <w:t xml:space="preserve">　</w:t>
            </w:r>
            <w:r w:rsidR="0096252E" w:rsidRPr="0096252E">
              <w:rPr>
                <w:b/>
                <w:bCs w:val="0"/>
                <w:vertAlign w:val="superscript"/>
              </w:rPr>
              <w:t>4</w:t>
            </w:r>
          </w:p>
        </w:tc>
        <w:tc>
          <w:tcPr>
            <w:tcW w:w="611" w:type="pct"/>
            <w:shd w:val="clear" w:color="auto" w:fill="auto"/>
            <w:vAlign w:val="center"/>
          </w:tcPr>
          <w:p w14:paraId="7AE20DAB" w14:textId="0F5FE9F0" w:rsidR="0083174D" w:rsidRPr="00ED0788" w:rsidRDefault="007510F8" w:rsidP="00E55FD2">
            <w:pPr>
              <w:pStyle w:val="COMTabletext"/>
              <w:jc w:val="center"/>
              <w:rPr>
                <w:b/>
                <w:bCs w:val="0"/>
                <w:highlight w:val="darkGray"/>
              </w:rPr>
            </w:pPr>
            <w:r w:rsidRPr="007510F8">
              <w:rPr>
                <w:rFonts w:hint="eastAsia"/>
                <w:b/>
                <w:bCs w:val="0"/>
                <w:color w:val="000000"/>
                <w:w w:val="21"/>
                <w:shd w:val="solid" w:color="000000" w:fill="000000"/>
                <w:fitText w:val="97" w:id="-691334388"/>
                <w14:textFill>
                  <w14:solidFill>
                    <w14:srgbClr w14:val="000000">
                      <w14:alpha w14:val="100000"/>
                    </w14:srgbClr>
                  </w14:solidFill>
                </w14:textFill>
              </w:rPr>
              <w:t xml:space="preserve">　</w:t>
            </w:r>
            <w:r w:rsidRPr="007510F8">
              <w:rPr>
                <w:b/>
                <w:bCs w:val="0"/>
                <w:color w:val="000000"/>
                <w:w w:val="21"/>
                <w:shd w:val="solid" w:color="000000" w:fill="000000"/>
                <w:fitText w:val="97" w:id="-691334388"/>
                <w14:textFill>
                  <w14:solidFill>
                    <w14:srgbClr w14:val="000000">
                      <w14:alpha w14:val="100000"/>
                    </w14:srgbClr>
                  </w14:solidFill>
                </w14:textFill>
              </w:rPr>
              <w:t>|</w:t>
            </w:r>
            <w:r w:rsidRPr="007510F8">
              <w:rPr>
                <w:rFonts w:hint="eastAsia"/>
                <w:b/>
                <w:bCs w:val="0"/>
                <w:color w:val="000000"/>
                <w:spacing w:val="6"/>
                <w:w w:val="21"/>
                <w:shd w:val="solid" w:color="000000" w:fill="000000"/>
                <w:fitText w:val="97" w:id="-691334388"/>
                <w14:textFill>
                  <w14:solidFill>
                    <w14:srgbClr w14:val="000000">
                      <w14:alpha w14:val="100000"/>
                    </w14:srgbClr>
                  </w14:solidFill>
                </w14:textFill>
              </w:rPr>
              <w:t xml:space="preserve">　</w:t>
            </w:r>
            <w:r w:rsidR="0096252E" w:rsidRPr="0096252E">
              <w:rPr>
                <w:b/>
                <w:bCs w:val="0"/>
                <w:vertAlign w:val="superscript"/>
              </w:rPr>
              <w:t>4</w:t>
            </w:r>
          </w:p>
        </w:tc>
        <w:tc>
          <w:tcPr>
            <w:tcW w:w="612" w:type="pct"/>
            <w:vAlign w:val="center"/>
          </w:tcPr>
          <w:p w14:paraId="4D3360F7" w14:textId="7CD5236A" w:rsidR="0083174D" w:rsidRPr="00ED0788" w:rsidRDefault="007510F8" w:rsidP="00E55FD2">
            <w:pPr>
              <w:pStyle w:val="COMTabletext"/>
              <w:jc w:val="center"/>
              <w:rPr>
                <w:b/>
                <w:bCs w:val="0"/>
                <w:highlight w:val="darkGray"/>
              </w:rPr>
            </w:pPr>
            <w:r w:rsidRPr="007510F8">
              <w:rPr>
                <w:rFonts w:hint="eastAsia"/>
                <w:b/>
                <w:bCs w:val="0"/>
                <w:color w:val="000000"/>
                <w:w w:val="21"/>
                <w:shd w:val="solid" w:color="000000" w:fill="000000"/>
                <w:fitText w:val="97" w:id="-691334387"/>
                <w14:textFill>
                  <w14:solidFill>
                    <w14:srgbClr w14:val="000000">
                      <w14:alpha w14:val="100000"/>
                    </w14:srgbClr>
                  </w14:solidFill>
                </w14:textFill>
              </w:rPr>
              <w:t xml:space="preserve">　</w:t>
            </w:r>
            <w:r w:rsidRPr="007510F8">
              <w:rPr>
                <w:b/>
                <w:bCs w:val="0"/>
                <w:color w:val="000000"/>
                <w:w w:val="21"/>
                <w:shd w:val="solid" w:color="000000" w:fill="000000"/>
                <w:fitText w:val="97" w:id="-691334387"/>
                <w14:textFill>
                  <w14:solidFill>
                    <w14:srgbClr w14:val="000000">
                      <w14:alpha w14:val="100000"/>
                    </w14:srgbClr>
                  </w14:solidFill>
                </w14:textFill>
              </w:rPr>
              <w:t>|</w:t>
            </w:r>
            <w:r w:rsidRPr="007510F8">
              <w:rPr>
                <w:rFonts w:hint="eastAsia"/>
                <w:b/>
                <w:bCs w:val="0"/>
                <w:color w:val="000000"/>
                <w:spacing w:val="6"/>
                <w:w w:val="21"/>
                <w:shd w:val="solid" w:color="000000" w:fill="000000"/>
                <w:fitText w:val="97" w:id="-691334387"/>
                <w14:textFill>
                  <w14:solidFill>
                    <w14:srgbClr w14:val="000000">
                      <w14:alpha w14:val="100000"/>
                    </w14:srgbClr>
                  </w14:solidFill>
                </w14:textFill>
              </w:rPr>
              <w:t xml:space="preserve">　</w:t>
            </w:r>
            <w:r w:rsidR="00FA1B06" w:rsidRPr="00FA1B06">
              <w:rPr>
                <w:b/>
                <w:bCs w:val="0"/>
                <w:vertAlign w:val="superscript"/>
              </w:rPr>
              <w:t>5</w:t>
            </w:r>
          </w:p>
        </w:tc>
      </w:tr>
      <w:tr w:rsidR="0083174D" w:rsidRPr="00FF07C5" w14:paraId="0EFB987F" w14:textId="77777777" w:rsidTr="007C6425">
        <w:tc>
          <w:tcPr>
            <w:tcW w:w="1330" w:type="pct"/>
            <w:shd w:val="clear" w:color="auto" w:fill="B8CCE4" w:themeFill="accent1" w:themeFillTint="66"/>
            <w:vAlign w:val="center"/>
          </w:tcPr>
          <w:p w14:paraId="101606C3" w14:textId="77777777" w:rsidR="0083174D" w:rsidRPr="00FF07C5" w:rsidRDefault="0083174D" w:rsidP="00E55FD2">
            <w:pPr>
              <w:pStyle w:val="COMTabletext"/>
            </w:pPr>
            <w:r w:rsidRPr="00FF07C5">
              <w:t>July 2024 submission, net PBS/RPBS cost</w:t>
            </w:r>
          </w:p>
        </w:tc>
        <w:tc>
          <w:tcPr>
            <w:tcW w:w="611" w:type="pct"/>
            <w:shd w:val="clear" w:color="auto" w:fill="B8CCE4" w:themeFill="accent1" w:themeFillTint="66"/>
            <w:vAlign w:val="center"/>
          </w:tcPr>
          <w:p w14:paraId="380E30CB" w14:textId="4C7F1243" w:rsidR="0083174D" w:rsidRPr="00ED0788" w:rsidRDefault="007510F8" w:rsidP="00E55FD2">
            <w:pPr>
              <w:pStyle w:val="COMTabletext"/>
              <w:jc w:val="center"/>
              <w:rPr>
                <w:highlight w:val="darkGray"/>
              </w:rPr>
            </w:pPr>
            <w:r w:rsidRPr="007510F8">
              <w:rPr>
                <w:rFonts w:hint="eastAsia"/>
                <w:color w:val="000000"/>
                <w:w w:val="16"/>
                <w:shd w:val="solid" w:color="000000" w:fill="000000"/>
                <w:fitText w:val="75" w:id="-691334386"/>
                <w14:textFill>
                  <w14:solidFill>
                    <w14:srgbClr w14:val="000000">
                      <w14:alpha w14:val="100000"/>
                    </w14:srgbClr>
                  </w14:solidFill>
                </w14:textFill>
              </w:rPr>
              <w:t xml:space="preserve">　</w:t>
            </w:r>
            <w:r w:rsidRPr="007510F8">
              <w:rPr>
                <w:color w:val="000000"/>
                <w:w w:val="16"/>
                <w:shd w:val="solid" w:color="000000" w:fill="000000"/>
                <w:fitText w:val="75" w:id="-691334386"/>
                <w14:textFill>
                  <w14:solidFill>
                    <w14:srgbClr w14:val="000000">
                      <w14:alpha w14:val="100000"/>
                    </w14:srgbClr>
                  </w14:solidFill>
                </w14:textFill>
              </w:rPr>
              <w:t>|</w:t>
            </w:r>
            <w:r w:rsidRPr="007510F8">
              <w:rPr>
                <w:rFonts w:hint="eastAsia"/>
                <w:color w:val="000000"/>
                <w:spacing w:val="5"/>
                <w:w w:val="16"/>
                <w:shd w:val="solid" w:color="000000" w:fill="000000"/>
                <w:fitText w:val="75" w:id="-691334386"/>
                <w14:textFill>
                  <w14:solidFill>
                    <w14:srgbClr w14:val="000000">
                      <w14:alpha w14:val="100000"/>
                    </w14:srgbClr>
                  </w14:solidFill>
                </w14:textFill>
              </w:rPr>
              <w:t xml:space="preserve">　</w:t>
            </w:r>
            <w:r w:rsidR="002415C6" w:rsidRPr="002415C6">
              <w:t xml:space="preserve"> </w:t>
            </w:r>
            <w:r w:rsidR="00495089" w:rsidRPr="00495089">
              <w:rPr>
                <w:vertAlign w:val="superscript"/>
              </w:rPr>
              <w:t>6</w:t>
            </w:r>
          </w:p>
        </w:tc>
        <w:tc>
          <w:tcPr>
            <w:tcW w:w="612" w:type="pct"/>
            <w:shd w:val="clear" w:color="auto" w:fill="B8CCE4" w:themeFill="accent1" w:themeFillTint="66"/>
            <w:vAlign w:val="center"/>
          </w:tcPr>
          <w:p w14:paraId="1372C04E" w14:textId="4B91260F"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5"/>
                <w14:textFill>
                  <w14:solidFill>
                    <w14:srgbClr w14:val="000000">
                      <w14:alpha w14:val="100000"/>
                    </w14:srgbClr>
                  </w14:solidFill>
                </w14:textFill>
              </w:rPr>
              <w:t xml:space="preserve">　</w:t>
            </w:r>
            <w:r w:rsidRPr="007510F8">
              <w:rPr>
                <w:color w:val="000000"/>
                <w:w w:val="15"/>
                <w:shd w:val="solid" w:color="000000" w:fill="000000"/>
                <w:fitText w:val="43" w:id="-691334385"/>
                <w14:textFill>
                  <w14:solidFill>
                    <w14:srgbClr w14:val="000000">
                      <w14:alpha w14:val="100000"/>
                    </w14:srgbClr>
                  </w14:solidFill>
                </w14:textFill>
              </w:rPr>
              <w:t>|</w:t>
            </w:r>
            <w:r w:rsidRPr="007510F8">
              <w:rPr>
                <w:rFonts w:hint="eastAsia"/>
                <w:color w:val="000000"/>
                <w:spacing w:val="-22"/>
                <w:w w:val="15"/>
                <w:shd w:val="solid" w:color="000000" w:fill="000000"/>
                <w:fitText w:val="43" w:id="-691334385"/>
                <w14:textFill>
                  <w14:solidFill>
                    <w14:srgbClr w14:val="000000">
                      <w14:alpha w14:val="100000"/>
                    </w14:srgbClr>
                  </w14:solidFill>
                </w14:textFill>
              </w:rPr>
              <w:t xml:space="preserve">　</w:t>
            </w:r>
            <w:r w:rsidR="00495089" w:rsidRPr="00495089">
              <w:rPr>
                <w:vertAlign w:val="superscript"/>
              </w:rPr>
              <w:t>7</w:t>
            </w:r>
          </w:p>
        </w:tc>
        <w:tc>
          <w:tcPr>
            <w:tcW w:w="611" w:type="pct"/>
            <w:shd w:val="clear" w:color="auto" w:fill="B8CCE4" w:themeFill="accent1" w:themeFillTint="66"/>
            <w:vAlign w:val="center"/>
          </w:tcPr>
          <w:p w14:paraId="34481AAC" w14:textId="2D38B335"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4"/>
                <w14:textFill>
                  <w14:solidFill>
                    <w14:srgbClr w14:val="000000">
                      <w14:alpha w14:val="100000"/>
                    </w14:srgbClr>
                  </w14:solidFill>
                </w14:textFill>
              </w:rPr>
              <w:t xml:space="preserve">　</w:t>
            </w:r>
            <w:r w:rsidRPr="007510F8">
              <w:rPr>
                <w:color w:val="000000"/>
                <w:w w:val="15"/>
                <w:shd w:val="solid" w:color="000000" w:fill="000000"/>
                <w:fitText w:val="43" w:id="-691334384"/>
                <w14:textFill>
                  <w14:solidFill>
                    <w14:srgbClr w14:val="000000">
                      <w14:alpha w14:val="100000"/>
                    </w14:srgbClr>
                  </w14:solidFill>
                </w14:textFill>
              </w:rPr>
              <w:t>|</w:t>
            </w:r>
            <w:r w:rsidRPr="007510F8">
              <w:rPr>
                <w:rFonts w:hint="eastAsia"/>
                <w:color w:val="000000"/>
                <w:spacing w:val="-22"/>
                <w:w w:val="15"/>
                <w:shd w:val="solid" w:color="000000" w:fill="000000"/>
                <w:fitText w:val="43" w:id="-691334384"/>
                <w14:textFill>
                  <w14:solidFill>
                    <w14:srgbClr w14:val="000000">
                      <w14:alpha w14:val="100000"/>
                    </w14:srgbClr>
                  </w14:solidFill>
                </w14:textFill>
              </w:rPr>
              <w:t xml:space="preserve">　</w:t>
            </w:r>
            <w:r w:rsidR="00495089" w:rsidRPr="00495089">
              <w:rPr>
                <w:vertAlign w:val="superscript"/>
              </w:rPr>
              <w:t>7</w:t>
            </w:r>
          </w:p>
        </w:tc>
        <w:tc>
          <w:tcPr>
            <w:tcW w:w="612" w:type="pct"/>
            <w:shd w:val="clear" w:color="auto" w:fill="B8CCE4" w:themeFill="accent1" w:themeFillTint="66"/>
            <w:vAlign w:val="center"/>
          </w:tcPr>
          <w:p w14:paraId="4D340403" w14:textId="381AAC6F"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400"/>
                <w14:textFill>
                  <w14:solidFill>
                    <w14:srgbClr w14:val="000000">
                      <w14:alpha w14:val="100000"/>
                    </w14:srgbClr>
                  </w14:solidFill>
                </w14:textFill>
              </w:rPr>
              <w:t xml:space="preserve">　</w:t>
            </w:r>
            <w:r w:rsidRPr="007510F8">
              <w:rPr>
                <w:color w:val="000000"/>
                <w:w w:val="15"/>
                <w:shd w:val="solid" w:color="000000" w:fill="000000"/>
                <w:fitText w:val="43" w:id="-691334400"/>
                <w14:textFill>
                  <w14:solidFill>
                    <w14:srgbClr w14:val="000000">
                      <w14:alpha w14:val="100000"/>
                    </w14:srgbClr>
                  </w14:solidFill>
                </w14:textFill>
              </w:rPr>
              <w:t>|</w:t>
            </w:r>
            <w:r w:rsidRPr="007510F8">
              <w:rPr>
                <w:rFonts w:hint="eastAsia"/>
                <w:color w:val="000000"/>
                <w:spacing w:val="-22"/>
                <w:w w:val="15"/>
                <w:shd w:val="solid" w:color="000000" w:fill="000000"/>
                <w:fitText w:val="43" w:id="-691334400"/>
                <w14:textFill>
                  <w14:solidFill>
                    <w14:srgbClr w14:val="000000">
                      <w14:alpha w14:val="100000"/>
                    </w14:srgbClr>
                  </w14:solidFill>
                </w14:textFill>
              </w:rPr>
              <w:t xml:space="preserve">　</w:t>
            </w:r>
            <w:r w:rsidR="00495089" w:rsidRPr="00495089">
              <w:rPr>
                <w:vertAlign w:val="superscript"/>
              </w:rPr>
              <w:t>7</w:t>
            </w:r>
          </w:p>
        </w:tc>
        <w:tc>
          <w:tcPr>
            <w:tcW w:w="611" w:type="pct"/>
            <w:shd w:val="clear" w:color="auto" w:fill="B8CCE4" w:themeFill="accent1" w:themeFillTint="66"/>
            <w:vAlign w:val="center"/>
          </w:tcPr>
          <w:p w14:paraId="5F8AC486" w14:textId="7126068D"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9"/>
                <w14:textFill>
                  <w14:solidFill>
                    <w14:srgbClr w14:val="000000">
                      <w14:alpha w14:val="100000"/>
                    </w14:srgbClr>
                  </w14:solidFill>
                </w14:textFill>
              </w:rPr>
              <w:t xml:space="preserve">　</w:t>
            </w:r>
            <w:r w:rsidRPr="007510F8">
              <w:rPr>
                <w:color w:val="000000"/>
                <w:w w:val="15"/>
                <w:shd w:val="solid" w:color="000000" w:fill="000000"/>
                <w:fitText w:val="43" w:id="-691334399"/>
                <w14:textFill>
                  <w14:solidFill>
                    <w14:srgbClr w14:val="000000">
                      <w14:alpha w14:val="100000"/>
                    </w14:srgbClr>
                  </w14:solidFill>
                </w14:textFill>
              </w:rPr>
              <w:t>|</w:t>
            </w:r>
            <w:r w:rsidRPr="007510F8">
              <w:rPr>
                <w:rFonts w:hint="eastAsia"/>
                <w:color w:val="000000"/>
                <w:spacing w:val="-22"/>
                <w:w w:val="15"/>
                <w:shd w:val="solid" w:color="000000" w:fill="000000"/>
                <w:fitText w:val="43" w:id="-691334399"/>
                <w14:textFill>
                  <w14:solidFill>
                    <w14:srgbClr w14:val="000000">
                      <w14:alpha w14:val="100000"/>
                    </w14:srgbClr>
                  </w14:solidFill>
                </w14:textFill>
              </w:rPr>
              <w:t xml:space="preserve">　</w:t>
            </w:r>
            <w:r w:rsidR="00495089" w:rsidRPr="00495089">
              <w:rPr>
                <w:vertAlign w:val="superscript"/>
              </w:rPr>
              <w:t>7</w:t>
            </w:r>
          </w:p>
        </w:tc>
        <w:tc>
          <w:tcPr>
            <w:tcW w:w="612" w:type="pct"/>
            <w:shd w:val="clear" w:color="auto" w:fill="B8CCE4" w:themeFill="accent1" w:themeFillTint="66"/>
            <w:vAlign w:val="center"/>
          </w:tcPr>
          <w:p w14:paraId="69A235EC" w14:textId="2EE4D097"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8"/>
                <w14:textFill>
                  <w14:solidFill>
                    <w14:srgbClr w14:val="000000">
                      <w14:alpha w14:val="100000"/>
                    </w14:srgbClr>
                  </w14:solidFill>
                </w14:textFill>
              </w:rPr>
              <w:t xml:space="preserve">　</w:t>
            </w:r>
            <w:r w:rsidRPr="007510F8">
              <w:rPr>
                <w:color w:val="000000"/>
                <w:w w:val="15"/>
                <w:shd w:val="solid" w:color="000000" w:fill="000000"/>
                <w:fitText w:val="43" w:id="-691334398"/>
                <w14:textFill>
                  <w14:solidFill>
                    <w14:srgbClr w14:val="000000">
                      <w14:alpha w14:val="100000"/>
                    </w14:srgbClr>
                  </w14:solidFill>
                </w14:textFill>
              </w:rPr>
              <w:t>|</w:t>
            </w:r>
            <w:r w:rsidRPr="007510F8">
              <w:rPr>
                <w:rFonts w:hint="eastAsia"/>
                <w:color w:val="000000"/>
                <w:spacing w:val="-22"/>
                <w:w w:val="15"/>
                <w:shd w:val="solid" w:color="000000" w:fill="000000"/>
                <w:fitText w:val="43" w:id="-691334398"/>
                <w14:textFill>
                  <w14:solidFill>
                    <w14:srgbClr w14:val="000000">
                      <w14:alpha w14:val="100000"/>
                    </w14:srgbClr>
                  </w14:solidFill>
                </w14:textFill>
              </w:rPr>
              <w:t xml:space="preserve">　</w:t>
            </w:r>
            <w:r w:rsidR="00495089" w:rsidRPr="00495089">
              <w:rPr>
                <w:vertAlign w:val="superscript"/>
              </w:rPr>
              <w:t>7</w:t>
            </w:r>
          </w:p>
        </w:tc>
      </w:tr>
      <w:tr w:rsidR="0083174D" w:rsidRPr="0098262F" w14:paraId="4A9F06C0" w14:textId="77777777" w:rsidTr="007C6425">
        <w:tc>
          <w:tcPr>
            <w:tcW w:w="1330" w:type="pct"/>
            <w:shd w:val="clear" w:color="auto" w:fill="auto"/>
            <w:vAlign w:val="center"/>
          </w:tcPr>
          <w:p w14:paraId="6515F9FB" w14:textId="77777777" w:rsidR="0083174D" w:rsidRPr="0098262F" w:rsidRDefault="0083174D" w:rsidP="00E55FD2">
            <w:pPr>
              <w:pStyle w:val="COMTabletext"/>
            </w:pPr>
            <w:r>
              <w:t>Reduced NBA costs for IVIg</w:t>
            </w:r>
          </w:p>
        </w:tc>
        <w:tc>
          <w:tcPr>
            <w:tcW w:w="611" w:type="pct"/>
            <w:shd w:val="clear" w:color="auto" w:fill="auto"/>
            <w:vAlign w:val="center"/>
          </w:tcPr>
          <w:p w14:paraId="1723F4B8" w14:textId="68703946"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7"/>
                <w14:textFill>
                  <w14:solidFill>
                    <w14:srgbClr w14:val="000000">
                      <w14:alpha w14:val="100000"/>
                    </w14:srgbClr>
                  </w14:solidFill>
                </w14:textFill>
              </w:rPr>
              <w:t xml:space="preserve">　</w:t>
            </w:r>
            <w:r w:rsidRPr="007510F8">
              <w:rPr>
                <w:color w:val="000000"/>
                <w:w w:val="15"/>
                <w:shd w:val="solid" w:color="000000" w:fill="000000"/>
                <w:fitText w:val="43" w:id="-691334397"/>
                <w14:textFill>
                  <w14:solidFill>
                    <w14:srgbClr w14:val="000000">
                      <w14:alpha w14:val="100000"/>
                    </w14:srgbClr>
                  </w14:solidFill>
                </w14:textFill>
              </w:rPr>
              <w:t>|</w:t>
            </w:r>
            <w:r w:rsidRPr="007510F8">
              <w:rPr>
                <w:rFonts w:hint="eastAsia"/>
                <w:color w:val="000000"/>
                <w:spacing w:val="-22"/>
                <w:w w:val="15"/>
                <w:shd w:val="solid" w:color="000000" w:fill="000000"/>
                <w:fitText w:val="43" w:id="-691334397"/>
                <w14:textFill>
                  <w14:solidFill>
                    <w14:srgbClr w14:val="000000">
                      <w14:alpha w14:val="100000"/>
                    </w14:srgbClr>
                  </w14:solidFill>
                </w14:textFill>
              </w:rPr>
              <w:t xml:space="preserve">　</w:t>
            </w:r>
            <w:r w:rsidR="00695D5A" w:rsidRPr="00695D5A">
              <w:rPr>
                <w:vertAlign w:val="superscript"/>
              </w:rPr>
              <w:t>8</w:t>
            </w:r>
          </w:p>
        </w:tc>
        <w:tc>
          <w:tcPr>
            <w:tcW w:w="612" w:type="pct"/>
            <w:shd w:val="clear" w:color="auto" w:fill="auto"/>
            <w:vAlign w:val="center"/>
          </w:tcPr>
          <w:p w14:paraId="596FE4D9" w14:textId="59F51175"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6"/>
                <w14:textFill>
                  <w14:solidFill>
                    <w14:srgbClr w14:val="000000">
                      <w14:alpha w14:val="100000"/>
                    </w14:srgbClr>
                  </w14:solidFill>
                </w14:textFill>
              </w:rPr>
              <w:t xml:space="preserve">　</w:t>
            </w:r>
            <w:r w:rsidRPr="007510F8">
              <w:rPr>
                <w:color w:val="000000"/>
                <w:w w:val="15"/>
                <w:shd w:val="solid" w:color="000000" w:fill="000000"/>
                <w:fitText w:val="43" w:id="-691334396"/>
                <w14:textFill>
                  <w14:solidFill>
                    <w14:srgbClr w14:val="000000">
                      <w14:alpha w14:val="100000"/>
                    </w14:srgbClr>
                  </w14:solidFill>
                </w14:textFill>
              </w:rPr>
              <w:t>|</w:t>
            </w:r>
            <w:r w:rsidRPr="007510F8">
              <w:rPr>
                <w:rFonts w:hint="eastAsia"/>
                <w:color w:val="000000"/>
                <w:spacing w:val="-22"/>
                <w:w w:val="15"/>
                <w:shd w:val="solid" w:color="000000" w:fill="000000"/>
                <w:fitText w:val="43" w:id="-691334396"/>
                <w14:textFill>
                  <w14:solidFill>
                    <w14:srgbClr w14:val="000000">
                      <w14:alpha w14:val="100000"/>
                    </w14:srgbClr>
                  </w14:solidFill>
                </w14:textFill>
              </w:rPr>
              <w:t xml:space="preserve">　</w:t>
            </w:r>
            <w:r w:rsidR="00695D5A" w:rsidRPr="00695D5A">
              <w:rPr>
                <w:vertAlign w:val="superscript"/>
              </w:rPr>
              <w:t>8</w:t>
            </w:r>
          </w:p>
        </w:tc>
        <w:tc>
          <w:tcPr>
            <w:tcW w:w="611" w:type="pct"/>
            <w:shd w:val="clear" w:color="auto" w:fill="auto"/>
            <w:vAlign w:val="center"/>
          </w:tcPr>
          <w:p w14:paraId="34AB46E7" w14:textId="7EE6A03E"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5"/>
                <w14:textFill>
                  <w14:solidFill>
                    <w14:srgbClr w14:val="000000">
                      <w14:alpha w14:val="100000"/>
                    </w14:srgbClr>
                  </w14:solidFill>
                </w14:textFill>
              </w:rPr>
              <w:t xml:space="preserve">　</w:t>
            </w:r>
            <w:r w:rsidRPr="007510F8">
              <w:rPr>
                <w:color w:val="000000"/>
                <w:w w:val="15"/>
                <w:shd w:val="solid" w:color="000000" w:fill="000000"/>
                <w:fitText w:val="43" w:id="-691334395"/>
                <w14:textFill>
                  <w14:solidFill>
                    <w14:srgbClr w14:val="000000">
                      <w14:alpha w14:val="100000"/>
                    </w14:srgbClr>
                  </w14:solidFill>
                </w14:textFill>
              </w:rPr>
              <w:t>|</w:t>
            </w:r>
            <w:r w:rsidRPr="007510F8">
              <w:rPr>
                <w:rFonts w:hint="eastAsia"/>
                <w:color w:val="000000"/>
                <w:spacing w:val="-22"/>
                <w:w w:val="15"/>
                <w:shd w:val="solid" w:color="000000" w:fill="000000"/>
                <w:fitText w:val="43" w:id="-691334395"/>
                <w14:textFill>
                  <w14:solidFill>
                    <w14:srgbClr w14:val="000000">
                      <w14:alpha w14:val="100000"/>
                    </w14:srgbClr>
                  </w14:solidFill>
                </w14:textFill>
              </w:rPr>
              <w:t xml:space="preserve">　</w:t>
            </w:r>
            <w:r w:rsidR="00695D5A" w:rsidRPr="00695D5A">
              <w:rPr>
                <w:vertAlign w:val="superscript"/>
              </w:rPr>
              <w:t>8</w:t>
            </w:r>
          </w:p>
        </w:tc>
        <w:tc>
          <w:tcPr>
            <w:tcW w:w="612" w:type="pct"/>
            <w:shd w:val="clear" w:color="auto" w:fill="auto"/>
            <w:vAlign w:val="center"/>
          </w:tcPr>
          <w:p w14:paraId="29CBDF3D" w14:textId="29FAE542"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4"/>
                <w14:textFill>
                  <w14:solidFill>
                    <w14:srgbClr w14:val="000000">
                      <w14:alpha w14:val="100000"/>
                    </w14:srgbClr>
                  </w14:solidFill>
                </w14:textFill>
              </w:rPr>
              <w:t xml:space="preserve">　</w:t>
            </w:r>
            <w:r w:rsidRPr="007510F8">
              <w:rPr>
                <w:color w:val="000000"/>
                <w:w w:val="15"/>
                <w:shd w:val="solid" w:color="000000" w:fill="000000"/>
                <w:fitText w:val="43" w:id="-691334394"/>
                <w14:textFill>
                  <w14:solidFill>
                    <w14:srgbClr w14:val="000000">
                      <w14:alpha w14:val="100000"/>
                    </w14:srgbClr>
                  </w14:solidFill>
                </w14:textFill>
              </w:rPr>
              <w:t>|</w:t>
            </w:r>
            <w:r w:rsidRPr="007510F8">
              <w:rPr>
                <w:rFonts w:hint="eastAsia"/>
                <w:color w:val="000000"/>
                <w:spacing w:val="-22"/>
                <w:w w:val="15"/>
                <w:shd w:val="solid" w:color="000000" w:fill="000000"/>
                <w:fitText w:val="43" w:id="-691334394"/>
                <w14:textFill>
                  <w14:solidFill>
                    <w14:srgbClr w14:val="000000">
                      <w14:alpha w14:val="100000"/>
                    </w14:srgbClr>
                  </w14:solidFill>
                </w14:textFill>
              </w:rPr>
              <w:t xml:space="preserve">　</w:t>
            </w:r>
            <w:r w:rsidR="00695D5A" w:rsidRPr="00695D5A">
              <w:rPr>
                <w:vertAlign w:val="superscript"/>
              </w:rPr>
              <w:t>8</w:t>
            </w:r>
          </w:p>
        </w:tc>
        <w:tc>
          <w:tcPr>
            <w:tcW w:w="611" w:type="pct"/>
            <w:shd w:val="clear" w:color="auto" w:fill="auto"/>
            <w:vAlign w:val="center"/>
          </w:tcPr>
          <w:p w14:paraId="0D400067" w14:textId="3EF02B21"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3"/>
                <w14:textFill>
                  <w14:solidFill>
                    <w14:srgbClr w14:val="000000">
                      <w14:alpha w14:val="100000"/>
                    </w14:srgbClr>
                  </w14:solidFill>
                </w14:textFill>
              </w:rPr>
              <w:t xml:space="preserve">　</w:t>
            </w:r>
            <w:r w:rsidRPr="007510F8">
              <w:rPr>
                <w:color w:val="000000"/>
                <w:w w:val="15"/>
                <w:shd w:val="solid" w:color="000000" w:fill="000000"/>
                <w:fitText w:val="43" w:id="-691334393"/>
                <w14:textFill>
                  <w14:solidFill>
                    <w14:srgbClr w14:val="000000">
                      <w14:alpha w14:val="100000"/>
                    </w14:srgbClr>
                  </w14:solidFill>
                </w14:textFill>
              </w:rPr>
              <w:t>|</w:t>
            </w:r>
            <w:r w:rsidRPr="007510F8">
              <w:rPr>
                <w:rFonts w:hint="eastAsia"/>
                <w:color w:val="000000"/>
                <w:spacing w:val="-22"/>
                <w:w w:val="15"/>
                <w:shd w:val="solid" w:color="000000" w:fill="000000"/>
                <w:fitText w:val="43" w:id="-691334393"/>
                <w14:textFill>
                  <w14:solidFill>
                    <w14:srgbClr w14:val="000000">
                      <w14:alpha w14:val="100000"/>
                    </w14:srgbClr>
                  </w14:solidFill>
                </w14:textFill>
              </w:rPr>
              <w:t xml:space="preserve">　</w:t>
            </w:r>
            <w:r w:rsidR="00695D5A" w:rsidRPr="00695D5A">
              <w:rPr>
                <w:vertAlign w:val="superscript"/>
              </w:rPr>
              <w:t>8</w:t>
            </w:r>
          </w:p>
        </w:tc>
        <w:tc>
          <w:tcPr>
            <w:tcW w:w="612" w:type="pct"/>
            <w:vAlign w:val="center"/>
          </w:tcPr>
          <w:p w14:paraId="6B5C2FB4" w14:textId="27606894"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2"/>
                <w14:textFill>
                  <w14:solidFill>
                    <w14:srgbClr w14:val="000000">
                      <w14:alpha w14:val="100000"/>
                    </w14:srgbClr>
                  </w14:solidFill>
                </w14:textFill>
              </w:rPr>
              <w:t xml:space="preserve">　</w:t>
            </w:r>
            <w:r w:rsidRPr="007510F8">
              <w:rPr>
                <w:color w:val="000000"/>
                <w:w w:val="15"/>
                <w:shd w:val="solid" w:color="000000" w:fill="000000"/>
                <w:fitText w:val="43" w:id="-691334392"/>
                <w14:textFill>
                  <w14:solidFill>
                    <w14:srgbClr w14:val="000000">
                      <w14:alpha w14:val="100000"/>
                    </w14:srgbClr>
                  </w14:solidFill>
                </w14:textFill>
              </w:rPr>
              <w:t>|</w:t>
            </w:r>
            <w:r w:rsidRPr="007510F8">
              <w:rPr>
                <w:rFonts w:hint="eastAsia"/>
                <w:color w:val="000000"/>
                <w:spacing w:val="-22"/>
                <w:w w:val="15"/>
                <w:shd w:val="solid" w:color="000000" w:fill="000000"/>
                <w:fitText w:val="43" w:id="-691334392"/>
                <w14:textFill>
                  <w14:solidFill>
                    <w14:srgbClr w14:val="000000">
                      <w14:alpha w14:val="100000"/>
                    </w14:srgbClr>
                  </w14:solidFill>
                </w14:textFill>
              </w:rPr>
              <w:t xml:space="preserve">　</w:t>
            </w:r>
            <w:r w:rsidR="00695D5A" w:rsidRPr="00695D5A">
              <w:rPr>
                <w:vertAlign w:val="superscript"/>
              </w:rPr>
              <w:t>8</w:t>
            </w:r>
          </w:p>
        </w:tc>
      </w:tr>
      <w:tr w:rsidR="0083174D" w:rsidRPr="0098262F" w14:paraId="3CE4391E" w14:textId="77777777" w:rsidTr="007C6425">
        <w:tc>
          <w:tcPr>
            <w:tcW w:w="1330" w:type="pct"/>
            <w:shd w:val="clear" w:color="auto" w:fill="auto"/>
            <w:vAlign w:val="center"/>
          </w:tcPr>
          <w:p w14:paraId="51D2BF0D" w14:textId="77777777" w:rsidR="0083174D" w:rsidRPr="0098262F" w:rsidRDefault="0083174D" w:rsidP="00E55FD2">
            <w:pPr>
              <w:pStyle w:val="COMTabletext"/>
            </w:pPr>
            <w:r>
              <w:t>Reduced NBA costs for PLEX</w:t>
            </w:r>
          </w:p>
        </w:tc>
        <w:tc>
          <w:tcPr>
            <w:tcW w:w="611" w:type="pct"/>
            <w:shd w:val="clear" w:color="auto" w:fill="auto"/>
            <w:vAlign w:val="center"/>
          </w:tcPr>
          <w:p w14:paraId="1CF8449E" w14:textId="1877921F"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1"/>
                <w14:textFill>
                  <w14:solidFill>
                    <w14:srgbClr w14:val="000000">
                      <w14:alpha w14:val="100000"/>
                    </w14:srgbClr>
                  </w14:solidFill>
                </w14:textFill>
              </w:rPr>
              <w:t xml:space="preserve">　</w:t>
            </w:r>
            <w:r w:rsidRPr="007510F8">
              <w:rPr>
                <w:color w:val="000000"/>
                <w:w w:val="15"/>
                <w:shd w:val="solid" w:color="000000" w:fill="000000"/>
                <w:fitText w:val="43" w:id="-691334391"/>
                <w14:textFill>
                  <w14:solidFill>
                    <w14:srgbClr w14:val="000000">
                      <w14:alpha w14:val="100000"/>
                    </w14:srgbClr>
                  </w14:solidFill>
                </w14:textFill>
              </w:rPr>
              <w:t>|</w:t>
            </w:r>
            <w:r w:rsidRPr="007510F8">
              <w:rPr>
                <w:rFonts w:hint="eastAsia"/>
                <w:color w:val="000000"/>
                <w:spacing w:val="-22"/>
                <w:w w:val="15"/>
                <w:shd w:val="solid" w:color="000000" w:fill="000000"/>
                <w:fitText w:val="43" w:id="-691334391"/>
                <w14:textFill>
                  <w14:solidFill>
                    <w14:srgbClr w14:val="000000">
                      <w14:alpha w14:val="100000"/>
                    </w14:srgbClr>
                  </w14:solidFill>
                </w14:textFill>
              </w:rPr>
              <w:t xml:space="preserve">　</w:t>
            </w:r>
            <w:r w:rsidR="00695D5A" w:rsidRPr="00695D5A">
              <w:rPr>
                <w:vertAlign w:val="superscript"/>
              </w:rPr>
              <w:t>8</w:t>
            </w:r>
          </w:p>
        </w:tc>
        <w:tc>
          <w:tcPr>
            <w:tcW w:w="612" w:type="pct"/>
            <w:shd w:val="clear" w:color="auto" w:fill="auto"/>
            <w:vAlign w:val="center"/>
          </w:tcPr>
          <w:p w14:paraId="7B6D34A4" w14:textId="41F45C5C"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0"/>
                <w14:textFill>
                  <w14:solidFill>
                    <w14:srgbClr w14:val="000000">
                      <w14:alpha w14:val="100000"/>
                    </w14:srgbClr>
                  </w14:solidFill>
                </w14:textFill>
              </w:rPr>
              <w:t xml:space="preserve">　</w:t>
            </w:r>
            <w:r w:rsidRPr="007510F8">
              <w:rPr>
                <w:color w:val="000000"/>
                <w:w w:val="15"/>
                <w:shd w:val="solid" w:color="000000" w:fill="000000"/>
                <w:fitText w:val="43" w:id="-691334390"/>
                <w14:textFill>
                  <w14:solidFill>
                    <w14:srgbClr w14:val="000000">
                      <w14:alpha w14:val="100000"/>
                    </w14:srgbClr>
                  </w14:solidFill>
                </w14:textFill>
              </w:rPr>
              <w:t>|</w:t>
            </w:r>
            <w:r w:rsidRPr="007510F8">
              <w:rPr>
                <w:rFonts w:hint="eastAsia"/>
                <w:color w:val="000000"/>
                <w:spacing w:val="-22"/>
                <w:w w:val="15"/>
                <w:shd w:val="solid" w:color="000000" w:fill="000000"/>
                <w:fitText w:val="43" w:id="-691334390"/>
                <w14:textFill>
                  <w14:solidFill>
                    <w14:srgbClr w14:val="000000">
                      <w14:alpha w14:val="100000"/>
                    </w14:srgbClr>
                  </w14:solidFill>
                </w14:textFill>
              </w:rPr>
              <w:t xml:space="preserve">　</w:t>
            </w:r>
            <w:r w:rsidR="00695D5A" w:rsidRPr="00695D5A">
              <w:rPr>
                <w:vertAlign w:val="superscript"/>
              </w:rPr>
              <w:t>8</w:t>
            </w:r>
          </w:p>
        </w:tc>
        <w:tc>
          <w:tcPr>
            <w:tcW w:w="611" w:type="pct"/>
            <w:shd w:val="clear" w:color="auto" w:fill="auto"/>
            <w:vAlign w:val="center"/>
          </w:tcPr>
          <w:p w14:paraId="27897037" w14:textId="2D7E21AC"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9"/>
                <w14:textFill>
                  <w14:solidFill>
                    <w14:srgbClr w14:val="000000">
                      <w14:alpha w14:val="100000"/>
                    </w14:srgbClr>
                  </w14:solidFill>
                </w14:textFill>
              </w:rPr>
              <w:t xml:space="preserve">　</w:t>
            </w:r>
            <w:r w:rsidRPr="007510F8">
              <w:rPr>
                <w:color w:val="000000"/>
                <w:w w:val="15"/>
                <w:shd w:val="solid" w:color="000000" w:fill="000000"/>
                <w:fitText w:val="43" w:id="-691334389"/>
                <w14:textFill>
                  <w14:solidFill>
                    <w14:srgbClr w14:val="000000">
                      <w14:alpha w14:val="100000"/>
                    </w14:srgbClr>
                  </w14:solidFill>
                </w14:textFill>
              </w:rPr>
              <w:t>|</w:t>
            </w:r>
            <w:r w:rsidRPr="007510F8">
              <w:rPr>
                <w:rFonts w:hint="eastAsia"/>
                <w:color w:val="000000"/>
                <w:spacing w:val="-22"/>
                <w:w w:val="15"/>
                <w:shd w:val="solid" w:color="000000" w:fill="000000"/>
                <w:fitText w:val="43" w:id="-691334389"/>
                <w14:textFill>
                  <w14:solidFill>
                    <w14:srgbClr w14:val="000000">
                      <w14:alpha w14:val="100000"/>
                    </w14:srgbClr>
                  </w14:solidFill>
                </w14:textFill>
              </w:rPr>
              <w:t xml:space="preserve">　</w:t>
            </w:r>
            <w:r w:rsidR="00695D5A" w:rsidRPr="00695D5A">
              <w:rPr>
                <w:vertAlign w:val="superscript"/>
              </w:rPr>
              <w:t>8</w:t>
            </w:r>
          </w:p>
        </w:tc>
        <w:tc>
          <w:tcPr>
            <w:tcW w:w="612" w:type="pct"/>
            <w:shd w:val="clear" w:color="auto" w:fill="auto"/>
            <w:vAlign w:val="center"/>
          </w:tcPr>
          <w:p w14:paraId="5EA2B28A" w14:textId="578D6CF8"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8"/>
                <w14:textFill>
                  <w14:solidFill>
                    <w14:srgbClr w14:val="000000">
                      <w14:alpha w14:val="100000"/>
                    </w14:srgbClr>
                  </w14:solidFill>
                </w14:textFill>
              </w:rPr>
              <w:t xml:space="preserve">　</w:t>
            </w:r>
            <w:r w:rsidRPr="007510F8">
              <w:rPr>
                <w:color w:val="000000"/>
                <w:w w:val="15"/>
                <w:shd w:val="solid" w:color="000000" w:fill="000000"/>
                <w:fitText w:val="43" w:id="-691334388"/>
                <w14:textFill>
                  <w14:solidFill>
                    <w14:srgbClr w14:val="000000">
                      <w14:alpha w14:val="100000"/>
                    </w14:srgbClr>
                  </w14:solidFill>
                </w14:textFill>
              </w:rPr>
              <w:t>|</w:t>
            </w:r>
            <w:r w:rsidRPr="007510F8">
              <w:rPr>
                <w:rFonts w:hint="eastAsia"/>
                <w:color w:val="000000"/>
                <w:spacing w:val="-22"/>
                <w:w w:val="15"/>
                <w:shd w:val="solid" w:color="000000" w:fill="000000"/>
                <w:fitText w:val="43" w:id="-691334388"/>
                <w14:textFill>
                  <w14:solidFill>
                    <w14:srgbClr w14:val="000000">
                      <w14:alpha w14:val="100000"/>
                    </w14:srgbClr>
                  </w14:solidFill>
                </w14:textFill>
              </w:rPr>
              <w:t xml:space="preserve">　</w:t>
            </w:r>
            <w:r w:rsidR="00695D5A" w:rsidRPr="00695D5A">
              <w:rPr>
                <w:vertAlign w:val="superscript"/>
              </w:rPr>
              <w:t>8</w:t>
            </w:r>
          </w:p>
        </w:tc>
        <w:tc>
          <w:tcPr>
            <w:tcW w:w="611" w:type="pct"/>
            <w:shd w:val="clear" w:color="auto" w:fill="auto"/>
            <w:vAlign w:val="center"/>
          </w:tcPr>
          <w:p w14:paraId="22A839B1" w14:textId="766F6C66"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7"/>
                <w14:textFill>
                  <w14:solidFill>
                    <w14:srgbClr w14:val="000000">
                      <w14:alpha w14:val="100000"/>
                    </w14:srgbClr>
                  </w14:solidFill>
                </w14:textFill>
              </w:rPr>
              <w:t xml:space="preserve">　</w:t>
            </w:r>
            <w:r w:rsidRPr="007510F8">
              <w:rPr>
                <w:color w:val="000000"/>
                <w:w w:val="15"/>
                <w:shd w:val="solid" w:color="000000" w:fill="000000"/>
                <w:fitText w:val="43" w:id="-691334387"/>
                <w14:textFill>
                  <w14:solidFill>
                    <w14:srgbClr w14:val="000000">
                      <w14:alpha w14:val="100000"/>
                    </w14:srgbClr>
                  </w14:solidFill>
                </w14:textFill>
              </w:rPr>
              <w:t>|</w:t>
            </w:r>
            <w:r w:rsidRPr="007510F8">
              <w:rPr>
                <w:rFonts w:hint="eastAsia"/>
                <w:color w:val="000000"/>
                <w:spacing w:val="-22"/>
                <w:w w:val="15"/>
                <w:shd w:val="solid" w:color="000000" w:fill="000000"/>
                <w:fitText w:val="43" w:id="-691334387"/>
                <w14:textFill>
                  <w14:solidFill>
                    <w14:srgbClr w14:val="000000">
                      <w14:alpha w14:val="100000"/>
                    </w14:srgbClr>
                  </w14:solidFill>
                </w14:textFill>
              </w:rPr>
              <w:t xml:space="preserve">　</w:t>
            </w:r>
            <w:r w:rsidR="008F3A89" w:rsidRPr="00695D5A">
              <w:rPr>
                <w:vertAlign w:val="superscript"/>
              </w:rPr>
              <w:t>8</w:t>
            </w:r>
          </w:p>
        </w:tc>
        <w:tc>
          <w:tcPr>
            <w:tcW w:w="612" w:type="pct"/>
            <w:vAlign w:val="center"/>
          </w:tcPr>
          <w:p w14:paraId="2ABA01CF" w14:textId="7EDF00DD"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6"/>
                <w14:textFill>
                  <w14:solidFill>
                    <w14:srgbClr w14:val="000000">
                      <w14:alpha w14:val="100000"/>
                    </w14:srgbClr>
                  </w14:solidFill>
                </w14:textFill>
              </w:rPr>
              <w:t xml:space="preserve">　</w:t>
            </w:r>
            <w:r w:rsidRPr="007510F8">
              <w:rPr>
                <w:color w:val="000000"/>
                <w:w w:val="15"/>
                <w:shd w:val="solid" w:color="000000" w:fill="000000"/>
                <w:fitText w:val="43" w:id="-691334386"/>
                <w14:textFill>
                  <w14:solidFill>
                    <w14:srgbClr w14:val="000000">
                      <w14:alpha w14:val="100000"/>
                    </w14:srgbClr>
                  </w14:solidFill>
                </w14:textFill>
              </w:rPr>
              <w:t>|</w:t>
            </w:r>
            <w:r w:rsidRPr="007510F8">
              <w:rPr>
                <w:rFonts w:hint="eastAsia"/>
                <w:color w:val="000000"/>
                <w:spacing w:val="-22"/>
                <w:w w:val="15"/>
                <w:shd w:val="solid" w:color="000000" w:fill="000000"/>
                <w:fitText w:val="43" w:id="-691334386"/>
                <w14:textFill>
                  <w14:solidFill>
                    <w14:srgbClr w14:val="000000">
                      <w14:alpha w14:val="100000"/>
                    </w14:srgbClr>
                  </w14:solidFill>
                </w14:textFill>
              </w:rPr>
              <w:t xml:space="preserve">　</w:t>
            </w:r>
            <w:r w:rsidR="008F3A89" w:rsidRPr="00695D5A">
              <w:rPr>
                <w:vertAlign w:val="superscript"/>
              </w:rPr>
              <w:t>8</w:t>
            </w:r>
          </w:p>
        </w:tc>
      </w:tr>
      <w:tr w:rsidR="0083174D" w:rsidRPr="0098262F" w14:paraId="2B8FF4AD" w14:textId="77777777" w:rsidTr="007C6425">
        <w:tc>
          <w:tcPr>
            <w:tcW w:w="1330" w:type="pct"/>
            <w:shd w:val="clear" w:color="auto" w:fill="auto"/>
            <w:vAlign w:val="center"/>
          </w:tcPr>
          <w:p w14:paraId="1A70025A" w14:textId="77777777" w:rsidR="0083174D" w:rsidRPr="0098262F" w:rsidRDefault="0083174D" w:rsidP="00E55FD2">
            <w:pPr>
              <w:pStyle w:val="COMTabletext"/>
            </w:pPr>
            <w:r>
              <w:t xml:space="preserve">Increased MBS costs for </w:t>
            </w:r>
            <w:proofErr w:type="spellStart"/>
            <w:r>
              <w:t>zilucoplan</w:t>
            </w:r>
            <w:proofErr w:type="spellEnd"/>
            <w:r>
              <w:t xml:space="preserve"> administration training</w:t>
            </w:r>
          </w:p>
        </w:tc>
        <w:tc>
          <w:tcPr>
            <w:tcW w:w="611" w:type="pct"/>
            <w:shd w:val="clear" w:color="auto" w:fill="auto"/>
            <w:vAlign w:val="center"/>
          </w:tcPr>
          <w:p w14:paraId="5616F0FD" w14:textId="521ED1BC"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5"/>
                <w14:textFill>
                  <w14:solidFill>
                    <w14:srgbClr w14:val="000000">
                      <w14:alpha w14:val="100000"/>
                    </w14:srgbClr>
                  </w14:solidFill>
                </w14:textFill>
              </w:rPr>
              <w:t xml:space="preserve">　</w:t>
            </w:r>
            <w:r w:rsidRPr="007510F8">
              <w:rPr>
                <w:color w:val="000000"/>
                <w:w w:val="15"/>
                <w:shd w:val="solid" w:color="000000" w:fill="000000"/>
                <w:fitText w:val="43" w:id="-691334385"/>
                <w14:textFill>
                  <w14:solidFill>
                    <w14:srgbClr w14:val="000000">
                      <w14:alpha w14:val="100000"/>
                    </w14:srgbClr>
                  </w14:solidFill>
                </w14:textFill>
              </w:rPr>
              <w:t>|</w:t>
            </w:r>
            <w:r w:rsidRPr="007510F8">
              <w:rPr>
                <w:rFonts w:hint="eastAsia"/>
                <w:color w:val="000000"/>
                <w:spacing w:val="-22"/>
                <w:w w:val="15"/>
                <w:shd w:val="solid" w:color="000000" w:fill="000000"/>
                <w:fitText w:val="43" w:id="-691334385"/>
                <w14:textFill>
                  <w14:solidFill>
                    <w14:srgbClr w14:val="000000">
                      <w14:alpha w14:val="100000"/>
                    </w14:srgbClr>
                  </w14:solidFill>
                </w14:textFill>
              </w:rPr>
              <w:t xml:space="preserve">　</w:t>
            </w:r>
            <w:r w:rsidR="000E2220" w:rsidRPr="00A61F36">
              <w:rPr>
                <w:vertAlign w:val="superscript"/>
              </w:rPr>
              <w:t>9</w:t>
            </w:r>
          </w:p>
        </w:tc>
        <w:tc>
          <w:tcPr>
            <w:tcW w:w="612" w:type="pct"/>
            <w:shd w:val="clear" w:color="auto" w:fill="auto"/>
            <w:vAlign w:val="center"/>
          </w:tcPr>
          <w:p w14:paraId="4927FFE3" w14:textId="6628FACB"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4"/>
                <w14:textFill>
                  <w14:solidFill>
                    <w14:srgbClr w14:val="000000">
                      <w14:alpha w14:val="100000"/>
                    </w14:srgbClr>
                  </w14:solidFill>
                </w14:textFill>
              </w:rPr>
              <w:t xml:space="preserve">　</w:t>
            </w:r>
            <w:r w:rsidRPr="007510F8">
              <w:rPr>
                <w:color w:val="000000"/>
                <w:w w:val="15"/>
                <w:shd w:val="solid" w:color="000000" w:fill="000000"/>
                <w:fitText w:val="43" w:id="-691334384"/>
                <w14:textFill>
                  <w14:solidFill>
                    <w14:srgbClr w14:val="000000">
                      <w14:alpha w14:val="100000"/>
                    </w14:srgbClr>
                  </w14:solidFill>
                </w14:textFill>
              </w:rPr>
              <w:t>|</w:t>
            </w:r>
            <w:r w:rsidRPr="007510F8">
              <w:rPr>
                <w:rFonts w:hint="eastAsia"/>
                <w:color w:val="000000"/>
                <w:spacing w:val="-22"/>
                <w:w w:val="15"/>
                <w:shd w:val="solid" w:color="000000" w:fill="000000"/>
                <w:fitText w:val="43" w:id="-691334384"/>
                <w14:textFill>
                  <w14:solidFill>
                    <w14:srgbClr w14:val="000000">
                      <w14:alpha w14:val="100000"/>
                    </w14:srgbClr>
                  </w14:solidFill>
                </w14:textFill>
              </w:rPr>
              <w:t xml:space="preserve">　</w:t>
            </w:r>
            <w:r w:rsidR="00D55AD7" w:rsidRPr="00A61F36">
              <w:rPr>
                <w:vertAlign w:val="superscript"/>
              </w:rPr>
              <w:t>9</w:t>
            </w:r>
          </w:p>
        </w:tc>
        <w:tc>
          <w:tcPr>
            <w:tcW w:w="611" w:type="pct"/>
            <w:shd w:val="clear" w:color="auto" w:fill="auto"/>
            <w:vAlign w:val="center"/>
          </w:tcPr>
          <w:p w14:paraId="1E908979" w14:textId="3CA990AF"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400"/>
                <w14:textFill>
                  <w14:solidFill>
                    <w14:srgbClr w14:val="000000">
                      <w14:alpha w14:val="100000"/>
                    </w14:srgbClr>
                  </w14:solidFill>
                </w14:textFill>
              </w:rPr>
              <w:t xml:space="preserve">　</w:t>
            </w:r>
            <w:r w:rsidRPr="007510F8">
              <w:rPr>
                <w:color w:val="000000"/>
                <w:w w:val="15"/>
                <w:shd w:val="solid" w:color="000000" w:fill="000000"/>
                <w:fitText w:val="43" w:id="-691334400"/>
                <w14:textFill>
                  <w14:solidFill>
                    <w14:srgbClr w14:val="000000">
                      <w14:alpha w14:val="100000"/>
                    </w14:srgbClr>
                  </w14:solidFill>
                </w14:textFill>
              </w:rPr>
              <w:t>|</w:t>
            </w:r>
            <w:r w:rsidRPr="007510F8">
              <w:rPr>
                <w:rFonts w:hint="eastAsia"/>
                <w:color w:val="000000"/>
                <w:spacing w:val="-22"/>
                <w:w w:val="15"/>
                <w:shd w:val="solid" w:color="000000" w:fill="000000"/>
                <w:fitText w:val="43" w:id="-691334400"/>
                <w14:textFill>
                  <w14:solidFill>
                    <w14:srgbClr w14:val="000000">
                      <w14:alpha w14:val="100000"/>
                    </w14:srgbClr>
                  </w14:solidFill>
                </w14:textFill>
              </w:rPr>
              <w:t xml:space="preserve">　</w:t>
            </w:r>
            <w:r w:rsidR="00D55AD7" w:rsidRPr="00A61F36">
              <w:rPr>
                <w:vertAlign w:val="superscript"/>
              </w:rPr>
              <w:t>9</w:t>
            </w:r>
          </w:p>
        </w:tc>
        <w:tc>
          <w:tcPr>
            <w:tcW w:w="612" w:type="pct"/>
            <w:shd w:val="clear" w:color="auto" w:fill="auto"/>
            <w:vAlign w:val="center"/>
          </w:tcPr>
          <w:p w14:paraId="29F6B0EA" w14:textId="2940F31B"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9"/>
                <w14:textFill>
                  <w14:solidFill>
                    <w14:srgbClr w14:val="000000">
                      <w14:alpha w14:val="100000"/>
                    </w14:srgbClr>
                  </w14:solidFill>
                </w14:textFill>
              </w:rPr>
              <w:t xml:space="preserve">　</w:t>
            </w:r>
            <w:r w:rsidRPr="007510F8">
              <w:rPr>
                <w:color w:val="000000"/>
                <w:w w:val="15"/>
                <w:shd w:val="solid" w:color="000000" w:fill="000000"/>
                <w:fitText w:val="43" w:id="-691334399"/>
                <w14:textFill>
                  <w14:solidFill>
                    <w14:srgbClr w14:val="000000">
                      <w14:alpha w14:val="100000"/>
                    </w14:srgbClr>
                  </w14:solidFill>
                </w14:textFill>
              </w:rPr>
              <w:t>|</w:t>
            </w:r>
            <w:r w:rsidRPr="007510F8">
              <w:rPr>
                <w:rFonts w:hint="eastAsia"/>
                <w:color w:val="000000"/>
                <w:spacing w:val="-22"/>
                <w:w w:val="15"/>
                <w:shd w:val="solid" w:color="000000" w:fill="000000"/>
                <w:fitText w:val="43" w:id="-691334399"/>
                <w14:textFill>
                  <w14:solidFill>
                    <w14:srgbClr w14:val="000000">
                      <w14:alpha w14:val="100000"/>
                    </w14:srgbClr>
                  </w14:solidFill>
                </w14:textFill>
              </w:rPr>
              <w:t xml:space="preserve">　</w:t>
            </w:r>
            <w:r w:rsidR="00D55AD7" w:rsidRPr="00A61F36">
              <w:rPr>
                <w:vertAlign w:val="superscript"/>
              </w:rPr>
              <w:t>9</w:t>
            </w:r>
          </w:p>
        </w:tc>
        <w:tc>
          <w:tcPr>
            <w:tcW w:w="611" w:type="pct"/>
            <w:shd w:val="clear" w:color="auto" w:fill="auto"/>
            <w:vAlign w:val="center"/>
          </w:tcPr>
          <w:p w14:paraId="77EDBF32" w14:textId="5A116066"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8"/>
                <w14:textFill>
                  <w14:solidFill>
                    <w14:srgbClr w14:val="000000">
                      <w14:alpha w14:val="100000"/>
                    </w14:srgbClr>
                  </w14:solidFill>
                </w14:textFill>
              </w:rPr>
              <w:t xml:space="preserve">　</w:t>
            </w:r>
            <w:r w:rsidRPr="007510F8">
              <w:rPr>
                <w:color w:val="000000"/>
                <w:w w:val="15"/>
                <w:shd w:val="solid" w:color="000000" w:fill="000000"/>
                <w:fitText w:val="43" w:id="-691334398"/>
                <w14:textFill>
                  <w14:solidFill>
                    <w14:srgbClr w14:val="000000">
                      <w14:alpha w14:val="100000"/>
                    </w14:srgbClr>
                  </w14:solidFill>
                </w14:textFill>
              </w:rPr>
              <w:t>|</w:t>
            </w:r>
            <w:r w:rsidRPr="007510F8">
              <w:rPr>
                <w:rFonts w:hint="eastAsia"/>
                <w:color w:val="000000"/>
                <w:spacing w:val="-22"/>
                <w:w w:val="15"/>
                <w:shd w:val="solid" w:color="000000" w:fill="000000"/>
                <w:fitText w:val="43" w:id="-691334398"/>
                <w14:textFill>
                  <w14:solidFill>
                    <w14:srgbClr w14:val="000000">
                      <w14:alpha w14:val="100000"/>
                    </w14:srgbClr>
                  </w14:solidFill>
                </w14:textFill>
              </w:rPr>
              <w:t xml:space="preserve">　</w:t>
            </w:r>
            <w:r w:rsidR="00D55AD7" w:rsidRPr="00A61F36">
              <w:rPr>
                <w:vertAlign w:val="superscript"/>
              </w:rPr>
              <w:t>9</w:t>
            </w:r>
          </w:p>
        </w:tc>
        <w:tc>
          <w:tcPr>
            <w:tcW w:w="612" w:type="pct"/>
            <w:vAlign w:val="center"/>
          </w:tcPr>
          <w:p w14:paraId="76CCD839" w14:textId="0B7B90E3"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7"/>
                <w14:textFill>
                  <w14:solidFill>
                    <w14:srgbClr w14:val="000000">
                      <w14:alpha w14:val="100000"/>
                    </w14:srgbClr>
                  </w14:solidFill>
                </w14:textFill>
              </w:rPr>
              <w:t xml:space="preserve">　</w:t>
            </w:r>
            <w:r w:rsidRPr="007510F8">
              <w:rPr>
                <w:color w:val="000000"/>
                <w:w w:val="15"/>
                <w:shd w:val="solid" w:color="000000" w:fill="000000"/>
                <w:fitText w:val="43" w:id="-691334397"/>
                <w14:textFill>
                  <w14:solidFill>
                    <w14:srgbClr w14:val="000000">
                      <w14:alpha w14:val="100000"/>
                    </w14:srgbClr>
                  </w14:solidFill>
                </w14:textFill>
              </w:rPr>
              <w:t>|</w:t>
            </w:r>
            <w:r w:rsidRPr="007510F8">
              <w:rPr>
                <w:rFonts w:hint="eastAsia"/>
                <w:color w:val="000000"/>
                <w:spacing w:val="-22"/>
                <w:w w:val="15"/>
                <w:shd w:val="solid" w:color="000000" w:fill="000000"/>
                <w:fitText w:val="43" w:id="-691334397"/>
                <w14:textFill>
                  <w14:solidFill>
                    <w14:srgbClr w14:val="000000">
                      <w14:alpha w14:val="100000"/>
                    </w14:srgbClr>
                  </w14:solidFill>
                </w14:textFill>
              </w:rPr>
              <w:t xml:space="preserve">　</w:t>
            </w:r>
            <w:r w:rsidR="00D55AD7" w:rsidRPr="00A61F36">
              <w:rPr>
                <w:vertAlign w:val="superscript"/>
              </w:rPr>
              <w:t>9</w:t>
            </w:r>
          </w:p>
        </w:tc>
      </w:tr>
      <w:tr w:rsidR="0083174D" w:rsidRPr="0098262F" w14:paraId="4CC7F0B3" w14:textId="77777777" w:rsidTr="007C6425">
        <w:tc>
          <w:tcPr>
            <w:tcW w:w="1330" w:type="pct"/>
            <w:shd w:val="clear" w:color="auto" w:fill="auto"/>
            <w:vAlign w:val="center"/>
          </w:tcPr>
          <w:p w14:paraId="4CAA4EF6" w14:textId="77777777" w:rsidR="0083174D" w:rsidRPr="0098262F" w:rsidRDefault="0083174D" w:rsidP="00E55FD2">
            <w:pPr>
              <w:pStyle w:val="COMTabletext"/>
            </w:pPr>
            <w:r>
              <w:t>Reduced MBS costs for IVIg administration</w:t>
            </w:r>
          </w:p>
        </w:tc>
        <w:tc>
          <w:tcPr>
            <w:tcW w:w="611" w:type="pct"/>
            <w:shd w:val="clear" w:color="auto" w:fill="auto"/>
            <w:vAlign w:val="center"/>
          </w:tcPr>
          <w:p w14:paraId="3CA42376" w14:textId="15A6EEE0"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6"/>
                <w14:textFill>
                  <w14:solidFill>
                    <w14:srgbClr w14:val="000000">
                      <w14:alpha w14:val="100000"/>
                    </w14:srgbClr>
                  </w14:solidFill>
                </w14:textFill>
              </w:rPr>
              <w:t xml:space="preserve">　</w:t>
            </w:r>
            <w:r w:rsidRPr="007510F8">
              <w:rPr>
                <w:color w:val="000000"/>
                <w:w w:val="15"/>
                <w:shd w:val="solid" w:color="000000" w:fill="000000"/>
                <w:fitText w:val="43" w:id="-691334396"/>
                <w14:textFill>
                  <w14:solidFill>
                    <w14:srgbClr w14:val="000000">
                      <w14:alpha w14:val="100000"/>
                    </w14:srgbClr>
                  </w14:solidFill>
                </w14:textFill>
              </w:rPr>
              <w:t>|</w:t>
            </w:r>
            <w:r w:rsidRPr="007510F8">
              <w:rPr>
                <w:rFonts w:hint="eastAsia"/>
                <w:color w:val="000000"/>
                <w:spacing w:val="-22"/>
                <w:w w:val="15"/>
                <w:shd w:val="solid" w:color="000000" w:fill="000000"/>
                <w:fitText w:val="43" w:id="-691334396"/>
                <w14:textFill>
                  <w14:solidFill>
                    <w14:srgbClr w14:val="000000">
                      <w14:alpha w14:val="100000"/>
                    </w14:srgbClr>
                  </w14:solidFill>
                </w14:textFill>
              </w:rPr>
              <w:t xml:space="preserve">　</w:t>
            </w:r>
            <w:r w:rsidR="008F3A89" w:rsidRPr="00695D5A">
              <w:rPr>
                <w:vertAlign w:val="superscript"/>
              </w:rPr>
              <w:t>8</w:t>
            </w:r>
          </w:p>
        </w:tc>
        <w:tc>
          <w:tcPr>
            <w:tcW w:w="612" w:type="pct"/>
            <w:shd w:val="clear" w:color="auto" w:fill="auto"/>
            <w:vAlign w:val="center"/>
          </w:tcPr>
          <w:p w14:paraId="7FF13583" w14:textId="50E3B68B"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5"/>
                <w14:textFill>
                  <w14:solidFill>
                    <w14:srgbClr w14:val="000000">
                      <w14:alpha w14:val="100000"/>
                    </w14:srgbClr>
                  </w14:solidFill>
                </w14:textFill>
              </w:rPr>
              <w:t xml:space="preserve">　</w:t>
            </w:r>
            <w:r w:rsidRPr="007510F8">
              <w:rPr>
                <w:color w:val="000000"/>
                <w:w w:val="15"/>
                <w:shd w:val="solid" w:color="000000" w:fill="000000"/>
                <w:fitText w:val="43" w:id="-691334395"/>
                <w14:textFill>
                  <w14:solidFill>
                    <w14:srgbClr w14:val="000000">
                      <w14:alpha w14:val="100000"/>
                    </w14:srgbClr>
                  </w14:solidFill>
                </w14:textFill>
              </w:rPr>
              <w:t>|</w:t>
            </w:r>
            <w:r w:rsidRPr="007510F8">
              <w:rPr>
                <w:rFonts w:hint="eastAsia"/>
                <w:color w:val="000000"/>
                <w:spacing w:val="-22"/>
                <w:w w:val="15"/>
                <w:shd w:val="solid" w:color="000000" w:fill="000000"/>
                <w:fitText w:val="43" w:id="-691334395"/>
                <w14:textFill>
                  <w14:solidFill>
                    <w14:srgbClr w14:val="000000">
                      <w14:alpha w14:val="100000"/>
                    </w14:srgbClr>
                  </w14:solidFill>
                </w14:textFill>
              </w:rPr>
              <w:t xml:space="preserve">　</w:t>
            </w:r>
            <w:r w:rsidR="008F3A89" w:rsidRPr="00695D5A">
              <w:rPr>
                <w:vertAlign w:val="superscript"/>
              </w:rPr>
              <w:t>8</w:t>
            </w:r>
          </w:p>
        </w:tc>
        <w:tc>
          <w:tcPr>
            <w:tcW w:w="611" w:type="pct"/>
            <w:shd w:val="clear" w:color="auto" w:fill="auto"/>
            <w:vAlign w:val="center"/>
          </w:tcPr>
          <w:p w14:paraId="639EE603" w14:textId="7DF8437A"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4"/>
                <w14:textFill>
                  <w14:solidFill>
                    <w14:srgbClr w14:val="000000">
                      <w14:alpha w14:val="100000"/>
                    </w14:srgbClr>
                  </w14:solidFill>
                </w14:textFill>
              </w:rPr>
              <w:t xml:space="preserve">　</w:t>
            </w:r>
            <w:r w:rsidRPr="007510F8">
              <w:rPr>
                <w:color w:val="000000"/>
                <w:w w:val="15"/>
                <w:shd w:val="solid" w:color="000000" w:fill="000000"/>
                <w:fitText w:val="43" w:id="-691334394"/>
                <w14:textFill>
                  <w14:solidFill>
                    <w14:srgbClr w14:val="000000">
                      <w14:alpha w14:val="100000"/>
                    </w14:srgbClr>
                  </w14:solidFill>
                </w14:textFill>
              </w:rPr>
              <w:t>|</w:t>
            </w:r>
            <w:r w:rsidRPr="007510F8">
              <w:rPr>
                <w:rFonts w:hint="eastAsia"/>
                <w:color w:val="000000"/>
                <w:spacing w:val="-22"/>
                <w:w w:val="15"/>
                <w:shd w:val="solid" w:color="000000" w:fill="000000"/>
                <w:fitText w:val="43" w:id="-691334394"/>
                <w14:textFill>
                  <w14:solidFill>
                    <w14:srgbClr w14:val="000000">
                      <w14:alpha w14:val="100000"/>
                    </w14:srgbClr>
                  </w14:solidFill>
                </w14:textFill>
              </w:rPr>
              <w:t xml:space="preserve">　</w:t>
            </w:r>
            <w:r w:rsidR="008F3A89" w:rsidRPr="00695D5A">
              <w:rPr>
                <w:vertAlign w:val="superscript"/>
              </w:rPr>
              <w:t>8</w:t>
            </w:r>
          </w:p>
        </w:tc>
        <w:tc>
          <w:tcPr>
            <w:tcW w:w="612" w:type="pct"/>
            <w:shd w:val="clear" w:color="auto" w:fill="auto"/>
            <w:vAlign w:val="center"/>
          </w:tcPr>
          <w:p w14:paraId="61EAF201" w14:textId="0B245B19"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3"/>
                <w14:textFill>
                  <w14:solidFill>
                    <w14:srgbClr w14:val="000000">
                      <w14:alpha w14:val="100000"/>
                    </w14:srgbClr>
                  </w14:solidFill>
                </w14:textFill>
              </w:rPr>
              <w:t xml:space="preserve">　</w:t>
            </w:r>
            <w:r w:rsidRPr="007510F8">
              <w:rPr>
                <w:color w:val="000000"/>
                <w:w w:val="15"/>
                <w:shd w:val="solid" w:color="000000" w:fill="000000"/>
                <w:fitText w:val="43" w:id="-691334393"/>
                <w14:textFill>
                  <w14:solidFill>
                    <w14:srgbClr w14:val="000000">
                      <w14:alpha w14:val="100000"/>
                    </w14:srgbClr>
                  </w14:solidFill>
                </w14:textFill>
              </w:rPr>
              <w:t>|</w:t>
            </w:r>
            <w:r w:rsidRPr="007510F8">
              <w:rPr>
                <w:rFonts w:hint="eastAsia"/>
                <w:color w:val="000000"/>
                <w:spacing w:val="-22"/>
                <w:w w:val="15"/>
                <w:shd w:val="solid" w:color="000000" w:fill="000000"/>
                <w:fitText w:val="43" w:id="-691334393"/>
                <w14:textFill>
                  <w14:solidFill>
                    <w14:srgbClr w14:val="000000">
                      <w14:alpha w14:val="100000"/>
                    </w14:srgbClr>
                  </w14:solidFill>
                </w14:textFill>
              </w:rPr>
              <w:t xml:space="preserve">　</w:t>
            </w:r>
            <w:r w:rsidR="008F3A89" w:rsidRPr="00695D5A">
              <w:rPr>
                <w:vertAlign w:val="superscript"/>
              </w:rPr>
              <w:t>8</w:t>
            </w:r>
          </w:p>
        </w:tc>
        <w:tc>
          <w:tcPr>
            <w:tcW w:w="611" w:type="pct"/>
            <w:shd w:val="clear" w:color="auto" w:fill="auto"/>
            <w:vAlign w:val="center"/>
          </w:tcPr>
          <w:p w14:paraId="0D53064E" w14:textId="0A009E67"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2"/>
                <w14:textFill>
                  <w14:solidFill>
                    <w14:srgbClr w14:val="000000">
                      <w14:alpha w14:val="100000"/>
                    </w14:srgbClr>
                  </w14:solidFill>
                </w14:textFill>
              </w:rPr>
              <w:t xml:space="preserve">　</w:t>
            </w:r>
            <w:r w:rsidRPr="007510F8">
              <w:rPr>
                <w:color w:val="000000"/>
                <w:w w:val="15"/>
                <w:shd w:val="solid" w:color="000000" w:fill="000000"/>
                <w:fitText w:val="43" w:id="-691334392"/>
                <w14:textFill>
                  <w14:solidFill>
                    <w14:srgbClr w14:val="000000">
                      <w14:alpha w14:val="100000"/>
                    </w14:srgbClr>
                  </w14:solidFill>
                </w14:textFill>
              </w:rPr>
              <w:t>|</w:t>
            </w:r>
            <w:r w:rsidRPr="007510F8">
              <w:rPr>
                <w:rFonts w:hint="eastAsia"/>
                <w:color w:val="000000"/>
                <w:spacing w:val="-22"/>
                <w:w w:val="15"/>
                <w:shd w:val="solid" w:color="000000" w:fill="000000"/>
                <w:fitText w:val="43" w:id="-691334392"/>
                <w14:textFill>
                  <w14:solidFill>
                    <w14:srgbClr w14:val="000000">
                      <w14:alpha w14:val="100000"/>
                    </w14:srgbClr>
                  </w14:solidFill>
                </w14:textFill>
              </w:rPr>
              <w:t xml:space="preserve">　</w:t>
            </w:r>
            <w:r w:rsidR="008F3A89" w:rsidRPr="00695D5A">
              <w:rPr>
                <w:vertAlign w:val="superscript"/>
              </w:rPr>
              <w:t>8</w:t>
            </w:r>
          </w:p>
        </w:tc>
        <w:tc>
          <w:tcPr>
            <w:tcW w:w="612" w:type="pct"/>
            <w:vAlign w:val="center"/>
          </w:tcPr>
          <w:p w14:paraId="45258E11" w14:textId="40057964"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1"/>
                <w14:textFill>
                  <w14:solidFill>
                    <w14:srgbClr w14:val="000000">
                      <w14:alpha w14:val="100000"/>
                    </w14:srgbClr>
                  </w14:solidFill>
                </w14:textFill>
              </w:rPr>
              <w:t xml:space="preserve">　</w:t>
            </w:r>
            <w:r w:rsidRPr="007510F8">
              <w:rPr>
                <w:color w:val="000000"/>
                <w:w w:val="15"/>
                <w:shd w:val="solid" w:color="000000" w:fill="000000"/>
                <w:fitText w:val="43" w:id="-691334391"/>
                <w14:textFill>
                  <w14:solidFill>
                    <w14:srgbClr w14:val="000000">
                      <w14:alpha w14:val="100000"/>
                    </w14:srgbClr>
                  </w14:solidFill>
                </w14:textFill>
              </w:rPr>
              <w:t>|</w:t>
            </w:r>
            <w:r w:rsidRPr="007510F8">
              <w:rPr>
                <w:rFonts w:hint="eastAsia"/>
                <w:color w:val="000000"/>
                <w:spacing w:val="-22"/>
                <w:w w:val="15"/>
                <w:shd w:val="solid" w:color="000000" w:fill="000000"/>
                <w:fitText w:val="43" w:id="-691334391"/>
                <w14:textFill>
                  <w14:solidFill>
                    <w14:srgbClr w14:val="000000">
                      <w14:alpha w14:val="100000"/>
                    </w14:srgbClr>
                  </w14:solidFill>
                </w14:textFill>
              </w:rPr>
              <w:t xml:space="preserve">　</w:t>
            </w:r>
            <w:r w:rsidR="008F3A89" w:rsidRPr="00695D5A">
              <w:rPr>
                <w:vertAlign w:val="superscript"/>
              </w:rPr>
              <w:t>8</w:t>
            </w:r>
          </w:p>
        </w:tc>
      </w:tr>
      <w:tr w:rsidR="0083174D" w:rsidRPr="0098262F" w14:paraId="2F0C1778" w14:textId="77777777" w:rsidTr="007C6425">
        <w:tc>
          <w:tcPr>
            <w:tcW w:w="1330" w:type="pct"/>
            <w:shd w:val="clear" w:color="auto" w:fill="auto"/>
            <w:vAlign w:val="center"/>
          </w:tcPr>
          <w:p w14:paraId="2D69EAA8" w14:textId="77777777" w:rsidR="0083174D" w:rsidRPr="0098262F" w:rsidRDefault="0083174D" w:rsidP="00E55FD2">
            <w:pPr>
              <w:pStyle w:val="COMTabletext"/>
            </w:pPr>
            <w:r>
              <w:t>Reduced MBS costs for PLEX administration</w:t>
            </w:r>
          </w:p>
        </w:tc>
        <w:tc>
          <w:tcPr>
            <w:tcW w:w="611" w:type="pct"/>
            <w:shd w:val="clear" w:color="auto" w:fill="auto"/>
            <w:vAlign w:val="center"/>
          </w:tcPr>
          <w:p w14:paraId="535BEA86" w14:textId="17ACE13F"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0"/>
                <w14:textFill>
                  <w14:solidFill>
                    <w14:srgbClr w14:val="000000">
                      <w14:alpha w14:val="100000"/>
                    </w14:srgbClr>
                  </w14:solidFill>
                </w14:textFill>
              </w:rPr>
              <w:t xml:space="preserve">　</w:t>
            </w:r>
            <w:r w:rsidRPr="007510F8">
              <w:rPr>
                <w:color w:val="000000"/>
                <w:w w:val="15"/>
                <w:shd w:val="solid" w:color="000000" w:fill="000000"/>
                <w:fitText w:val="43" w:id="-691334390"/>
                <w14:textFill>
                  <w14:solidFill>
                    <w14:srgbClr w14:val="000000">
                      <w14:alpha w14:val="100000"/>
                    </w14:srgbClr>
                  </w14:solidFill>
                </w14:textFill>
              </w:rPr>
              <w:t>|</w:t>
            </w:r>
            <w:r w:rsidRPr="007510F8">
              <w:rPr>
                <w:rFonts w:hint="eastAsia"/>
                <w:color w:val="000000"/>
                <w:spacing w:val="-22"/>
                <w:w w:val="15"/>
                <w:shd w:val="solid" w:color="000000" w:fill="000000"/>
                <w:fitText w:val="43" w:id="-691334390"/>
                <w14:textFill>
                  <w14:solidFill>
                    <w14:srgbClr w14:val="000000">
                      <w14:alpha w14:val="100000"/>
                    </w14:srgbClr>
                  </w14:solidFill>
                </w14:textFill>
              </w:rPr>
              <w:t xml:space="preserve">　</w:t>
            </w:r>
            <w:r w:rsidR="008F3A89" w:rsidRPr="00695D5A">
              <w:rPr>
                <w:vertAlign w:val="superscript"/>
              </w:rPr>
              <w:t>8</w:t>
            </w:r>
          </w:p>
        </w:tc>
        <w:tc>
          <w:tcPr>
            <w:tcW w:w="612" w:type="pct"/>
            <w:shd w:val="clear" w:color="auto" w:fill="auto"/>
            <w:vAlign w:val="center"/>
          </w:tcPr>
          <w:p w14:paraId="0840F910" w14:textId="32D22645"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9"/>
                <w14:textFill>
                  <w14:solidFill>
                    <w14:srgbClr w14:val="000000">
                      <w14:alpha w14:val="100000"/>
                    </w14:srgbClr>
                  </w14:solidFill>
                </w14:textFill>
              </w:rPr>
              <w:t xml:space="preserve">　</w:t>
            </w:r>
            <w:r w:rsidRPr="007510F8">
              <w:rPr>
                <w:color w:val="000000"/>
                <w:w w:val="15"/>
                <w:shd w:val="solid" w:color="000000" w:fill="000000"/>
                <w:fitText w:val="43" w:id="-691334389"/>
                <w14:textFill>
                  <w14:solidFill>
                    <w14:srgbClr w14:val="000000">
                      <w14:alpha w14:val="100000"/>
                    </w14:srgbClr>
                  </w14:solidFill>
                </w14:textFill>
              </w:rPr>
              <w:t>|</w:t>
            </w:r>
            <w:r w:rsidRPr="007510F8">
              <w:rPr>
                <w:rFonts w:hint="eastAsia"/>
                <w:color w:val="000000"/>
                <w:spacing w:val="-22"/>
                <w:w w:val="15"/>
                <w:shd w:val="solid" w:color="000000" w:fill="000000"/>
                <w:fitText w:val="43" w:id="-691334389"/>
                <w14:textFill>
                  <w14:solidFill>
                    <w14:srgbClr w14:val="000000">
                      <w14:alpha w14:val="100000"/>
                    </w14:srgbClr>
                  </w14:solidFill>
                </w14:textFill>
              </w:rPr>
              <w:t xml:space="preserve">　</w:t>
            </w:r>
            <w:r w:rsidR="005F066C" w:rsidRPr="00695D5A">
              <w:rPr>
                <w:vertAlign w:val="superscript"/>
              </w:rPr>
              <w:t>8</w:t>
            </w:r>
          </w:p>
        </w:tc>
        <w:tc>
          <w:tcPr>
            <w:tcW w:w="611" w:type="pct"/>
            <w:shd w:val="clear" w:color="auto" w:fill="auto"/>
            <w:vAlign w:val="center"/>
          </w:tcPr>
          <w:p w14:paraId="3F9FA13F" w14:textId="3AB59048"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8"/>
                <w14:textFill>
                  <w14:solidFill>
                    <w14:srgbClr w14:val="000000">
                      <w14:alpha w14:val="100000"/>
                    </w14:srgbClr>
                  </w14:solidFill>
                </w14:textFill>
              </w:rPr>
              <w:t xml:space="preserve">　</w:t>
            </w:r>
            <w:r w:rsidRPr="007510F8">
              <w:rPr>
                <w:color w:val="000000"/>
                <w:w w:val="15"/>
                <w:shd w:val="solid" w:color="000000" w:fill="000000"/>
                <w:fitText w:val="43" w:id="-691334388"/>
                <w14:textFill>
                  <w14:solidFill>
                    <w14:srgbClr w14:val="000000">
                      <w14:alpha w14:val="100000"/>
                    </w14:srgbClr>
                  </w14:solidFill>
                </w14:textFill>
              </w:rPr>
              <w:t>|</w:t>
            </w:r>
            <w:r w:rsidRPr="007510F8">
              <w:rPr>
                <w:rFonts w:hint="eastAsia"/>
                <w:color w:val="000000"/>
                <w:spacing w:val="-22"/>
                <w:w w:val="15"/>
                <w:shd w:val="solid" w:color="000000" w:fill="000000"/>
                <w:fitText w:val="43" w:id="-691334388"/>
                <w14:textFill>
                  <w14:solidFill>
                    <w14:srgbClr w14:val="000000">
                      <w14:alpha w14:val="100000"/>
                    </w14:srgbClr>
                  </w14:solidFill>
                </w14:textFill>
              </w:rPr>
              <w:t xml:space="preserve">　</w:t>
            </w:r>
            <w:r w:rsidR="005F066C" w:rsidRPr="00695D5A">
              <w:rPr>
                <w:vertAlign w:val="superscript"/>
              </w:rPr>
              <w:t>8</w:t>
            </w:r>
          </w:p>
        </w:tc>
        <w:tc>
          <w:tcPr>
            <w:tcW w:w="612" w:type="pct"/>
            <w:shd w:val="clear" w:color="auto" w:fill="auto"/>
            <w:vAlign w:val="center"/>
          </w:tcPr>
          <w:p w14:paraId="69F9BDD5" w14:textId="07FDD90A"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7"/>
                <w14:textFill>
                  <w14:solidFill>
                    <w14:srgbClr w14:val="000000">
                      <w14:alpha w14:val="100000"/>
                    </w14:srgbClr>
                  </w14:solidFill>
                </w14:textFill>
              </w:rPr>
              <w:t xml:space="preserve">　</w:t>
            </w:r>
            <w:r w:rsidRPr="007510F8">
              <w:rPr>
                <w:color w:val="000000"/>
                <w:w w:val="15"/>
                <w:shd w:val="solid" w:color="000000" w:fill="000000"/>
                <w:fitText w:val="43" w:id="-691334387"/>
                <w14:textFill>
                  <w14:solidFill>
                    <w14:srgbClr w14:val="000000">
                      <w14:alpha w14:val="100000"/>
                    </w14:srgbClr>
                  </w14:solidFill>
                </w14:textFill>
              </w:rPr>
              <w:t>|</w:t>
            </w:r>
            <w:r w:rsidRPr="007510F8">
              <w:rPr>
                <w:rFonts w:hint="eastAsia"/>
                <w:color w:val="000000"/>
                <w:spacing w:val="-22"/>
                <w:w w:val="15"/>
                <w:shd w:val="solid" w:color="000000" w:fill="000000"/>
                <w:fitText w:val="43" w:id="-691334387"/>
                <w14:textFill>
                  <w14:solidFill>
                    <w14:srgbClr w14:val="000000">
                      <w14:alpha w14:val="100000"/>
                    </w14:srgbClr>
                  </w14:solidFill>
                </w14:textFill>
              </w:rPr>
              <w:t xml:space="preserve">　</w:t>
            </w:r>
            <w:r w:rsidR="005F066C" w:rsidRPr="00695D5A">
              <w:rPr>
                <w:vertAlign w:val="superscript"/>
              </w:rPr>
              <w:t>8</w:t>
            </w:r>
          </w:p>
        </w:tc>
        <w:tc>
          <w:tcPr>
            <w:tcW w:w="611" w:type="pct"/>
            <w:shd w:val="clear" w:color="auto" w:fill="auto"/>
            <w:vAlign w:val="center"/>
          </w:tcPr>
          <w:p w14:paraId="2CF48D51" w14:textId="082046C9"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6"/>
                <w14:textFill>
                  <w14:solidFill>
                    <w14:srgbClr w14:val="000000">
                      <w14:alpha w14:val="100000"/>
                    </w14:srgbClr>
                  </w14:solidFill>
                </w14:textFill>
              </w:rPr>
              <w:t xml:space="preserve">　</w:t>
            </w:r>
            <w:r w:rsidRPr="007510F8">
              <w:rPr>
                <w:color w:val="000000"/>
                <w:w w:val="15"/>
                <w:shd w:val="solid" w:color="000000" w:fill="000000"/>
                <w:fitText w:val="43" w:id="-691334386"/>
                <w14:textFill>
                  <w14:solidFill>
                    <w14:srgbClr w14:val="000000">
                      <w14:alpha w14:val="100000"/>
                    </w14:srgbClr>
                  </w14:solidFill>
                </w14:textFill>
              </w:rPr>
              <w:t>|</w:t>
            </w:r>
            <w:r w:rsidRPr="007510F8">
              <w:rPr>
                <w:rFonts w:hint="eastAsia"/>
                <w:color w:val="000000"/>
                <w:spacing w:val="-22"/>
                <w:w w:val="15"/>
                <w:shd w:val="solid" w:color="000000" w:fill="000000"/>
                <w:fitText w:val="43" w:id="-691334386"/>
                <w14:textFill>
                  <w14:solidFill>
                    <w14:srgbClr w14:val="000000">
                      <w14:alpha w14:val="100000"/>
                    </w14:srgbClr>
                  </w14:solidFill>
                </w14:textFill>
              </w:rPr>
              <w:t xml:space="preserve">　</w:t>
            </w:r>
            <w:r w:rsidR="005F066C" w:rsidRPr="00695D5A">
              <w:rPr>
                <w:vertAlign w:val="superscript"/>
              </w:rPr>
              <w:t>8</w:t>
            </w:r>
          </w:p>
        </w:tc>
        <w:tc>
          <w:tcPr>
            <w:tcW w:w="612" w:type="pct"/>
            <w:vAlign w:val="center"/>
          </w:tcPr>
          <w:p w14:paraId="3CDE1659" w14:textId="4FAA9F2D"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85"/>
                <w14:textFill>
                  <w14:solidFill>
                    <w14:srgbClr w14:val="000000">
                      <w14:alpha w14:val="100000"/>
                    </w14:srgbClr>
                  </w14:solidFill>
                </w14:textFill>
              </w:rPr>
              <w:t xml:space="preserve">　</w:t>
            </w:r>
            <w:r w:rsidRPr="007510F8">
              <w:rPr>
                <w:color w:val="000000"/>
                <w:w w:val="15"/>
                <w:shd w:val="solid" w:color="000000" w:fill="000000"/>
                <w:fitText w:val="43" w:id="-691334385"/>
                <w14:textFill>
                  <w14:solidFill>
                    <w14:srgbClr w14:val="000000">
                      <w14:alpha w14:val="100000"/>
                    </w14:srgbClr>
                  </w14:solidFill>
                </w14:textFill>
              </w:rPr>
              <w:t>|</w:t>
            </w:r>
            <w:r w:rsidRPr="007510F8">
              <w:rPr>
                <w:rFonts w:hint="eastAsia"/>
                <w:color w:val="000000"/>
                <w:spacing w:val="-22"/>
                <w:w w:val="15"/>
                <w:shd w:val="solid" w:color="000000" w:fill="000000"/>
                <w:fitText w:val="43" w:id="-691334385"/>
                <w14:textFill>
                  <w14:solidFill>
                    <w14:srgbClr w14:val="000000">
                      <w14:alpha w14:val="100000"/>
                    </w14:srgbClr>
                  </w14:solidFill>
                </w14:textFill>
              </w:rPr>
              <w:t xml:space="preserve">　</w:t>
            </w:r>
            <w:r w:rsidR="005F066C" w:rsidRPr="00695D5A">
              <w:rPr>
                <w:vertAlign w:val="superscript"/>
              </w:rPr>
              <w:t>8</w:t>
            </w:r>
          </w:p>
        </w:tc>
      </w:tr>
      <w:tr w:rsidR="0083174D" w:rsidRPr="00FF1C58" w14:paraId="6E661792" w14:textId="77777777" w:rsidTr="007C6425">
        <w:tc>
          <w:tcPr>
            <w:tcW w:w="1330" w:type="pct"/>
            <w:shd w:val="clear" w:color="auto" w:fill="auto"/>
            <w:vAlign w:val="center"/>
          </w:tcPr>
          <w:p w14:paraId="7DED26D7" w14:textId="77777777" w:rsidR="0083174D" w:rsidRPr="00FF1C58" w:rsidRDefault="0083174D" w:rsidP="00E55FD2">
            <w:pPr>
              <w:pStyle w:val="COMTabletext"/>
              <w:rPr>
                <w:b/>
                <w:bCs w:val="0"/>
              </w:rPr>
            </w:pPr>
            <w:r w:rsidRPr="00FF1C58">
              <w:rPr>
                <w:b/>
                <w:bCs w:val="0"/>
              </w:rPr>
              <w:t>Net cost to PBS/RPBS/NBA/MBS</w:t>
            </w:r>
          </w:p>
        </w:tc>
        <w:tc>
          <w:tcPr>
            <w:tcW w:w="611" w:type="pct"/>
            <w:shd w:val="clear" w:color="auto" w:fill="auto"/>
            <w:vAlign w:val="center"/>
          </w:tcPr>
          <w:p w14:paraId="0DF7F48E" w14:textId="0F965EC2" w:rsidR="0083174D" w:rsidRPr="00ED0788" w:rsidRDefault="007510F8" w:rsidP="00E55FD2">
            <w:pPr>
              <w:pStyle w:val="COMTabletext"/>
              <w:jc w:val="center"/>
              <w:rPr>
                <w:b/>
                <w:bCs w:val="0"/>
                <w:highlight w:val="darkGray"/>
              </w:rPr>
            </w:pPr>
            <w:r w:rsidRPr="007510F8">
              <w:rPr>
                <w:rFonts w:hint="eastAsia"/>
                <w:b/>
                <w:bCs w:val="0"/>
                <w:color w:val="000000"/>
                <w:w w:val="28"/>
                <w:shd w:val="solid" w:color="000000" w:fill="000000"/>
                <w:fitText w:val="128" w:id="-691334384"/>
                <w14:textFill>
                  <w14:solidFill>
                    <w14:srgbClr w14:val="000000">
                      <w14:alpha w14:val="100000"/>
                    </w14:srgbClr>
                  </w14:solidFill>
                </w14:textFill>
              </w:rPr>
              <w:t xml:space="preserve">　</w:t>
            </w:r>
            <w:r w:rsidRPr="007510F8">
              <w:rPr>
                <w:b/>
                <w:bCs w:val="0"/>
                <w:color w:val="000000"/>
                <w:w w:val="28"/>
                <w:shd w:val="solid" w:color="000000" w:fill="000000"/>
                <w:fitText w:val="128" w:id="-691334384"/>
                <w14:textFill>
                  <w14:solidFill>
                    <w14:srgbClr w14:val="000000">
                      <w14:alpha w14:val="100000"/>
                    </w14:srgbClr>
                  </w14:solidFill>
                </w14:textFill>
              </w:rPr>
              <w:t>|</w:t>
            </w:r>
            <w:r w:rsidRPr="007510F8">
              <w:rPr>
                <w:rFonts w:hint="eastAsia"/>
                <w:b/>
                <w:bCs w:val="0"/>
                <w:color w:val="000000"/>
                <w:spacing w:val="5"/>
                <w:w w:val="28"/>
                <w:shd w:val="solid" w:color="000000" w:fill="000000"/>
                <w:fitText w:val="128" w:id="-691334384"/>
                <w14:textFill>
                  <w14:solidFill>
                    <w14:srgbClr w14:val="000000">
                      <w14:alpha w14:val="100000"/>
                    </w14:srgbClr>
                  </w14:solidFill>
                </w14:textFill>
              </w:rPr>
              <w:t xml:space="preserve">　</w:t>
            </w:r>
            <w:r w:rsidR="009B4D0D" w:rsidRPr="009B4D0D">
              <w:rPr>
                <w:b/>
                <w:bCs w:val="0"/>
                <w:vertAlign w:val="superscript"/>
              </w:rPr>
              <w:t>10</w:t>
            </w:r>
          </w:p>
        </w:tc>
        <w:tc>
          <w:tcPr>
            <w:tcW w:w="612" w:type="pct"/>
            <w:shd w:val="clear" w:color="auto" w:fill="auto"/>
            <w:vAlign w:val="center"/>
          </w:tcPr>
          <w:p w14:paraId="7C6D952B" w14:textId="0EAD1174" w:rsidR="0083174D" w:rsidRPr="00ED0788" w:rsidRDefault="007510F8" w:rsidP="00E55FD2">
            <w:pPr>
              <w:pStyle w:val="COMTabletext"/>
              <w:jc w:val="center"/>
              <w:rPr>
                <w:b/>
                <w:bCs w:val="0"/>
                <w:highlight w:val="darkGray"/>
              </w:rPr>
            </w:pPr>
            <w:r w:rsidRPr="007510F8">
              <w:rPr>
                <w:rFonts w:hint="eastAsia"/>
                <w:b/>
                <w:bCs w:val="0"/>
                <w:color w:val="000000"/>
                <w:w w:val="28"/>
                <w:shd w:val="solid" w:color="000000" w:fill="000000"/>
                <w:fitText w:val="129" w:id="-691334400"/>
                <w14:textFill>
                  <w14:solidFill>
                    <w14:srgbClr w14:val="000000">
                      <w14:alpha w14:val="100000"/>
                    </w14:srgbClr>
                  </w14:solidFill>
                </w14:textFill>
              </w:rPr>
              <w:t xml:space="preserve">　</w:t>
            </w:r>
            <w:r w:rsidRPr="007510F8">
              <w:rPr>
                <w:b/>
                <w:bCs w:val="0"/>
                <w:color w:val="000000"/>
                <w:w w:val="28"/>
                <w:shd w:val="solid" w:color="000000" w:fill="000000"/>
                <w:fitText w:val="129" w:id="-691334400"/>
                <w14:textFill>
                  <w14:solidFill>
                    <w14:srgbClr w14:val="000000">
                      <w14:alpha w14:val="100000"/>
                    </w14:srgbClr>
                  </w14:solidFill>
                </w14:textFill>
              </w:rPr>
              <w:t>|</w:t>
            </w:r>
            <w:r w:rsidRPr="007510F8">
              <w:rPr>
                <w:rFonts w:hint="eastAsia"/>
                <w:b/>
                <w:bCs w:val="0"/>
                <w:color w:val="000000"/>
                <w:spacing w:val="6"/>
                <w:w w:val="28"/>
                <w:shd w:val="solid" w:color="000000" w:fill="000000"/>
                <w:fitText w:val="129" w:id="-691334400"/>
                <w14:textFill>
                  <w14:solidFill>
                    <w14:srgbClr w14:val="000000">
                      <w14:alpha w14:val="100000"/>
                    </w14:srgbClr>
                  </w14:solidFill>
                </w14:textFill>
              </w:rPr>
              <w:t xml:space="preserve">　</w:t>
            </w:r>
            <w:r w:rsidR="009B4D0D" w:rsidRPr="009B4D0D">
              <w:rPr>
                <w:b/>
                <w:bCs w:val="0"/>
                <w:vertAlign w:val="superscript"/>
              </w:rPr>
              <w:t>10</w:t>
            </w:r>
          </w:p>
        </w:tc>
        <w:tc>
          <w:tcPr>
            <w:tcW w:w="611" w:type="pct"/>
            <w:shd w:val="clear" w:color="auto" w:fill="auto"/>
            <w:vAlign w:val="center"/>
          </w:tcPr>
          <w:p w14:paraId="13008B8F" w14:textId="6D2192B8" w:rsidR="0083174D" w:rsidRPr="00ED0788" w:rsidRDefault="007510F8" w:rsidP="00E55FD2">
            <w:pPr>
              <w:pStyle w:val="COMTabletext"/>
              <w:jc w:val="center"/>
              <w:rPr>
                <w:b/>
                <w:bCs w:val="0"/>
                <w:highlight w:val="darkGray"/>
              </w:rPr>
            </w:pPr>
            <w:r w:rsidRPr="007510F8">
              <w:rPr>
                <w:rFonts w:hint="eastAsia"/>
                <w:b/>
                <w:bCs w:val="0"/>
                <w:color w:val="000000"/>
                <w:w w:val="28"/>
                <w:shd w:val="solid" w:color="000000" w:fill="000000"/>
                <w:fitText w:val="129" w:id="-691334399"/>
                <w14:textFill>
                  <w14:solidFill>
                    <w14:srgbClr w14:val="000000">
                      <w14:alpha w14:val="100000"/>
                    </w14:srgbClr>
                  </w14:solidFill>
                </w14:textFill>
              </w:rPr>
              <w:t xml:space="preserve">　</w:t>
            </w:r>
            <w:r w:rsidRPr="007510F8">
              <w:rPr>
                <w:b/>
                <w:bCs w:val="0"/>
                <w:color w:val="000000"/>
                <w:w w:val="28"/>
                <w:shd w:val="solid" w:color="000000" w:fill="000000"/>
                <w:fitText w:val="129" w:id="-691334399"/>
                <w14:textFill>
                  <w14:solidFill>
                    <w14:srgbClr w14:val="000000">
                      <w14:alpha w14:val="100000"/>
                    </w14:srgbClr>
                  </w14:solidFill>
                </w14:textFill>
              </w:rPr>
              <w:t>|</w:t>
            </w:r>
            <w:r w:rsidRPr="007510F8">
              <w:rPr>
                <w:rFonts w:hint="eastAsia"/>
                <w:b/>
                <w:bCs w:val="0"/>
                <w:color w:val="000000"/>
                <w:spacing w:val="6"/>
                <w:w w:val="28"/>
                <w:shd w:val="solid" w:color="000000" w:fill="000000"/>
                <w:fitText w:val="129" w:id="-691334399"/>
                <w14:textFill>
                  <w14:solidFill>
                    <w14:srgbClr w14:val="000000">
                      <w14:alpha w14:val="100000"/>
                    </w14:srgbClr>
                  </w14:solidFill>
                </w14:textFill>
              </w:rPr>
              <w:t xml:space="preserve">　</w:t>
            </w:r>
            <w:r w:rsidR="009B4D0D" w:rsidRPr="009B4D0D">
              <w:rPr>
                <w:b/>
                <w:bCs w:val="0"/>
                <w:vertAlign w:val="superscript"/>
              </w:rPr>
              <w:t>10</w:t>
            </w:r>
          </w:p>
        </w:tc>
        <w:tc>
          <w:tcPr>
            <w:tcW w:w="612" w:type="pct"/>
            <w:shd w:val="clear" w:color="auto" w:fill="auto"/>
            <w:vAlign w:val="center"/>
          </w:tcPr>
          <w:p w14:paraId="16F6A705" w14:textId="22939C9F" w:rsidR="0083174D" w:rsidRPr="00ED0788" w:rsidRDefault="007510F8" w:rsidP="00E55FD2">
            <w:pPr>
              <w:pStyle w:val="COMTabletext"/>
              <w:jc w:val="center"/>
              <w:rPr>
                <w:b/>
                <w:bCs w:val="0"/>
                <w:highlight w:val="darkGray"/>
              </w:rPr>
            </w:pPr>
            <w:r w:rsidRPr="007510F8">
              <w:rPr>
                <w:rFonts w:hint="eastAsia"/>
                <w:b/>
                <w:bCs w:val="0"/>
                <w:color w:val="000000"/>
                <w:w w:val="28"/>
                <w:shd w:val="solid" w:color="000000" w:fill="000000"/>
                <w:fitText w:val="129" w:id="-691334398"/>
                <w14:textFill>
                  <w14:solidFill>
                    <w14:srgbClr w14:val="000000">
                      <w14:alpha w14:val="100000"/>
                    </w14:srgbClr>
                  </w14:solidFill>
                </w14:textFill>
              </w:rPr>
              <w:t xml:space="preserve">　</w:t>
            </w:r>
            <w:r w:rsidRPr="007510F8">
              <w:rPr>
                <w:b/>
                <w:bCs w:val="0"/>
                <w:color w:val="000000"/>
                <w:w w:val="28"/>
                <w:shd w:val="solid" w:color="000000" w:fill="000000"/>
                <w:fitText w:val="129" w:id="-691334398"/>
                <w14:textFill>
                  <w14:solidFill>
                    <w14:srgbClr w14:val="000000">
                      <w14:alpha w14:val="100000"/>
                    </w14:srgbClr>
                  </w14:solidFill>
                </w14:textFill>
              </w:rPr>
              <w:t>|</w:t>
            </w:r>
            <w:r w:rsidRPr="007510F8">
              <w:rPr>
                <w:rFonts w:hint="eastAsia"/>
                <w:b/>
                <w:bCs w:val="0"/>
                <w:color w:val="000000"/>
                <w:spacing w:val="6"/>
                <w:w w:val="28"/>
                <w:shd w:val="solid" w:color="000000" w:fill="000000"/>
                <w:fitText w:val="129" w:id="-691334398"/>
                <w14:textFill>
                  <w14:solidFill>
                    <w14:srgbClr w14:val="000000">
                      <w14:alpha w14:val="100000"/>
                    </w14:srgbClr>
                  </w14:solidFill>
                </w14:textFill>
              </w:rPr>
              <w:t xml:space="preserve">　</w:t>
            </w:r>
            <w:r w:rsidR="009B4D0D" w:rsidRPr="009B4D0D">
              <w:rPr>
                <w:b/>
                <w:bCs w:val="0"/>
                <w:vertAlign w:val="superscript"/>
              </w:rPr>
              <w:t>10</w:t>
            </w:r>
          </w:p>
        </w:tc>
        <w:tc>
          <w:tcPr>
            <w:tcW w:w="611" w:type="pct"/>
            <w:shd w:val="clear" w:color="auto" w:fill="auto"/>
            <w:vAlign w:val="center"/>
          </w:tcPr>
          <w:p w14:paraId="0F723BE4" w14:textId="3E8EE8B2" w:rsidR="0083174D" w:rsidRPr="00ED0788" w:rsidRDefault="007510F8" w:rsidP="00E55FD2">
            <w:pPr>
              <w:pStyle w:val="COMTabletext"/>
              <w:jc w:val="center"/>
              <w:rPr>
                <w:b/>
                <w:bCs w:val="0"/>
                <w:highlight w:val="darkGray"/>
              </w:rPr>
            </w:pPr>
            <w:r w:rsidRPr="007510F8">
              <w:rPr>
                <w:rFonts w:hint="eastAsia"/>
                <w:b/>
                <w:bCs w:val="0"/>
                <w:color w:val="000000"/>
                <w:w w:val="28"/>
                <w:shd w:val="solid" w:color="000000" w:fill="000000"/>
                <w:fitText w:val="129" w:id="-691334397"/>
                <w14:textFill>
                  <w14:solidFill>
                    <w14:srgbClr w14:val="000000">
                      <w14:alpha w14:val="100000"/>
                    </w14:srgbClr>
                  </w14:solidFill>
                </w14:textFill>
              </w:rPr>
              <w:t xml:space="preserve">　</w:t>
            </w:r>
            <w:r w:rsidRPr="007510F8">
              <w:rPr>
                <w:b/>
                <w:bCs w:val="0"/>
                <w:color w:val="000000"/>
                <w:w w:val="28"/>
                <w:shd w:val="solid" w:color="000000" w:fill="000000"/>
                <w:fitText w:val="129" w:id="-691334397"/>
                <w14:textFill>
                  <w14:solidFill>
                    <w14:srgbClr w14:val="000000">
                      <w14:alpha w14:val="100000"/>
                    </w14:srgbClr>
                  </w14:solidFill>
                </w14:textFill>
              </w:rPr>
              <w:t>|</w:t>
            </w:r>
            <w:r w:rsidRPr="007510F8">
              <w:rPr>
                <w:rFonts w:hint="eastAsia"/>
                <w:b/>
                <w:bCs w:val="0"/>
                <w:color w:val="000000"/>
                <w:spacing w:val="6"/>
                <w:w w:val="28"/>
                <w:shd w:val="solid" w:color="000000" w:fill="000000"/>
                <w:fitText w:val="129" w:id="-691334397"/>
                <w14:textFill>
                  <w14:solidFill>
                    <w14:srgbClr w14:val="000000">
                      <w14:alpha w14:val="100000"/>
                    </w14:srgbClr>
                  </w14:solidFill>
                </w14:textFill>
              </w:rPr>
              <w:t xml:space="preserve">　</w:t>
            </w:r>
            <w:r w:rsidR="009B4D0D" w:rsidRPr="009B4D0D">
              <w:rPr>
                <w:b/>
                <w:bCs w:val="0"/>
                <w:vertAlign w:val="superscript"/>
              </w:rPr>
              <w:t>10</w:t>
            </w:r>
          </w:p>
        </w:tc>
        <w:tc>
          <w:tcPr>
            <w:tcW w:w="612" w:type="pct"/>
            <w:vAlign w:val="center"/>
          </w:tcPr>
          <w:p w14:paraId="2C7061D6" w14:textId="2583C5A5" w:rsidR="0083174D" w:rsidRPr="00ED0788" w:rsidRDefault="007510F8" w:rsidP="00E55FD2">
            <w:pPr>
              <w:pStyle w:val="COMTabletext"/>
              <w:jc w:val="center"/>
              <w:rPr>
                <w:b/>
                <w:bCs w:val="0"/>
                <w:highlight w:val="darkGray"/>
              </w:rPr>
            </w:pPr>
            <w:r w:rsidRPr="007510F8">
              <w:rPr>
                <w:rFonts w:hint="eastAsia"/>
                <w:b/>
                <w:bCs w:val="0"/>
                <w:color w:val="000000"/>
                <w:w w:val="28"/>
                <w:shd w:val="solid" w:color="000000" w:fill="000000"/>
                <w:fitText w:val="129" w:id="-691334396"/>
                <w14:textFill>
                  <w14:solidFill>
                    <w14:srgbClr w14:val="000000">
                      <w14:alpha w14:val="100000"/>
                    </w14:srgbClr>
                  </w14:solidFill>
                </w14:textFill>
              </w:rPr>
              <w:t xml:space="preserve">　</w:t>
            </w:r>
            <w:r w:rsidRPr="007510F8">
              <w:rPr>
                <w:b/>
                <w:bCs w:val="0"/>
                <w:color w:val="000000"/>
                <w:w w:val="28"/>
                <w:shd w:val="solid" w:color="000000" w:fill="000000"/>
                <w:fitText w:val="129" w:id="-691334396"/>
                <w14:textFill>
                  <w14:solidFill>
                    <w14:srgbClr w14:val="000000">
                      <w14:alpha w14:val="100000"/>
                    </w14:srgbClr>
                  </w14:solidFill>
                </w14:textFill>
              </w:rPr>
              <w:t>|</w:t>
            </w:r>
            <w:r w:rsidRPr="007510F8">
              <w:rPr>
                <w:rFonts w:hint="eastAsia"/>
                <w:b/>
                <w:bCs w:val="0"/>
                <w:color w:val="000000"/>
                <w:spacing w:val="6"/>
                <w:w w:val="28"/>
                <w:shd w:val="solid" w:color="000000" w:fill="000000"/>
                <w:fitText w:val="129" w:id="-691334396"/>
                <w14:textFill>
                  <w14:solidFill>
                    <w14:srgbClr w14:val="000000">
                      <w14:alpha w14:val="100000"/>
                    </w14:srgbClr>
                  </w14:solidFill>
                </w14:textFill>
              </w:rPr>
              <w:t xml:space="preserve">　</w:t>
            </w:r>
            <w:r w:rsidR="009B4D0D" w:rsidRPr="009B4D0D">
              <w:rPr>
                <w:b/>
                <w:bCs w:val="0"/>
                <w:vertAlign w:val="superscript"/>
              </w:rPr>
              <w:t>10</w:t>
            </w:r>
          </w:p>
        </w:tc>
      </w:tr>
      <w:tr w:rsidR="0083174D" w:rsidRPr="0098262F" w14:paraId="1609FE2E" w14:textId="77777777" w:rsidTr="007C6425">
        <w:tc>
          <w:tcPr>
            <w:tcW w:w="1330" w:type="pct"/>
            <w:shd w:val="clear" w:color="auto" w:fill="B8CCE4" w:themeFill="accent1" w:themeFillTint="66"/>
            <w:vAlign w:val="center"/>
          </w:tcPr>
          <w:p w14:paraId="5DA32B28" w14:textId="77777777" w:rsidR="0083174D" w:rsidRPr="0098262F" w:rsidRDefault="0083174D" w:rsidP="00E55FD2">
            <w:pPr>
              <w:pStyle w:val="COMTabletext"/>
            </w:pPr>
            <w:r>
              <w:t>July 2024 submission, n</w:t>
            </w:r>
            <w:r w:rsidRPr="0098262F">
              <w:t>et cost to PBS/RPBS</w:t>
            </w:r>
            <w:r>
              <w:t>/NBA/MBS</w:t>
            </w:r>
          </w:p>
        </w:tc>
        <w:tc>
          <w:tcPr>
            <w:tcW w:w="611" w:type="pct"/>
            <w:shd w:val="clear" w:color="auto" w:fill="B8CCE4" w:themeFill="accent1" w:themeFillTint="66"/>
            <w:vAlign w:val="center"/>
          </w:tcPr>
          <w:p w14:paraId="57BB85C1" w14:textId="6627ABDB"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5"/>
                <w14:textFill>
                  <w14:solidFill>
                    <w14:srgbClr w14:val="000000">
                      <w14:alpha w14:val="100000"/>
                    </w14:srgbClr>
                  </w14:solidFill>
                </w14:textFill>
              </w:rPr>
              <w:t xml:space="preserve">　</w:t>
            </w:r>
            <w:r w:rsidRPr="007510F8">
              <w:rPr>
                <w:color w:val="000000"/>
                <w:w w:val="15"/>
                <w:shd w:val="solid" w:color="000000" w:fill="000000"/>
                <w:fitText w:val="43" w:id="-691334395"/>
                <w14:textFill>
                  <w14:solidFill>
                    <w14:srgbClr w14:val="000000">
                      <w14:alpha w14:val="100000"/>
                    </w14:srgbClr>
                  </w14:solidFill>
                </w14:textFill>
              </w:rPr>
              <w:t>|</w:t>
            </w:r>
            <w:r w:rsidRPr="007510F8">
              <w:rPr>
                <w:rFonts w:hint="eastAsia"/>
                <w:color w:val="000000"/>
                <w:spacing w:val="-22"/>
                <w:w w:val="15"/>
                <w:shd w:val="solid" w:color="000000" w:fill="000000"/>
                <w:fitText w:val="43" w:id="-691334395"/>
                <w14:textFill>
                  <w14:solidFill>
                    <w14:srgbClr w14:val="000000">
                      <w14:alpha w14:val="100000"/>
                    </w14:srgbClr>
                  </w14:solidFill>
                </w14:textFill>
              </w:rPr>
              <w:t xml:space="preserve">　</w:t>
            </w:r>
            <w:r w:rsidR="00FA1B06" w:rsidRPr="00FA1B06">
              <w:rPr>
                <w:b/>
                <w:bCs w:val="0"/>
                <w:vertAlign w:val="superscript"/>
              </w:rPr>
              <w:t>5</w:t>
            </w:r>
          </w:p>
        </w:tc>
        <w:tc>
          <w:tcPr>
            <w:tcW w:w="612" w:type="pct"/>
            <w:shd w:val="clear" w:color="auto" w:fill="B8CCE4" w:themeFill="accent1" w:themeFillTint="66"/>
            <w:vAlign w:val="center"/>
          </w:tcPr>
          <w:p w14:paraId="5007305A" w14:textId="3CCA0CDD"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4"/>
                <w14:textFill>
                  <w14:solidFill>
                    <w14:srgbClr w14:val="000000">
                      <w14:alpha w14:val="100000"/>
                    </w14:srgbClr>
                  </w14:solidFill>
                </w14:textFill>
              </w:rPr>
              <w:t xml:space="preserve">　</w:t>
            </w:r>
            <w:r w:rsidRPr="007510F8">
              <w:rPr>
                <w:color w:val="000000"/>
                <w:w w:val="15"/>
                <w:shd w:val="solid" w:color="000000" w:fill="000000"/>
                <w:fitText w:val="43" w:id="-691334394"/>
                <w14:textFill>
                  <w14:solidFill>
                    <w14:srgbClr w14:val="000000">
                      <w14:alpha w14:val="100000"/>
                    </w14:srgbClr>
                  </w14:solidFill>
                </w14:textFill>
              </w:rPr>
              <w:t>|</w:t>
            </w:r>
            <w:r w:rsidRPr="007510F8">
              <w:rPr>
                <w:rFonts w:hint="eastAsia"/>
                <w:color w:val="000000"/>
                <w:spacing w:val="-22"/>
                <w:w w:val="15"/>
                <w:shd w:val="solid" w:color="000000" w:fill="000000"/>
                <w:fitText w:val="43" w:id="-691334394"/>
                <w14:textFill>
                  <w14:solidFill>
                    <w14:srgbClr w14:val="000000">
                      <w14:alpha w14:val="100000"/>
                    </w14:srgbClr>
                  </w14:solidFill>
                </w14:textFill>
              </w:rPr>
              <w:t xml:space="preserve">　</w:t>
            </w:r>
            <w:r w:rsidR="00092430" w:rsidRPr="0096252E">
              <w:rPr>
                <w:b/>
                <w:bCs w:val="0"/>
                <w:vertAlign w:val="superscript"/>
              </w:rPr>
              <w:t>4</w:t>
            </w:r>
          </w:p>
        </w:tc>
        <w:tc>
          <w:tcPr>
            <w:tcW w:w="611" w:type="pct"/>
            <w:shd w:val="clear" w:color="auto" w:fill="B8CCE4" w:themeFill="accent1" w:themeFillTint="66"/>
            <w:vAlign w:val="center"/>
          </w:tcPr>
          <w:p w14:paraId="3ED6D479" w14:textId="6B984DF3"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3"/>
                <w14:textFill>
                  <w14:solidFill>
                    <w14:srgbClr w14:val="000000">
                      <w14:alpha w14:val="100000"/>
                    </w14:srgbClr>
                  </w14:solidFill>
                </w14:textFill>
              </w:rPr>
              <w:t xml:space="preserve">　</w:t>
            </w:r>
            <w:r w:rsidRPr="007510F8">
              <w:rPr>
                <w:color w:val="000000"/>
                <w:w w:val="15"/>
                <w:shd w:val="solid" w:color="000000" w:fill="000000"/>
                <w:fitText w:val="43" w:id="-691334393"/>
                <w14:textFill>
                  <w14:solidFill>
                    <w14:srgbClr w14:val="000000">
                      <w14:alpha w14:val="100000"/>
                    </w14:srgbClr>
                  </w14:solidFill>
                </w14:textFill>
              </w:rPr>
              <w:t>|</w:t>
            </w:r>
            <w:r w:rsidRPr="007510F8">
              <w:rPr>
                <w:rFonts w:hint="eastAsia"/>
                <w:color w:val="000000"/>
                <w:spacing w:val="-22"/>
                <w:w w:val="15"/>
                <w:shd w:val="solid" w:color="000000" w:fill="000000"/>
                <w:fitText w:val="43" w:id="-691334393"/>
                <w14:textFill>
                  <w14:solidFill>
                    <w14:srgbClr w14:val="000000">
                      <w14:alpha w14:val="100000"/>
                    </w14:srgbClr>
                  </w14:solidFill>
                </w14:textFill>
              </w:rPr>
              <w:t xml:space="preserve">　</w:t>
            </w:r>
            <w:r w:rsidR="00092430" w:rsidRPr="0096252E">
              <w:rPr>
                <w:b/>
                <w:bCs w:val="0"/>
                <w:vertAlign w:val="superscript"/>
              </w:rPr>
              <w:t>4</w:t>
            </w:r>
          </w:p>
        </w:tc>
        <w:tc>
          <w:tcPr>
            <w:tcW w:w="612" w:type="pct"/>
            <w:shd w:val="clear" w:color="auto" w:fill="B8CCE4" w:themeFill="accent1" w:themeFillTint="66"/>
            <w:vAlign w:val="center"/>
          </w:tcPr>
          <w:p w14:paraId="52A1EF63" w14:textId="4FE572B8"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2"/>
                <w14:textFill>
                  <w14:solidFill>
                    <w14:srgbClr w14:val="000000">
                      <w14:alpha w14:val="100000"/>
                    </w14:srgbClr>
                  </w14:solidFill>
                </w14:textFill>
              </w:rPr>
              <w:t xml:space="preserve">　</w:t>
            </w:r>
            <w:r w:rsidRPr="007510F8">
              <w:rPr>
                <w:color w:val="000000"/>
                <w:w w:val="15"/>
                <w:shd w:val="solid" w:color="000000" w:fill="000000"/>
                <w:fitText w:val="43" w:id="-691334392"/>
                <w14:textFill>
                  <w14:solidFill>
                    <w14:srgbClr w14:val="000000">
                      <w14:alpha w14:val="100000"/>
                    </w14:srgbClr>
                  </w14:solidFill>
                </w14:textFill>
              </w:rPr>
              <w:t>|</w:t>
            </w:r>
            <w:r w:rsidRPr="007510F8">
              <w:rPr>
                <w:rFonts w:hint="eastAsia"/>
                <w:color w:val="000000"/>
                <w:spacing w:val="-22"/>
                <w:w w:val="15"/>
                <w:shd w:val="solid" w:color="000000" w:fill="000000"/>
                <w:fitText w:val="43" w:id="-691334392"/>
                <w14:textFill>
                  <w14:solidFill>
                    <w14:srgbClr w14:val="000000">
                      <w14:alpha w14:val="100000"/>
                    </w14:srgbClr>
                  </w14:solidFill>
                </w14:textFill>
              </w:rPr>
              <w:t xml:space="preserve">　</w:t>
            </w:r>
            <w:r w:rsidR="00092430" w:rsidRPr="0096252E">
              <w:rPr>
                <w:b/>
                <w:bCs w:val="0"/>
                <w:vertAlign w:val="superscript"/>
              </w:rPr>
              <w:t>4</w:t>
            </w:r>
          </w:p>
        </w:tc>
        <w:tc>
          <w:tcPr>
            <w:tcW w:w="611" w:type="pct"/>
            <w:shd w:val="clear" w:color="auto" w:fill="B8CCE4" w:themeFill="accent1" w:themeFillTint="66"/>
            <w:vAlign w:val="center"/>
          </w:tcPr>
          <w:p w14:paraId="2969831B" w14:textId="1F8A4535" w:rsidR="0083174D" w:rsidRPr="00ED0788" w:rsidRDefault="007510F8" w:rsidP="00E55FD2">
            <w:pPr>
              <w:pStyle w:val="COMTabletext"/>
              <w:jc w:val="center"/>
              <w:rPr>
                <w:highlight w:val="darkGray"/>
              </w:rPr>
            </w:pPr>
            <w:r w:rsidRPr="007510F8">
              <w:rPr>
                <w:rFonts w:hint="eastAsia"/>
                <w:color w:val="000000"/>
                <w:w w:val="15"/>
                <w:shd w:val="solid" w:color="000000" w:fill="000000"/>
                <w:fitText w:val="43" w:id="-691334391"/>
                <w14:textFill>
                  <w14:solidFill>
                    <w14:srgbClr w14:val="000000">
                      <w14:alpha w14:val="100000"/>
                    </w14:srgbClr>
                  </w14:solidFill>
                </w14:textFill>
              </w:rPr>
              <w:t xml:space="preserve">　</w:t>
            </w:r>
            <w:r w:rsidRPr="007510F8">
              <w:rPr>
                <w:color w:val="000000"/>
                <w:w w:val="15"/>
                <w:shd w:val="solid" w:color="000000" w:fill="000000"/>
                <w:fitText w:val="43" w:id="-691334391"/>
                <w14:textFill>
                  <w14:solidFill>
                    <w14:srgbClr w14:val="000000">
                      <w14:alpha w14:val="100000"/>
                    </w14:srgbClr>
                  </w14:solidFill>
                </w14:textFill>
              </w:rPr>
              <w:t>|</w:t>
            </w:r>
            <w:r w:rsidRPr="007510F8">
              <w:rPr>
                <w:rFonts w:hint="eastAsia"/>
                <w:color w:val="000000"/>
                <w:spacing w:val="-22"/>
                <w:w w:val="15"/>
                <w:shd w:val="solid" w:color="000000" w:fill="000000"/>
                <w:fitText w:val="43" w:id="-691334391"/>
                <w14:textFill>
                  <w14:solidFill>
                    <w14:srgbClr w14:val="000000">
                      <w14:alpha w14:val="100000"/>
                    </w14:srgbClr>
                  </w14:solidFill>
                </w14:textFill>
              </w:rPr>
              <w:t xml:space="preserve">　</w:t>
            </w:r>
            <w:r w:rsidR="00092430" w:rsidRPr="0096252E">
              <w:rPr>
                <w:b/>
                <w:bCs w:val="0"/>
                <w:vertAlign w:val="superscript"/>
              </w:rPr>
              <w:t>4</w:t>
            </w:r>
          </w:p>
        </w:tc>
        <w:tc>
          <w:tcPr>
            <w:tcW w:w="612" w:type="pct"/>
            <w:shd w:val="clear" w:color="auto" w:fill="B8CCE4" w:themeFill="accent1" w:themeFillTint="66"/>
            <w:vAlign w:val="center"/>
          </w:tcPr>
          <w:p w14:paraId="4FD769FD" w14:textId="2B301072" w:rsidR="0083174D" w:rsidRPr="00ED0788" w:rsidRDefault="007510F8" w:rsidP="00E55FD2">
            <w:pPr>
              <w:pStyle w:val="COMTabletext"/>
              <w:jc w:val="center"/>
              <w:rPr>
                <w:highlight w:val="darkGray"/>
              </w:rPr>
            </w:pPr>
            <w:r>
              <w:rPr>
                <w:rFonts w:hint="eastAsia"/>
                <w:color w:val="000000"/>
                <w:w w:val="15"/>
                <w:shd w:val="solid" w:color="000000" w:fill="000000"/>
                <w:fitText w:val="43" w:id="-691334390"/>
                <w14:textFill>
                  <w14:solidFill>
                    <w14:srgbClr w14:val="000000">
                      <w14:alpha w14:val="100000"/>
                    </w14:srgbClr>
                  </w14:solidFill>
                </w14:textFill>
              </w:rPr>
              <w:t xml:space="preserve">　</w:t>
            </w:r>
            <w:r>
              <w:rPr>
                <w:color w:val="000000"/>
                <w:w w:val="15"/>
                <w:shd w:val="solid" w:color="000000" w:fill="000000"/>
                <w:fitText w:val="43" w:id="-691334390"/>
                <w14:textFill>
                  <w14:solidFill>
                    <w14:srgbClr w14:val="000000">
                      <w14:alpha w14:val="100000"/>
                    </w14:srgbClr>
                  </w14:solidFill>
                </w14:textFill>
              </w:rPr>
              <w:t>|</w:t>
            </w:r>
            <w:r>
              <w:rPr>
                <w:rFonts w:hint="eastAsia"/>
                <w:color w:val="000000"/>
                <w:spacing w:val="-23"/>
                <w:w w:val="15"/>
                <w:shd w:val="solid" w:color="000000" w:fill="000000"/>
                <w:fitText w:val="43" w:id="-691334390"/>
                <w14:textFill>
                  <w14:solidFill>
                    <w14:srgbClr w14:val="000000">
                      <w14:alpha w14:val="100000"/>
                    </w14:srgbClr>
                  </w14:solidFill>
                </w14:textFill>
              </w:rPr>
              <w:t xml:space="preserve">　</w:t>
            </w:r>
            <w:r w:rsidR="00092430" w:rsidRPr="0096252E">
              <w:rPr>
                <w:b/>
                <w:bCs w:val="0"/>
                <w:vertAlign w:val="superscript"/>
              </w:rPr>
              <w:t>4</w:t>
            </w:r>
          </w:p>
        </w:tc>
      </w:tr>
    </w:tbl>
    <w:p w14:paraId="4A4302BD" w14:textId="77777777" w:rsidR="007C6425" w:rsidRPr="007C6425" w:rsidRDefault="007C6425" w:rsidP="00E55FD2">
      <w:pPr>
        <w:pStyle w:val="COMTablefooter"/>
      </w:pPr>
      <w:r w:rsidRPr="5669A5A1">
        <w:t>Source: Section 4 utilisation and financial impact Excel workbook</w:t>
      </w:r>
    </w:p>
    <w:p w14:paraId="7299B16A" w14:textId="77777777" w:rsidR="008C2D16" w:rsidRDefault="007C6425" w:rsidP="00E55FD2">
      <w:pPr>
        <w:pStyle w:val="COMTablefooter"/>
      </w:pPr>
      <w:r w:rsidRPr="007C6425">
        <w:t>Abbreviations: IVIg, intravenous immunoglobulin; MG, myasthenia gravis; NBA, National Blood Authority; PBS, Pharmaceutical Benefits Scheme; PLEX, plasma exchange RPBS, Repatriation Pharmaceutical Benefits Scheme</w:t>
      </w:r>
      <w:r w:rsidR="008C2D16" w:rsidRPr="008C2D16">
        <w:t xml:space="preserve"> </w:t>
      </w:r>
    </w:p>
    <w:p w14:paraId="5853E3E6" w14:textId="5BD76DBC" w:rsidR="008C2D16" w:rsidRPr="00EA03B8" w:rsidRDefault="008C2D16" w:rsidP="00E55FD2">
      <w:pPr>
        <w:pStyle w:val="COMTablefooter"/>
        <w:rPr>
          <w:i/>
          <w:iCs/>
        </w:rPr>
      </w:pPr>
      <w:r w:rsidRPr="00EA03B8">
        <w:rPr>
          <w:i/>
          <w:iCs/>
        </w:rPr>
        <w:t xml:space="preserve">The redacted values correspond to the following ranges: </w:t>
      </w:r>
    </w:p>
    <w:p w14:paraId="7E458F0D" w14:textId="093676AA" w:rsidR="0001224B" w:rsidRPr="00EA03B8" w:rsidRDefault="008C2D16" w:rsidP="00E55FD2">
      <w:pPr>
        <w:pStyle w:val="COMTablefooter"/>
        <w:rPr>
          <w:i/>
          <w:iCs/>
        </w:rPr>
      </w:pPr>
      <w:r w:rsidRPr="00EA03B8">
        <w:rPr>
          <w:i/>
          <w:iCs/>
          <w:vertAlign w:val="superscript"/>
        </w:rPr>
        <w:t>1</w:t>
      </w:r>
      <w:r w:rsidRPr="00EA03B8">
        <w:rPr>
          <w:i/>
          <w:iCs/>
        </w:rPr>
        <w:t xml:space="preserve"> </w:t>
      </w:r>
      <w:r w:rsidR="0001224B" w:rsidRPr="00EA03B8">
        <w:rPr>
          <w:i/>
          <w:iCs/>
        </w:rPr>
        <w:t>5,000 to &lt; 10,000</w:t>
      </w:r>
    </w:p>
    <w:p w14:paraId="255AC579" w14:textId="64175244" w:rsidR="008C2D16" w:rsidRPr="00EA03B8" w:rsidRDefault="003069FC" w:rsidP="00E55FD2">
      <w:pPr>
        <w:pStyle w:val="COMTablefooter"/>
        <w:rPr>
          <w:i/>
          <w:iCs/>
        </w:rPr>
      </w:pPr>
      <w:r w:rsidRPr="00EA03B8">
        <w:rPr>
          <w:i/>
          <w:iCs/>
          <w:vertAlign w:val="superscript"/>
        </w:rPr>
        <w:t>2</w:t>
      </w:r>
      <w:r w:rsidRPr="00EA03B8">
        <w:rPr>
          <w:i/>
          <w:iCs/>
        </w:rPr>
        <w:t xml:space="preserve"> </w:t>
      </w:r>
      <w:r w:rsidR="008C2D16" w:rsidRPr="00EA03B8">
        <w:rPr>
          <w:i/>
          <w:iCs/>
        </w:rPr>
        <w:t>500 to &lt; 5,000</w:t>
      </w:r>
    </w:p>
    <w:p w14:paraId="4CC93876" w14:textId="77777777" w:rsidR="0096252E" w:rsidRPr="00EA03B8" w:rsidRDefault="003069FC" w:rsidP="00E55FD2">
      <w:pPr>
        <w:pStyle w:val="COMTablefooter"/>
        <w:rPr>
          <w:i/>
          <w:iCs/>
        </w:rPr>
      </w:pPr>
      <w:r w:rsidRPr="00EA03B8">
        <w:rPr>
          <w:i/>
          <w:iCs/>
          <w:vertAlign w:val="superscript"/>
        </w:rPr>
        <w:t>3</w:t>
      </w:r>
      <w:r w:rsidR="008C2D16" w:rsidRPr="00EA03B8">
        <w:rPr>
          <w:i/>
          <w:iCs/>
        </w:rPr>
        <w:t xml:space="preserve"> &lt; 500</w:t>
      </w:r>
    </w:p>
    <w:p w14:paraId="28308A35" w14:textId="77777777" w:rsidR="00FA1B06" w:rsidRPr="00EA03B8" w:rsidRDefault="0096252E" w:rsidP="00E55FD2">
      <w:pPr>
        <w:pStyle w:val="COMTablefooter"/>
        <w:rPr>
          <w:i/>
          <w:iCs/>
        </w:rPr>
      </w:pPr>
      <w:r w:rsidRPr="00EA03B8">
        <w:rPr>
          <w:i/>
          <w:iCs/>
          <w:vertAlign w:val="superscript"/>
        </w:rPr>
        <w:t>4</w:t>
      </w:r>
      <w:r w:rsidR="007004CE" w:rsidRPr="00EA03B8">
        <w:rPr>
          <w:i/>
          <w:iCs/>
          <w:vertAlign w:val="superscript"/>
        </w:rPr>
        <w:t xml:space="preserve"> </w:t>
      </w:r>
      <w:r w:rsidRPr="00EA03B8">
        <w:rPr>
          <w:i/>
          <w:iCs/>
        </w:rPr>
        <w:t xml:space="preserve">$40 million to &lt; $50 million </w:t>
      </w:r>
    </w:p>
    <w:p w14:paraId="48093F7F" w14:textId="77777777" w:rsidR="00495089" w:rsidRPr="00EA03B8" w:rsidRDefault="00FA1B06" w:rsidP="00E55FD2">
      <w:pPr>
        <w:pStyle w:val="COMTablefooter"/>
        <w:rPr>
          <w:i/>
          <w:iCs/>
        </w:rPr>
      </w:pPr>
      <w:r w:rsidRPr="00EA03B8">
        <w:rPr>
          <w:i/>
          <w:iCs/>
          <w:vertAlign w:val="superscript"/>
        </w:rPr>
        <w:t>5</w:t>
      </w:r>
      <w:r w:rsidRPr="00EA03B8">
        <w:rPr>
          <w:i/>
          <w:iCs/>
        </w:rPr>
        <w:t xml:space="preserve"> $30 million to &lt; $40 million</w:t>
      </w:r>
    </w:p>
    <w:p w14:paraId="26568169" w14:textId="7301B8EE" w:rsidR="008C2D16" w:rsidRPr="00EA03B8" w:rsidRDefault="00495089" w:rsidP="00E55FD2">
      <w:pPr>
        <w:pStyle w:val="COMTablefooter"/>
        <w:rPr>
          <w:i/>
          <w:iCs/>
        </w:rPr>
      </w:pPr>
      <w:r w:rsidRPr="00EA03B8">
        <w:rPr>
          <w:i/>
          <w:iCs/>
          <w:vertAlign w:val="superscript"/>
        </w:rPr>
        <w:t>6</w:t>
      </w:r>
      <w:r w:rsidRPr="00EA03B8">
        <w:rPr>
          <w:i/>
          <w:iCs/>
        </w:rPr>
        <w:t xml:space="preserve"> $60 million to &lt; $70 million</w:t>
      </w:r>
    </w:p>
    <w:p w14:paraId="5AB1BCC3" w14:textId="06F54B4C" w:rsidR="008C2D16" w:rsidRPr="00EA03B8" w:rsidRDefault="00695D5A" w:rsidP="00E55FD2">
      <w:pPr>
        <w:pStyle w:val="COMTablefooter"/>
        <w:rPr>
          <w:i/>
          <w:iCs/>
        </w:rPr>
      </w:pPr>
      <w:r w:rsidRPr="00EA03B8">
        <w:rPr>
          <w:i/>
          <w:iCs/>
          <w:vertAlign w:val="superscript"/>
        </w:rPr>
        <w:t>7</w:t>
      </w:r>
      <w:r w:rsidR="008C2D16" w:rsidRPr="00EA03B8">
        <w:rPr>
          <w:i/>
          <w:iCs/>
        </w:rPr>
        <w:t xml:space="preserve"> $70 million to &lt; $80 million</w:t>
      </w:r>
    </w:p>
    <w:p w14:paraId="71EF6668" w14:textId="77777777" w:rsidR="00D55AD7" w:rsidRPr="00EA03B8" w:rsidRDefault="000E2220" w:rsidP="00E55FD2">
      <w:pPr>
        <w:pStyle w:val="COMTablefooter"/>
        <w:rPr>
          <w:i/>
          <w:iCs/>
        </w:rPr>
      </w:pPr>
      <w:r w:rsidRPr="00EA03B8">
        <w:rPr>
          <w:i/>
          <w:iCs/>
          <w:vertAlign w:val="superscript"/>
        </w:rPr>
        <w:t>8</w:t>
      </w:r>
      <w:r w:rsidR="008C2D16" w:rsidRPr="00EA03B8">
        <w:rPr>
          <w:i/>
          <w:iCs/>
        </w:rPr>
        <w:t xml:space="preserve"> net cost saving</w:t>
      </w:r>
      <w:r w:rsidR="00D55AD7" w:rsidRPr="00EA03B8">
        <w:rPr>
          <w:i/>
          <w:iCs/>
        </w:rPr>
        <w:t xml:space="preserve"> </w:t>
      </w:r>
    </w:p>
    <w:p w14:paraId="6FA37528" w14:textId="6F8F9260" w:rsidR="008C2D16" w:rsidRPr="00EA03B8" w:rsidRDefault="00D55AD7" w:rsidP="00E55FD2">
      <w:pPr>
        <w:pStyle w:val="COMTablefooter"/>
        <w:rPr>
          <w:i/>
          <w:iCs/>
        </w:rPr>
      </w:pPr>
      <w:r w:rsidRPr="00EA03B8">
        <w:rPr>
          <w:i/>
          <w:iCs/>
          <w:vertAlign w:val="superscript"/>
        </w:rPr>
        <w:t>9</w:t>
      </w:r>
      <w:r w:rsidRPr="00EA03B8">
        <w:rPr>
          <w:i/>
          <w:iCs/>
        </w:rPr>
        <w:t xml:space="preserve"> $0 to &lt; $10 million</w:t>
      </w:r>
    </w:p>
    <w:p w14:paraId="6CD26415" w14:textId="2F1A9BD3" w:rsidR="008C2D16" w:rsidRPr="00EA03B8" w:rsidRDefault="00195134" w:rsidP="00E55FD2">
      <w:pPr>
        <w:pStyle w:val="COMTablefooter"/>
        <w:rPr>
          <w:i/>
          <w:iCs/>
        </w:rPr>
      </w:pPr>
      <w:r w:rsidRPr="00EA03B8">
        <w:rPr>
          <w:i/>
          <w:iCs/>
          <w:vertAlign w:val="superscript"/>
        </w:rPr>
        <w:t>10</w:t>
      </w:r>
      <w:r w:rsidR="008C2D16" w:rsidRPr="00EA03B8">
        <w:rPr>
          <w:i/>
          <w:iCs/>
        </w:rPr>
        <w:t xml:space="preserve"> $</w:t>
      </w:r>
      <w:r w:rsidRPr="00EA03B8">
        <w:rPr>
          <w:i/>
          <w:iCs/>
        </w:rPr>
        <w:t>2</w:t>
      </w:r>
      <w:r w:rsidR="008C2D16" w:rsidRPr="00EA03B8">
        <w:rPr>
          <w:i/>
          <w:iCs/>
        </w:rPr>
        <w:t>0 million to &lt; $</w:t>
      </w:r>
      <w:r w:rsidRPr="00EA03B8">
        <w:rPr>
          <w:i/>
          <w:iCs/>
        </w:rPr>
        <w:t>3</w:t>
      </w:r>
      <w:r w:rsidR="008C2D16" w:rsidRPr="00EA03B8">
        <w:rPr>
          <w:i/>
          <w:iCs/>
        </w:rPr>
        <w:t>0 million</w:t>
      </w:r>
    </w:p>
    <w:p w14:paraId="1E5CDE4F" w14:textId="6EE68130" w:rsidR="000D4D38" w:rsidRPr="00B35FF4" w:rsidRDefault="000D4D38" w:rsidP="00E55FD2">
      <w:pPr>
        <w:pStyle w:val="COMexecsummnumbered"/>
      </w:pPr>
      <w:r w:rsidRPr="5669A5A1">
        <w:t xml:space="preserve">The </w:t>
      </w:r>
      <w:r w:rsidR="00EB0C76">
        <w:t xml:space="preserve">submission </w:t>
      </w:r>
      <w:r w:rsidRPr="5669A5A1">
        <w:t xml:space="preserve">estimated </w:t>
      </w:r>
      <w:r w:rsidR="00EB0C76">
        <w:t xml:space="preserve">the </w:t>
      </w:r>
      <w:r w:rsidRPr="5669A5A1">
        <w:t>net cost to the PBS/RPBS w</w:t>
      </w:r>
      <w:r w:rsidR="00EB0C76">
        <w:t>ould be</w:t>
      </w:r>
      <w:r w:rsidRPr="5669A5A1">
        <w:t xml:space="preserve"> $</w:t>
      </w:r>
      <w:r w:rsidR="0046614A" w:rsidRPr="0046614A">
        <w:t xml:space="preserve">40 million to &lt; $50 million </w:t>
      </w:r>
      <w:r w:rsidRPr="5669A5A1">
        <w:t>in Year 1, decreasing to $</w:t>
      </w:r>
      <w:r w:rsidR="00F80537" w:rsidRPr="00F80537">
        <w:t>30 million to &lt; $40 million</w:t>
      </w:r>
      <w:r w:rsidR="00F80537" w:rsidRPr="00F80537" w:rsidDel="00F80537">
        <w:t xml:space="preserve"> </w:t>
      </w:r>
      <w:r w:rsidRPr="5669A5A1">
        <w:t>in Year 6, a total cost of $</w:t>
      </w:r>
      <w:r w:rsidR="00F97361" w:rsidRPr="00F97361">
        <w:t>200 million to &lt; $300 million</w:t>
      </w:r>
      <w:r w:rsidR="00F97361" w:rsidRPr="00F97361" w:rsidDel="00F97361">
        <w:t xml:space="preserve"> </w:t>
      </w:r>
      <w:r w:rsidRPr="5669A5A1">
        <w:t>over the first six years of listing. The net cost to the PBS/RPBS was lower than estimated in the previous submission ($</w:t>
      </w:r>
      <w:r w:rsidR="00533CA2" w:rsidRPr="00533CA2">
        <w:t>400 million to &lt; $500 million</w:t>
      </w:r>
      <w:r w:rsidR="00533CA2" w:rsidRPr="00533CA2" w:rsidDel="00533CA2">
        <w:t xml:space="preserve"> </w:t>
      </w:r>
      <w:r w:rsidRPr="5669A5A1">
        <w:t>over 6 years), primarily due to the reduced size of the eligible population who are treatment refractory, which is narrower than the second line/treatment refractory population proposed previously.</w:t>
      </w:r>
    </w:p>
    <w:p w14:paraId="6BC94A66" w14:textId="6C6C6775" w:rsidR="000D4D38" w:rsidRPr="005500C7" w:rsidRDefault="000D4D38" w:rsidP="00E55FD2">
      <w:pPr>
        <w:pStyle w:val="COMexecsummnumbered"/>
      </w:pPr>
      <w:r w:rsidRPr="5669A5A1">
        <w:t xml:space="preserve">The estimated net cost to the PBS/RPBS/NBA/MBS was </w:t>
      </w:r>
      <w:r w:rsidR="00546EFE" w:rsidRPr="00546EFE">
        <w:t>$20 million to &lt; $30 million</w:t>
      </w:r>
      <w:r w:rsidR="000B7297">
        <w:t xml:space="preserve"> </w:t>
      </w:r>
      <w:r w:rsidRPr="5669A5A1">
        <w:t xml:space="preserve">in Year 1, increasing to </w:t>
      </w:r>
      <w:r w:rsidR="00546EFE" w:rsidRPr="00546EFE">
        <w:t>$20 million to &lt; $30 million</w:t>
      </w:r>
      <w:r w:rsidR="000B7297">
        <w:t xml:space="preserve"> </w:t>
      </w:r>
      <w:r w:rsidRPr="5669A5A1">
        <w:t xml:space="preserve">in Year 2, then decreasing to </w:t>
      </w:r>
      <w:r w:rsidR="00546EFE" w:rsidRPr="00546EFE">
        <w:t>$20 million to &lt; $30 million</w:t>
      </w:r>
      <w:r w:rsidR="000B7297">
        <w:t xml:space="preserve"> </w:t>
      </w:r>
      <w:r w:rsidRPr="5669A5A1">
        <w:t xml:space="preserve">in Year 6; a total cost of </w:t>
      </w:r>
      <w:r w:rsidR="00FB24D1" w:rsidRPr="00FB24D1">
        <w:t>$100 million to &lt; $200 million</w:t>
      </w:r>
      <w:r w:rsidR="000B7297">
        <w:t xml:space="preserve"> </w:t>
      </w:r>
      <w:r w:rsidRPr="005500C7">
        <w:t xml:space="preserve">over the </w:t>
      </w:r>
      <w:r w:rsidRPr="005500C7">
        <w:lastRenderedPageBreak/>
        <w:t xml:space="preserve">first six years of listing. The net cost to the PBS/RPBS/NBA/MBS was lower than estimated in the previous submission </w:t>
      </w:r>
      <w:r w:rsidR="00E26CF3" w:rsidRPr="00E26CF3">
        <w:t>$200 million to &lt; $300 million</w:t>
      </w:r>
      <w:r w:rsidRPr="005500C7">
        <w:t xml:space="preserve"> over 6 years), primarily due to the reduced size of the eligible population and correspondingly lower cost offsets due to substitution of IVIg/PLEX.</w:t>
      </w:r>
    </w:p>
    <w:p w14:paraId="348EAD9F" w14:textId="7E58A7D2" w:rsidR="003D3FAC" w:rsidRPr="005500C7" w:rsidRDefault="003D3FAC" w:rsidP="00E55FD2">
      <w:pPr>
        <w:pStyle w:val="COMexecsummnumbered"/>
        <w:spacing w:before="0"/>
      </w:pPr>
      <w:r w:rsidRPr="005500C7">
        <w:t xml:space="preserve">The ESC noted that the </w:t>
      </w:r>
      <w:r w:rsidR="00524E10" w:rsidRPr="005500C7">
        <w:t xml:space="preserve">costs to the NIP for increased use of meningococcal vaccines were not included in the financial estimates. </w:t>
      </w:r>
    </w:p>
    <w:p w14:paraId="243812C2" w14:textId="76845DD6" w:rsidR="000D4D38" w:rsidRPr="006B5726" w:rsidRDefault="000D4D38" w:rsidP="00E55FD2">
      <w:pPr>
        <w:pStyle w:val="COMexecsummnumbered"/>
        <w:spacing w:before="0"/>
      </w:pPr>
      <w:r w:rsidRPr="006B5726">
        <w:t xml:space="preserve">The </w:t>
      </w:r>
      <w:r w:rsidR="001E324B">
        <w:t xml:space="preserve">evaluation </w:t>
      </w:r>
      <w:r w:rsidR="001E324B" w:rsidRPr="00EB0C76">
        <w:t>and the ESC</w:t>
      </w:r>
      <w:r w:rsidR="001E324B">
        <w:t xml:space="preserve"> considered that the </w:t>
      </w:r>
      <w:r w:rsidRPr="006B5726">
        <w:t xml:space="preserve">estimated cost to </w:t>
      </w:r>
      <w:r w:rsidR="008B7E30" w:rsidRPr="5669A5A1">
        <w:t xml:space="preserve">PBS/RPBS/NBA/MBS </w:t>
      </w:r>
      <w:r w:rsidRPr="006B5726">
        <w:t>was uncertain due to the following reasons:</w:t>
      </w:r>
    </w:p>
    <w:p w14:paraId="16345EF1" w14:textId="2E8804F6" w:rsidR="000D4D38" w:rsidRPr="006B5726" w:rsidRDefault="000D4D38" w:rsidP="00E55FD2">
      <w:pPr>
        <w:pStyle w:val="COMexecsummbulletlist"/>
      </w:pPr>
      <w:r w:rsidRPr="5669A5A1">
        <w:t xml:space="preserve">The prevalence of myasthenia gravis </w:t>
      </w:r>
      <w:r w:rsidR="001B4121" w:rsidRPr="5669A5A1">
        <w:t xml:space="preserve">(22.4 per 100,000 persons) </w:t>
      </w:r>
      <w:r w:rsidRPr="5669A5A1">
        <w:t xml:space="preserve">is unclear, with substantial variation in published international estimates (ranging from 0.9 to 55.3 cases per 100,000 persons in the last 10 years). Additionally, prevalence rates have been increasing over </w:t>
      </w:r>
      <w:proofErr w:type="gramStart"/>
      <w:r w:rsidRPr="5669A5A1">
        <w:t>time</w:t>
      </w:r>
      <w:proofErr w:type="gramEnd"/>
      <w:r w:rsidRPr="5669A5A1">
        <w:t xml:space="preserve"> and it is unclear whether rates have stabilised or will continue to grow.</w:t>
      </w:r>
    </w:p>
    <w:p w14:paraId="722AFB72" w14:textId="2D1F3E1D" w:rsidR="000D4D38" w:rsidRPr="006B5726" w:rsidRDefault="000D4D38" w:rsidP="00E55FD2">
      <w:pPr>
        <w:pStyle w:val="COMexecsummbulletlist"/>
      </w:pPr>
      <w:r w:rsidRPr="006B5726">
        <w:t xml:space="preserve">The pooled estimate informing the proportion of patients who are refractory </w:t>
      </w:r>
      <w:r w:rsidR="00F0360D" w:rsidRPr="006B5726">
        <w:t xml:space="preserve">(20.78%) </w:t>
      </w:r>
      <w:r w:rsidRPr="006B5726">
        <w:t>was considered uncertain given the wide range of estimates from the included studies (9.2% to 37.0%). There were substantial differences in definitions of treatment refractory based on inadequate symptom control/disease burden as well as prior/concomitant treatment criteria between the included studies and compared to the proposed restriction.</w:t>
      </w:r>
    </w:p>
    <w:p w14:paraId="0D6413FF" w14:textId="5986BC39" w:rsidR="000D4D38" w:rsidRPr="006B5726" w:rsidRDefault="000D4D38" w:rsidP="00E55FD2">
      <w:pPr>
        <w:pStyle w:val="COMexecsummbulletlist"/>
      </w:pPr>
      <w:r w:rsidRPr="006B5726">
        <w:t xml:space="preserve">The appropriateness of the </w:t>
      </w:r>
      <w:proofErr w:type="spellStart"/>
      <w:r w:rsidRPr="006B5726">
        <w:t>zilucoplan</w:t>
      </w:r>
      <w:proofErr w:type="spellEnd"/>
      <w:r w:rsidRPr="006B5726">
        <w:t xml:space="preserve"> response rate based on response at 16 weeks was uncertain, given it is longer than the 12 weeks suggested at the stakeholder meeting (May 2024 Myasthenia Gravis Stakeholder Meeting Outcomes Statement)</w:t>
      </w:r>
      <w:r w:rsidR="00050DC7" w:rsidRPr="004344F6">
        <w:rPr>
          <w:rFonts w:cs="Calibri"/>
          <w:vertAlign w:val="superscript"/>
        </w:rPr>
        <w:footnoteReference w:id="3"/>
      </w:r>
      <w:r w:rsidRPr="006B5726">
        <w:t xml:space="preserve">. The response rate for </w:t>
      </w:r>
      <w:proofErr w:type="spellStart"/>
      <w:r w:rsidRPr="006B5726">
        <w:t>zilucoplan</w:t>
      </w:r>
      <w:proofErr w:type="spellEnd"/>
      <w:r w:rsidRPr="006B5726">
        <w:t xml:space="preserve"> at 12 weeks in the RAISE trial was lower than the estimate at 16 weeks, which would reduce the proportion of patients eligible for continuing treatment.</w:t>
      </w:r>
    </w:p>
    <w:p w14:paraId="37D58EDF" w14:textId="04DF9AB8" w:rsidR="000D4D38" w:rsidRPr="006B5726" w:rsidRDefault="000D4D38" w:rsidP="00E55FD2">
      <w:pPr>
        <w:pStyle w:val="COMexecsummbulletlist"/>
      </w:pPr>
      <w:r>
        <w:t xml:space="preserve">The resubmission claimed that the dose of IVIg would be higher in treatment refractory populations. No data were provided in support of this assumption. The estimated dose of </w:t>
      </w:r>
      <w:r w:rsidRPr="005F59A9">
        <w:t xml:space="preserve">IVIg (696 g in </w:t>
      </w:r>
      <w:proofErr w:type="gramStart"/>
      <w:r w:rsidRPr="005F59A9">
        <w:t>the majority of</w:t>
      </w:r>
      <w:proofErr w:type="gramEnd"/>
      <w:r w:rsidRPr="005F59A9">
        <w:t xml:space="preserve"> patients who are receiving ongoing treatment) was higher than the mean IVIg maintenance dose among patients with myasthenia gravis </w:t>
      </w:r>
      <w:r w:rsidR="006561DD" w:rsidRPr="005F59A9">
        <w:t xml:space="preserve">based on 2023-24 NBA data </w:t>
      </w:r>
      <w:r w:rsidRPr="005F59A9">
        <w:t>(</w:t>
      </w:r>
      <w:r w:rsidR="008E00DA" w:rsidRPr="005F59A9">
        <w:t>541 </w:t>
      </w:r>
      <w:r w:rsidRPr="005F59A9">
        <w:t>g).</w:t>
      </w:r>
      <w:r>
        <w:t xml:space="preserve"> </w:t>
      </w:r>
    </w:p>
    <w:p w14:paraId="16D6C0B4" w14:textId="73BAA231" w:rsidR="000D4D38" w:rsidRPr="00EB0C76" w:rsidRDefault="000D4D38" w:rsidP="00E55FD2">
      <w:pPr>
        <w:pStyle w:val="COMexecsummbulletlist"/>
        <w:ind w:hanging="357"/>
      </w:pPr>
      <w:r w:rsidRPr="006B5726">
        <w:t xml:space="preserve">The estimated cost per gram for IVIg </w:t>
      </w:r>
      <w:r w:rsidR="00650673" w:rsidRPr="006B5726">
        <w:t>($</w:t>
      </w:r>
      <w:r w:rsidR="0011411E" w:rsidRPr="0077631D">
        <w:rPr>
          <w:color w:val="000000"/>
          <w:spacing w:val="6"/>
          <w:w w:val="60"/>
          <w:shd w:val="solid" w:color="000000" w:fill="000000"/>
          <w:fitText w:val="470" w:id="-656192243"/>
          <w14:textFill>
            <w14:solidFill>
              <w14:srgbClr w14:val="000000">
                <w14:alpha w14:val="100000"/>
              </w14:srgbClr>
            </w14:solidFill>
          </w14:textFill>
        </w:rPr>
        <w:t>|||</w:t>
      </w:r>
      <w:r w:rsidR="0077631D" w:rsidRPr="0077631D">
        <w:rPr>
          <w:color w:val="000000"/>
          <w:spacing w:val="6"/>
          <w:w w:val="60"/>
          <w:shd w:val="solid" w:color="000000" w:fill="000000"/>
          <w:fitText w:val="470" w:id="-656192243"/>
          <w14:textFill>
            <w14:solidFill>
              <w14:srgbClr w14:val="000000">
                <w14:alpha w14:val="100000"/>
              </w14:srgbClr>
            </w14:solidFill>
          </w14:textFill>
        </w:rPr>
        <w:t xml:space="preserve"> </w:t>
      </w:r>
      <w:r w:rsidR="0011411E" w:rsidRPr="0077631D">
        <w:rPr>
          <w:color w:val="000000"/>
          <w:spacing w:val="6"/>
          <w:w w:val="60"/>
          <w:shd w:val="solid" w:color="000000" w:fill="000000"/>
          <w:fitText w:val="470" w:id="-656192243"/>
          <w14:textFill>
            <w14:solidFill>
              <w14:srgbClr w14:val="000000">
                <w14:alpha w14:val="100000"/>
              </w14:srgbClr>
            </w14:solidFill>
          </w14:textFill>
        </w:rPr>
        <w:t>||</w:t>
      </w:r>
      <w:r w:rsidR="0011411E" w:rsidRPr="0077631D">
        <w:rPr>
          <w:color w:val="000000"/>
          <w:spacing w:val="4"/>
          <w:w w:val="60"/>
          <w:shd w:val="solid" w:color="000000" w:fill="000000"/>
          <w:fitText w:val="470" w:id="-656192243"/>
          <w14:textFill>
            <w14:solidFill>
              <w14:srgbClr w14:val="000000">
                <w14:alpha w14:val="100000"/>
              </w14:srgbClr>
            </w14:solidFill>
          </w14:textFill>
        </w:rPr>
        <w:t>|</w:t>
      </w:r>
      <w:r w:rsidR="00650673" w:rsidRPr="006B5726">
        <w:t xml:space="preserve">) </w:t>
      </w:r>
      <w:r w:rsidRPr="006B5726">
        <w:t xml:space="preserve">was based on published NBA prices for domestic IVIg products. </w:t>
      </w:r>
      <w:r w:rsidR="00650673" w:rsidRPr="00EB0C76">
        <w:t xml:space="preserve">Based on </w:t>
      </w:r>
      <w:r w:rsidR="008E00DA" w:rsidRPr="00EB0C76">
        <w:t>NBA data</w:t>
      </w:r>
      <w:r w:rsidR="00650673" w:rsidRPr="00EB0C76">
        <w:t xml:space="preserve">, the average cost per gram of IVIg </w:t>
      </w:r>
      <w:r w:rsidR="008E00DA" w:rsidRPr="00EB0C76">
        <w:t xml:space="preserve">was </w:t>
      </w:r>
      <w:r w:rsidR="00650673" w:rsidRPr="005F59A9">
        <w:t>$</w:t>
      </w:r>
      <w:r w:rsidR="0011411E" w:rsidRPr="0077631D">
        <w:rPr>
          <w:color w:val="000000"/>
          <w:spacing w:val="6"/>
          <w:w w:val="60"/>
          <w:shd w:val="solid" w:color="000000" w:fill="000000"/>
          <w:fitText w:val="470" w:id="-656192242"/>
          <w14:textFill>
            <w14:solidFill>
              <w14:srgbClr w14:val="000000">
                <w14:alpha w14:val="100000"/>
              </w14:srgbClr>
            </w14:solidFill>
          </w14:textFill>
        </w:rPr>
        <w:t>|||</w:t>
      </w:r>
      <w:r w:rsidR="0077631D" w:rsidRPr="0077631D">
        <w:rPr>
          <w:color w:val="000000"/>
          <w:spacing w:val="6"/>
          <w:w w:val="60"/>
          <w:shd w:val="solid" w:color="000000" w:fill="000000"/>
          <w:fitText w:val="470" w:id="-656192242"/>
          <w14:textFill>
            <w14:solidFill>
              <w14:srgbClr w14:val="000000">
                <w14:alpha w14:val="100000"/>
              </w14:srgbClr>
            </w14:solidFill>
          </w14:textFill>
        </w:rPr>
        <w:t xml:space="preserve"> </w:t>
      </w:r>
      <w:r w:rsidR="0011411E" w:rsidRPr="0077631D">
        <w:rPr>
          <w:color w:val="000000"/>
          <w:spacing w:val="6"/>
          <w:w w:val="60"/>
          <w:shd w:val="solid" w:color="000000" w:fill="000000"/>
          <w:fitText w:val="470" w:id="-656192242"/>
          <w14:textFill>
            <w14:solidFill>
              <w14:srgbClr w14:val="000000">
                <w14:alpha w14:val="100000"/>
              </w14:srgbClr>
            </w14:solidFill>
          </w14:textFill>
        </w:rPr>
        <w:t>||</w:t>
      </w:r>
      <w:r w:rsidR="0011411E" w:rsidRPr="0077631D">
        <w:rPr>
          <w:color w:val="000000"/>
          <w:spacing w:val="4"/>
          <w:w w:val="60"/>
          <w:shd w:val="solid" w:color="000000" w:fill="000000"/>
          <w:fitText w:val="470" w:id="-656192242"/>
          <w14:textFill>
            <w14:solidFill>
              <w14:srgbClr w14:val="000000">
                <w14:alpha w14:val="100000"/>
              </w14:srgbClr>
            </w14:solidFill>
          </w14:textFill>
        </w:rPr>
        <w:t>|</w:t>
      </w:r>
      <w:r w:rsidR="008E00DA" w:rsidRPr="00EB0C76">
        <w:t xml:space="preserve"> in 2023-24 </w:t>
      </w:r>
      <w:r w:rsidR="00650673" w:rsidRPr="00EB0C76">
        <w:t>(including the cost of domestic and international products and plasma fractionation).</w:t>
      </w:r>
    </w:p>
    <w:p w14:paraId="38D4A12C" w14:textId="3AF1F247" w:rsidR="00893619" w:rsidRPr="005500C7" w:rsidRDefault="00893619" w:rsidP="00E55FD2">
      <w:pPr>
        <w:pStyle w:val="COMexecsummnumbered"/>
      </w:pPr>
      <w:r w:rsidRPr="005500C7">
        <w:t xml:space="preserve">The ESC noted that the resubmission estimated a reduction in costs to the </w:t>
      </w:r>
      <w:r w:rsidR="0043036F">
        <w:t>NBA</w:t>
      </w:r>
      <w:r w:rsidRPr="005500C7">
        <w:t xml:space="preserve"> due to reduced use of IVIg of </w:t>
      </w:r>
      <w:r w:rsidR="004E106F" w:rsidRPr="004E106F">
        <w:t>$70 million to &lt; $80 million</w:t>
      </w:r>
      <w:r w:rsidR="00FD588E">
        <w:t xml:space="preserve"> </w:t>
      </w:r>
      <w:r w:rsidRPr="005500C7">
        <w:t xml:space="preserve">over six years. As </w:t>
      </w:r>
      <w:r w:rsidRPr="0043036F">
        <w:rPr>
          <w:rFonts w:ascii="Calibri" w:hAnsi="Calibri" w:cs="Calibri"/>
          <w:szCs w:val="24"/>
        </w:rPr>
        <w:t>such</w:t>
      </w:r>
      <w:r w:rsidRPr="005500C7">
        <w:t xml:space="preserve">, the </w:t>
      </w:r>
      <w:r w:rsidRPr="005500C7">
        <w:lastRenderedPageBreak/>
        <w:t xml:space="preserve">submission estimated </w:t>
      </w:r>
      <w:r w:rsidRPr="009D40CA">
        <w:t>that 31%</w:t>
      </w:r>
      <w:r w:rsidRPr="005500C7">
        <w:t xml:space="preserve"> of the cost to the PBS/RPBS of </w:t>
      </w:r>
      <w:proofErr w:type="spellStart"/>
      <w:r w:rsidRPr="005500C7">
        <w:t>zilucoplan</w:t>
      </w:r>
      <w:proofErr w:type="spellEnd"/>
      <w:r w:rsidRPr="005500C7">
        <w:t xml:space="preserve"> would be offset by reductions in IVIg use.</w:t>
      </w:r>
    </w:p>
    <w:p w14:paraId="1CE8D73D" w14:textId="64C6CBDC" w:rsidR="005068C3" w:rsidRDefault="00B46407" w:rsidP="00E55FD2">
      <w:pPr>
        <w:pStyle w:val="COMexecsummnumbered"/>
      </w:pPr>
      <w:r w:rsidRPr="005500C7">
        <w:rPr>
          <w:rFonts w:ascii="Calibri" w:hAnsi="Calibri" w:cs="Calibri"/>
          <w:szCs w:val="24"/>
        </w:rPr>
        <w:t xml:space="preserve">As outlined in </w:t>
      </w:r>
      <w:r w:rsidR="004344F6">
        <w:rPr>
          <w:rFonts w:ascii="Calibri" w:hAnsi="Calibri" w:cs="Calibri"/>
          <w:szCs w:val="24"/>
        </w:rPr>
        <w:t>Section 7</w:t>
      </w:r>
      <w:r w:rsidRPr="005500C7">
        <w:rPr>
          <w:rFonts w:ascii="Calibri" w:hAnsi="Calibri" w:cs="Calibri"/>
          <w:szCs w:val="24"/>
        </w:rPr>
        <w:t xml:space="preserve">, </w:t>
      </w:r>
      <w:r w:rsidRPr="005500C7">
        <w:t>t</w:t>
      </w:r>
      <w:r w:rsidR="005068C3" w:rsidRPr="005500C7">
        <w:t xml:space="preserve">he ESC considered that the use of IVIg as maintenance therapy, from the NBA data, may be an appropriate starting point to estimate the use of new gMG therapies. </w:t>
      </w:r>
    </w:p>
    <w:p w14:paraId="5FDA9240" w14:textId="0D5CFBE4" w:rsidR="00732BF1" w:rsidRDefault="00732BF1" w:rsidP="00E55FD2">
      <w:pPr>
        <w:pStyle w:val="COMexecsummnumbered"/>
      </w:pPr>
      <w:r>
        <w:t xml:space="preserve">The PBAC agreed with the ESC and advised the parameters outlined in </w:t>
      </w:r>
      <w:r w:rsidR="00C50D06">
        <w:fldChar w:fldCharType="begin"/>
      </w:r>
      <w:r w:rsidR="00C50D06">
        <w:instrText xml:space="preserve"> REF _Ref194408028 \h </w:instrText>
      </w:r>
      <w:r w:rsidR="00C50D06">
        <w:fldChar w:fldCharType="separate"/>
      </w:r>
      <w:r w:rsidR="00271F88">
        <w:t xml:space="preserve">Table </w:t>
      </w:r>
      <w:r w:rsidR="00271F88">
        <w:rPr>
          <w:noProof/>
        </w:rPr>
        <w:t>17</w:t>
      </w:r>
      <w:r w:rsidR="00C50D06">
        <w:fldChar w:fldCharType="end"/>
      </w:r>
      <w:r w:rsidR="00C50D06">
        <w:t xml:space="preserve"> </w:t>
      </w:r>
      <w:r>
        <w:t xml:space="preserve">may be reasonable for determining the estimated use and financial implications of the new therapies for gMG. </w:t>
      </w:r>
    </w:p>
    <w:p w14:paraId="5A24DA96" w14:textId="4D64A45B" w:rsidR="00C50D06" w:rsidRDefault="00C50D06" w:rsidP="00E55FD2">
      <w:pPr>
        <w:pStyle w:val="Caption"/>
        <w:rPr>
          <w:szCs w:val="20"/>
        </w:rPr>
      </w:pPr>
      <w:bookmarkStart w:id="83" w:name="_Ref194408028"/>
      <w:bookmarkStart w:id="84" w:name="_Toc22897649"/>
      <w:bookmarkStart w:id="85" w:name="_Toc188350835"/>
      <w:r>
        <w:t xml:space="preserve">Table </w:t>
      </w:r>
      <w:r>
        <w:fldChar w:fldCharType="begin"/>
      </w:r>
      <w:r>
        <w:instrText xml:space="preserve"> SEQ Table \* ARABIC </w:instrText>
      </w:r>
      <w:r>
        <w:fldChar w:fldCharType="separate"/>
      </w:r>
      <w:r w:rsidR="00271F88">
        <w:rPr>
          <w:noProof/>
        </w:rPr>
        <w:t>17</w:t>
      </w:r>
      <w:r>
        <w:fldChar w:fldCharType="end"/>
      </w:r>
      <w:bookmarkEnd w:id="83"/>
      <w:r>
        <w:rPr>
          <w:szCs w:val="20"/>
        </w:rPr>
        <w:t>: PBAC advised inputs for the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PBAC advised inputs for the financial estimates"/>
      </w:tblPr>
      <w:tblGrid>
        <w:gridCol w:w="1980"/>
        <w:gridCol w:w="7037"/>
      </w:tblGrid>
      <w:tr w:rsidR="00C50D06" w14:paraId="0354E036" w14:textId="77777777" w:rsidTr="00C50D06">
        <w:trPr>
          <w:tblHeader/>
        </w:trPr>
        <w:tc>
          <w:tcPr>
            <w:tcW w:w="1098" w:type="pct"/>
            <w:tcBorders>
              <w:top w:val="single" w:sz="4" w:space="0" w:color="auto"/>
              <w:left w:val="single" w:sz="4" w:space="0" w:color="auto"/>
              <w:bottom w:val="single" w:sz="4" w:space="0" w:color="auto"/>
              <w:right w:val="single" w:sz="4" w:space="0" w:color="auto"/>
            </w:tcBorders>
            <w:vAlign w:val="center"/>
            <w:hideMark/>
          </w:tcPr>
          <w:p w14:paraId="52E287FB" w14:textId="77777777" w:rsidR="00C50D06" w:rsidRDefault="00C50D06" w:rsidP="00E55FD2">
            <w:pPr>
              <w:pStyle w:val="COMTableheadingrow"/>
              <w:keepNext w:val="0"/>
            </w:pPr>
            <w:r>
              <w:t>Input</w:t>
            </w:r>
          </w:p>
        </w:tc>
        <w:tc>
          <w:tcPr>
            <w:tcW w:w="3902" w:type="pct"/>
            <w:tcBorders>
              <w:top w:val="single" w:sz="4" w:space="0" w:color="auto"/>
              <w:left w:val="single" w:sz="4" w:space="0" w:color="auto"/>
              <w:bottom w:val="single" w:sz="4" w:space="0" w:color="auto"/>
              <w:right w:val="single" w:sz="4" w:space="0" w:color="auto"/>
            </w:tcBorders>
            <w:vAlign w:val="center"/>
            <w:hideMark/>
          </w:tcPr>
          <w:p w14:paraId="578779B4" w14:textId="77777777" w:rsidR="00C50D06" w:rsidRDefault="00C50D06" w:rsidP="00E55FD2">
            <w:pPr>
              <w:pStyle w:val="COMTableheadingrow"/>
              <w:keepNext w:val="0"/>
              <w:jc w:val="center"/>
            </w:pPr>
            <w:r>
              <w:t>Value and rationale (estimated patient numbers are indicative only)</w:t>
            </w:r>
          </w:p>
        </w:tc>
      </w:tr>
      <w:tr w:rsidR="00C50D06" w14:paraId="0F4894A5" w14:textId="77777777" w:rsidTr="00C50D06">
        <w:trPr>
          <w:trHeight w:val="20"/>
        </w:trPr>
        <w:tc>
          <w:tcPr>
            <w:tcW w:w="1098" w:type="pct"/>
            <w:tcBorders>
              <w:top w:val="single" w:sz="4" w:space="0" w:color="auto"/>
              <w:left w:val="single" w:sz="4" w:space="0" w:color="auto"/>
              <w:bottom w:val="single" w:sz="4" w:space="0" w:color="auto"/>
              <w:right w:val="single" w:sz="4" w:space="0" w:color="auto"/>
            </w:tcBorders>
            <w:vAlign w:val="center"/>
            <w:hideMark/>
          </w:tcPr>
          <w:p w14:paraId="6A2A27B8" w14:textId="77777777" w:rsidR="00C50D06" w:rsidRDefault="00C50D06" w:rsidP="00E55FD2">
            <w:pPr>
              <w:pStyle w:val="COMTabletext"/>
              <w:keepNext w:val="0"/>
            </w:pPr>
            <w:r>
              <w:t>Total number of patients accessing IVIg as gMG maintenance therapy</w:t>
            </w:r>
          </w:p>
        </w:tc>
        <w:tc>
          <w:tcPr>
            <w:tcW w:w="3902" w:type="pct"/>
            <w:tcBorders>
              <w:top w:val="single" w:sz="4" w:space="0" w:color="auto"/>
              <w:left w:val="single" w:sz="4" w:space="0" w:color="auto"/>
              <w:bottom w:val="single" w:sz="4" w:space="0" w:color="auto"/>
              <w:right w:val="single" w:sz="4" w:space="0" w:color="auto"/>
            </w:tcBorders>
            <w:vAlign w:val="center"/>
            <w:hideMark/>
          </w:tcPr>
          <w:p w14:paraId="6E42AF36" w14:textId="2785B0F2" w:rsidR="00C50D06" w:rsidRPr="00AD768D" w:rsidRDefault="00C50D06" w:rsidP="00E55FD2">
            <w:pPr>
              <w:pStyle w:val="COMTabletext"/>
              <w:keepNext w:val="0"/>
            </w:pPr>
            <w:r w:rsidRPr="00AD768D">
              <w:t xml:space="preserve">1,324 in 2023-24 (refer to </w:t>
            </w:r>
            <w:r w:rsidRPr="00AD768D">
              <w:fldChar w:fldCharType="begin"/>
            </w:r>
            <w:r w:rsidRPr="00AD768D">
              <w:instrText xml:space="preserve"> REF _Ref193116172 \h  \* MERGEFORMAT </w:instrText>
            </w:r>
            <w:r w:rsidRPr="00AD768D">
              <w:fldChar w:fldCharType="separate"/>
            </w:r>
            <w:r w:rsidR="00271F88" w:rsidRPr="00271F88">
              <w:rPr>
                <w:szCs w:val="20"/>
              </w:rPr>
              <w:t xml:space="preserve">Table </w:t>
            </w:r>
            <w:r w:rsidR="00271F88" w:rsidRPr="00271F88">
              <w:rPr>
                <w:noProof/>
                <w:szCs w:val="20"/>
              </w:rPr>
              <w:t>18</w:t>
            </w:r>
            <w:r w:rsidRPr="00AD768D">
              <w:fldChar w:fldCharType="end"/>
            </w:r>
            <w:r w:rsidRPr="00AD768D">
              <w:t>)</w:t>
            </w:r>
          </w:p>
        </w:tc>
      </w:tr>
      <w:tr w:rsidR="00C56889" w14:paraId="292C4FBA" w14:textId="77777777" w:rsidTr="004A29E1">
        <w:trPr>
          <w:trHeight w:val="20"/>
        </w:trPr>
        <w:tc>
          <w:tcPr>
            <w:tcW w:w="1098" w:type="pct"/>
            <w:tcBorders>
              <w:top w:val="single" w:sz="4" w:space="0" w:color="auto"/>
              <w:left w:val="single" w:sz="4" w:space="0" w:color="auto"/>
              <w:bottom w:val="single" w:sz="4" w:space="0" w:color="auto"/>
              <w:right w:val="single" w:sz="4" w:space="0" w:color="auto"/>
            </w:tcBorders>
            <w:vAlign w:val="center"/>
            <w:hideMark/>
          </w:tcPr>
          <w:p w14:paraId="6E7B3250" w14:textId="77777777" w:rsidR="00C56889" w:rsidRDefault="00C56889" w:rsidP="00E55FD2">
            <w:pPr>
              <w:pStyle w:val="COMTabletext"/>
              <w:keepNext w:val="0"/>
            </w:pPr>
            <w:r>
              <w:t>Market growth</w:t>
            </w:r>
          </w:p>
        </w:tc>
        <w:tc>
          <w:tcPr>
            <w:tcW w:w="3902" w:type="pct"/>
            <w:tcBorders>
              <w:top w:val="single" w:sz="4" w:space="0" w:color="auto"/>
              <w:left w:val="single" w:sz="4" w:space="0" w:color="auto"/>
              <w:bottom w:val="single" w:sz="4" w:space="0" w:color="auto"/>
              <w:right w:val="single" w:sz="4" w:space="0" w:color="auto"/>
            </w:tcBorders>
            <w:hideMark/>
          </w:tcPr>
          <w:p w14:paraId="074625FF" w14:textId="43FE153E" w:rsidR="00C56889" w:rsidRPr="00AD768D" w:rsidRDefault="00C56889" w:rsidP="00E55FD2">
            <w:pPr>
              <w:pStyle w:val="COMTabletext"/>
              <w:keepNext w:val="0"/>
            </w:pPr>
            <w:r w:rsidRPr="00AD768D">
              <w:t>3.96% per year based on the last five years of IVIg data (i.e. 1,431 patients in Year 1 and 1,738 patients in Year 6)</w:t>
            </w:r>
          </w:p>
        </w:tc>
      </w:tr>
      <w:tr w:rsidR="00C56889" w14:paraId="4AD10C59" w14:textId="77777777" w:rsidTr="004A29E1">
        <w:trPr>
          <w:trHeight w:val="20"/>
        </w:trPr>
        <w:tc>
          <w:tcPr>
            <w:tcW w:w="1098" w:type="pct"/>
            <w:tcBorders>
              <w:top w:val="single" w:sz="4" w:space="0" w:color="auto"/>
              <w:left w:val="single" w:sz="4" w:space="0" w:color="auto"/>
              <w:bottom w:val="single" w:sz="4" w:space="0" w:color="auto"/>
              <w:right w:val="single" w:sz="4" w:space="0" w:color="auto"/>
            </w:tcBorders>
            <w:vAlign w:val="center"/>
            <w:hideMark/>
          </w:tcPr>
          <w:p w14:paraId="23FB4CDE" w14:textId="77777777" w:rsidR="00C56889" w:rsidRDefault="00C56889" w:rsidP="00E55FD2">
            <w:pPr>
              <w:pStyle w:val="COMTabletext"/>
              <w:keepNext w:val="0"/>
            </w:pPr>
            <w:r>
              <w:t xml:space="preserve">% with </w:t>
            </w:r>
            <w:proofErr w:type="spellStart"/>
            <w:r>
              <w:t>AChR</w:t>
            </w:r>
            <w:proofErr w:type="spellEnd"/>
            <w:r>
              <w:t>+</w:t>
            </w:r>
          </w:p>
        </w:tc>
        <w:tc>
          <w:tcPr>
            <w:tcW w:w="3902" w:type="pct"/>
            <w:tcBorders>
              <w:top w:val="single" w:sz="4" w:space="0" w:color="auto"/>
              <w:left w:val="single" w:sz="4" w:space="0" w:color="auto"/>
              <w:bottom w:val="single" w:sz="4" w:space="0" w:color="auto"/>
              <w:right w:val="single" w:sz="4" w:space="0" w:color="auto"/>
            </w:tcBorders>
            <w:hideMark/>
          </w:tcPr>
          <w:p w14:paraId="7AC0A042" w14:textId="6082BB2D" w:rsidR="00C56889" w:rsidRPr="00AD768D" w:rsidRDefault="00C56889" w:rsidP="00E55FD2">
            <w:pPr>
              <w:pStyle w:val="COMTabletext"/>
              <w:keepNext w:val="0"/>
            </w:pPr>
            <w:r w:rsidRPr="00AD768D">
              <w:t xml:space="preserve">85.57% based on the totality of the evidence presented across all the submissions, and </w:t>
            </w:r>
            <w:proofErr w:type="gramStart"/>
            <w:r w:rsidRPr="00AD768D">
              <w:t>similar to</w:t>
            </w:r>
            <w:proofErr w:type="gramEnd"/>
            <w:r w:rsidRPr="00AD768D">
              <w:t xml:space="preserve"> the estimate of 88% provided in Hendricks et al. 2019 (i.e. 1,224 patients in Year 1 and 1,487 patients in Year 6)</w:t>
            </w:r>
          </w:p>
        </w:tc>
      </w:tr>
      <w:tr w:rsidR="00C56889" w14:paraId="78BD1864" w14:textId="77777777" w:rsidTr="004A29E1">
        <w:trPr>
          <w:trHeight w:val="20"/>
        </w:trPr>
        <w:tc>
          <w:tcPr>
            <w:tcW w:w="1098" w:type="pct"/>
            <w:tcBorders>
              <w:top w:val="single" w:sz="4" w:space="0" w:color="auto"/>
              <w:left w:val="single" w:sz="4" w:space="0" w:color="auto"/>
              <w:bottom w:val="single" w:sz="4" w:space="0" w:color="auto"/>
              <w:right w:val="single" w:sz="4" w:space="0" w:color="auto"/>
            </w:tcBorders>
            <w:vAlign w:val="center"/>
            <w:hideMark/>
          </w:tcPr>
          <w:p w14:paraId="50D37C49" w14:textId="77777777" w:rsidR="00C56889" w:rsidRDefault="00C56889" w:rsidP="00E55FD2">
            <w:pPr>
              <w:pStyle w:val="COMTabletext"/>
              <w:keepNext w:val="0"/>
            </w:pPr>
            <w:r>
              <w:t>Uptake across all new gMG therapies that are listed</w:t>
            </w:r>
          </w:p>
        </w:tc>
        <w:tc>
          <w:tcPr>
            <w:tcW w:w="3902" w:type="pct"/>
            <w:tcBorders>
              <w:top w:val="single" w:sz="4" w:space="0" w:color="auto"/>
              <w:left w:val="single" w:sz="4" w:space="0" w:color="auto"/>
              <w:bottom w:val="single" w:sz="4" w:space="0" w:color="auto"/>
              <w:right w:val="single" w:sz="4" w:space="0" w:color="auto"/>
            </w:tcBorders>
            <w:hideMark/>
          </w:tcPr>
          <w:p w14:paraId="7AF580D8" w14:textId="42951E8D" w:rsidR="00C56889" w:rsidRDefault="00C56889" w:rsidP="00E55FD2">
            <w:pPr>
              <w:pStyle w:val="COMTabletext"/>
              <w:keepNext w:val="0"/>
            </w:pPr>
            <w:r w:rsidRPr="00733397">
              <w:t xml:space="preserve">Uptake from new patients and existing IVIg users with ongoing functional impairment: The PBAC, in its expert opinion, considered this could be up to </w:t>
            </w:r>
            <w:r w:rsidR="007510F8" w:rsidRPr="0011411E">
              <w:rPr>
                <w:color w:val="000000"/>
                <w:spacing w:val="50"/>
                <w:shd w:val="solid" w:color="000000" w:fill="000000"/>
                <w:fitText w:val="333" w:id="-691334389"/>
                <w14:textFill>
                  <w14:solidFill>
                    <w14:srgbClr w14:val="000000">
                      <w14:alpha w14:val="100000"/>
                    </w14:srgbClr>
                  </w14:solidFill>
                </w14:textFill>
              </w:rPr>
              <w:t>|||</w:t>
            </w:r>
            <w:r w:rsidR="007510F8" w:rsidRPr="0011411E">
              <w:rPr>
                <w:color w:val="000000"/>
                <w:spacing w:val="20"/>
                <w:shd w:val="solid" w:color="000000" w:fill="000000"/>
                <w:fitText w:val="333" w:id="-691334389"/>
                <w14:textFill>
                  <w14:solidFill>
                    <w14:srgbClr w14:val="000000">
                      <w14:alpha w14:val="100000"/>
                    </w14:srgbClr>
                  </w14:solidFill>
                </w14:textFill>
              </w:rPr>
              <w:t>|</w:t>
            </w:r>
            <w:r w:rsidRPr="005870FB">
              <w:t>%</w:t>
            </w:r>
            <w:r w:rsidRPr="00733397">
              <w:t xml:space="preserve">, and this could represent around one-third of current IVIg users based on: </w:t>
            </w:r>
            <w:r w:rsidR="007510F8" w:rsidRPr="0011411E">
              <w:rPr>
                <w:color w:val="000000"/>
                <w:spacing w:val="50"/>
                <w:shd w:val="solid" w:color="000000" w:fill="000000"/>
                <w:fitText w:val="333" w:id="-691334388"/>
                <w14:textFill>
                  <w14:solidFill>
                    <w14:srgbClr w14:val="000000">
                      <w14:alpha w14:val="100000"/>
                    </w14:srgbClr>
                  </w14:solidFill>
                </w14:textFill>
              </w:rPr>
              <w:t>|||</w:t>
            </w:r>
            <w:r w:rsidR="007510F8" w:rsidRPr="0011411E">
              <w:rPr>
                <w:color w:val="000000"/>
                <w:spacing w:val="20"/>
                <w:shd w:val="solid" w:color="000000" w:fill="000000"/>
                <w:fitText w:val="333" w:id="-691334388"/>
                <w14:textFill>
                  <w14:solidFill>
                    <w14:srgbClr w14:val="000000">
                      <w14:alpha w14:val="100000"/>
                    </w14:srgbClr>
                  </w14:solidFill>
                </w14:textFill>
              </w:rPr>
              <w:t>|</w:t>
            </w:r>
            <w:r w:rsidRPr="004C2088">
              <w:t>%</w:t>
            </w:r>
            <w:r w:rsidRPr="00733397">
              <w:t xml:space="preserve"> of IVIg pts commenced within the most </w:t>
            </w:r>
            <w:r w:rsidRPr="004C2088">
              <w:t xml:space="preserve">recent year, plus of the remaining </w:t>
            </w:r>
            <w:r w:rsidR="007510F8" w:rsidRPr="007510F8">
              <w:rPr>
                <w:color w:val="000000"/>
                <w:spacing w:val="50"/>
                <w:shd w:val="solid" w:color="000000" w:fill="000000"/>
                <w:fitText w:val="323" w:id="-691334387"/>
                <w14:textFill>
                  <w14:solidFill>
                    <w14:srgbClr w14:val="000000">
                      <w14:alpha w14:val="100000"/>
                    </w14:srgbClr>
                  </w14:solidFill>
                </w14:textFill>
              </w:rPr>
              <w:t>|||</w:t>
            </w:r>
            <w:r w:rsidR="007510F8" w:rsidRPr="007510F8">
              <w:rPr>
                <w:color w:val="000000"/>
                <w:spacing w:val="3"/>
                <w:shd w:val="solid" w:color="000000" w:fill="000000"/>
                <w:fitText w:val="323" w:id="-691334387"/>
                <w14:textFill>
                  <w14:solidFill>
                    <w14:srgbClr w14:val="000000">
                      <w14:alpha w14:val="100000"/>
                    </w14:srgbClr>
                  </w14:solidFill>
                </w14:textFill>
              </w:rPr>
              <w:t>|</w:t>
            </w:r>
            <w:r w:rsidRPr="004C2088">
              <w:t xml:space="preserve">% around </w:t>
            </w:r>
            <w:r w:rsidR="007510F8" w:rsidRPr="007510F8">
              <w:rPr>
                <w:color w:val="000000"/>
                <w:spacing w:val="50"/>
                <w:shd w:val="solid" w:color="000000" w:fill="000000"/>
                <w:fitText w:val="322" w:id="-691334386"/>
                <w14:textFill>
                  <w14:solidFill>
                    <w14:srgbClr w14:val="000000">
                      <w14:alpha w14:val="100000"/>
                    </w14:srgbClr>
                  </w14:solidFill>
                </w14:textFill>
              </w:rPr>
              <w:t>|||</w:t>
            </w:r>
            <w:r w:rsidR="007510F8" w:rsidRPr="007510F8">
              <w:rPr>
                <w:color w:val="000000"/>
                <w:spacing w:val="2"/>
                <w:shd w:val="solid" w:color="000000" w:fill="000000"/>
                <w:fitText w:val="322" w:id="-691334386"/>
                <w14:textFill>
                  <w14:solidFill>
                    <w14:srgbClr w14:val="000000">
                      <w14:alpha w14:val="100000"/>
                    </w14:srgbClr>
                  </w14:solidFill>
                </w14:textFill>
              </w:rPr>
              <w:t>|</w:t>
            </w:r>
            <w:r w:rsidRPr="004C2088">
              <w:t xml:space="preserve">% may be using IVIg but experiencing ongoing functional impairment (i.e. </w:t>
            </w:r>
            <w:r w:rsidR="007510F8" w:rsidRPr="007510F8">
              <w:rPr>
                <w:color w:val="000000"/>
                <w:spacing w:val="50"/>
                <w:shd w:val="solid" w:color="000000" w:fill="000000"/>
                <w:fitText w:val="322" w:id="-691334385"/>
                <w14:textFill>
                  <w14:solidFill>
                    <w14:srgbClr w14:val="000000">
                      <w14:alpha w14:val="100000"/>
                    </w14:srgbClr>
                  </w14:solidFill>
                </w14:textFill>
              </w:rPr>
              <w:t>|||</w:t>
            </w:r>
            <w:r w:rsidR="007510F8" w:rsidRPr="007510F8">
              <w:rPr>
                <w:color w:val="000000"/>
                <w:spacing w:val="2"/>
                <w:shd w:val="solid" w:color="000000" w:fill="000000"/>
                <w:fitText w:val="322" w:id="-691334385"/>
                <w14:textFill>
                  <w14:solidFill>
                    <w14:srgbClr w14:val="000000">
                      <w14:alpha w14:val="100000"/>
                    </w14:srgbClr>
                  </w14:solidFill>
                </w14:textFill>
              </w:rPr>
              <w:t>|</w:t>
            </w:r>
            <w:r w:rsidRPr="004C2088">
              <w:t>% + (</w:t>
            </w:r>
            <w:r w:rsidR="007510F8" w:rsidRPr="007510F8">
              <w:rPr>
                <w:color w:val="000000"/>
                <w:spacing w:val="50"/>
                <w:shd w:val="solid" w:color="000000" w:fill="000000"/>
                <w:fitText w:val="322" w:id="-691334384"/>
                <w14:textFill>
                  <w14:solidFill>
                    <w14:srgbClr w14:val="000000">
                      <w14:alpha w14:val="100000"/>
                    </w14:srgbClr>
                  </w14:solidFill>
                </w14:textFill>
              </w:rPr>
              <w:t>|||</w:t>
            </w:r>
            <w:r w:rsidR="007510F8" w:rsidRPr="007510F8">
              <w:rPr>
                <w:color w:val="000000"/>
                <w:spacing w:val="2"/>
                <w:shd w:val="solid" w:color="000000" w:fill="000000"/>
                <w:fitText w:val="322" w:id="-691334384"/>
                <w14:textFill>
                  <w14:solidFill>
                    <w14:srgbClr w14:val="000000">
                      <w14:alpha w14:val="100000"/>
                    </w14:srgbClr>
                  </w14:solidFill>
                </w14:textFill>
              </w:rPr>
              <w:t>|</w:t>
            </w:r>
            <w:r w:rsidRPr="004C2088">
              <w:t xml:space="preserve">% * </w:t>
            </w:r>
            <w:r w:rsidR="007510F8" w:rsidRPr="007510F8">
              <w:rPr>
                <w:color w:val="000000"/>
                <w:spacing w:val="50"/>
                <w:shd w:val="solid" w:color="000000" w:fill="000000"/>
                <w:fitText w:val="323" w:id="-691334400"/>
                <w14:textFill>
                  <w14:solidFill>
                    <w14:srgbClr w14:val="000000">
                      <w14:alpha w14:val="100000"/>
                    </w14:srgbClr>
                  </w14:solidFill>
                </w14:textFill>
              </w:rPr>
              <w:t>|||</w:t>
            </w:r>
            <w:r w:rsidR="007510F8" w:rsidRPr="007510F8">
              <w:rPr>
                <w:color w:val="000000"/>
                <w:spacing w:val="3"/>
                <w:shd w:val="solid" w:color="000000" w:fill="000000"/>
                <w:fitText w:val="323" w:id="-691334400"/>
                <w14:textFill>
                  <w14:solidFill>
                    <w14:srgbClr w14:val="000000">
                      <w14:alpha w14:val="100000"/>
                    </w14:srgbClr>
                  </w14:solidFill>
                </w14:textFill>
              </w:rPr>
              <w:t>|</w:t>
            </w:r>
            <w:r w:rsidRPr="004C2088">
              <w:t xml:space="preserve">%) = </w:t>
            </w:r>
            <w:r w:rsidR="007510F8" w:rsidRPr="007510F8">
              <w:rPr>
                <w:color w:val="000000"/>
                <w:spacing w:val="50"/>
                <w:shd w:val="solid" w:color="000000" w:fill="000000"/>
                <w:fitText w:val="323" w:id="-691334399"/>
                <w14:textFill>
                  <w14:solidFill>
                    <w14:srgbClr w14:val="000000">
                      <w14:alpha w14:val="100000"/>
                    </w14:srgbClr>
                  </w14:solidFill>
                </w14:textFill>
              </w:rPr>
              <w:t>|||</w:t>
            </w:r>
            <w:r w:rsidR="007510F8" w:rsidRPr="007510F8">
              <w:rPr>
                <w:color w:val="000000"/>
                <w:spacing w:val="3"/>
                <w:shd w:val="solid" w:color="000000" w:fill="000000"/>
                <w:fitText w:val="323" w:id="-691334399"/>
                <w14:textFill>
                  <w14:solidFill>
                    <w14:srgbClr w14:val="000000">
                      <w14:alpha w14:val="100000"/>
                    </w14:srgbClr>
                  </w14:solidFill>
                </w14:textFill>
              </w:rPr>
              <w:t>|</w:t>
            </w:r>
            <w:r w:rsidRPr="004C2088">
              <w:t>% of the market)</w:t>
            </w:r>
            <w:r w:rsidR="008015B7" w:rsidRPr="004C2088">
              <w:t>.</w:t>
            </w:r>
            <w:r w:rsidRPr="004C2088">
              <w:t xml:space="preserve"> Total uptake of </w:t>
            </w:r>
            <w:r w:rsidR="007510F8" w:rsidRPr="0011411E">
              <w:rPr>
                <w:color w:val="000000"/>
                <w:spacing w:val="50"/>
                <w:shd w:val="solid" w:color="000000" w:fill="000000"/>
                <w:fitText w:val="333" w:id="-691334398"/>
                <w14:textFill>
                  <w14:solidFill>
                    <w14:srgbClr w14:val="000000">
                      <w14:alpha w14:val="100000"/>
                    </w14:srgbClr>
                  </w14:solidFill>
                </w14:textFill>
              </w:rPr>
              <w:t>|||</w:t>
            </w:r>
            <w:r w:rsidR="007510F8" w:rsidRPr="0011411E">
              <w:rPr>
                <w:color w:val="000000"/>
                <w:spacing w:val="20"/>
                <w:shd w:val="solid" w:color="000000" w:fill="000000"/>
                <w:fitText w:val="333" w:id="-691334398"/>
                <w14:textFill>
                  <w14:solidFill>
                    <w14:srgbClr w14:val="000000">
                      <w14:alpha w14:val="100000"/>
                    </w14:srgbClr>
                  </w14:solidFill>
                </w14:textFill>
              </w:rPr>
              <w:t>|</w:t>
            </w:r>
            <w:r w:rsidRPr="004C2088">
              <w:t xml:space="preserve">% in </w:t>
            </w:r>
            <w:r w:rsidR="007510F8" w:rsidRPr="0011411E">
              <w:rPr>
                <w:color w:val="000000"/>
                <w:spacing w:val="50"/>
                <w:shd w:val="solid" w:color="000000" w:fill="000000"/>
                <w:fitText w:val="333" w:id="-691334397"/>
                <w14:textFill>
                  <w14:solidFill>
                    <w14:srgbClr w14:val="000000">
                      <w14:alpha w14:val="100000"/>
                    </w14:srgbClr>
                  </w14:solidFill>
                </w14:textFill>
              </w:rPr>
              <w:t>|||</w:t>
            </w:r>
            <w:r w:rsidR="007510F8" w:rsidRPr="0011411E">
              <w:rPr>
                <w:color w:val="000000"/>
                <w:spacing w:val="20"/>
                <w:shd w:val="solid" w:color="000000" w:fill="000000"/>
                <w:fitText w:val="333" w:id="-691334397"/>
                <w14:textFill>
                  <w14:solidFill>
                    <w14:srgbClr w14:val="000000">
                      <w14:alpha w14:val="100000"/>
                    </w14:srgbClr>
                  </w14:solidFill>
                </w14:textFill>
              </w:rPr>
              <w:t>|</w:t>
            </w:r>
            <w:r w:rsidRPr="004C2088">
              <w:t>% of the market.</w:t>
            </w:r>
            <w:r w:rsidRPr="00733397">
              <w:t xml:space="preserve"> </w:t>
            </w:r>
          </w:p>
          <w:p w14:paraId="6F48E181" w14:textId="72C19C49" w:rsidR="00C56889" w:rsidRPr="0073707C" w:rsidRDefault="00C56889" w:rsidP="00E55FD2">
            <w:pPr>
              <w:pStyle w:val="COMTabletext"/>
              <w:keepNext w:val="0"/>
            </w:pPr>
            <w:r w:rsidRPr="00733397">
              <w:t xml:space="preserve">Uptake from prevalent patients already established on IVIg: The PBAC, in its expert opinion, considered this could be up to </w:t>
            </w:r>
            <w:r w:rsidR="007510F8" w:rsidRPr="0011411E">
              <w:rPr>
                <w:color w:val="000000"/>
                <w:spacing w:val="50"/>
                <w:shd w:val="solid" w:color="000000" w:fill="000000"/>
                <w:fitText w:val="334" w:id="-691334396"/>
                <w14:textFill>
                  <w14:solidFill>
                    <w14:srgbClr w14:val="000000">
                      <w14:alpha w14:val="100000"/>
                    </w14:srgbClr>
                  </w14:solidFill>
                </w14:textFill>
              </w:rPr>
              <w:t>|||</w:t>
            </w:r>
            <w:r w:rsidR="007510F8" w:rsidRPr="0011411E">
              <w:rPr>
                <w:color w:val="000000"/>
                <w:spacing w:val="20"/>
                <w:shd w:val="solid" w:color="000000" w:fill="000000"/>
                <w:fitText w:val="334" w:id="-691334396"/>
                <w14:textFill>
                  <w14:solidFill>
                    <w14:srgbClr w14:val="000000">
                      <w14:alpha w14:val="100000"/>
                    </w14:srgbClr>
                  </w14:solidFill>
                </w14:textFill>
              </w:rPr>
              <w:t>|</w:t>
            </w:r>
            <w:r w:rsidRPr="003C1283">
              <w:t>%,</w:t>
            </w:r>
            <w:r w:rsidRPr="00733397">
              <w:t xml:space="preserve"> and this could represent around two-thirds of current IVIg users based on: of the </w:t>
            </w:r>
            <w:r w:rsidR="007510F8" w:rsidRPr="0011411E">
              <w:rPr>
                <w:color w:val="000000"/>
                <w:spacing w:val="50"/>
                <w:shd w:val="solid" w:color="000000" w:fill="000000"/>
                <w:fitText w:val="333" w:id="-691334395"/>
                <w14:textFill>
                  <w14:solidFill>
                    <w14:srgbClr w14:val="000000">
                      <w14:alpha w14:val="100000"/>
                    </w14:srgbClr>
                  </w14:solidFill>
                </w14:textFill>
              </w:rPr>
              <w:t>|||</w:t>
            </w:r>
            <w:r w:rsidR="007510F8" w:rsidRPr="0011411E">
              <w:rPr>
                <w:color w:val="000000"/>
                <w:spacing w:val="20"/>
                <w:shd w:val="solid" w:color="000000" w:fill="000000"/>
                <w:fitText w:val="333" w:id="-691334395"/>
                <w14:textFill>
                  <w14:solidFill>
                    <w14:srgbClr w14:val="000000">
                      <w14:alpha w14:val="100000"/>
                    </w14:srgbClr>
                  </w14:solidFill>
                </w14:textFill>
              </w:rPr>
              <w:t>|</w:t>
            </w:r>
            <w:r w:rsidRPr="0073707C">
              <w:t>%</w:t>
            </w:r>
            <w:r w:rsidRPr="00733397">
              <w:t xml:space="preserve"> of IVIg users who commenced more than a year ago, around </w:t>
            </w:r>
            <w:r w:rsidR="007510F8" w:rsidRPr="0011411E">
              <w:rPr>
                <w:color w:val="000000"/>
                <w:spacing w:val="50"/>
                <w:shd w:val="solid" w:color="000000" w:fill="000000"/>
                <w:fitText w:val="333" w:id="-691334394"/>
                <w14:textFill>
                  <w14:solidFill>
                    <w14:srgbClr w14:val="000000">
                      <w14:alpha w14:val="100000"/>
                    </w14:srgbClr>
                  </w14:solidFill>
                </w14:textFill>
              </w:rPr>
              <w:t>|||</w:t>
            </w:r>
            <w:r w:rsidR="007510F8" w:rsidRPr="0011411E">
              <w:rPr>
                <w:color w:val="000000"/>
                <w:spacing w:val="20"/>
                <w:shd w:val="solid" w:color="000000" w:fill="000000"/>
                <w:fitText w:val="333" w:id="-691334394"/>
                <w14:textFill>
                  <w14:solidFill>
                    <w14:srgbClr w14:val="000000">
                      <w14:alpha w14:val="100000"/>
                    </w14:srgbClr>
                  </w14:solidFill>
                </w14:textFill>
              </w:rPr>
              <w:t>|</w:t>
            </w:r>
            <w:r w:rsidRPr="00733397">
              <w:t>% are responding (</w:t>
            </w:r>
            <w:r w:rsidR="001F33D8" w:rsidRPr="00733397">
              <w:t>i.e.</w:t>
            </w:r>
            <w:r w:rsidR="007510F8" w:rsidRPr="001F33D8">
              <w:rPr>
                <w:color w:val="000000"/>
                <w:spacing w:val="54"/>
                <w:shd w:val="solid" w:color="000000" w:fill="000000"/>
                <w:fitText w:val="333" w:id="-691334393"/>
                <w14:textFill>
                  <w14:solidFill>
                    <w14:srgbClr w14:val="000000">
                      <w14:alpha w14:val="100000"/>
                    </w14:srgbClr>
                  </w14:solidFill>
                </w14:textFill>
              </w:rPr>
              <w:t>|||</w:t>
            </w:r>
            <w:r w:rsidR="007510F8" w:rsidRPr="001F33D8">
              <w:rPr>
                <w:color w:val="000000"/>
                <w:spacing w:val="1"/>
                <w:shd w:val="solid" w:color="000000" w:fill="000000"/>
                <w:fitText w:val="333" w:id="-691334393"/>
                <w14:textFill>
                  <w14:solidFill>
                    <w14:srgbClr w14:val="000000">
                      <w14:alpha w14:val="100000"/>
                    </w14:srgbClr>
                  </w14:solidFill>
                </w14:textFill>
              </w:rPr>
              <w:t>|</w:t>
            </w:r>
            <w:r w:rsidR="002415C6" w:rsidRPr="002415C6">
              <w:t xml:space="preserve"> </w:t>
            </w:r>
            <w:r w:rsidR="007510F8" w:rsidRPr="007510F8">
              <w:rPr>
                <w:color w:val="000000"/>
                <w:spacing w:val="50"/>
                <w:shd w:val="solid" w:color="000000" w:fill="000000"/>
                <w:fitText w:val="323" w:id="-691334392"/>
                <w14:textFill>
                  <w14:solidFill>
                    <w14:srgbClr w14:val="000000">
                      <w14:alpha w14:val="100000"/>
                    </w14:srgbClr>
                  </w14:solidFill>
                </w14:textFill>
              </w:rPr>
              <w:t>|||</w:t>
            </w:r>
            <w:r w:rsidR="007510F8" w:rsidRPr="007510F8">
              <w:rPr>
                <w:color w:val="000000"/>
                <w:spacing w:val="3"/>
                <w:shd w:val="solid" w:color="000000" w:fill="000000"/>
                <w:fitText w:val="323" w:id="-691334392"/>
                <w14:textFill>
                  <w14:solidFill>
                    <w14:srgbClr w14:val="000000">
                      <w14:alpha w14:val="100000"/>
                    </w14:srgbClr>
                  </w14:solidFill>
                </w14:textFill>
              </w:rPr>
              <w:t>|</w:t>
            </w:r>
            <w:r w:rsidRPr="0073707C">
              <w:t xml:space="preserve">% * </w:t>
            </w:r>
            <w:r w:rsidR="007510F8" w:rsidRPr="007510F8">
              <w:rPr>
                <w:color w:val="000000"/>
                <w:spacing w:val="50"/>
                <w:shd w:val="solid" w:color="000000" w:fill="000000"/>
                <w:fitText w:val="322" w:id="-691334391"/>
                <w14:textFill>
                  <w14:solidFill>
                    <w14:srgbClr w14:val="000000">
                      <w14:alpha w14:val="100000"/>
                    </w14:srgbClr>
                  </w14:solidFill>
                </w14:textFill>
              </w:rPr>
              <w:t>|||</w:t>
            </w:r>
            <w:r w:rsidR="007510F8" w:rsidRPr="007510F8">
              <w:rPr>
                <w:color w:val="000000"/>
                <w:spacing w:val="2"/>
                <w:shd w:val="solid" w:color="000000" w:fill="000000"/>
                <w:fitText w:val="322" w:id="-691334391"/>
                <w14:textFill>
                  <w14:solidFill>
                    <w14:srgbClr w14:val="000000">
                      <w14:alpha w14:val="100000"/>
                    </w14:srgbClr>
                  </w14:solidFill>
                </w14:textFill>
              </w:rPr>
              <w:t>|</w:t>
            </w:r>
            <w:r w:rsidRPr="0073707C">
              <w:t xml:space="preserve">% = </w:t>
            </w:r>
            <w:r w:rsidR="007510F8" w:rsidRPr="007510F8">
              <w:rPr>
                <w:color w:val="000000"/>
                <w:spacing w:val="50"/>
                <w:shd w:val="solid" w:color="000000" w:fill="000000"/>
                <w:fitText w:val="322" w:id="-691334390"/>
                <w14:textFill>
                  <w14:solidFill>
                    <w14:srgbClr w14:val="000000">
                      <w14:alpha w14:val="100000"/>
                    </w14:srgbClr>
                  </w14:solidFill>
                </w14:textFill>
              </w:rPr>
              <w:t>|||</w:t>
            </w:r>
            <w:r w:rsidR="007510F8" w:rsidRPr="007510F8">
              <w:rPr>
                <w:color w:val="000000"/>
                <w:spacing w:val="2"/>
                <w:shd w:val="solid" w:color="000000" w:fill="000000"/>
                <w:fitText w:val="322" w:id="-691334390"/>
                <w14:textFill>
                  <w14:solidFill>
                    <w14:srgbClr w14:val="000000">
                      <w14:alpha w14:val="100000"/>
                    </w14:srgbClr>
                  </w14:solidFill>
                </w14:textFill>
              </w:rPr>
              <w:t>|</w:t>
            </w:r>
            <w:r w:rsidR="00494126" w:rsidRPr="00494126">
              <w:rPr>
                <w:vertAlign w:val="superscript"/>
              </w:rPr>
              <w:t>1</w:t>
            </w:r>
            <w:r w:rsidRPr="0073707C">
              <w:t>/</w:t>
            </w:r>
            <w:r w:rsidR="007510F8" w:rsidRPr="0011411E">
              <w:rPr>
                <w:color w:val="000000"/>
                <w:spacing w:val="50"/>
                <w:shd w:val="solid" w:color="000000" w:fill="000000"/>
                <w:fitText w:val="333" w:id="-691334389"/>
                <w14:textFill>
                  <w14:solidFill>
                    <w14:srgbClr w14:val="000000">
                      <w14:alpha w14:val="100000"/>
                    </w14:srgbClr>
                  </w14:solidFill>
                </w14:textFill>
              </w:rPr>
              <w:t>|||</w:t>
            </w:r>
            <w:r w:rsidR="007510F8" w:rsidRPr="0011411E">
              <w:rPr>
                <w:color w:val="000000"/>
                <w:spacing w:val="20"/>
                <w:shd w:val="solid" w:color="000000" w:fill="000000"/>
                <w:fitText w:val="333" w:id="-691334389"/>
                <w14:textFill>
                  <w14:solidFill>
                    <w14:srgbClr w14:val="000000">
                      <w14:alpha w14:val="100000"/>
                    </w14:srgbClr>
                  </w14:solidFill>
                </w14:textFill>
              </w:rPr>
              <w:t>|</w:t>
            </w:r>
            <w:r w:rsidRPr="0073707C">
              <w:t xml:space="preserve">%). Total uptake of </w:t>
            </w:r>
            <w:r w:rsidR="007510F8" w:rsidRPr="007510F8">
              <w:rPr>
                <w:color w:val="000000"/>
                <w:spacing w:val="50"/>
                <w:shd w:val="solid" w:color="000000" w:fill="000000"/>
                <w:fitText w:val="322" w:id="-691334388"/>
                <w14:textFill>
                  <w14:solidFill>
                    <w14:srgbClr w14:val="000000">
                      <w14:alpha w14:val="100000"/>
                    </w14:srgbClr>
                  </w14:solidFill>
                </w14:textFill>
              </w:rPr>
              <w:t>|||</w:t>
            </w:r>
            <w:r w:rsidR="007510F8" w:rsidRPr="007510F8">
              <w:rPr>
                <w:color w:val="000000"/>
                <w:spacing w:val="2"/>
                <w:shd w:val="solid" w:color="000000" w:fill="000000"/>
                <w:fitText w:val="322" w:id="-691334388"/>
                <w14:textFill>
                  <w14:solidFill>
                    <w14:srgbClr w14:val="000000">
                      <w14:alpha w14:val="100000"/>
                    </w14:srgbClr>
                  </w14:solidFill>
                </w14:textFill>
              </w:rPr>
              <w:t>|</w:t>
            </w:r>
            <w:r w:rsidRPr="0073707C">
              <w:t xml:space="preserve">% in </w:t>
            </w:r>
            <w:r w:rsidR="007510F8" w:rsidRPr="0011411E">
              <w:rPr>
                <w:color w:val="000000"/>
                <w:spacing w:val="50"/>
                <w:shd w:val="solid" w:color="000000" w:fill="000000"/>
                <w:fitText w:val="333" w:id="-691334387"/>
                <w14:textFill>
                  <w14:solidFill>
                    <w14:srgbClr w14:val="000000">
                      <w14:alpha w14:val="100000"/>
                    </w14:srgbClr>
                  </w14:solidFill>
                </w14:textFill>
              </w:rPr>
              <w:t>|||</w:t>
            </w:r>
            <w:r w:rsidR="007510F8" w:rsidRPr="0011411E">
              <w:rPr>
                <w:color w:val="000000"/>
                <w:spacing w:val="20"/>
                <w:shd w:val="solid" w:color="000000" w:fill="000000"/>
                <w:fitText w:val="333" w:id="-691334387"/>
                <w14:textFill>
                  <w14:solidFill>
                    <w14:srgbClr w14:val="000000">
                      <w14:alpha w14:val="100000"/>
                    </w14:srgbClr>
                  </w14:solidFill>
                </w14:textFill>
              </w:rPr>
              <w:t>|</w:t>
            </w:r>
            <w:r w:rsidRPr="0073707C">
              <w:t>% of the market.</w:t>
            </w:r>
          </w:p>
          <w:p w14:paraId="0CE2ED7A" w14:textId="2D5A9EA6" w:rsidR="0024437C" w:rsidRDefault="0024437C" w:rsidP="00E55FD2">
            <w:pPr>
              <w:pStyle w:val="COMTabletext"/>
              <w:keepNext w:val="0"/>
            </w:pPr>
            <w:r w:rsidRPr="0073707C">
              <w:t xml:space="preserve">Total market uptake of </w:t>
            </w:r>
            <w:r w:rsidR="007510F8" w:rsidRPr="0011411E">
              <w:rPr>
                <w:color w:val="000000"/>
                <w:spacing w:val="50"/>
                <w:shd w:val="solid" w:color="000000" w:fill="000000"/>
                <w:fitText w:val="334" w:id="-691334386"/>
                <w14:textFill>
                  <w14:solidFill>
                    <w14:srgbClr w14:val="000000">
                      <w14:alpha w14:val="100000"/>
                    </w14:srgbClr>
                  </w14:solidFill>
                </w14:textFill>
              </w:rPr>
              <w:t>|||</w:t>
            </w:r>
            <w:r w:rsidR="007510F8" w:rsidRPr="0011411E">
              <w:rPr>
                <w:color w:val="000000"/>
                <w:spacing w:val="20"/>
                <w:shd w:val="solid" w:color="000000" w:fill="000000"/>
                <w:fitText w:val="334" w:id="-691334386"/>
                <w14:textFill>
                  <w14:solidFill>
                    <w14:srgbClr w14:val="000000">
                      <w14:alpha w14:val="100000"/>
                    </w14:srgbClr>
                  </w14:solidFill>
                </w14:textFill>
              </w:rPr>
              <w:t>|</w:t>
            </w:r>
            <w:r w:rsidRPr="0073707C">
              <w:t xml:space="preserve">% in Year 1 (i.e. </w:t>
            </w:r>
            <w:r w:rsidR="007510F8" w:rsidRPr="0011411E">
              <w:rPr>
                <w:color w:val="000000"/>
                <w:spacing w:val="50"/>
                <w:shd w:val="solid" w:color="000000" w:fill="000000"/>
                <w:fitText w:val="333" w:id="-691334385"/>
                <w14:textFill>
                  <w14:solidFill>
                    <w14:srgbClr w14:val="000000">
                      <w14:alpha w14:val="100000"/>
                    </w14:srgbClr>
                  </w14:solidFill>
                </w14:textFill>
              </w:rPr>
              <w:t>|||</w:t>
            </w:r>
            <w:r w:rsidR="007510F8" w:rsidRPr="0011411E">
              <w:rPr>
                <w:color w:val="000000"/>
                <w:spacing w:val="20"/>
                <w:shd w:val="solid" w:color="000000" w:fill="000000"/>
                <w:fitText w:val="333" w:id="-691334385"/>
                <w14:textFill>
                  <w14:solidFill>
                    <w14:srgbClr w14:val="000000">
                      <w14:alpha w14:val="100000"/>
                    </w14:srgbClr>
                  </w14:solidFill>
                </w14:textFill>
              </w:rPr>
              <w:t>|</w:t>
            </w:r>
            <w:r w:rsidR="00624332" w:rsidRPr="00624332">
              <w:rPr>
                <w:vertAlign w:val="superscript"/>
              </w:rPr>
              <w:t>1</w:t>
            </w:r>
            <w:r w:rsidRPr="0073707C">
              <w:t xml:space="preserve"> patients in Year</w:t>
            </w:r>
            <w:r>
              <w:t xml:space="preserve"> 1)</w:t>
            </w:r>
          </w:p>
        </w:tc>
      </w:tr>
      <w:tr w:rsidR="00C56889" w14:paraId="3C96CD0F" w14:textId="77777777" w:rsidTr="004A29E1">
        <w:trPr>
          <w:trHeight w:val="20"/>
        </w:trPr>
        <w:tc>
          <w:tcPr>
            <w:tcW w:w="1098" w:type="pct"/>
            <w:tcBorders>
              <w:top w:val="single" w:sz="4" w:space="0" w:color="auto"/>
              <w:left w:val="single" w:sz="4" w:space="0" w:color="auto"/>
              <w:bottom w:val="single" w:sz="4" w:space="0" w:color="auto"/>
              <w:right w:val="single" w:sz="4" w:space="0" w:color="auto"/>
            </w:tcBorders>
            <w:vAlign w:val="center"/>
            <w:hideMark/>
          </w:tcPr>
          <w:p w14:paraId="095DA194" w14:textId="77777777" w:rsidR="00C56889" w:rsidRDefault="00C56889" w:rsidP="00E55FD2">
            <w:pPr>
              <w:pStyle w:val="COMTabletext"/>
              <w:keepNext w:val="0"/>
            </w:pPr>
            <w:r>
              <w:t>Increase in uptake over time</w:t>
            </w:r>
          </w:p>
        </w:tc>
        <w:tc>
          <w:tcPr>
            <w:tcW w:w="3902" w:type="pct"/>
            <w:tcBorders>
              <w:top w:val="single" w:sz="4" w:space="0" w:color="auto"/>
              <w:left w:val="single" w:sz="4" w:space="0" w:color="auto"/>
              <w:bottom w:val="single" w:sz="4" w:space="0" w:color="auto"/>
              <w:right w:val="single" w:sz="4" w:space="0" w:color="auto"/>
            </w:tcBorders>
            <w:hideMark/>
          </w:tcPr>
          <w:p w14:paraId="680C57F2" w14:textId="68ADEE3F" w:rsidR="00C56889" w:rsidRDefault="007510F8" w:rsidP="00E55FD2">
            <w:pPr>
              <w:pStyle w:val="COMTabletext"/>
              <w:keepNext w:val="0"/>
            </w:pPr>
            <w:r w:rsidRPr="007510F8">
              <w:rPr>
                <w:color w:val="000000"/>
                <w:spacing w:val="54"/>
                <w:shd w:val="solid" w:color="000000" w:fill="000000"/>
                <w:fitText w:val="333" w:id="-691334384"/>
                <w14:textFill>
                  <w14:solidFill>
                    <w14:srgbClr w14:val="000000">
                      <w14:alpha w14:val="100000"/>
                    </w14:srgbClr>
                  </w14:solidFill>
                </w14:textFill>
              </w:rPr>
              <w:t>|||</w:t>
            </w:r>
            <w:r w:rsidRPr="007510F8">
              <w:rPr>
                <w:color w:val="000000"/>
                <w:spacing w:val="1"/>
                <w:shd w:val="solid" w:color="000000" w:fill="000000"/>
                <w:fitText w:val="333" w:id="-691334384"/>
                <w14:textFill>
                  <w14:solidFill>
                    <w14:srgbClr w14:val="000000">
                      <w14:alpha w14:val="100000"/>
                    </w14:srgbClr>
                  </w14:solidFill>
                </w14:textFill>
              </w:rPr>
              <w:t>|</w:t>
            </w:r>
            <w:r w:rsidR="00C56889" w:rsidRPr="00E37A83">
              <w:t xml:space="preserve"> percentage points each year</w:t>
            </w:r>
            <w:r w:rsidR="00C56889">
              <w:t xml:space="preserve"> for the first six years of listing (i.e. </w:t>
            </w:r>
            <w:r>
              <w:rPr>
                <w:color w:val="000000"/>
                <w:spacing w:val="53"/>
                <w:shd w:val="solid" w:color="000000" w:fill="000000"/>
                <w:fitText w:val="333" w:id="-691334400"/>
                <w14:textFill>
                  <w14:solidFill>
                    <w14:srgbClr w14:val="000000">
                      <w14:alpha w14:val="100000"/>
                    </w14:srgbClr>
                  </w14:solidFill>
                </w14:textFill>
              </w:rPr>
              <w:t>|||</w:t>
            </w:r>
            <w:r>
              <w:rPr>
                <w:color w:val="000000"/>
                <w:spacing w:val="2"/>
                <w:shd w:val="solid" w:color="000000" w:fill="000000"/>
                <w:fitText w:val="333" w:id="-691334400"/>
                <w14:textFill>
                  <w14:solidFill>
                    <w14:srgbClr w14:val="000000">
                      <w14:alpha w14:val="100000"/>
                    </w14:srgbClr>
                  </w14:solidFill>
                </w14:textFill>
              </w:rPr>
              <w:t>|</w:t>
            </w:r>
            <w:r w:rsidR="00F92F56" w:rsidRPr="00F92F56">
              <w:rPr>
                <w:vertAlign w:val="superscript"/>
              </w:rPr>
              <w:t>2</w:t>
            </w:r>
            <w:r w:rsidR="00F92F56">
              <w:t xml:space="preserve"> </w:t>
            </w:r>
            <w:r w:rsidR="00C56889">
              <w:t>patients in Year 6).</w:t>
            </w:r>
          </w:p>
        </w:tc>
      </w:tr>
    </w:tbl>
    <w:p w14:paraId="004592BE" w14:textId="462EC915" w:rsidR="00C50D06" w:rsidRDefault="00C50D06" w:rsidP="00E55FD2">
      <w:pPr>
        <w:pStyle w:val="COMexecsummnumbered"/>
        <w:numPr>
          <w:ilvl w:val="0"/>
          <w:numId w:val="0"/>
        </w:numPr>
        <w:spacing w:before="0" w:after="0"/>
        <w:ind w:left="720" w:hanging="720"/>
        <w:rPr>
          <w:rFonts w:ascii="Arial Narrow" w:hAnsi="Arial Narrow"/>
          <w:sz w:val="18"/>
          <w:szCs w:val="18"/>
        </w:rPr>
      </w:pPr>
      <w:r>
        <w:rPr>
          <w:rFonts w:ascii="Arial Narrow" w:hAnsi="Arial Narrow"/>
          <w:sz w:val="18"/>
          <w:szCs w:val="18"/>
        </w:rPr>
        <w:t xml:space="preserve">Source: Compiled during preparation of the PBAC </w:t>
      </w:r>
      <w:r w:rsidR="00C61ACA">
        <w:rPr>
          <w:rFonts w:ascii="Arial Narrow" w:hAnsi="Arial Narrow"/>
          <w:sz w:val="18"/>
          <w:szCs w:val="18"/>
        </w:rPr>
        <w:t>PSD</w:t>
      </w:r>
    </w:p>
    <w:p w14:paraId="4B4590F8" w14:textId="77777777" w:rsidR="00422103" w:rsidRPr="00761EA4" w:rsidRDefault="00422103" w:rsidP="00E55FD2">
      <w:pPr>
        <w:pStyle w:val="TableFigureFooter"/>
        <w:rPr>
          <w:i/>
        </w:rPr>
      </w:pPr>
      <w:r w:rsidRPr="00761EA4">
        <w:rPr>
          <w:i/>
        </w:rPr>
        <w:t>The redacted values correspond to the following ranges:</w:t>
      </w:r>
    </w:p>
    <w:p w14:paraId="2225A365" w14:textId="0D4912ED" w:rsidR="00DE376C" w:rsidRDefault="00422103" w:rsidP="00E55FD2">
      <w:pPr>
        <w:pStyle w:val="TableFigureFooter"/>
        <w:rPr>
          <w:i/>
        </w:rPr>
      </w:pPr>
      <w:r w:rsidRPr="00761EA4">
        <w:rPr>
          <w:i/>
          <w:vertAlign w:val="superscript"/>
        </w:rPr>
        <w:t>1</w:t>
      </w:r>
      <w:r w:rsidRPr="00761EA4">
        <w:rPr>
          <w:i/>
        </w:rPr>
        <w:t xml:space="preserve"> &lt;</w:t>
      </w:r>
      <w:r w:rsidR="007F0326">
        <w:rPr>
          <w:i/>
        </w:rPr>
        <w:t xml:space="preserve"> </w:t>
      </w:r>
      <w:r w:rsidR="00D377D4">
        <w:rPr>
          <w:i/>
        </w:rPr>
        <w:t>500</w:t>
      </w:r>
    </w:p>
    <w:p w14:paraId="06213EFA" w14:textId="42F6B34B" w:rsidR="00422103" w:rsidRPr="009D40CA" w:rsidRDefault="00DE376C" w:rsidP="00E55FD2">
      <w:pPr>
        <w:pStyle w:val="TableFigureFooter"/>
        <w:rPr>
          <w:i/>
        </w:rPr>
      </w:pPr>
      <w:r>
        <w:rPr>
          <w:i/>
          <w:vertAlign w:val="superscript"/>
        </w:rPr>
        <w:t>2</w:t>
      </w:r>
      <w:r w:rsidR="00F632E0" w:rsidRPr="007F0380">
        <w:rPr>
          <w:i/>
        </w:rPr>
        <w:t>500 to &lt;</w:t>
      </w:r>
      <w:r w:rsidR="007F0326">
        <w:rPr>
          <w:i/>
        </w:rPr>
        <w:t xml:space="preserve"> </w:t>
      </w:r>
      <w:r w:rsidR="00F632E0" w:rsidRPr="007F0380">
        <w:rPr>
          <w:i/>
        </w:rPr>
        <w:t>5,000</w:t>
      </w:r>
    </w:p>
    <w:p w14:paraId="081B31C8" w14:textId="77777777" w:rsidR="00C50D06" w:rsidRDefault="00C50D06" w:rsidP="00E55FD2">
      <w:pPr>
        <w:pStyle w:val="COMexecsummnumbered"/>
        <w:rPr>
          <w:rFonts w:ascii="Calibri" w:hAnsi="Calibri" w:cs="Calibri"/>
          <w:szCs w:val="24"/>
        </w:rPr>
      </w:pPr>
      <w:r>
        <w:rPr>
          <w:rFonts w:ascii="Calibri" w:hAnsi="Calibri" w:cs="Calibri"/>
          <w:szCs w:val="24"/>
        </w:rPr>
        <w:t xml:space="preserve">The PBAC considered that uptake rates would be the largest source of uncertainty in the financial estimates, particularly given the range of patients currently taking IVIg (with new patients and existing IVIg users with ongoing functional impairment expected to have substantially higher uptake than those prevalent patients already established on IVIg) and also given that the uptake rates would need to account for: any additional eligible patients (e.g. patients who are not responding to, or who are unable to be treated with IVIg); the PBS restriction being narrower than the current IVIg criteria; and the stopping rules (as these would generally mirror how IVIg is used in practice). </w:t>
      </w:r>
    </w:p>
    <w:p w14:paraId="571F8CEA" w14:textId="77777777" w:rsidR="004C6A62" w:rsidRPr="004C6A62" w:rsidRDefault="004C6A62" w:rsidP="00E55FD2">
      <w:pPr>
        <w:pStyle w:val="COMH1-numbered"/>
        <w:numPr>
          <w:ilvl w:val="0"/>
          <w:numId w:val="0"/>
        </w:numPr>
        <w:outlineLvl w:val="1"/>
        <w:rPr>
          <w:rFonts w:eastAsiaTheme="majorEastAsia" w:cstheme="majorBidi"/>
          <w:i/>
          <w:snapToGrid/>
          <w:spacing w:val="5"/>
          <w:kern w:val="28"/>
          <w:sz w:val="28"/>
          <w:szCs w:val="36"/>
          <w:lang w:eastAsia="en-US"/>
        </w:rPr>
      </w:pPr>
      <w:r w:rsidRPr="004C6A62">
        <w:rPr>
          <w:rFonts w:eastAsiaTheme="majorEastAsia" w:cstheme="majorBidi"/>
          <w:i/>
          <w:snapToGrid/>
          <w:spacing w:val="5"/>
          <w:kern w:val="28"/>
          <w:sz w:val="28"/>
          <w:szCs w:val="36"/>
          <w:lang w:eastAsia="en-US"/>
        </w:rPr>
        <w:lastRenderedPageBreak/>
        <w:t>Financial Management – Risk Sharing Arrangements</w:t>
      </w:r>
      <w:bookmarkEnd w:id="84"/>
      <w:bookmarkEnd w:id="85"/>
    </w:p>
    <w:p w14:paraId="397700F0" w14:textId="5259C527" w:rsidR="006F53A3" w:rsidRPr="005500C7" w:rsidRDefault="00D352FD" w:rsidP="00E55FD2">
      <w:pPr>
        <w:pStyle w:val="COMexecsummnumbered"/>
      </w:pPr>
      <w:r w:rsidRPr="005500C7">
        <w:t xml:space="preserve">As outlined in </w:t>
      </w:r>
      <w:r w:rsidR="004344F6">
        <w:t>Section 7</w:t>
      </w:r>
      <w:r w:rsidRPr="005500C7">
        <w:t>, t</w:t>
      </w:r>
      <w:r w:rsidR="006F53A3" w:rsidRPr="005500C7">
        <w:t xml:space="preserve">he ESC considered that a single RSA that includes </w:t>
      </w:r>
      <w:proofErr w:type="gramStart"/>
      <w:r w:rsidR="006F53A3" w:rsidRPr="005500C7">
        <w:t>all of</w:t>
      </w:r>
      <w:proofErr w:type="gramEnd"/>
      <w:r w:rsidR="006F53A3" w:rsidRPr="005500C7">
        <w:t xml:space="preserve"> the new PBS listed treatments would be required to mitigate the risk of use outside the intended restriction. </w:t>
      </w:r>
      <w:r w:rsidR="006F0188">
        <w:t xml:space="preserve">The pre-PBAC response </w:t>
      </w:r>
      <w:r w:rsidR="003428D2">
        <w:t>requesting</w:t>
      </w:r>
      <w:r w:rsidR="006F0188" w:rsidRPr="006F0188">
        <w:t xml:space="preserve"> two separate RSAs </w:t>
      </w:r>
      <w:r w:rsidR="006F0188">
        <w:t xml:space="preserve">given there are two distinct places in therapy </w:t>
      </w:r>
      <w:r w:rsidR="006F0188" w:rsidRPr="006F0188">
        <w:t>(i.</w:t>
      </w:r>
      <w:r w:rsidR="006F0188">
        <w:t>e. bridging</w:t>
      </w:r>
      <w:r w:rsidR="006F0188" w:rsidRPr="006F0188">
        <w:t xml:space="preserve"> and refractory).</w:t>
      </w:r>
      <w:r w:rsidR="00732BF1">
        <w:t xml:space="preserve"> </w:t>
      </w:r>
      <w:r w:rsidR="00732BF1">
        <w:rPr>
          <w:rFonts w:cstheme="minorHAnsi"/>
          <w:lang w:val="en-GB"/>
        </w:rPr>
        <w:t>Refer to paragraph</w:t>
      </w:r>
      <w:r w:rsidR="007E7921">
        <w:rPr>
          <w:rFonts w:cstheme="minorHAnsi"/>
          <w:lang w:val="en-GB"/>
        </w:rPr>
        <w:t>s</w:t>
      </w:r>
      <w:r w:rsidR="00732BF1">
        <w:rPr>
          <w:rFonts w:cstheme="minorHAnsi"/>
          <w:lang w:val="en-GB"/>
        </w:rPr>
        <w:t xml:space="preserve"> </w:t>
      </w:r>
      <w:r w:rsidR="00C56889">
        <w:rPr>
          <w:rFonts w:cstheme="minorHAnsi"/>
          <w:lang w:val="en-GB"/>
        </w:rPr>
        <w:fldChar w:fldCharType="begin"/>
      </w:r>
      <w:r w:rsidR="00C56889">
        <w:rPr>
          <w:rFonts w:cstheme="minorHAnsi"/>
          <w:lang w:val="en-GB"/>
        </w:rPr>
        <w:instrText xml:space="preserve"> REF _Ref194410451 \r \h </w:instrText>
      </w:r>
      <w:r w:rsidR="00C56889">
        <w:rPr>
          <w:rFonts w:cstheme="minorHAnsi"/>
          <w:lang w:val="en-GB"/>
        </w:rPr>
      </w:r>
      <w:r w:rsidR="00C56889">
        <w:rPr>
          <w:rFonts w:cstheme="minorHAnsi"/>
          <w:lang w:val="en-GB"/>
        </w:rPr>
        <w:fldChar w:fldCharType="separate"/>
      </w:r>
      <w:r w:rsidR="00271F88">
        <w:rPr>
          <w:rFonts w:cstheme="minorHAnsi"/>
          <w:lang w:val="en-GB"/>
        </w:rPr>
        <w:t>8.32</w:t>
      </w:r>
      <w:r w:rsidR="00C56889">
        <w:rPr>
          <w:rFonts w:cstheme="minorHAnsi"/>
          <w:lang w:val="en-GB"/>
        </w:rPr>
        <w:fldChar w:fldCharType="end"/>
      </w:r>
      <w:r w:rsidR="00C56889">
        <w:rPr>
          <w:rFonts w:cstheme="minorHAnsi"/>
          <w:lang w:val="en-GB"/>
        </w:rPr>
        <w:t xml:space="preserve"> and </w:t>
      </w:r>
      <w:r w:rsidR="00C56889">
        <w:rPr>
          <w:rFonts w:cstheme="minorHAnsi"/>
          <w:lang w:val="en-GB"/>
        </w:rPr>
        <w:fldChar w:fldCharType="begin"/>
      </w:r>
      <w:r w:rsidR="00C56889">
        <w:rPr>
          <w:rFonts w:cstheme="minorHAnsi"/>
          <w:lang w:val="en-GB"/>
        </w:rPr>
        <w:instrText xml:space="preserve"> REF _Ref194410452 \r \h </w:instrText>
      </w:r>
      <w:r w:rsidR="00C56889">
        <w:rPr>
          <w:rFonts w:cstheme="minorHAnsi"/>
          <w:lang w:val="en-GB"/>
        </w:rPr>
      </w:r>
      <w:r w:rsidR="00C56889">
        <w:rPr>
          <w:rFonts w:cstheme="minorHAnsi"/>
          <w:lang w:val="en-GB"/>
        </w:rPr>
        <w:fldChar w:fldCharType="separate"/>
      </w:r>
      <w:r w:rsidR="00271F88">
        <w:rPr>
          <w:rFonts w:cstheme="minorHAnsi"/>
          <w:lang w:val="en-GB"/>
        </w:rPr>
        <w:t>8.33</w:t>
      </w:r>
      <w:r w:rsidR="00C56889">
        <w:rPr>
          <w:rFonts w:cstheme="minorHAnsi"/>
          <w:lang w:val="en-GB"/>
        </w:rPr>
        <w:fldChar w:fldCharType="end"/>
      </w:r>
      <w:r w:rsidR="007E7921">
        <w:rPr>
          <w:rFonts w:cstheme="minorHAnsi"/>
          <w:lang w:val="en-GB"/>
        </w:rPr>
        <w:t xml:space="preserve"> </w:t>
      </w:r>
      <w:r w:rsidR="00732BF1">
        <w:rPr>
          <w:rFonts w:cstheme="minorHAnsi"/>
          <w:lang w:val="en-GB"/>
        </w:rPr>
        <w:t>for the PBAC’s advice regarding the RSA.</w:t>
      </w:r>
    </w:p>
    <w:p w14:paraId="272137C8" w14:textId="2B4BAFBA" w:rsidR="005500C7" w:rsidRPr="006F53A3" w:rsidRDefault="005500C7" w:rsidP="00E55FD2">
      <w:pPr>
        <w:pStyle w:val="COMexecsummnumbered"/>
        <w:numPr>
          <w:ilvl w:val="0"/>
          <w:numId w:val="0"/>
        </w:numPr>
        <w:ind w:left="720"/>
        <w:rPr>
          <w:i/>
          <w:iCs/>
        </w:rPr>
      </w:pPr>
      <w:r w:rsidRPr="005500C7">
        <w:rPr>
          <w:i/>
          <w:iCs/>
        </w:rPr>
        <w:t xml:space="preserve">For more detail on PBAC’s view, see section </w:t>
      </w:r>
      <w:r w:rsidR="004344F6">
        <w:rPr>
          <w:i/>
          <w:iCs/>
        </w:rPr>
        <w:t>8</w:t>
      </w:r>
      <w:r w:rsidRPr="005500C7">
        <w:rPr>
          <w:i/>
          <w:iCs/>
        </w:rPr>
        <w:t xml:space="preserve"> PBAC outcome.</w:t>
      </w:r>
    </w:p>
    <w:p w14:paraId="223BDB83" w14:textId="77777777" w:rsidR="004344F6" w:rsidRPr="00704B78" w:rsidRDefault="004344F6" w:rsidP="00E55FD2">
      <w:pPr>
        <w:pStyle w:val="COMH1-numbered"/>
        <w:numPr>
          <w:ilvl w:val="0"/>
          <w:numId w:val="1"/>
        </w:numPr>
      </w:pPr>
      <w:bookmarkStart w:id="86" w:name="_Hlk76381249"/>
      <w:bookmarkStart w:id="87" w:name="_Hlk76377955"/>
      <w:r w:rsidRPr="00704B78">
        <w:t>ESC Advice relevant across the four gMG submissions</w:t>
      </w:r>
    </w:p>
    <w:p w14:paraId="553B086C" w14:textId="39DB57D3" w:rsidR="0024437C" w:rsidRPr="0024437C" w:rsidRDefault="0024437C" w:rsidP="00E55FD2">
      <w:pPr>
        <w:spacing w:before="60" w:after="60"/>
        <w:rPr>
          <w:rFonts w:cs="Calibri"/>
          <w:b/>
          <w:i/>
          <w:iCs/>
          <w:snapToGrid w:val="0"/>
        </w:rPr>
      </w:pPr>
      <w:r w:rsidRPr="0024437C">
        <w:rPr>
          <w:rFonts w:cs="Calibri"/>
          <w:b/>
          <w:i/>
          <w:iCs/>
          <w:snapToGrid w:val="0"/>
        </w:rPr>
        <w:t>ESC’s view on the appropriate restriction and place for the new therapies</w:t>
      </w:r>
    </w:p>
    <w:p w14:paraId="339C2106" w14:textId="464EB9CF" w:rsidR="004344F6" w:rsidRPr="004344F6" w:rsidRDefault="004344F6" w:rsidP="00E55FD2">
      <w:pPr>
        <w:numPr>
          <w:ilvl w:val="1"/>
          <w:numId w:val="19"/>
        </w:numPr>
        <w:spacing w:before="60" w:after="60"/>
        <w:rPr>
          <w:rFonts w:eastAsiaTheme="minorHAnsi" w:cs="Calibri"/>
          <w:szCs w:val="22"/>
          <w:lang w:val="en-GB"/>
        </w:rPr>
      </w:pPr>
      <w:r w:rsidRPr="004344F6">
        <w:rPr>
          <w:rFonts w:eastAsiaTheme="minorHAnsi" w:cs="Calibri"/>
          <w:szCs w:val="22"/>
          <w:lang w:val="en-GB"/>
        </w:rPr>
        <w:t xml:space="preserve">The Economics Sub-Committee (ESC) noted that there are two key, distinct places in therapy which may be feasible for PBS-listing of the new therapies for </w:t>
      </w:r>
      <w:proofErr w:type="spellStart"/>
      <w:r w:rsidRPr="004344F6">
        <w:rPr>
          <w:rFonts w:eastAsiaTheme="minorHAnsi" w:cs="Calibri"/>
          <w:szCs w:val="22"/>
          <w:lang w:val="en-GB"/>
        </w:rPr>
        <w:t>gMG</w:t>
      </w:r>
      <w:proofErr w:type="spellEnd"/>
      <w:r w:rsidRPr="004344F6">
        <w:rPr>
          <w:rFonts w:eastAsiaTheme="minorHAnsi" w:cs="Calibri"/>
          <w:szCs w:val="22"/>
          <w:lang w:val="en-GB"/>
        </w:rPr>
        <w:t xml:space="preserve"> (</w:t>
      </w:r>
      <w:proofErr w:type="spellStart"/>
      <w:r w:rsidRPr="004344F6">
        <w:rPr>
          <w:rFonts w:eastAsiaTheme="minorHAnsi" w:cs="Calibri"/>
          <w:szCs w:val="22"/>
          <w:lang w:val="en-GB"/>
        </w:rPr>
        <w:t>zilucoplan</w:t>
      </w:r>
      <w:proofErr w:type="spellEnd"/>
      <w:r w:rsidRPr="004344F6">
        <w:rPr>
          <w:rFonts w:eastAsiaTheme="minorHAnsi" w:cs="Calibri"/>
          <w:szCs w:val="22"/>
          <w:lang w:val="en-GB"/>
        </w:rPr>
        <w:t xml:space="preserve">, </w:t>
      </w:r>
      <w:proofErr w:type="spellStart"/>
      <w:r w:rsidRPr="004344F6">
        <w:rPr>
          <w:rFonts w:eastAsiaTheme="minorHAnsi" w:cs="Calibri"/>
          <w:szCs w:val="22"/>
          <w:lang w:val="en-GB"/>
        </w:rPr>
        <w:t>ravulizumab</w:t>
      </w:r>
      <w:proofErr w:type="spellEnd"/>
      <w:r w:rsidRPr="004344F6">
        <w:rPr>
          <w:rFonts w:eastAsiaTheme="minorHAnsi" w:cs="Calibri"/>
          <w:szCs w:val="22"/>
          <w:lang w:val="en-GB"/>
        </w:rPr>
        <w:t xml:space="preserve">, efgartigimod and </w:t>
      </w:r>
      <w:proofErr w:type="spellStart"/>
      <w:r w:rsidRPr="004344F6">
        <w:rPr>
          <w:rFonts w:eastAsiaTheme="minorHAnsi" w:cs="Calibri"/>
          <w:szCs w:val="22"/>
          <w:lang w:val="en-GB"/>
        </w:rPr>
        <w:t>rozanolixizumab</w:t>
      </w:r>
      <w:proofErr w:type="spellEnd"/>
      <w:r w:rsidRPr="004344F6">
        <w:rPr>
          <w:rFonts w:eastAsiaTheme="minorHAnsi" w:cs="Calibri"/>
          <w:szCs w:val="22"/>
          <w:lang w:val="en-GB"/>
        </w:rPr>
        <w:t xml:space="preserve">): </w:t>
      </w:r>
    </w:p>
    <w:p w14:paraId="07ABADAA" w14:textId="77777777" w:rsidR="004344F6" w:rsidRPr="004344F6" w:rsidRDefault="004344F6" w:rsidP="00E55FD2">
      <w:pPr>
        <w:numPr>
          <w:ilvl w:val="0"/>
          <w:numId w:val="17"/>
        </w:numPr>
        <w:spacing w:before="60" w:after="60"/>
        <w:rPr>
          <w:rFonts w:eastAsiaTheme="minorHAnsi" w:cs="Calibri"/>
          <w:szCs w:val="22"/>
          <w:lang w:val="en-GB"/>
        </w:rPr>
      </w:pPr>
      <w:r w:rsidRPr="004344F6">
        <w:rPr>
          <w:rFonts w:eastAsiaTheme="minorHAnsi" w:cs="Calibri"/>
          <w:szCs w:val="22"/>
          <w:lang w:val="en-GB"/>
        </w:rPr>
        <w:t xml:space="preserve">early in the treatment algorithm, in combination with standard therapy to provide symptom relief whilst remission induction occurs, often referred to as ‘bridging therapy’; and </w:t>
      </w:r>
    </w:p>
    <w:p w14:paraId="6031F500" w14:textId="77777777" w:rsidR="004344F6" w:rsidRPr="004344F6" w:rsidRDefault="004344F6" w:rsidP="00E55FD2">
      <w:pPr>
        <w:numPr>
          <w:ilvl w:val="0"/>
          <w:numId w:val="17"/>
        </w:numPr>
        <w:spacing w:before="60" w:after="60"/>
        <w:rPr>
          <w:rFonts w:eastAsiaTheme="minorHAnsi" w:cs="Calibri"/>
        </w:rPr>
      </w:pPr>
      <w:r w:rsidRPr="004344F6">
        <w:rPr>
          <w:rFonts w:eastAsiaTheme="minorHAnsi" w:cs="Calibri"/>
        </w:rPr>
        <w:t>later in the disease course in refractory patients.</w:t>
      </w:r>
    </w:p>
    <w:p w14:paraId="7790DB36" w14:textId="77777777" w:rsidR="004344F6" w:rsidRPr="004344F6" w:rsidRDefault="004344F6" w:rsidP="00E55FD2">
      <w:pPr>
        <w:spacing w:before="60" w:after="60"/>
        <w:ind w:left="720"/>
        <w:rPr>
          <w:rFonts w:eastAsiaTheme="minorHAnsi" w:cs="Calibri"/>
          <w:szCs w:val="22"/>
          <w:lang w:val="en-GB"/>
        </w:rPr>
      </w:pPr>
      <w:r w:rsidRPr="004344F6">
        <w:rPr>
          <w:rFonts w:eastAsiaTheme="minorHAnsi" w:cs="Calibri"/>
          <w:szCs w:val="22"/>
          <w:lang w:val="en-GB"/>
        </w:rPr>
        <w:t>The ESC considered that separate PBS restrictions would be required in each of these settings.</w:t>
      </w:r>
    </w:p>
    <w:p w14:paraId="0B369B22" w14:textId="5AD8595B" w:rsidR="004344F6" w:rsidRPr="004344F6" w:rsidRDefault="004344F6" w:rsidP="00E55FD2">
      <w:pPr>
        <w:pStyle w:val="COMexecsummnumbered"/>
      </w:pPr>
      <w:r w:rsidRPr="004344F6">
        <w:t>The</w:t>
      </w:r>
      <w:r w:rsidRPr="004344F6">
        <w:rPr>
          <w:rFonts w:cs="Calibri"/>
        </w:rPr>
        <w:t xml:space="preserve"> ESC recalled advice from the clinicians present at the gMG stakeholder meeting (May 2024) that the complement inhibitors should be available in both these </w:t>
      </w:r>
      <w:r w:rsidRPr="004344F6">
        <w:t xml:space="preserve">settings. </w:t>
      </w:r>
    </w:p>
    <w:p w14:paraId="48EA2C36" w14:textId="258E0C84" w:rsidR="004344F6" w:rsidRPr="004344F6" w:rsidRDefault="004344F6" w:rsidP="00E55FD2">
      <w:pPr>
        <w:pStyle w:val="COMexecsummnumbered"/>
        <w:rPr>
          <w:rFonts w:cs="Calibri"/>
        </w:rPr>
      </w:pPr>
      <w:r w:rsidRPr="004344F6">
        <w:rPr>
          <w:rFonts w:cs="Calibri"/>
        </w:rPr>
        <w:t>The ESC considered that in both settings, the new gMG therapies should substitute for IVIg and plasma exchange (PLEX) rather than be added on to or used in combination with these modalities.</w:t>
      </w:r>
    </w:p>
    <w:p w14:paraId="5AAEEAAF" w14:textId="77777777" w:rsidR="004344F6" w:rsidRPr="004344F6" w:rsidRDefault="004344F6" w:rsidP="00E55FD2">
      <w:pPr>
        <w:spacing w:before="60" w:after="60"/>
        <w:rPr>
          <w:rFonts w:eastAsiaTheme="minorHAnsi" w:cs="Calibri"/>
        </w:rPr>
      </w:pPr>
      <w:r w:rsidRPr="004344F6">
        <w:rPr>
          <w:rFonts w:eastAsiaTheme="minorHAnsi" w:cs="Calibri"/>
          <w:u w:val="single"/>
        </w:rPr>
        <w:t>Bridging setting</w:t>
      </w:r>
    </w:p>
    <w:p w14:paraId="036E17F7" w14:textId="164ED019" w:rsidR="004344F6" w:rsidRPr="004344F6" w:rsidRDefault="004344F6" w:rsidP="00E55FD2">
      <w:pPr>
        <w:pStyle w:val="COMexecsummnumbered"/>
        <w:rPr>
          <w:rFonts w:cs="Calibri"/>
          <w:lang w:val="en-GB"/>
        </w:rPr>
      </w:pPr>
      <w:r w:rsidRPr="004344F6">
        <w:t>In</w:t>
      </w:r>
      <w:r w:rsidRPr="004344F6">
        <w:rPr>
          <w:rFonts w:cs="Calibri"/>
          <w:lang w:val="en-GB"/>
        </w:rPr>
        <w:t xml:space="preserve"> terms of bridging therapy, the ESC recalled that the stakeholder meeting had discussed that specific patient criteria should be determined (e.g. a hypothetical case study of a typical patient who could benefit from the new therapies was discussed which </w:t>
      </w:r>
      <w:proofErr w:type="gramStart"/>
      <w:r w:rsidRPr="004344F6">
        <w:rPr>
          <w:rFonts w:cs="Calibri"/>
          <w:lang w:val="en-GB"/>
        </w:rPr>
        <w:t>took into account</w:t>
      </w:r>
      <w:proofErr w:type="gramEnd"/>
      <w:r w:rsidRPr="004344F6">
        <w:rPr>
          <w:rFonts w:cs="Calibri"/>
          <w:lang w:val="en-GB"/>
        </w:rPr>
        <w:t xml:space="preserve"> the patient’s response to standard therapy). The ESC considered that any PBS restriction for bridging therapy should require the patient to have trialled at least three months of combination therapy with all three of: a</w:t>
      </w:r>
      <w:r w:rsidR="00584A05">
        <w:rPr>
          <w:rFonts w:cs="Calibri"/>
          <w:lang w:val="en-GB"/>
        </w:rPr>
        <w:t xml:space="preserve">n </w:t>
      </w:r>
      <w:r w:rsidRPr="004344F6">
        <w:rPr>
          <w:rFonts w:cs="Calibri"/>
          <w:lang w:val="en-GB"/>
        </w:rPr>
        <w:t xml:space="preserve">NS-IST; </w:t>
      </w:r>
      <w:proofErr w:type="gramStart"/>
      <w:r w:rsidRPr="004344F6">
        <w:rPr>
          <w:rFonts w:cs="Calibri"/>
          <w:lang w:val="en-GB"/>
        </w:rPr>
        <w:t>plus</w:t>
      </w:r>
      <w:proofErr w:type="gramEnd"/>
      <w:r w:rsidRPr="004344F6">
        <w:rPr>
          <w:rFonts w:cs="Calibri"/>
          <w:lang w:val="en-GB"/>
        </w:rPr>
        <w:t xml:space="preserve"> an anti-cholinesterase; </w:t>
      </w:r>
      <w:proofErr w:type="gramStart"/>
      <w:r w:rsidRPr="004344F6">
        <w:rPr>
          <w:rFonts w:cs="Calibri"/>
          <w:lang w:val="en-GB"/>
        </w:rPr>
        <w:t>plus</w:t>
      </w:r>
      <w:proofErr w:type="gramEnd"/>
      <w:r w:rsidRPr="004344F6">
        <w:rPr>
          <w:rFonts w:cs="Calibri"/>
          <w:lang w:val="en-GB"/>
        </w:rPr>
        <w:t xml:space="preserve"> a corticosteroid. The restriction should require these therapies to have been used at optimised dosing (though specific doses should not be outlined in the PBS restriction, to enable clinician judgement), unless contraindicated or severely intolerant. As such, the ESC considered that the timing of initiation of the new therapy should be based on a minimum of three months having elapsed since initiation of the NS-IST. Further, the ESC considered that the intention would be for the NS-IST to be continued concurrently with the new </w:t>
      </w:r>
      <w:proofErr w:type="spellStart"/>
      <w:r w:rsidRPr="004344F6">
        <w:rPr>
          <w:rFonts w:cs="Calibri"/>
          <w:lang w:val="en-GB"/>
        </w:rPr>
        <w:t>gMG</w:t>
      </w:r>
      <w:proofErr w:type="spellEnd"/>
      <w:r w:rsidRPr="004344F6">
        <w:rPr>
          <w:rFonts w:cs="Calibri"/>
          <w:lang w:val="en-GB"/>
        </w:rPr>
        <w:t xml:space="preserve"> therapy (unless </w:t>
      </w:r>
      <w:r w:rsidRPr="004344F6">
        <w:rPr>
          <w:rFonts w:cs="Calibri"/>
          <w:lang w:val="en-GB"/>
        </w:rPr>
        <w:lastRenderedPageBreak/>
        <w:t xml:space="preserve">contraindicated or severely intolerant). </w:t>
      </w:r>
      <w:bookmarkStart w:id="88" w:name="_Hlk194063247"/>
      <w:r w:rsidR="00FA065C" w:rsidRPr="00FA065C">
        <w:rPr>
          <w:rFonts w:cs="Calibri"/>
          <w:lang w:val="en-GB"/>
        </w:rPr>
        <w:t xml:space="preserve">Refer to paragraphs </w:t>
      </w:r>
      <w:r w:rsidR="00C56889">
        <w:rPr>
          <w:rFonts w:cs="Calibri"/>
          <w:lang w:val="en-GB"/>
        </w:rPr>
        <w:fldChar w:fldCharType="begin"/>
      </w:r>
      <w:r w:rsidR="00C56889">
        <w:rPr>
          <w:rFonts w:cs="Calibri"/>
          <w:lang w:val="en-GB"/>
        </w:rPr>
        <w:instrText xml:space="preserve"> REF _Ref194587738 \r \h </w:instrText>
      </w:r>
      <w:r w:rsidR="00C56889">
        <w:rPr>
          <w:rFonts w:cs="Calibri"/>
          <w:lang w:val="en-GB"/>
        </w:rPr>
      </w:r>
      <w:r w:rsidR="00C56889">
        <w:rPr>
          <w:rFonts w:cs="Calibri"/>
          <w:lang w:val="en-GB"/>
        </w:rPr>
        <w:fldChar w:fldCharType="separate"/>
      </w:r>
      <w:r w:rsidR="00271F88">
        <w:rPr>
          <w:rFonts w:cs="Calibri"/>
          <w:lang w:val="en-GB"/>
        </w:rPr>
        <w:t>8.6</w:t>
      </w:r>
      <w:r w:rsidR="00C56889">
        <w:rPr>
          <w:rFonts w:cs="Calibri"/>
          <w:lang w:val="en-GB"/>
        </w:rPr>
        <w:fldChar w:fldCharType="end"/>
      </w:r>
      <w:r w:rsidR="00C56889">
        <w:rPr>
          <w:rFonts w:cs="Calibri"/>
          <w:lang w:val="en-GB"/>
        </w:rPr>
        <w:t xml:space="preserve"> to </w:t>
      </w:r>
      <w:r w:rsidR="00C56889">
        <w:rPr>
          <w:rFonts w:cs="Calibri"/>
          <w:lang w:val="en-GB"/>
        </w:rPr>
        <w:fldChar w:fldCharType="begin"/>
      </w:r>
      <w:r w:rsidR="00C56889">
        <w:rPr>
          <w:rFonts w:cs="Calibri"/>
          <w:lang w:val="en-GB"/>
        </w:rPr>
        <w:instrText xml:space="preserve"> REF _Ref194587740 \r \h </w:instrText>
      </w:r>
      <w:r w:rsidR="00C56889">
        <w:rPr>
          <w:rFonts w:cs="Calibri"/>
          <w:lang w:val="en-GB"/>
        </w:rPr>
      </w:r>
      <w:r w:rsidR="00C56889">
        <w:rPr>
          <w:rFonts w:cs="Calibri"/>
          <w:lang w:val="en-GB"/>
        </w:rPr>
        <w:fldChar w:fldCharType="separate"/>
      </w:r>
      <w:r w:rsidR="00271F88">
        <w:rPr>
          <w:rFonts w:cs="Calibri"/>
          <w:lang w:val="en-GB"/>
        </w:rPr>
        <w:t>8.13</w:t>
      </w:r>
      <w:r w:rsidR="00C56889">
        <w:rPr>
          <w:rFonts w:cs="Calibri"/>
          <w:lang w:val="en-GB"/>
        </w:rPr>
        <w:fldChar w:fldCharType="end"/>
      </w:r>
      <w:r w:rsidR="00FA065C" w:rsidRPr="00FA065C">
        <w:rPr>
          <w:rFonts w:cs="Calibri"/>
          <w:lang w:val="en-GB"/>
        </w:rPr>
        <w:t xml:space="preserve"> for the PBAC’s advice regarding the restriction criteria.</w:t>
      </w:r>
      <w:bookmarkEnd w:id="88"/>
    </w:p>
    <w:p w14:paraId="319A10C9" w14:textId="77777777" w:rsidR="004344F6" w:rsidRPr="004344F6" w:rsidRDefault="004344F6" w:rsidP="00E55FD2">
      <w:pPr>
        <w:pStyle w:val="COMexecsummnumbered"/>
      </w:pPr>
      <w:r w:rsidRPr="004344F6">
        <w:t>The</w:t>
      </w:r>
      <w:r w:rsidRPr="004344F6">
        <w:rPr>
          <w:rFonts w:cs="Calibri"/>
        </w:rPr>
        <w:t xml:space="preserve"> ESC considered that a key issue in the bridging setting would be the potential for ongoing use of the new therapies in patients who would have responded to standard therapy, or whose condition would have improved over time (given the potential for recovery of receptors in gMG). As such, the ESC reiterated the advice from the stakeholder meeting that there should be robust stopping rules to prevent ongoing </w:t>
      </w:r>
      <w:r w:rsidRPr="004344F6">
        <w:t xml:space="preserve">use. </w:t>
      </w:r>
    </w:p>
    <w:p w14:paraId="7E82AF61" w14:textId="77777777" w:rsidR="004344F6" w:rsidRPr="004344F6" w:rsidRDefault="004344F6" w:rsidP="00E55FD2">
      <w:pPr>
        <w:pStyle w:val="COMexecsummnumbered"/>
      </w:pPr>
      <w:bookmarkStart w:id="89" w:name="_Ref193200650"/>
      <w:r w:rsidRPr="004344F6">
        <w:t>The</w:t>
      </w:r>
      <w:r w:rsidRPr="004344F6">
        <w:rPr>
          <w:rFonts w:cs="Calibri"/>
          <w:lang w:val="en-GB"/>
        </w:rPr>
        <w:t xml:space="preserve"> ESC considered that, overall, the primary literature suggests that most patients generally respond to NS-ISTs within 12 months, with many patients responding within the first one to six months.</w:t>
      </w:r>
      <w:r w:rsidRPr="004344F6">
        <w:rPr>
          <w:rFonts w:cs="Calibri"/>
          <w:vertAlign w:val="superscript"/>
          <w:lang w:val="en-GB"/>
        </w:rPr>
        <w:footnoteReference w:id="4"/>
      </w:r>
      <w:r w:rsidRPr="004344F6">
        <w:rPr>
          <w:rFonts w:cs="Calibri"/>
          <w:vertAlign w:val="superscript"/>
          <w:lang w:val="en-GB"/>
        </w:rPr>
        <w:t>,</w:t>
      </w:r>
      <w:r w:rsidRPr="004344F6">
        <w:rPr>
          <w:rFonts w:cs="Calibri"/>
          <w:vertAlign w:val="superscript"/>
          <w:lang w:val="en-GB"/>
        </w:rPr>
        <w:footnoteReference w:id="5"/>
      </w:r>
      <w:r w:rsidRPr="004344F6">
        <w:rPr>
          <w:rFonts w:cs="Calibri"/>
          <w:lang w:val="en-GB"/>
        </w:rPr>
        <w:t xml:space="preserve"> The ESC considered that any PBS restriction for bridging therapy should require the patient to cease the new therapy after around six months of treatment (acknowledging that variations in treatment duration between therapies may be required to align with treatment courses). After three months of therapy cessation (i.e. a total of at least 12 months since NS-IST initiation), patients whose condition remains uncontrolled may recommence under the refractory listing. Overall, </w:t>
      </w:r>
      <w:r w:rsidRPr="004344F6">
        <w:t>the maximum treatment duration in the bridging setting would be around six months.</w:t>
      </w:r>
      <w:bookmarkEnd w:id="89"/>
      <w:r w:rsidRPr="004344F6">
        <w:t xml:space="preserve"> </w:t>
      </w:r>
    </w:p>
    <w:p w14:paraId="768F1D90" w14:textId="1B2681A3" w:rsidR="004344F6" w:rsidRPr="004344F6" w:rsidRDefault="004344F6" w:rsidP="00E55FD2">
      <w:pPr>
        <w:pStyle w:val="COMexecsummnumbered"/>
        <w:rPr>
          <w:rFonts w:cs="Calibri"/>
          <w:lang w:val="en-GB"/>
        </w:rPr>
      </w:pPr>
      <w:r w:rsidRPr="004344F6">
        <w:t>The</w:t>
      </w:r>
      <w:r w:rsidRPr="004344F6">
        <w:rPr>
          <w:rFonts w:cs="Calibri"/>
          <w:lang w:val="en-GB"/>
        </w:rPr>
        <w:t xml:space="preserve"> ESC considered that another key issue in the bridging setting was the lower level of certainty in the incremental benefit versus optimisation of existing therapies given the availability of therapies that are effective for many patients, and that this would impact on the cost-effectiveness of the new therapies. The ESC considered that it was unclear whether these concerns would be adequately addressed by limiting use in this setting to a maximum duration of six months, along with a combined RSA for any recommended drugs across both setting.</w:t>
      </w:r>
    </w:p>
    <w:p w14:paraId="6B6E0AEE" w14:textId="77777777" w:rsidR="004344F6" w:rsidRPr="004344F6" w:rsidRDefault="004344F6" w:rsidP="00E55FD2">
      <w:pPr>
        <w:spacing w:before="60" w:after="60"/>
        <w:rPr>
          <w:rFonts w:eastAsiaTheme="minorHAnsi" w:cs="Calibri"/>
          <w:u w:val="single"/>
        </w:rPr>
      </w:pPr>
      <w:r w:rsidRPr="004344F6">
        <w:rPr>
          <w:rFonts w:eastAsiaTheme="minorHAnsi" w:cs="Calibri"/>
          <w:u w:val="single"/>
        </w:rPr>
        <w:t>Refractory setting</w:t>
      </w:r>
    </w:p>
    <w:p w14:paraId="77A642C5" w14:textId="77777777" w:rsidR="004344F6" w:rsidRPr="004344F6" w:rsidRDefault="004344F6" w:rsidP="00E55FD2">
      <w:pPr>
        <w:pStyle w:val="COMexecsummnumbered"/>
        <w:rPr>
          <w:rFonts w:cs="Calibri"/>
          <w:lang w:val="en-GB"/>
        </w:rPr>
      </w:pPr>
      <w:r w:rsidRPr="004344F6">
        <w:t>In</w:t>
      </w:r>
      <w:r w:rsidRPr="004344F6">
        <w:rPr>
          <w:rFonts w:cs="Calibri"/>
          <w:lang w:val="en-GB"/>
        </w:rPr>
        <w:t xml:space="preserve"> terms of the treatment refractory setting, the ESC considered any PBS restriction should require the patient to have prior treatment for at least one year. The ESC considered that further work would be required to determine the specific therapies and durations.</w:t>
      </w:r>
    </w:p>
    <w:p w14:paraId="405C7893" w14:textId="77777777" w:rsidR="004344F6" w:rsidRPr="004344F6" w:rsidRDefault="004344F6" w:rsidP="00E55FD2">
      <w:pPr>
        <w:spacing w:before="60" w:after="60"/>
        <w:rPr>
          <w:rFonts w:eastAsiaTheme="minorHAnsi" w:cs="Calibri"/>
          <w:u w:val="single"/>
        </w:rPr>
      </w:pPr>
      <w:r w:rsidRPr="004344F6">
        <w:rPr>
          <w:rFonts w:eastAsiaTheme="minorHAnsi" w:cs="Calibri"/>
          <w:u w:val="single"/>
        </w:rPr>
        <w:t>Both settings</w:t>
      </w:r>
    </w:p>
    <w:p w14:paraId="368A86BB" w14:textId="77777777" w:rsidR="004344F6" w:rsidRPr="004344F6" w:rsidRDefault="004344F6" w:rsidP="00E55FD2">
      <w:pPr>
        <w:pStyle w:val="COMexecsummnumbered"/>
        <w:rPr>
          <w:rFonts w:cs="Calibri"/>
        </w:rPr>
      </w:pPr>
      <w:r w:rsidRPr="004344F6">
        <w:t>The</w:t>
      </w:r>
      <w:r w:rsidRPr="004344F6">
        <w:rPr>
          <w:rFonts w:cs="Calibri"/>
        </w:rPr>
        <w:t xml:space="preserve"> ESC considered that restrictions should be consistent across any new gMG therapies recommended for listing.</w:t>
      </w:r>
    </w:p>
    <w:p w14:paraId="7B5F79EA" w14:textId="77777777" w:rsidR="004344F6" w:rsidRPr="004344F6" w:rsidRDefault="004344F6" w:rsidP="00E55FD2">
      <w:pPr>
        <w:pStyle w:val="COMexecsummnumbered"/>
        <w:rPr>
          <w:rFonts w:cs="Calibri"/>
          <w:lang w:val="en-GB"/>
        </w:rPr>
      </w:pPr>
      <w:r w:rsidRPr="004344F6">
        <w:t>Across</w:t>
      </w:r>
      <w:r w:rsidRPr="004344F6">
        <w:rPr>
          <w:rFonts w:cs="Calibri"/>
          <w:lang w:val="en-GB"/>
        </w:rPr>
        <w:t xml:space="preserve"> both settings, the following aspects of the restrictions would need to be determined:</w:t>
      </w:r>
    </w:p>
    <w:p w14:paraId="18D4F8E0" w14:textId="77777777" w:rsidR="004344F6" w:rsidRPr="004344F6" w:rsidRDefault="004344F6" w:rsidP="00E55FD2">
      <w:pPr>
        <w:numPr>
          <w:ilvl w:val="0"/>
          <w:numId w:val="17"/>
        </w:numPr>
        <w:spacing w:before="60" w:after="60"/>
        <w:rPr>
          <w:rFonts w:eastAsiaTheme="minorHAnsi" w:cs="Calibri"/>
        </w:rPr>
      </w:pPr>
      <w:r w:rsidRPr="004344F6">
        <w:rPr>
          <w:rFonts w:eastAsiaTheme="minorHAnsi" w:cs="Calibri"/>
        </w:rPr>
        <w:lastRenderedPageBreak/>
        <w:t xml:space="preserve">functional impairment </w:t>
      </w:r>
      <w:proofErr w:type="gramStart"/>
      <w:r w:rsidRPr="004344F6">
        <w:rPr>
          <w:rFonts w:eastAsiaTheme="minorHAnsi" w:cs="Calibri"/>
        </w:rPr>
        <w:t>criteria;</w:t>
      </w:r>
      <w:proofErr w:type="gramEnd"/>
    </w:p>
    <w:p w14:paraId="3D5C6E62" w14:textId="77777777" w:rsidR="004344F6" w:rsidRPr="004344F6" w:rsidRDefault="004344F6" w:rsidP="00E55FD2">
      <w:pPr>
        <w:numPr>
          <w:ilvl w:val="0"/>
          <w:numId w:val="17"/>
        </w:numPr>
        <w:spacing w:before="60" w:after="60"/>
        <w:rPr>
          <w:rFonts w:eastAsiaTheme="minorHAnsi" w:cs="Calibri"/>
        </w:rPr>
      </w:pPr>
      <w:r w:rsidRPr="004344F6">
        <w:rPr>
          <w:rFonts w:eastAsiaTheme="minorHAnsi" w:cs="Calibri"/>
        </w:rPr>
        <w:t xml:space="preserve">response </w:t>
      </w:r>
      <w:proofErr w:type="gramStart"/>
      <w:r w:rsidRPr="004344F6">
        <w:rPr>
          <w:rFonts w:eastAsiaTheme="minorHAnsi" w:cs="Calibri"/>
        </w:rPr>
        <w:t>criteria;</w:t>
      </w:r>
      <w:proofErr w:type="gramEnd"/>
    </w:p>
    <w:p w14:paraId="1E038A9B" w14:textId="77777777" w:rsidR="004344F6" w:rsidRPr="004344F6" w:rsidRDefault="004344F6" w:rsidP="00E55FD2">
      <w:pPr>
        <w:numPr>
          <w:ilvl w:val="0"/>
          <w:numId w:val="17"/>
        </w:numPr>
        <w:spacing w:before="60" w:after="60"/>
        <w:rPr>
          <w:rFonts w:eastAsiaTheme="minorHAnsi" w:cs="Calibri"/>
        </w:rPr>
      </w:pPr>
      <w:r w:rsidRPr="004344F6">
        <w:rPr>
          <w:rFonts w:eastAsiaTheme="minorHAnsi" w:cs="Calibri"/>
        </w:rPr>
        <w:t>requirements around prior and concomitant treatments; and</w:t>
      </w:r>
    </w:p>
    <w:p w14:paraId="08E93075" w14:textId="77777777" w:rsidR="004344F6" w:rsidRPr="004344F6" w:rsidRDefault="004344F6" w:rsidP="00E55FD2">
      <w:pPr>
        <w:numPr>
          <w:ilvl w:val="0"/>
          <w:numId w:val="17"/>
        </w:numPr>
        <w:spacing w:before="60" w:after="60"/>
        <w:rPr>
          <w:rFonts w:eastAsiaTheme="minorHAnsi" w:cs="Calibri"/>
          <w:szCs w:val="22"/>
          <w:lang w:val="en-GB"/>
        </w:rPr>
      </w:pPr>
      <w:r w:rsidRPr="004344F6">
        <w:rPr>
          <w:rFonts w:eastAsiaTheme="minorHAnsi" w:cs="Calibri"/>
          <w:szCs w:val="22"/>
          <w:lang w:val="en-GB"/>
        </w:rPr>
        <w:t xml:space="preserve">restriction structure around: balance of supply; grandfather arrangements (where applicable); a transition pathway between the bridging and refractory settings; any allowance for switching between the newer therapies; and recommencement in the refractory setting (if ceased for reasons other than loss of response or exceeding the </w:t>
      </w:r>
      <w:proofErr w:type="gramStart"/>
      <w:r w:rsidRPr="004344F6">
        <w:rPr>
          <w:rFonts w:eastAsiaTheme="minorHAnsi" w:cs="Calibri"/>
          <w:szCs w:val="22"/>
          <w:lang w:val="en-GB"/>
        </w:rPr>
        <w:t>six month</w:t>
      </w:r>
      <w:proofErr w:type="gramEnd"/>
      <w:r w:rsidRPr="004344F6">
        <w:rPr>
          <w:rFonts w:eastAsiaTheme="minorHAnsi" w:cs="Calibri"/>
          <w:szCs w:val="22"/>
          <w:lang w:val="en-GB"/>
        </w:rPr>
        <w:t xml:space="preserve"> duration in the bridging setting). </w:t>
      </w:r>
    </w:p>
    <w:p w14:paraId="74F4AB4D" w14:textId="49FF8ABC" w:rsidR="004344F6" w:rsidRPr="004344F6" w:rsidRDefault="004344F6" w:rsidP="00E55FD2">
      <w:pPr>
        <w:pStyle w:val="COMexecsummnumbered"/>
        <w:rPr>
          <w:rFonts w:cs="Calibri"/>
        </w:rPr>
      </w:pPr>
      <w:bookmarkStart w:id="90" w:name="_Ref193201170"/>
      <w:r w:rsidRPr="004344F6">
        <w:rPr>
          <w:rFonts w:cs="Calibri"/>
        </w:rPr>
        <w:t>The ESC noted that the NBA qualifying criteria for IVIg</w:t>
      </w:r>
      <w:r w:rsidRPr="004344F6">
        <w:rPr>
          <w:rFonts w:cs="Calibri"/>
          <w:vertAlign w:val="superscript"/>
        </w:rPr>
        <w:footnoteReference w:id="6"/>
      </w:r>
      <w:r w:rsidRPr="004344F6">
        <w:rPr>
          <w:rFonts w:cs="Calibri"/>
        </w:rPr>
        <w:t xml:space="preserve"> specifies that the patient has a Myasthenic Gravis Composite (MGC) of at least 4 points; and at least 2 other treatments are ineffective, contraindicated, unavailable or caused intolerable side effects. The ESC considered this was broad as the other treatments could comprise two of: an anti-cholinesterase; a corticosteroid; or thymectomy (i.e. there is no requirement for the patient to have trialled a</w:t>
      </w:r>
      <w:r w:rsidR="00584A05">
        <w:rPr>
          <w:rFonts w:cs="Calibri"/>
        </w:rPr>
        <w:t>n NS-IST</w:t>
      </w:r>
      <w:r w:rsidRPr="004344F6">
        <w:rPr>
          <w:rFonts w:cs="Calibri"/>
        </w:rPr>
        <w:t>) and no time periods are specified, nor is there a requirement for the doses to have been optimised.</w:t>
      </w:r>
      <w:bookmarkEnd w:id="90"/>
      <w:r w:rsidRPr="004344F6">
        <w:rPr>
          <w:rFonts w:cs="Calibri"/>
        </w:rPr>
        <w:t xml:space="preserve"> </w:t>
      </w:r>
    </w:p>
    <w:p w14:paraId="695CAF04" w14:textId="77777777" w:rsidR="004344F6" w:rsidRPr="004344F6" w:rsidRDefault="004344F6" w:rsidP="00E55FD2">
      <w:pPr>
        <w:pStyle w:val="COMexecsummnumbered"/>
        <w:rPr>
          <w:rFonts w:cs="Calibri"/>
        </w:rPr>
      </w:pPr>
      <w:r w:rsidRPr="004344F6">
        <w:t>The</w:t>
      </w:r>
      <w:r w:rsidRPr="004344F6">
        <w:rPr>
          <w:rFonts w:cs="Calibri"/>
        </w:rPr>
        <w:t xml:space="preserve"> ESC noted that the IVIg criteria are referred to as a ‘maintenance’ indication (i.e. “as maintenance therapy for moderate to severe MG when other treatments have been ineffective or caused intolerable side effects”), but that the criteria also stated “IVIg should be regarded as a stopgap treatment while using short-term drugs such as pyridostigmine and while introducing effective immunotherapy”. The ESC considered that it was likely that IVIg is being used in both the bridging and refractory settings. </w:t>
      </w:r>
    </w:p>
    <w:p w14:paraId="23B32B02" w14:textId="77777777" w:rsidR="004344F6" w:rsidRPr="004344F6" w:rsidRDefault="004344F6" w:rsidP="00E55FD2">
      <w:pPr>
        <w:pStyle w:val="COMexecsummnumbered"/>
        <w:rPr>
          <w:rFonts w:cs="Calibri"/>
        </w:rPr>
      </w:pPr>
      <w:r w:rsidRPr="004344F6">
        <w:rPr>
          <w:rFonts w:cs="Calibri"/>
        </w:rPr>
        <w:t>In both settings, the ESC considered that the new gMG therapies should substitute for IVIg and PLEX rather than be added on or used in combination, and that a reduction in IVIg use would be expected. The ESC considered that:</w:t>
      </w:r>
    </w:p>
    <w:p w14:paraId="2B85BD8D" w14:textId="6A56109E" w:rsidR="004344F6" w:rsidRPr="004344F6" w:rsidRDefault="004344F6" w:rsidP="00E55FD2">
      <w:pPr>
        <w:numPr>
          <w:ilvl w:val="0"/>
          <w:numId w:val="17"/>
        </w:numPr>
        <w:spacing w:before="60" w:after="60"/>
        <w:rPr>
          <w:rFonts w:eastAsiaTheme="minorHAnsi" w:cs="Calibri"/>
          <w:szCs w:val="22"/>
        </w:rPr>
      </w:pPr>
      <w:r w:rsidRPr="004344F6">
        <w:rPr>
          <w:rFonts w:eastAsiaTheme="minorHAnsi" w:cs="Calibri"/>
          <w:szCs w:val="22"/>
        </w:rPr>
        <w:t xml:space="preserve">the PBS restriction should state that the new therapy should not be used in combination with </w:t>
      </w:r>
      <w:r w:rsidR="00BC7B69" w:rsidRPr="00704B78">
        <w:rPr>
          <w:rFonts w:cs="Calibri"/>
        </w:rPr>
        <w:t>maintenance</w:t>
      </w:r>
      <w:r w:rsidR="00BC7B69">
        <w:rPr>
          <w:rFonts w:cs="Calibri"/>
        </w:rPr>
        <w:t xml:space="preserve"> use of</w:t>
      </w:r>
      <w:r w:rsidR="00BC7B69" w:rsidRPr="00704B78">
        <w:rPr>
          <w:rFonts w:cs="Calibri"/>
        </w:rPr>
        <w:t xml:space="preserve"> IVIg </w:t>
      </w:r>
      <w:r w:rsidR="00BC7B69">
        <w:rPr>
          <w:rFonts w:cs="Calibri"/>
        </w:rPr>
        <w:t xml:space="preserve">therapy </w:t>
      </w:r>
      <w:r w:rsidRPr="004344F6">
        <w:rPr>
          <w:rFonts w:eastAsiaTheme="minorHAnsi" w:cs="Calibri"/>
          <w:szCs w:val="22"/>
        </w:rPr>
        <w:t>(although use of IVIg prior to surgery or in a myasthenic crisis should be permitted</w:t>
      </w:r>
      <w:proofErr w:type="gramStart"/>
      <w:r w:rsidRPr="004344F6">
        <w:rPr>
          <w:rFonts w:eastAsiaTheme="minorHAnsi" w:cs="Calibri"/>
          <w:szCs w:val="22"/>
        </w:rPr>
        <w:t>);</w:t>
      </w:r>
      <w:proofErr w:type="gramEnd"/>
      <w:r w:rsidRPr="004344F6">
        <w:rPr>
          <w:rFonts w:eastAsiaTheme="minorHAnsi" w:cs="Calibri"/>
          <w:szCs w:val="22"/>
        </w:rPr>
        <w:t xml:space="preserve"> </w:t>
      </w:r>
    </w:p>
    <w:p w14:paraId="44C58B2F" w14:textId="77777777" w:rsidR="004344F6" w:rsidRPr="004344F6" w:rsidRDefault="004344F6" w:rsidP="00E55FD2">
      <w:pPr>
        <w:numPr>
          <w:ilvl w:val="0"/>
          <w:numId w:val="17"/>
        </w:numPr>
        <w:spacing w:before="60" w:after="60"/>
        <w:rPr>
          <w:rFonts w:eastAsiaTheme="minorHAnsi" w:cs="Calibri"/>
        </w:rPr>
      </w:pPr>
      <w:r w:rsidRPr="004344F6">
        <w:rPr>
          <w:rFonts w:eastAsiaTheme="minorHAnsi" w:cs="Calibri"/>
        </w:rPr>
        <w:t>there should be no requirement for the patient to have trialled prior IVIg (or PLEX); and</w:t>
      </w:r>
    </w:p>
    <w:p w14:paraId="6979766B" w14:textId="77777777" w:rsidR="004344F6" w:rsidRPr="004344F6" w:rsidRDefault="004344F6" w:rsidP="00E55FD2">
      <w:pPr>
        <w:numPr>
          <w:ilvl w:val="0"/>
          <w:numId w:val="17"/>
        </w:numPr>
        <w:spacing w:before="60" w:after="60"/>
        <w:rPr>
          <w:rFonts w:eastAsiaTheme="minorHAnsi" w:cs="Calibri"/>
          <w:szCs w:val="22"/>
        </w:rPr>
      </w:pPr>
      <w:r w:rsidRPr="004344F6">
        <w:rPr>
          <w:rFonts w:eastAsiaTheme="minorHAnsi" w:cs="Calibri"/>
          <w:szCs w:val="22"/>
        </w:rPr>
        <w:t>amendments to the prescribing criteria for IVIg may be required, along with systems to ensure that the anticipated reductions in IVIg use are realised.</w:t>
      </w:r>
    </w:p>
    <w:p w14:paraId="73C0D9BC" w14:textId="77777777" w:rsidR="004344F6" w:rsidRPr="004344F6" w:rsidRDefault="004344F6" w:rsidP="00E55FD2">
      <w:pPr>
        <w:spacing w:before="60" w:after="60"/>
        <w:outlineLvl w:val="1"/>
        <w:rPr>
          <w:rFonts w:cs="Calibri"/>
          <w:b/>
          <w:i/>
          <w:iCs/>
          <w:snapToGrid w:val="0"/>
        </w:rPr>
      </w:pPr>
      <w:r w:rsidRPr="004344F6">
        <w:rPr>
          <w:rFonts w:cs="Calibri"/>
          <w:b/>
          <w:i/>
          <w:iCs/>
          <w:snapToGrid w:val="0"/>
        </w:rPr>
        <w:t>ESC’s view on the comparator</w:t>
      </w:r>
    </w:p>
    <w:p w14:paraId="486DEC98" w14:textId="79A0925A" w:rsidR="004344F6" w:rsidRPr="004344F6" w:rsidRDefault="004344F6" w:rsidP="00E55FD2">
      <w:pPr>
        <w:pStyle w:val="COMexecsummnumbered"/>
        <w:rPr>
          <w:rFonts w:cs="Calibri"/>
          <w:lang w:val="en-GB"/>
        </w:rPr>
      </w:pPr>
      <w:r w:rsidRPr="004344F6">
        <w:rPr>
          <w:rFonts w:cs="Calibri"/>
          <w:lang w:val="en-GB"/>
        </w:rPr>
        <w:t xml:space="preserve">At </w:t>
      </w:r>
      <w:r w:rsidRPr="004344F6">
        <w:t>its</w:t>
      </w:r>
      <w:r w:rsidRPr="004344F6">
        <w:rPr>
          <w:rFonts w:cs="Calibri"/>
          <w:lang w:val="en-GB"/>
        </w:rPr>
        <w:t xml:space="preserve"> July 2024 meeting, the PBAC considered “for the non-refractory group, the comparator should be optimisation of existing therapies. For refractory patients and those who are unable to use or not responding to existing therapies, the PBAC acknowledged that there are variations in access to IVIg/PLEX and that any clinical comparisons may be limited by the lack of evidence for IVIg/PLEX. As such, the PBAC </w:t>
      </w:r>
      <w:r w:rsidRPr="004344F6">
        <w:rPr>
          <w:rFonts w:cs="Calibri"/>
          <w:lang w:val="en-GB"/>
        </w:rPr>
        <w:lastRenderedPageBreak/>
        <w:t xml:space="preserve">considered that placebo may be a reasonable comparator in this group. However, the PBAC considered that chronic IVIg/PLEX remained a relevant comparator for providing a frame of reference for interpreting the cost per patient of </w:t>
      </w:r>
      <w:proofErr w:type="spellStart"/>
      <w:r w:rsidRPr="004344F6">
        <w:rPr>
          <w:rFonts w:cs="Calibri"/>
          <w:lang w:val="en-GB"/>
        </w:rPr>
        <w:t>ravulizumab</w:t>
      </w:r>
      <w:proofErr w:type="spellEnd"/>
      <w:r w:rsidRPr="004344F6">
        <w:rPr>
          <w:rFonts w:cs="Calibri"/>
          <w:lang w:val="en-GB"/>
        </w:rPr>
        <w:t xml:space="preserve"> in the refractory setting” (paragraph 7.10, </w:t>
      </w:r>
      <w:proofErr w:type="spellStart"/>
      <w:r w:rsidRPr="004344F6">
        <w:rPr>
          <w:rFonts w:cs="Calibri"/>
          <w:lang w:val="en-GB"/>
        </w:rPr>
        <w:t>ravulizumab</w:t>
      </w:r>
      <w:proofErr w:type="spellEnd"/>
      <w:r w:rsidRPr="004344F6">
        <w:rPr>
          <w:rFonts w:cs="Calibri"/>
          <w:lang w:val="en-GB"/>
        </w:rPr>
        <w:t xml:space="preserve"> </w:t>
      </w:r>
      <w:r w:rsidR="009B67B4" w:rsidRPr="00AE5166">
        <w:rPr>
          <w:color w:val="808080"/>
        </w:rPr>
        <w:t xml:space="preserve">Public Summary Document </w:t>
      </w:r>
      <w:r w:rsidR="003A6CB6">
        <w:rPr>
          <w:color w:val="808080"/>
        </w:rPr>
        <w:t>(</w:t>
      </w:r>
      <w:r w:rsidRPr="004344F6">
        <w:rPr>
          <w:rFonts w:cs="Calibri"/>
          <w:lang w:val="en-GB"/>
        </w:rPr>
        <w:t>PSD</w:t>
      </w:r>
      <w:r w:rsidR="003A6CB6">
        <w:rPr>
          <w:rFonts w:cs="Calibri"/>
          <w:lang w:val="en-GB"/>
        </w:rPr>
        <w:t>)</w:t>
      </w:r>
      <w:r w:rsidRPr="004344F6">
        <w:rPr>
          <w:rFonts w:cs="Calibri"/>
          <w:lang w:val="en-GB"/>
        </w:rPr>
        <w:t xml:space="preserve">, July 2024 PBAC meeting). </w:t>
      </w:r>
    </w:p>
    <w:p w14:paraId="3C1A6141" w14:textId="77777777" w:rsidR="004344F6" w:rsidRPr="004344F6" w:rsidRDefault="004344F6" w:rsidP="00E55FD2">
      <w:pPr>
        <w:pStyle w:val="COMexecsummnumbered"/>
        <w:rPr>
          <w:rFonts w:cs="Calibri"/>
          <w:lang w:val="en-GB"/>
        </w:rPr>
      </w:pPr>
      <w:r w:rsidRPr="004344F6">
        <w:rPr>
          <w:rFonts w:cs="Calibri"/>
          <w:lang w:val="en-GB"/>
        </w:rPr>
        <w:t xml:space="preserve">As such, the ESC reiterated the PBAC’s previous advice that chronic IVIg was a relevant comparator for providing a frame of reference for interpreting the cost per patient of the newer </w:t>
      </w:r>
      <w:proofErr w:type="spellStart"/>
      <w:r w:rsidRPr="004344F6">
        <w:rPr>
          <w:rFonts w:cs="Calibri"/>
          <w:lang w:val="en-GB"/>
        </w:rPr>
        <w:t>gMG</w:t>
      </w:r>
      <w:proofErr w:type="spellEnd"/>
      <w:r w:rsidRPr="004344F6">
        <w:rPr>
          <w:rFonts w:cs="Calibri"/>
          <w:lang w:val="en-GB"/>
        </w:rPr>
        <w:t xml:space="preserve"> therapies in the refractory setting.</w:t>
      </w:r>
    </w:p>
    <w:p w14:paraId="5B11D2E1" w14:textId="223DDD7F" w:rsidR="004344F6" w:rsidRPr="004344F6" w:rsidRDefault="004344F6" w:rsidP="00E55FD2">
      <w:pPr>
        <w:pStyle w:val="COMexecsummnumbered"/>
        <w:rPr>
          <w:rFonts w:cs="Calibri"/>
        </w:rPr>
      </w:pPr>
      <w:r w:rsidRPr="004344F6">
        <w:rPr>
          <w:rFonts w:cs="Calibri"/>
        </w:rPr>
        <w:t xml:space="preserve">The </w:t>
      </w:r>
      <w:r w:rsidRPr="004344F6">
        <w:t>ESC</w:t>
      </w:r>
      <w:r w:rsidRPr="004344F6">
        <w:rPr>
          <w:rFonts w:cs="Calibri"/>
        </w:rPr>
        <w:t xml:space="preserve"> considered that the four gMG therapies considered at the March 2025 meeting (efgartigimod, rozanolixizumab, </w:t>
      </w:r>
      <w:proofErr w:type="spellStart"/>
      <w:r w:rsidRPr="004344F6">
        <w:rPr>
          <w:rFonts w:cs="Calibri"/>
        </w:rPr>
        <w:t>ravulizumab</w:t>
      </w:r>
      <w:proofErr w:type="spellEnd"/>
      <w:r w:rsidRPr="004344F6">
        <w:rPr>
          <w:rFonts w:cs="Calibri"/>
        </w:rPr>
        <w:t xml:space="preserve"> and </w:t>
      </w:r>
      <w:proofErr w:type="spellStart"/>
      <w:r w:rsidRPr="004344F6">
        <w:rPr>
          <w:rFonts w:cs="Calibri"/>
        </w:rPr>
        <w:t>zilucoplan</w:t>
      </w:r>
      <w:proofErr w:type="spellEnd"/>
      <w:r w:rsidRPr="004344F6">
        <w:rPr>
          <w:rFonts w:cs="Calibri"/>
        </w:rPr>
        <w:t>) were all near-market comparators to each other.</w:t>
      </w:r>
    </w:p>
    <w:p w14:paraId="55D3DA87" w14:textId="77777777" w:rsidR="004344F6" w:rsidRPr="004344F6" w:rsidRDefault="004344F6" w:rsidP="00E55FD2">
      <w:pPr>
        <w:spacing w:before="60" w:after="60"/>
        <w:outlineLvl w:val="1"/>
        <w:rPr>
          <w:rFonts w:cs="Calibri"/>
          <w:b/>
          <w:i/>
          <w:iCs/>
          <w:snapToGrid w:val="0"/>
        </w:rPr>
      </w:pPr>
      <w:r w:rsidRPr="004344F6">
        <w:rPr>
          <w:rFonts w:cs="Calibri"/>
          <w:b/>
          <w:i/>
          <w:iCs/>
          <w:snapToGrid w:val="0"/>
        </w:rPr>
        <w:t>ESC’s view on the comparative effectiveness and safety</w:t>
      </w:r>
    </w:p>
    <w:p w14:paraId="3B735040" w14:textId="77777777" w:rsidR="004344F6" w:rsidRPr="004344F6" w:rsidRDefault="004344F6" w:rsidP="00E55FD2">
      <w:pPr>
        <w:pStyle w:val="COMexecsummnumbered"/>
        <w:rPr>
          <w:rFonts w:cs="Calibri"/>
          <w:lang w:val="en-GB"/>
        </w:rPr>
      </w:pPr>
      <w:r w:rsidRPr="004344F6">
        <w:rPr>
          <w:rFonts w:cs="Calibri"/>
          <w:lang w:val="en-GB"/>
        </w:rPr>
        <w:t xml:space="preserve">The ESC noted the PBAC’s previous advice that “for the non-refractory group, the comparator should be optimisation of existing therapies”, but that none of the trials for the new therapies required baseline therapies to have been optimised. </w:t>
      </w:r>
    </w:p>
    <w:p w14:paraId="51DA6D9B" w14:textId="7C509A59" w:rsidR="004344F6" w:rsidRPr="004344F6" w:rsidRDefault="004344F6" w:rsidP="00E55FD2">
      <w:pPr>
        <w:pStyle w:val="COMexecsummnumbered"/>
        <w:rPr>
          <w:rFonts w:cs="Calibri"/>
          <w:lang w:val="en-GB"/>
        </w:rPr>
      </w:pPr>
      <w:r w:rsidRPr="004344F6">
        <w:rPr>
          <w:rFonts w:cs="Calibri"/>
          <w:lang w:val="en-GB"/>
        </w:rPr>
        <w:t xml:space="preserve">The ESC considered that there was no evidence to suggest superior efficacy or safety between any of the four new </w:t>
      </w:r>
      <w:proofErr w:type="spellStart"/>
      <w:r w:rsidRPr="004344F6">
        <w:rPr>
          <w:rFonts w:cs="Calibri"/>
          <w:lang w:val="en-GB"/>
        </w:rPr>
        <w:t>gMG</w:t>
      </w:r>
      <w:proofErr w:type="spellEnd"/>
      <w:r w:rsidRPr="004344F6">
        <w:rPr>
          <w:rFonts w:cs="Calibri"/>
          <w:lang w:val="en-GB"/>
        </w:rPr>
        <w:t xml:space="preserve"> therapies (</w:t>
      </w:r>
      <w:proofErr w:type="spellStart"/>
      <w:r w:rsidRPr="004344F6">
        <w:rPr>
          <w:rFonts w:cs="Calibri"/>
          <w:lang w:val="en-GB"/>
        </w:rPr>
        <w:t>zilucoplan</w:t>
      </w:r>
      <w:proofErr w:type="spellEnd"/>
      <w:r w:rsidRPr="004344F6">
        <w:rPr>
          <w:rFonts w:cs="Calibri"/>
          <w:lang w:val="en-GB"/>
        </w:rPr>
        <w:t xml:space="preserve">, </w:t>
      </w:r>
      <w:proofErr w:type="spellStart"/>
      <w:r w:rsidRPr="004344F6">
        <w:rPr>
          <w:rFonts w:cs="Calibri"/>
          <w:lang w:val="en-GB"/>
        </w:rPr>
        <w:t>ravulizumab</w:t>
      </w:r>
      <w:proofErr w:type="spellEnd"/>
      <w:r w:rsidRPr="004344F6">
        <w:rPr>
          <w:rFonts w:cs="Calibri"/>
          <w:lang w:val="en-GB"/>
        </w:rPr>
        <w:t xml:space="preserve">, efgartigimod and </w:t>
      </w:r>
      <w:proofErr w:type="spellStart"/>
      <w:r w:rsidRPr="004344F6">
        <w:rPr>
          <w:rFonts w:cs="Calibri"/>
          <w:lang w:val="en-GB"/>
        </w:rPr>
        <w:t>rozanolixizumab</w:t>
      </w:r>
      <w:proofErr w:type="spellEnd"/>
      <w:r w:rsidRPr="004344F6">
        <w:rPr>
          <w:rFonts w:cs="Calibri"/>
          <w:lang w:val="en-GB"/>
        </w:rPr>
        <w:t xml:space="preserve">). The ESC considered that the published </w:t>
      </w:r>
      <w:r w:rsidR="00C56889">
        <w:rPr>
          <w:rFonts w:cs="Calibri"/>
          <w:lang w:val="en-GB"/>
        </w:rPr>
        <w:t>NMAs</w:t>
      </w:r>
      <w:r w:rsidRPr="004344F6">
        <w:rPr>
          <w:rFonts w:cs="Calibri"/>
          <w:lang w:val="en-GB"/>
        </w:rPr>
        <w:t xml:space="preserve"> had substantial limitations, notably the poor transitivity between the included trials and lack of accounting for the treatment effects of </w:t>
      </w:r>
      <w:proofErr w:type="spellStart"/>
      <w:r w:rsidRPr="004344F6">
        <w:rPr>
          <w:rFonts w:cs="Calibri"/>
          <w:lang w:val="en-GB"/>
        </w:rPr>
        <w:t>FcRn</w:t>
      </w:r>
      <w:proofErr w:type="spellEnd"/>
      <w:r w:rsidRPr="004344F6">
        <w:rPr>
          <w:rFonts w:cs="Calibri"/>
          <w:lang w:val="en-GB"/>
        </w:rPr>
        <w:t xml:space="preserve"> blockers waning over time during the off-treatment period.</w:t>
      </w:r>
      <w:r w:rsidR="0077631D">
        <w:rPr>
          <w:rFonts w:cs="Calibri"/>
          <w:lang w:val="en-GB"/>
        </w:rPr>
        <w:t xml:space="preserve"> </w:t>
      </w:r>
    </w:p>
    <w:p w14:paraId="43ABC2A7" w14:textId="77777777" w:rsidR="004344F6" w:rsidRPr="004344F6" w:rsidRDefault="004344F6" w:rsidP="00E55FD2">
      <w:pPr>
        <w:pStyle w:val="COMexecsummnumbered"/>
        <w:rPr>
          <w:rFonts w:cs="Calibri"/>
        </w:rPr>
      </w:pPr>
      <w:r w:rsidRPr="004344F6">
        <w:t>Further</w:t>
      </w:r>
      <w:r w:rsidRPr="004344F6">
        <w:rPr>
          <w:rFonts w:cs="Calibri"/>
        </w:rPr>
        <w:t>, the ESC acknowledged the limitations of the available evidence for chronic IVIg but considered that there was no evidence to suggest superior efficacy of any of the four new gMG therapies versus chronic IVIg or PLEX.</w:t>
      </w:r>
    </w:p>
    <w:p w14:paraId="2F57575D" w14:textId="77777777" w:rsidR="004344F6" w:rsidRPr="004344F6" w:rsidRDefault="004344F6" w:rsidP="00E55FD2">
      <w:pPr>
        <w:spacing w:before="60" w:after="60"/>
        <w:outlineLvl w:val="1"/>
        <w:rPr>
          <w:rFonts w:cs="Calibri"/>
          <w:b/>
          <w:i/>
          <w:iCs/>
          <w:snapToGrid w:val="0"/>
        </w:rPr>
      </w:pPr>
      <w:r w:rsidRPr="004344F6">
        <w:rPr>
          <w:rFonts w:eastAsiaTheme="minorHAnsi" w:cs="Calibri"/>
          <w:b/>
          <w:i/>
          <w:iCs/>
          <w:szCs w:val="22"/>
          <w:lang w:val="en-GB"/>
        </w:rPr>
        <w:t>ESC’s view on the e</w:t>
      </w:r>
      <w:proofErr w:type="spellStart"/>
      <w:r w:rsidRPr="004344F6">
        <w:rPr>
          <w:rFonts w:cs="Calibri"/>
          <w:b/>
          <w:i/>
          <w:iCs/>
          <w:snapToGrid w:val="0"/>
        </w:rPr>
        <w:t>conomic</w:t>
      </w:r>
      <w:proofErr w:type="spellEnd"/>
      <w:r w:rsidRPr="004344F6">
        <w:rPr>
          <w:rFonts w:cs="Calibri"/>
          <w:b/>
          <w:i/>
          <w:iCs/>
          <w:snapToGrid w:val="0"/>
        </w:rPr>
        <w:t xml:space="preserve"> analysis</w:t>
      </w:r>
    </w:p>
    <w:p w14:paraId="44BF4455" w14:textId="77777777" w:rsidR="004344F6" w:rsidRPr="004344F6" w:rsidRDefault="004344F6" w:rsidP="00E55FD2">
      <w:pPr>
        <w:pStyle w:val="COMexecsummnumbered"/>
        <w:rPr>
          <w:rFonts w:cs="Calibri"/>
        </w:rPr>
      </w:pPr>
      <w:r w:rsidRPr="004344F6">
        <w:rPr>
          <w:rFonts w:cs="Calibri"/>
        </w:rPr>
        <w:t xml:space="preserve">The </w:t>
      </w:r>
      <w:r w:rsidRPr="004344F6">
        <w:t>ESC</w:t>
      </w:r>
      <w:r w:rsidRPr="004344F6">
        <w:rPr>
          <w:rFonts w:cs="Calibri"/>
        </w:rPr>
        <w:t xml:space="preserve"> considered that any cost-utility analyses for the new therapies would be limited by the lack of available information to reliably inform the model. </w:t>
      </w:r>
    </w:p>
    <w:p w14:paraId="78AD3788" w14:textId="228BF466" w:rsidR="004344F6" w:rsidRPr="004344F6" w:rsidRDefault="004344F6" w:rsidP="00E55FD2">
      <w:pPr>
        <w:pStyle w:val="COMexecsummnumbered"/>
        <w:rPr>
          <w:rFonts w:cs="Calibri"/>
          <w:lang w:val="en-GB"/>
        </w:rPr>
      </w:pPr>
      <w:r w:rsidRPr="004344F6">
        <w:rPr>
          <w:rFonts w:cs="Calibri"/>
          <w:lang w:val="en-GB"/>
        </w:rPr>
        <w:t>The ESC considered a cost-</w:t>
      </w:r>
      <w:r w:rsidR="00FA065C">
        <w:rPr>
          <w:rFonts w:cs="Calibri"/>
          <w:lang w:val="en-GB"/>
        </w:rPr>
        <w:t>comparison</w:t>
      </w:r>
      <w:r w:rsidRPr="004344F6">
        <w:rPr>
          <w:rFonts w:cs="Calibri"/>
          <w:lang w:val="en-GB"/>
        </w:rPr>
        <w:t xml:space="preserve"> approach versus IVIg may provide an appropriate frame of reference for interpreting the cost of each of the four new therapies in the refractory setting. The ESC was less certain as to whether this approach would be appropriate in the bridging setting.</w:t>
      </w:r>
    </w:p>
    <w:p w14:paraId="283867A0" w14:textId="45B1B402" w:rsidR="004344F6" w:rsidRPr="004344F6" w:rsidRDefault="004344F6" w:rsidP="00E55FD2">
      <w:pPr>
        <w:pStyle w:val="COMexecsummnumbered"/>
        <w:rPr>
          <w:rFonts w:cs="Calibri"/>
        </w:rPr>
      </w:pPr>
      <w:r w:rsidRPr="004344F6">
        <w:fldChar w:fldCharType="begin"/>
      </w:r>
      <w:r w:rsidRPr="004344F6">
        <w:instrText xml:space="preserve"> REF _Ref193116172 \h </w:instrText>
      </w:r>
      <w:r>
        <w:instrText xml:space="preserve"> \* MERGEFORMAT </w:instrText>
      </w:r>
      <w:r w:rsidRPr="004344F6">
        <w:fldChar w:fldCharType="separate"/>
      </w:r>
      <w:r w:rsidR="00271F88" w:rsidRPr="00271F88">
        <w:t xml:space="preserve">Table </w:t>
      </w:r>
      <w:r w:rsidR="00271F88" w:rsidRPr="00271F88">
        <w:rPr>
          <w:noProof/>
        </w:rPr>
        <w:t>18</w:t>
      </w:r>
      <w:r w:rsidRPr="004344F6">
        <w:rPr>
          <w:rFonts w:cs="Calibri"/>
        </w:rPr>
        <w:fldChar w:fldCharType="end"/>
      </w:r>
      <w:r w:rsidRPr="004344F6">
        <w:rPr>
          <w:rFonts w:cs="Calibri"/>
        </w:rPr>
        <w:t xml:space="preserve"> summarises data received from the </w:t>
      </w:r>
      <w:r w:rsidR="00ED064E">
        <w:rPr>
          <w:rFonts w:cs="Calibri"/>
        </w:rPr>
        <w:t>NBA</w:t>
      </w:r>
      <w:r w:rsidRPr="004344F6">
        <w:rPr>
          <w:rFonts w:cs="Calibri"/>
        </w:rPr>
        <w:t xml:space="preserve"> on the utilisation of IVIg as maintenance therapy for myasthenia gravis in 2023-24. </w:t>
      </w:r>
    </w:p>
    <w:p w14:paraId="16EC2B7C" w14:textId="1661D5DE" w:rsidR="004344F6" w:rsidRPr="004344F6" w:rsidRDefault="004344F6" w:rsidP="00E55FD2">
      <w:pPr>
        <w:keepNext/>
        <w:keepLines/>
        <w:jc w:val="left"/>
        <w:rPr>
          <w:rFonts w:ascii="Arial Narrow" w:eastAsiaTheme="majorEastAsia" w:hAnsi="Arial Narrow" w:cstheme="majorBidi"/>
          <w:b/>
          <w:bCs/>
          <w:color w:val="3366FF"/>
          <w:sz w:val="20"/>
          <w:szCs w:val="20"/>
          <w:lang w:eastAsia="en-US" w:bidi="en-US"/>
        </w:rPr>
      </w:pPr>
      <w:bookmarkStart w:id="91" w:name="_Ref193116172"/>
      <w:r w:rsidRPr="004344F6">
        <w:rPr>
          <w:rFonts w:ascii="Arial Narrow" w:eastAsiaTheme="majorEastAsia" w:hAnsi="Arial Narrow" w:cstheme="majorBidi"/>
          <w:b/>
          <w:bCs/>
          <w:sz w:val="20"/>
          <w:szCs w:val="20"/>
          <w:lang w:eastAsia="en-US" w:bidi="en-US"/>
        </w:rPr>
        <w:lastRenderedPageBreak/>
        <w:t xml:space="preserve">Table </w:t>
      </w:r>
      <w:r w:rsidRPr="004344F6">
        <w:rPr>
          <w:rFonts w:ascii="Arial Narrow" w:eastAsiaTheme="majorEastAsia" w:hAnsi="Arial Narrow" w:cstheme="majorBidi"/>
          <w:b/>
          <w:bCs/>
          <w:sz w:val="20"/>
          <w:szCs w:val="20"/>
          <w:lang w:eastAsia="en-US" w:bidi="en-US"/>
        </w:rPr>
        <w:fldChar w:fldCharType="begin"/>
      </w:r>
      <w:r w:rsidRPr="004344F6">
        <w:rPr>
          <w:rFonts w:ascii="Arial Narrow" w:eastAsiaTheme="majorEastAsia" w:hAnsi="Arial Narrow" w:cstheme="majorBidi"/>
          <w:b/>
          <w:bCs/>
          <w:sz w:val="20"/>
          <w:szCs w:val="20"/>
          <w:lang w:eastAsia="en-US" w:bidi="en-US"/>
        </w:rPr>
        <w:instrText xml:space="preserve"> SEQ Table \* ARABIC </w:instrText>
      </w:r>
      <w:r w:rsidRPr="004344F6">
        <w:rPr>
          <w:rFonts w:ascii="Arial Narrow" w:eastAsiaTheme="majorEastAsia" w:hAnsi="Arial Narrow" w:cstheme="majorBidi"/>
          <w:b/>
          <w:bCs/>
          <w:sz w:val="20"/>
          <w:szCs w:val="20"/>
          <w:lang w:eastAsia="en-US" w:bidi="en-US"/>
        </w:rPr>
        <w:fldChar w:fldCharType="separate"/>
      </w:r>
      <w:r w:rsidR="00271F88">
        <w:rPr>
          <w:rFonts w:ascii="Arial Narrow" w:eastAsiaTheme="majorEastAsia" w:hAnsi="Arial Narrow" w:cstheme="majorBidi"/>
          <w:b/>
          <w:bCs/>
          <w:noProof/>
          <w:sz w:val="20"/>
          <w:szCs w:val="20"/>
          <w:lang w:eastAsia="en-US" w:bidi="en-US"/>
        </w:rPr>
        <w:t>18</w:t>
      </w:r>
      <w:r w:rsidRPr="004344F6">
        <w:rPr>
          <w:rFonts w:ascii="Arial Narrow" w:eastAsiaTheme="majorEastAsia" w:hAnsi="Arial Narrow" w:cstheme="majorBidi"/>
          <w:b/>
          <w:bCs/>
          <w:sz w:val="20"/>
          <w:szCs w:val="20"/>
          <w:lang w:eastAsia="en-US" w:bidi="en-US"/>
        </w:rPr>
        <w:fldChar w:fldCharType="end"/>
      </w:r>
      <w:bookmarkEnd w:id="91"/>
      <w:r w:rsidRPr="004344F6">
        <w:rPr>
          <w:rFonts w:ascii="Arial Narrow" w:eastAsiaTheme="majorEastAsia" w:hAnsi="Arial Narrow" w:cstheme="majorBidi"/>
          <w:b/>
          <w:bCs/>
          <w:sz w:val="20"/>
          <w:szCs w:val="20"/>
          <w:lang w:eastAsia="en-US" w:bidi="en-US"/>
        </w:rPr>
        <w:t>: Data received from the NBA on the use of IVIg for maintenance treatment of gMG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Data received from the NBA on the use of IVIg for maintenance treatment of gMG"/>
      </w:tblPr>
      <w:tblGrid>
        <w:gridCol w:w="6092"/>
        <w:gridCol w:w="2925"/>
      </w:tblGrid>
      <w:tr w:rsidR="004344F6" w:rsidRPr="004344F6" w14:paraId="7A0EF9C7" w14:textId="77777777" w:rsidTr="004A29E1">
        <w:tc>
          <w:tcPr>
            <w:tcW w:w="3378" w:type="pct"/>
            <w:shd w:val="clear" w:color="auto" w:fill="auto"/>
            <w:vAlign w:val="center"/>
          </w:tcPr>
          <w:p w14:paraId="7D4CFD06" w14:textId="77777777" w:rsidR="004344F6" w:rsidRPr="004344F6" w:rsidRDefault="004344F6" w:rsidP="00E55FD2">
            <w:pPr>
              <w:keepNext/>
              <w:keepLines/>
              <w:jc w:val="left"/>
              <w:rPr>
                <w:rFonts w:ascii="Arial Narrow" w:eastAsiaTheme="majorEastAsia" w:hAnsi="Arial Narrow" w:cstheme="majorBidi"/>
                <w:bCs/>
                <w:sz w:val="20"/>
              </w:rPr>
            </w:pPr>
            <w:r w:rsidRPr="004344F6">
              <w:rPr>
                <w:rFonts w:ascii="Arial Narrow" w:eastAsiaTheme="majorEastAsia" w:hAnsi="Arial Narrow" w:cstheme="majorBidi"/>
                <w:bCs/>
                <w:sz w:val="20"/>
              </w:rPr>
              <w:t>Average cost per gram of IVIg (across all indications on the NBA)</w:t>
            </w:r>
          </w:p>
        </w:tc>
        <w:tc>
          <w:tcPr>
            <w:tcW w:w="1622" w:type="pct"/>
            <w:shd w:val="clear" w:color="auto" w:fill="auto"/>
            <w:vAlign w:val="center"/>
          </w:tcPr>
          <w:p w14:paraId="0D93CC3D" w14:textId="5563B7E3"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w:t>
            </w:r>
            <w:r w:rsidR="0011411E" w:rsidRPr="0011411E">
              <w:rPr>
                <w:rFonts w:ascii="Arial Narrow" w:eastAsiaTheme="majorEastAsia" w:hAnsi="Arial Narrow" w:cstheme="majorBidi"/>
                <w:bCs/>
                <w:color w:val="000000"/>
                <w:spacing w:val="53"/>
                <w:sz w:val="20"/>
                <w:shd w:val="solid" w:color="000000" w:fill="000000"/>
                <w:fitText w:val="330" w:id="-656192241"/>
                <w14:textFill>
                  <w14:solidFill>
                    <w14:srgbClr w14:val="000000">
                      <w14:alpha w14:val="100000"/>
                    </w14:srgbClr>
                  </w14:solidFill>
                </w14:textFill>
              </w:rPr>
              <w:t>|||</w:t>
            </w:r>
            <w:r w:rsidR="0011411E" w:rsidRPr="0011411E">
              <w:rPr>
                <w:rFonts w:ascii="Arial Narrow" w:eastAsiaTheme="majorEastAsia" w:hAnsi="Arial Narrow" w:cstheme="majorBidi"/>
                <w:bCs/>
                <w:color w:val="000000"/>
                <w:spacing w:val="1"/>
                <w:sz w:val="20"/>
                <w:shd w:val="solid" w:color="000000" w:fill="000000"/>
                <w:fitText w:val="330" w:id="-656192241"/>
                <w14:textFill>
                  <w14:solidFill>
                    <w14:srgbClr w14:val="000000">
                      <w14:alpha w14:val="100000"/>
                    </w14:srgbClr>
                  </w14:solidFill>
                </w14:textFill>
              </w:rPr>
              <w:t>|</w:t>
            </w:r>
          </w:p>
        </w:tc>
      </w:tr>
      <w:tr w:rsidR="004344F6" w:rsidRPr="004344F6" w14:paraId="7D9C19E3" w14:textId="77777777" w:rsidTr="004A29E1">
        <w:tc>
          <w:tcPr>
            <w:tcW w:w="5000" w:type="pct"/>
            <w:gridSpan w:val="2"/>
            <w:shd w:val="clear" w:color="auto" w:fill="auto"/>
            <w:vAlign w:val="center"/>
          </w:tcPr>
          <w:p w14:paraId="2B913B49" w14:textId="77777777" w:rsidR="004344F6" w:rsidRPr="00F67F99" w:rsidRDefault="004344F6" w:rsidP="00E55FD2">
            <w:pPr>
              <w:keepNext/>
              <w:keepLines/>
              <w:jc w:val="left"/>
              <w:rPr>
                <w:rFonts w:ascii="Arial Narrow" w:eastAsiaTheme="majorEastAsia" w:hAnsi="Arial Narrow" w:cstheme="majorBidi"/>
                <w:b/>
                <w:bCs/>
                <w:sz w:val="20"/>
              </w:rPr>
            </w:pPr>
            <w:r w:rsidRPr="00F67F99">
              <w:rPr>
                <w:rFonts w:ascii="Arial Narrow" w:eastAsiaTheme="majorEastAsia" w:hAnsi="Arial Narrow" w:cstheme="majorBidi"/>
                <w:b/>
                <w:bCs/>
                <w:sz w:val="20"/>
              </w:rPr>
              <w:t>Data below is specific to the myasthenia gravis maintenance setting</w:t>
            </w:r>
          </w:p>
        </w:tc>
      </w:tr>
      <w:tr w:rsidR="004344F6" w:rsidRPr="004344F6" w14:paraId="04B064FB" w14:textId="77777777" w:rsidTr="004A29E1">
        <w:tc>
          <w:tcPr>
            <w:tcW w:w="3378" w:type="pct"/>
            <w:shd w:val="clear" w:color="auto" w:fill="auto"/>
            <w:vAlign w:val="center"/>
          </w:tcPr>
          <w:p w14:paraId="689A0669" w14:textId="77777777" w:rsidR="004344F6" w:rsidRPr="004344F6" w:rsidRDefault="004344F6" w:rsidP="00E55FD2">
            <w:pPr>
              <w:keepNext/>
              <w:keepLines/>
              <w:jc w:val="left"/>
              <w:rPr>
                <w:rFonts w:ascii="Arial Narrow" w:eastAsiaTheme="majorEastAsia" w:hAnsi="Arial Narrow" w:cstheme="majorBidi"/>
                <w:bCs/>
                <w:sz w:val="20"/>
              </w:rPr>
            </w:pPr>
            <w:r w:rsidRPr="004344F6">
              <w:rPr>
                <w:rFonts w:ascii="Arial Narrow" w:eastAsiaTheme="majorEastAsia" w:hAnsi="Arial Narrow" w:cstheme="majorBidi"/>
                <w:bCs/>
                <w:sz w:val="20"/>
              </w:rPr>
              <w:t xml:space="preserve">Average number of ‘dispensing events’ per patient in 2023-24 </w:t>
            </w:r>
          </w:p>
        </w:tc>
        <w:tc>
          <w:tcPr>
            <w:tcW w:w="1622" w:type="pct"/>
            <w:shd w:val="clear" w:color="auto" w:fill="auto"/>
            <w:vAlign w:val="center"/>
          </w:tcPr>
          <w:p w14:paraId="77F4C82D"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15.7 per patient per year</w:t>
            </w:r>
          </w:p>
        </w:tc>
      </w:tr>
      <w:tr w:rsidR="004344F6" w:rsidRPr="004344F6" w14:paraId="773EA406" w14:textId="77777777" w:rsidTr="004A29E1">
        <w:tc>
          <w:tcPr>
            <w:tcW w:w="3378" w:type="pct"/>
            <w:shd w:val="clear" w:color="auto" w:fill="auto"/>
            <w:vAlign w:val="center"/>
          </w:tcPr>
          <w:p w14:paraId="7E1EA3C2" w14:textId="77777777" w:rsidR="004344F6" w:rsidRPr="004344F6" w:rsidRDefault="004344F6" w:rsidP="00E55FD2">
            <w:pPr>
              <w:keepNext/>
              <w:keepLines/>
              <w:jc w:val="left"/>
              <w:rPr>
                <w:rFonts w:ascii="Arial Narrow" w:eastAsiaTheme="majorEastAsia" w:hAnsi="Arial Narrow" w:cstheme="majorBidi"/>
                <w:bCs/>
                <w:sz w:val="20"/>
              </w:rPr>
            </w:pPr>
            <w:r w:rsidRPr="004344F6">
              <w:rPr>
                <w:rFonts w:ascii="Arial Narrow" w:eastAsiaTheme="majorEastAsia" w:hAnsi="Arial Narrow" w:cstheme="majorBidi"/>
                <w:bCs/>
                <w:sz w:val="20"/>
              </w:rPr>
              <w:t xml:space="preserve">Average total annual dose in 2023-24 </w:t>
            </w:r>
            <w:r w:rsidRPr="004344F6">
              <w:rPr>
                <w:rFonts w:ascii="Arial Narrow" w:eastAsiaTheme="majorEastAsia" w:hAnsi="Arial Narrow" w:cstheme="majorBidi"/>
                <w:bCs/>
                <w:sz w:val="20"/>
                <w:vertAlign w:val="superscript"/>
              </w:rPr>
              <w:t>a</w:t>
            </w:r>
          </w:p>
        </w:tc>
        <w:tc>
          <w:tcPr>
            <w:tcW w:w="1622" w:type="pct"/>
            <w:shd w:val="clear" w:color="auto" w:fill="auto"/>
            <w:vAlign w:val="center"/>
          </w:tcPr>
          <w:p w14:paraId="787D3A9D" w14:textId="62632F8B"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541.</w:t>
            </w:r>
            <w:r w:rsidR="00C56889" w:rsidRPr="00F67F99">
              <w:rPr>
                <w:rFonts w:ascii="Arial Narrow" w:eastAsiaTheme="majorEastAsia" w:hAnsi="Arial Narrow" w:cstheme="majorBidi"/>
                <w:bCs/>
                <w:sz w:val="20"/>
              </w:rPr>
              <w:t>0625</w:t>
            </w:r>
            <w:r w:rsidRPr="00F67F99">
              <w:rPr>
                <w:rFonts w:ascii="Arial Narrow" w:eastAsiaTheme="majorEastAsia" w:hAnsi="Arial Narrow" w:cstheme="majorBidi"/>
                <w:bCs/>
                <w:sz w:val="20"/>
              </w:rPr>
              <w:t xml:space="preserve"> grams</w:t>
            </w:r>
          </w:p>
        </w:tc>
      </w:tr>
      <w:tr w:rsidR="004344F6" w:rsidRPr="004344F6" w14:paraId="049B48C1" w14:textId="77777777" w:rsidTr="004A29E1">
        <w:tc>
          <w:tcPr>
            <w:tcW w:w="3378" w:type="pct"/>
            <w:shd w:val="clear" w:color="auto" w:fill="auto"/>
            <w:vAlign w:val="center"/>
          </w:tcPr>
          <w:p w14:paraId="39277849" w14:textId="77777777" w:rsidR="004344F6" w:rsidRPr="004344F6" w:rsidRDefault="004344F6" w:rsidP="00E55FD2">
            <w:pPr>
              <w:keepNext/>
              <w:keepLines/>
              <w:jc w:val="left"/>
              <w:rPr>
                <w:rFonts w:ascii="Arial Narrow" w:eastAsiaTheme="majorEastAsia" w:hAnsi="Arial Narrow" w:cstheme="majorBidi"/>
                <w:bCs/>
                <w:sz w:val="20"/>
              </w:rPr>
            </w:pPr>
            <w:r w:rsidRPr="004344F6">
              <w:rPr>
                <w:rFonts w:ascii="Arial Narrow" w:eastAsiaTheme="majorEastAsia" w:hAnsi="Arial Narrow" w:cstheme="majorBidi"/>
                <w:bCs/>
                <w:sz w:val="20"/>
              </w:rPr>
              <w:t>Average grams per ‘dispensing event’</w:t>
            </w:r>
          </w:p>
        </w:tc>
        <w:tc>
          <w:tcPr>
            <w:tcW w:w="1622" w:type="pct"/>
            <w:shd w:val="clear" w:color="auto" w:fill="auto"/>
            <w:vAlign w:val="center"/>
          </w:tcPr>
          <w:p w14:paraId="3A3E56F8"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34.4 grams</w:t>
            </w:r>
          </w:p>
        </w:tc>
      </w:tr>
      <w:tr w:rsidR="004344F6" w:rsidRPr="004344F6" w14:paraId="70D5BFB8" w14:textId="77777777" w:rsidTr="004A29E1">
        <w:tc>
          <w:tcPr>
            <w:tcW w:w="3378" w:type="pct"/>
            <w:shd w:val="clear" w:color="auto" w:fill="auto"/>
            <w:vAlign w:val="center"/>
          </w:tcPr>
          <w:p w14:paraId="5442D3BA" w14:textId="77777777" w:rsidR="004344F6" w:rsidRPr="004344F6" w:rsidRDefault="004344F6" w:rsidP="00E55FD2">
            <w:pPr>
              <w:keepNext/>
              <w:keepLines/>
              <w:jc w:val="left"/>
              <w:rPr>
                <w:rFonts w:ascii="Arial Narrow" w:eastAsiaTheme="majorEastAsia" w:hAnsi="Arial Narrow" w:cstheme="majorBidi"/>
                <w:bCs/>
                <w:sz w:val="20"/>
                <w:vertAlign w:val="superscript"/>
              </w:rPr>
            </w:pPr>
            <w:r w:rsidRPr="004344F6">
              <w:rPr>
                <w:rFonts w:ascii="Arial Narrow" w:eastAsiaTheme="majorEastAsia" w:hAnsi="Arial Narrow" w:cstheme="majorBidi"/>
                <w:bCs/>
                <w:sz w:val="20"/>
              </w:rPr>
              <w:t xml:space="preserve">Average cost per patient per year of IVIg for maintenance </w:t>
            </w:r>
            <w:r w:rsidRPr="004344F6">
              <w:rPr>
                <w:rFonts w:ascii="Arial Narrow" w:eastAsiaTheme="majorEastAsia" w:hAnsi="Arial Narrow" w:cstheme="majorBidi"/>
                <w:bCs/>
                <w:sz w:val="20"/>
                <w:vertAlign w:val="superscript"/>
              </w:rPr>
              <w:t>a</w:t>
            </w:r>
          </w:p>
        </w:tc>
        <w:tc>
          <w:tcPr>
            <w:tcW w:w="1622" w:type="pct"/>
            <w:shd w:val="clear" w:color="auto" w:fill="auto"/>
            <w:vAlign w:val="center"/>
          </w:tcPr>
          <w:p w14:paraId="22C16894" w14:textId="6552FE69"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w:t>
            </w:r>
            <w:r w:rsidR="0011411E" w:rsidRPr="0011411E">
              <w:rPr>
                <w:rFonts w:ascii="Arial Narrow" w:eastAsiaTheme="majorEastAsia" w:hAnsi="Arial Narrow" w:cstheme="majorBidi"/>
                <w:bCs/>
                <w:color w:val="000000"/>
                <w:spacing w:val="53"/>
                <w:sz w:val="20"/>
                <w:shd w:val="solid" w:color="000000" w:fill="000000"/>
                <w:fitText w:val="330" w:id="-656192240"/>
                <w14:textFill>
                  <w14:solidFill>
                    <w14:srgbClr w14:val="000000">
                      <w14:alpha w14:val="100000"/>
                    </w14:srgbClr>
                  </w14:solidFill>
                </w14:textFill>
              </w:rPr>
              <w:t>|||</w:t>
            </w:r>
            <w:r w:rsidR="0011411E" w:rsidRPr="0011411E">
              <w:rPr>
                <w:rFonts w:ascii="Arial Narrow" w:eastAsiaTheme="majorEastAsia" w:hAnsi="Arial Narrow" w:cstheme="majorBidi"/>
                <w:bCs/>
                <w:color w:val="000000"/>
                <w:spacing w:val="1"/>
                <w:sz w:val="20"/>
                <w:shd w:val="solid" w:color="000000" w:fill="000000"/>
                <w:fitText w:val="330" w:id="-656192240"/>
                <w14:textFill>
                  <w14:solidFill>
                    <w14:srgbClr w14:val="000000">
                      <w14:alpha w14:val="100000"/>
                    </w14:srgbClr>
                  </w14:solidFill>
                </w14:textFill>
              </w:rPr>
              <w:t>|</w:t>
            </w:r>
          </w:p>
        </w:tc>
      </w:tr>
      <w:tr w:rsidR="004344F6" w:rsidRPr="004344F6" w14:paraId="3A1FB662" w14:textId="77777777" w:rsidTr="004A29E1">
        <w:tc>
          <w:tcPr>
            <w:tcW w:w="3378" w:type="pct"/>
            <w:shd w:val="clear" w:color="auto" w:fill="auto"/>
            <w:vAlign w:val="center"/>
          </w:tcPr>
          <w:p w14:paraId="5328DA66" w14:textId="77777777" w:rsidR="004344F6" w:rsidRPr="004344F6" w:rsidRDefault="004344F6" w:rsidP="00E55FD2">
            <w:pPr>
              <w:keepNext/>
              <w:keepLines/>
              <w:jc w:val="left"/>
              <w:rPr>
                <w:rFonts w:ascii="Arial Narrow" w:eastAsiaTheme="majorEastAsia" w:hAnsi="Arial Narrow" w:cstheme="majorBidi"/>
                <w:bCs/>
                <w:sz w:val="20"/>
              </w:rPr>
            </w:pPr>
            <w:r w:rsidRPr="004344F6">
              <w:rPr>
                <w:rFonts w:ascii="Arial Narrow" w:eastAsiaTheme="majorEastAsia" w:hAnsi="Arial Narrow" w:cstheme="majorBidi"/>
                <w:bCs/>
                <w:sz w:val="20"/>
              </w:rPr>
              <w:t xml:space="preserve">Total number of patients treated with IVIg for maintenance in 2023-24 </w:t>
            </w:r>
          </w:p>
        </w:tc>
        <w:tc>
          <w:tcPr>
            <w:tcW w:w="1622" w:type="pct"/>
            <w:shd w:val="clear" w:color="auto" w:fill="auto"/>
            <w:vAlign w:val="center"/>
          </w:tcPr>
          <w:p w14:paraId="614F4BE7"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1,324 patients</w:t>
            </w:r>
          </w:p>
        </w:tc>
      </w:tr>
      <w:tr w:rsidR="004344F6" w:rsidRPr="004344F6" w14:paraId="68FBCC60" w14:textId="77777777" w:rsidTr="004A29E1">
        <w:tc>
          <w:tcPr>
            <w:tcW w:w="3378" w:type="pct"/>
            <w:shd w:val="clear" w:color="auto" w:fill="auto"/>
            <w:vAlign w:val="center"/>
          </w:tcPr>
          <w:p w14:paraId="6DA4A2CB" w14:textId="77777777" w:rsidR="004344F6" w:rsidRPr="004344F6" w:rsidRDefault="004344F6" w:rsidP="00E55FD2">
            <w:pPr>
              <w:keepNext/>
              <w:keepLines/>
              <w:jc w:val="left"/>
              <w:rPr>
                <w:rFonts w:ascii="Arial Narrow" w:eastAsiaTheme="majorEastAsia" w:hAnsi="Arial Narrow" w:cstheme="majorBidi"/>
                <w:bCs/>
                <w:sz w:val="20"/>
                <w:vertAlign w:val="superscript"/>
              </w:rPr>
            </w:pPr>
            <w:r w:rsidRPr="004344F6">
              <w:rPr>
                <w:rFonts w:ascii="Arial Narrow" w:eastAsiaTheme="majorEastAsia" w:hAnsi="Arial Narrow" w:cstheme="majorBidi"/>
                <w:bCs/>
                <w:sz w:val="20"/>
              </w:rPr>
              <w:t xml:space="preserve">Annual growth in the number of patients using IVIg for maintenance (from 2019-20 to 2023-24) </w:t>
            </w:r>
            <w:r w:rsidRPr="004344F6">
              <w:rPr>
                <w:rFonts w:ascii="Arial Narrow" w:eastAsiaTheme="majorEastAsia" w:hAnsi="Arial Narrow" w:cstheme="majorBidi"/>
                <w:bCs/>
                <w:sz w:val="20"/>
                <w:vertAlign w:val="superscript"/>
              </w:rPr>
              <w:t>d</w:t>
            </w:r>
          </w:p>
        </w:tc>
        <w:tc>
          <w:tcPr>
            <w:tcW w:w="1622" w:type="pct"/>
            <w:shd w:val="clear" w:color="auto" w:fill="auto"/>
            <w:vAlign w:val="center"/>
          </w:tcPr>
          <w:p w14:paraId="600633BD"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3.3%</w:t>
            </w:r>
          </w:p>
        </w:tc>
      </w:tr>
      <w:tr w:rsidR="004344F6" w:rsidRPr="004344F6" w14:paraId="40CBC06B" w14:textId="77777777" w:rsidTr="004A29E1">
        <w:tc>
          <w:tcPr>
            <w:tcW w:w="3378" w:type="pct"/>
            <w:shd w:val="clear" w:color="auto" w:fill="auto"/>
            <w:vAlign w:val="center"/>
          </w:tcPr>
          <w:p w14:paraId="1EDC5C3D" w14:textId="77777777" w:rsidR="004344F6" w:rsidRPr="004344F6" w:rsidRDefault="004344F6" w:rsidP="00E55FD2">
            <w:pPr>
              <w:keepNext/>
              <w:keepLines/>
              <w:jc w:val="left"/>
              <w:rPr>
                <w:rFonts w:ascii="Arial Narrow" w:eastAsiaTheme="majorEastAsia" w:hAnsi="Arial Narrow" w:cstheme="majorBidi"/>
                <w:bCs/>
                <w:sz w:val="20"/>
              </w:rPr>
            </w:pPr>
            <w:r w:rsidRPr="004344F6">
              <w:rPr>
                <w:rFonts w:ascii="Arial Narrow" w:eastAsiaTheme="majorEastAsia" w:hAnsi="Arial Narrow" w:cstheme="majorBidi"/>
                <w:bCs/>
                <w:sz w:val="20"/>
              </w:rPr>
              <w:t>Of the patients who were treated with IVIg for maintenance in 2023-24, the percent who:</w:t>
            </w:r>
          </w:p>
        </w:tc>
        <w:tc>
          <w:tcPr>
            <w:tcW w:w="1622" w:type="pct"/>
            <w:shd w:val="clear" w:color="auto" w:fill="auto"/>
          </w:tcPr>
          <w:p w14:paraId="06CB5014" w14:textId="77777777" w:rsidR="004344F6" w:rsidRPr="00F67F99" w:rsidRDefault="004344F6" w:rsidP="00E55FD2">
            <w:pPr>
              <w:keepNext/>
              <w:keepLines/>
              <w:jc w:val="center"/>
              <w:rPr>
                <w:rFonts w:ascii="Arial Narrow" w:eastAsiaTheme="majorEastAsia" w:hAnsi="Arial Narrow" w:cstheme="majorBidi"/>
                <w:bCs/>
                <w:sz w:val="20"/>
              </w:rPr>
            </w:pPr>
          </w:p>
        </w:tc>
      </w:tr>
      <w:tr w:rsidR="004344F6" w:rsidRPr="004344F6" w14:paraId="4EA8C306" w14:textId="77777777" w:rsidTr="004A29E1">
        <w:tc>
          <w:tcPr>
            <w:tcW w:w="3378" w:type="pct"/>
            <w:shd w:val="clear" w:color="auto" w:fill="auto"/>
            <w:vAlign w:val="bottom"/>
          </w:tcPr>
          <w:p w14:paraId="63A1A8B4" w14:textId="77777777" w:rsidR="004344F6" w:rsidRPr="004344F6" w:rsidRDefault="004344F6" w:rsidP="00E55FD2">
            <w:pPr>
              <w:keepNext/>
              <w:keepLines/>
              <w:jc w:val="right"/>
              <w:rPr>
                <w:rFonts w:ascii="Arial Narrow" w:eastAsiaTheme="majorEastAsia" w:hAnsi="Arial Narrow" w:cstheme="majorBidi"/>
                <w:bCs/>
                <w:sz w:val="20"/>
              </w:rPr>
            </w:pPr>
            <w:r w:rsidRPr="004344F6">
              <w:rPr>
                <w:rFonts w:ascii="Arial Narrow" w:eastAsiaTheme="majorEastAsia" w:hAnsi="Arial Narrow" w:cstheme="majorBidi"/>
                <w:bCs/>
                <w:sz w:val="20"/>
              </w:rPr>
              <w:t>commenced more than 7 years ago</w:t>
            </w:r>
          </w:p>
        </w:tc>
        <w:tc>
          <w:tcPr>
            <w:tcW w:w="1622" w:type="pct"/>
            <w:shd w:val="clear" w:color="auto" w:fill="auto"/>
            <w:vAlign w:val="bottom"/>
          </w:tcPr>
          <w:p w14:paraId="4BD1E771"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28.5%</w:t>
            </w:r>
          </w:p>
        </w:tc>
      </w:tr>
      <w:tr w:rsidR="004344F6" w:rsidRPr="004344F6" w14:paraId="3B262803" w14:textId="77777777" w:rsidTr="004A29E1">
        <w:tc>
          <w:tcPr>
            <w:tcW w:w="3378" w:type="pct"/>
            <w:shd w:val="clear" w:color="auto" w:fill="auto"/>
            <w:vAlign w:val="bottom"/>
          </w:tcPr>
          <w:p w14:paraId="3B4EA960" w14:textId="77777777" w:rsidR="004344F6" w:rsidRPr="004344F6" w:rsidRDefault="004344F6" w:rsidP="00E55FD2">
            <w:pPr>
              <w:keepNext/>
              <w:keepLines/>
              <w:jc w:val="right"/>
              <w:rPr>
                <w:rFonts w:ascii="Arial Narrow" w:eastAsiaTheme="majorEastAsia" w:hAnsi="Arial Narrow" w:cstheme="majorBidi"/>
                <w:bCs/>
                <w:sz w:val="20"/>
              </w:rPr>
            </w:pPr>
            <w:r w:rsidRPr="004344F6">
              <w:rPr>
                <w:rFonts w:ascii="Arial Narrow" w:eastAsiaTheme="majorEastAsia" w:hAnsi="Arial Narrow" w:cstheme="majorBidi"/>
                <w:bCs/>
                <w:sz w:val="20"/>
              </w:rPr>
              <w:t>commenced 7 years ago</w:t>
            </w:r>
          </w:p>
        </w:tc>
        <w:tc>
          <w:tcPr>
            <w:tcW w:w="1622" w:type="pct"/>
            <w:shd w:val="clear" w:color="auto" w:fill="auto"/>
            <w:vAlign w:val="bottom"/>
          </w:tcPr>
          <w:p w14:paraId="53C4ACCD"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4.1%</w:t>
            </w:r>
          </w:p>
        </w:tc>
      </w:tr>
      <w:tr w:rsidR="004344F6" w:rsidRPr="004344F6" w14:paraId="304978B6" w14:textId="77777777" w:rsidTr="004A29E1">
        <w:tc>
          <w:tcPr>
            <w:tcW w:w="3378" w:type="pct"/>
            <w:shd w:val="clear" w:color="auto" w:fill="auto"/>
            <w:vAlign w:val="bottom"/>
          </w:tcPr>
          <w:p w14:paraId="41D9D860" w14:textId="77777777" w:rsidR="004344F6" w:rsidRPr="004344F6" w:rsidRDefault="004344F6" w:rsidP="00E55FD2">
            <w:pPr>
              <w:keepNext/>
              <w:keepLines/>
              <w:jc w:val="right"/>
              <w:rPr>
                <w:rFonts w:ascii="Arial Narrow" w:eastAsiaTheme="majorEastAsia" w:hAnsi="Arial Narrow" w:cstheme="majorBidi"/>
                <w:bCs/>
                <w:sz w:val="20"/>
              </w:rPr>
            </w:pPr>
            <w:r w:rsidRPr="004344F6">
              <w:rPr>
                <w:rFonts w:ascii="Arial Narrow" w:eastAsiaTheme="majorEastAsia" w:hAnsi="Arial Narrow" w:cstheme="majorBidi"/>
                <w:bCs/>
                <w:sz w:val="20"/>
              </w:rPr>
              <w:t>commenced 6 years ago</w:t>
            </w:r>
          </w:p>
        </w:tc>
        <w:tc>
          <w:tcPr>
            <w:tcW w:w="1622" w:type="pct"/>
            <w:shd w:val="clear" w:color="auto" w:fill="auto"/>
            <w:vAlign w:val="bottom"/>
          </w:tcPr>
          <w:p w14:paraId="5D4EBA2F"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5.2%</w:t>
            </w:r>
          </w:p>
        </w:tc>
      </w:tr>
      <w:tr w:rsidR="004344F6" w:rsidRPr="004344F6" w14:paraId="7688E309" w14:textId="77777777" w:rsidTr="004A29E1">
        <w:tc>
          <w:tcPr>
            <w:tcW w:w="3378" w:type="pct"/>
            <w:shd w:val="clear" w:color="auto" w:fill="auto"/>
            <w:vAlign w:val="bottom"/>
          </w:tcPr>
          <w:p w14:paraId="0DA8BD94" w14:textId="77777777" w:rsidR="004344F6" w:rsidRPr="004344F6" w:rsidRDefault="004344F6" w:rsidP="00E55FD2">
            <w:pPr>
              <w:keepNext/>
              <w:keepLines/>
              <w:jc w:val="right"/>
              <w:rPr>
                <w:rFonts w:ascii="Arial Narrow" w:eastAsiaTheme="majorEastAsia" w:hAnsi="Arial Narrow" w:cstheme="majorBidi"/>
                <w:bCs/>
                <w:sz w:val="20"/>
              </w:rPr>
            </w:pPr>
            <w:r w:rsidRPr="004344F6">
              <w:rPr>
                <w:rFonts w:ascii="Arial Narrow" w:eastAsiaTheme="majorEastAsia" w:hAnsi="Arial Narrow" w:cstheme="majorBidi"/>
                <w:bCs/>
                <w:sz w:val="20"/>
              </w:rPr>
              <w:t>commenced 5 years ago</w:t>
            </w:r>
          </w:p>
        </w:tc>
        <w:tc>
          <w:tcPr>
            <w:tcW w:w="1622" w:type="pct"/>
            <w:shd w:val="clear" w:color="auto" w:fill="auto"/>
            <w:vAlign w:val="bottom"/>
          </w:tcPr>
          <w:p w14:paraId="1D7D99FB"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6.9%</w:t>
            </w:r>
          </w:p>
        </w:tc>
      </w:tr>
      <w:tr w:rsidR="004344F6" w:rsidRPr="004344F6" w14:paraId="5D24A8C0" w14:textId="77777777" w:rsidTr="004A29E1">
        <w:tc>
          <w:tcPr>
            <w:tcW w:w="3378" w:type="pct"/>
            <w:shd w:val="clear" w:color="auto" w:fill="auto"/>
            <w:vAlign w:val="bottom"/>
          </w:tcPr>
          <w:p w14:paraId="7C7ABA97" w14:textId="77777777" w:rsidR="004344F6" w:rsidRPr="004344F6" w:rsidRDefault="004344F6" w:rsidP="00E55FD2">
            <w:pPr>
              <w:keepNext/>
              <w:keepLines/>
              <w:jc w:val="right"/>
              <w:rPr>
                <w:rFonts w:ascii="Arial Narrow" w:eastAsiaTheme="majorEastAsia" w:hAnsi="Arial Narrow" w:cstheme="majorBidi"/>
                <w:bCs/>
                <w:sz w:val="20"/>
              </w:rPr>
            </w:pPr>
            <w:r w:rsidRPr="004344F6">
              <w:rPr>
                <w:rFonts w:ascii="Arial Narrow" w:eastAsiaTheme="majorEastAsia" w:hAnsi="Arial Narrow" w:cstheme="majorBidi"/>
                <w:bCs/>
                <w:sz w:val="20"/>
              </w:rPr>
              <w:t>commenced 4 years ago</w:t>
            </w:r>
          </w:p>
        </w:tc>
        <w:tc>
          <w:tcPr>
            <w:tcW w:w="1622" w:type="pct"/>
            <w:shd w:val="clear" w:color="auto" w:fill="auto"/>
            <w:vAlign w:val="bottom"/>
          </w:tcPr>
          <w:p w14:paraId="0B552978"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7.6%</w:t>
            </w:r>
          </w:p>
        </w:tc>
      </w:tr>
      <w:tr w:rsidR="004344F6" w:rsidRPr="004344F6" w14:paraId="2CAEA7EB" w14:textId="77777777" w:rsidTr="004A29E1">
        <w:tc>
          <w:tcPr>
            <w:tcW w:w="3378" w:type="pct"/>
            <w:shd w:val="clear" w:color="auto" w:fill="auto"/>
            <w:vAlign w:val="bottom"/>
          </w:tcPr>
          <w:p w14:paraId="626AA484" w14:textId="77777777" w:rsidR="004344F6" w:rsidRPr="004344F6" w:rsidRDefault="004344F6" w:rsidP="00E55FD2">
            <w:pPr>
              <w:keepNext/>
              <w:keepLines/>
              <w:jc w:val="right"/>
              <w:rPr>
                <w:rFonts w:ascii="Arial Narrow" w:eastAsiaTheme="majorEastAsia" w:hAnsi="Arial Narrow" w:cstheme="majorBidi"/>
                <w:bCs/>
                <w:sz w:val="20"/>
              </w:rPr>
            </w:pPr>
            <w:r w:rsidRPr="004344F6">
              <w:rPr>
                <w:rFonts w:ascii="Arial Narrow" w:eastAsiaTheme="majorEastAsia" w:hAnsi="Arial Narrow" w:cstheme="majorBidi"/>
                <w:bCs/>
                <w:sz w:val="20"/>
              </w:rPr>
              <w:t>commenced 3 years ago</w:t>
            </w:r>
          </w:p>
        </w:tc>
        <w:tc>
          <w:tcPr>
            <w:tcW w:w="1622" w:type="pct"/>
            <w:shd w:val="clear" w:color="auto" w:fill="auto"/>
            <w:vAlign w:val="bottom"/>
          </w:tcPr>
          <w:p w14:paraId="303642D5"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8.2%</w:t>
            </w:r>
          </w:p>
        </w:tc>
      </w:tr>
      <w:tr w:rsidR="004344F6" w:rsidRPr="004344F6" w14:paraId="746D48A1" w14:textId="77777777" w:rsidTr="004A29E1">
        <w:tc>
          <w:tcPr>
            <w:tcW w:w="3378" w:type="pct"/>
            <w:shd w:val="clear" w:color="auto" w:fill="auto"/>
            <w:vAlign w:val="bottom"/>
          </w:tcPr>
          <w:p w14:paraId="436CA13C" w14:textId="77777777" w:rsidR="004344F6" w:rsidRPr="004344F6" w:rsidRDefault="004344F6" w:rsidP="00E55FD2">
            <w:pPr>
              <w:keepNext/>
              <w:keepLines/>
              <w:jc w:val="right"/>
              <w:rPr>
                <w:rFonts w:ascii="Arial Narrow" w:eastAsiaTheme="majorEastAsia" w:hAnsi="Arial Narrow" w:cstheme="majorBidi"/>
                <w:bCs/>
                <w:sz w:val="20"/>
              </w:rPr>
            </w:pPr>
            <w:r w:rsidRPr="004344F6">
              <w:rPr>
                <w:rFonts w:ascii="Arial Narrow" w:eastAsiaTheme="majorEastAsia" w:hAnsi="Arial Narrow" w:cstheme="majorBidi"/>
                <w:bCs/>
                <w:sz w:val="20"/>
              </w:rPr>
              <w:t>commenced 2 years ago</w:t>
            </w:r>
          </w:p>
        </w:tc>
        <w:tc>
          <w:tcPr>
            <w:tcW w:w="1622" w:type="pct"/>
            <w:shd w:val="clear" w:color="auto" w:fill="auto"/>
            <w:vAlign w:val="bottom"/>
          </w:tcPr>
          <w:p w14:paraId="397263D9"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10.9%</w:t>
            </w:r>
          </w:p>
        </w:tc>
      </w:tr>
      <w:tr w:rsidR="004344F6" w:rsidRPr="004344F6" w14:paraId="7623C4AD" w14:textId="77777777" w:rsidTr="004A29E1">
        <w:tc>
          <w:tcPr>
            <w:tcW w:w="3378" w:type="pct"/>
            <w:shd w:val="clear" w:color="auto" w:fill="auto"/>
            <w:vAlign w:val="bottom"/>
          </w:tcPr>
          <w:p w14:paraId="1F884FA9" w14:textId="77777777" w:rsidR="004344F6" w:rsidRPr="004344F6" w:rsidRDefault="004344F6" w:rsidP="00E55FD2">
            <w:pPr>
              <w:keepNext/>
              <w:keepLines/>
              <w:jc w:val="right"/>
              <w:rPr>
                <w:rFonts w:ascii="Arial Narrow" w:eastAsiaTheme="majorEastAsia" w:hAnsi="Arial Narrow" w:cstheme="majorBidi"/>
                <w:bCs/>
                <w:sz w:val="20"/>
              </w:rPr>
            </w:pPr>
            <w:r w:rsidRPr="004344F6">
              <w:rPr>
                <w:rFonts w:ascii="Arial Narrow" w:eastAsiaTheme="majorEastAsia" w:hAnsi="Arial Narrow" w:cstheme="majorBidi"/>
                <w:bCs/>
                <w:sz w:val="20"/>
              </w:rPr>
              <w:t>commenced 1 years ago</w:t>
            </w:r>
          </w:p>
        </w:tc>
        <w:tc>
          <w:tcPr>
            <w:tcW w:w="1622" w:type="pct"/>
            <w:shd w:val="clear" w:color="auto" w:fill="auto"/>
            <w:vAlign w:val="bottom"/>
          </w:tcPr>
          <w:p w14:paraId="4B64D3F2"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12.1%</w:t>
            </w:r>
          </w:p>
        </w:tc>
      </w:tr>
      <w:tr w:rsidR="004344F6" w:rsidRPr="004344F6" w14:paraId="4A606B0A" w14:textId="77777777" w:rsidTr="004A29E1">
        <w:tc>
          <w:tcPr>
            <w:tcW w:w="3378" w:type="pct"/>
            <w:shd w:val="clear" w:color="auto" w:fill="auto"/>
            <w:vAlign w:val="bottom"/>
          </w:tcPr>
          <w:p w14:paraId="553D11EA" w14:textId="77777777" w:rsidR="004344F6" w:rsidRPr="004344F6" w:rsidRDefault="004344F6" w:rsidP="00E55FD2">
            <w:pPr>
              <w:keepNext/>
              <w:keepLines/>
              <w:jc w:val="right"/>
              <w:rPr>
                <w:rFonts w:ascii="Arial Narrow" w:eastAsiaTheme="majorEastAsia" w:hAnsi="Arial Narrow" w:cstheme="majorBidi"/>
                <w:bCs/>
                <w:sz w:val="20"/>
              </w:rPr>
            </w:pPr>
            <w:r w:rsidRPr="004344F6">
              <w:rPr>
                <w:rFonts w:ascii="Arial Narrow" w:eastAsiaTheme="majorEastAsia" w:hAnsi="Arial Narrow" w:cstheme="majorBidi"/>
                <w:bCs/>
                <w:sz w:val="20"/>
              </w:rPr>
              <w:t>commenced within the last full year of data (2023-24)</w:t>
            </w:r>
          </w:p>
        </w:tc>
        <w:tc>
          <w:tcPr>
            <w:tcW w:w="1622" w:type="pct"/>
            <w:shd w:val="clear" w:color="auto" w:fill="auto"/>
            <w:vAlign w:val="bottom"/>
          </w:tcPr>
          <w:p w14:paraId="22E51B98"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16.6%</w:t>
            </w:r>
          </w:p>
        </w:tc>
      </w:tr>
      <w:tr w:rsidR="004344F6" w:rsidRPr="004344F6" w14:paraId="780AE4F9" w14:textId="77777777" w:rsidTr="004A29E1">
        <w:tc>
          <w:tcPr>
            <w:tcW w:w="5000" w:type="pct"/>
            <w:gridSpan w:val="2"/>
            <w:shd w:val="clear" w:color="auto" w:fill="auto"/>
            <w:vAlign w:val="bottom"/>
          </w:tcPr>
          <w:p w14:paraId="6FF729C9" w14:textId="77777777" w:rsidR="004344F6" w:rsidRPr="00F67F99" w:rsidRDefault="004344F6" w:rsidP="00E55FD2">
            <w:pPr>
              <w:keepNext/>
              <w:keepLines/>
              <w:jc w:val="left"/>
              <w:rPr>
                <w:rFonts w:ascii="Arial Narrow" w:eastAsiaTheme="majorEastAsia" w:hAnsi="Arial Narrow" w:cstheme="majorBidi"/>
                <w:b/>
                <w:bCs/>
                <w:sz w:val="20"/>
                <w:vertAlign w:val="superscript"/>
              </w:rPr>
            </w:pPr>
            <w:r w:rsidRPr="00F67F99">
              <w:rPr>
                <w:rFonts w:ascii="Arial Narrow" w:eastAsiaTheme="majorEastAsia" w:hAnsi="Arial Narrow" w:cstheme="majorBidi"/>
                <w:b/>
                <w:bCs/>
                <w:sz w:val="20"/>
              </w:rPr>
              <w:t xml:space="preserve">Context of IVIg use for gMG </w:t>
            </w:r>
            <w:r w:rsidRPr="00F67F99">
              <w:rPr>
                <w:rFonts w:ascii="Arial Narrow" w:eastAsiaTheme="majorEastAsia" w:hAnsi="Arial Narrow" w:cstheme="majorBidi"/>
                <w:b/>
                <w:bCs/>
                <w:sz w:val="20"/>
                <w:vertAlign w:val="superscript"/>
              </w:rPr>
              <w:t>b</w:t>
            </w:r>
          </w:p>
        </w:tc>
      </w:tr>
      <w:tr w:rsidR="004344F6" w:rsidRPr="004344F6" w14:paraId="6DECE7CF" w14:textId="77777777" w:rsidTr="004A29E1">
        <w:tc>
          <w:tcPr>
            <w:tcW w:w="3378" w:type="pct"/>
            <w:shd w:val="clear" w:color="auto" w:fill="auto"/>
            <w:vAlign w:val="bottom"/>
          </w:tcPr>
          <w:p w14:paraId="54FF2675" w14:textId="77777777" w:rsidR="004344F6" w:rsidRPr="004344F6" w:rsidRDefault="004344F6" w:rsidP="00E55FD2">
            <w:pPr>
              <w:keepNext/>
              <w:keepLines/>
              <w:jc w:val="left"/>
              <w:rPr>
                <w:rFonts w:ascii="Arial Narrow" w:eastAsiaTheme="majorEastAsia" w:hAnsi="Arial Narrow" w:cstheme="majorBidi"/>
                <w:sz w:val="20"/>
              </w:rPr>
            </w:pPr>
            <w:r w:rsidRPr="004344F6">
              <w:rPr>
                <w:rFonts w:ascii="Arial Narrow" w:eastAsiaTheme="majorEastAsia" w:hAnsi="Arial Narrow" w:cstheme="majorBidi"/>
                <w:sz w:val="20"/>
              </w:rPr>
              <w:t>Proportion of all IVIg use in Australia that is for myasthenia gravis maintenance (2022-23)</w:t>
            </w:r>
          </w:p>
        </w:tc>
        <w:tc>
          <w:tcPr>
            <w:tcW w:w="1622" w:type="pct"/>
            <w:shd w:val="clear" w:color="auto" w:fill="auto"/>
            <w:vAlign w:val="bottom"/>
          </w:tcPr>
          <w:p w14:paraId="5B733609"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7.3%</w:t>
            </w:r>
          </w:p>
        </w:tc>
      </w:tr>
      <w:tr w:rsidR="004344F6" w:rsidRPr="004344F6" w14:paraId="1094FE76" w14:textId="77777777" w:rsidTr="004A29E1">
        <w:tc>
          <w:tcPr>
            <w:tcW w:w="3378" w:type="pct"/>
            <w:shd w:val="clear" w:color="auto" w:fill="auto"/>
            <w:vAlign w:val="bottom"/>
          </w:tcPr>
          <w:p w14:paraId="3485E9A9" w14:textId="77777777" w:rsidR="004344F6" w:rsidRPr="004344F6" w:rsidRDefault="004344F6" w:rsidP="00E55FD2">
            <w:pPr>
              <w:keepNext/>
              <w:keepLines/>
              <w:jc w:val="left"/>
              <w:rPr>
                <w:rFonts w:ascii="Arial Narrow" w:eastAsiaTheme="majorEastAsia" w:hAnsi="Arial Narrow" w:cstheme="majorBidi"/>
                <w:sz w:val="20"/>
                <w:szCs w:val="20"/>
              </w:rPr>
            </w:pPr>
            <w:proofErr w:type="gramStart"/>
            <w:r w:rsidRPr="004344F6">
              <w:rPr>
                <w:rFonts w:ascii="Arial Narrow" w:eastAsiaTheme="majorEastAsia" w:hAnsi="Arial Narrow" w:cstheme="majorBidi"/>
                <w:sz w:val="20"/>
                <w:szCs w:val="20"/>
              </w:rPr>
              <w:t>Total</w:t>
            </w:r>
            <w:proofErr w:type="gramEnd"/>
            <w:r w:rsidRPr="004344F6">
              <w:rPr>
                <w:rFonts w:ascii="Arial Narrow" w:eastAsiaTheme="majorEastAsia" w:hAnsi="Arial Narrow" w:cstheme="majorBidi"/>
                <w:sz w:val="20"/>
                <w:szCs w:val="20"/>
              </w:rPr>
              <w:t xml:space="preserve"> spend on IVIg for gMG maintenance in 2023-24</w:t>
            </w:r>
          </w:p>
        </w:tc>
        <w:tc>
          <w:tcPr>
            <w:tcW w:w="1622" w:type="pct"/>
            <w:shd w:val="clear" w:color="auto" w:fill="auto"/>
            <w:vAlign w:val="bottom"/>
          </w:tcPr>
          <w:p w14:paraId="1061BCCF" w14:textId="14C12E30"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w:t>
            </w:r>
            <w:r w:rsidR="0069000A" w:rsidRPr="0069000A">
              <w:rPr>
                <w:rFonts w:ascii="Arial Narrow" w:eastAsiaTheme="majorEastAsia" w:hAnsi="Arial Narrow" w:cstheme="majorBidi"/>
                <w:bCs/>
                <w:color w:val="000000"/>
                <w:spacing w:val="33"/>
                <w:sz w:val="20"/>
                <w:shd w:val="solid" w:color="000000" w:fill="000000"/>
                <w:fitText w:val="730" w:id="-653072896"/>
                <w14:textFill>
                  <w14:solidFill>
                    <w14:srgbClr w14:val="000000">
                      <w14:alpha w14:val="100000"/>
                    </w14:srgbClr>
                  </w14:solidFill>
                </w14:textFill>
              </w:rPr>
              <w:t>|||||||||</w:t>
            </w:r>
            <w:r w:rsidR="0069000A" w:rsidRPr="0069000A">
              <w:rPr>
                <w:rFonts w:ascii="Arial Narrow" w:eastAsiaTheme="majorEastAsia" w:hAnsi="Arial Narrow" w:cstheme="majorBidi"/>
                <w:bCs/>
                <w:color w:val="000000"/>
                <w:spacing w:val="8"/>
                <w:sz w:val="20"/>
                <w:shd w:val="solid" w:color="000000" w:fill="000000"/>
                <w:fitText w:val="730" w:id="-653072896"/>
                <w14:textFill>
                  <w14:solidFill>
                    <w14:srgbClr w14:val="000000">
                      <w14:alpha w14:val="100000"/>
                    </w14:srgbClr>
                  </w14:solidFill>
                </w14:textFill>
              </w:rPr>
              <w:t>|</w:t>
            </w:r>
          </w:p>
        </w:tc>
      </w:tr>
      <w:tr w:rsidR="004344F6" w:rsidRPr="004344F6" w14:paraId="79967A25" w14:textId="77777777" w:rsidTr="004A29E1">
        <w:tc>
          <w:tcPr>
            <w:tcW w:w="3378" w:type="pct"/>
            <w:shd w:val="clear" w:color="auto" w:fill="auto"/>
            <w:vAlign w:val="bottom"/>
          </w:tcPr>
          <w:p w14:paraId="3EF29D41" w14:textId="77777777" w:rsidR="004344F6" w:rsidRPr="004344F6" w:rsidRDefault="004344F6" w:rsidP="00E55FD2">
            <w:pPr>
              <w:keepNext/>
              <w:keepLines/>
              <w:jc w:val="left"/>
              <w:rPr>
                <w:rFonts w:ascii="Arial Narrow" w:eastAsiaTheme="majorEastAsia" w:hAnsi="Arial Narrow" w:cstheme="majorBidi"/>
                <w:sz w:val="20"/>
                <w:szCs w:val="20"/>
                <w:vertAlign w:val="superscript"/>
              </w:rPr>
            </w:pPr>
            <w:r w:rsidRPr="004344F6">
              <w:rPr>
                <w:rFonts w:ascii="Arial Narrow" w:eastAsiaTheme="majorEastAsia" w:hAnsi="Arial Narrow" w:cstheme="majorBidi"/>
                <w:sz w:val="20"/>
                <w:szCs w:val="20"/>
              </w:rPr>
              <w:t xml:space="preserve">% of IVIg use in gMG that is in the maintenance setting (2023-24) </w:t>
            </w:r>
            <w:r w:rsidRPr="004344F6">
              <w:rPr>
                <w:rFonts w:ascii="Arial Narrow" w:eastAsiaTheme="majorEastAsia" w:hAnsi="Arial Narrow" w:cstheme="majorBidi"/>
                <w:sz w:val="20"/>
                <w:szCs w:val="20"/>
                <w:vertAlign w:val="superscript"/>
              </w:rPr>
              <w:t>c</w:t>
            </w:r>
          </w:p>
        </w:tc>
        <w:tc>
          <w:tcPr>
            <w:tcW w:w="1622" w:type="pct"/>
            <w:shd w:val="clear" w:color="auto" w:fill="auto"/>
            <w:vAlign w:val="bottom"/>
          </w:tcPr>
          <w:p w14:paraId="7C879CC7" w14:textId="77777777" w:rsidR="004344F6" w:rsidRPr="00F67F99" w:rsidRDefault="004344F6" w:rsidP="00E55FD2">
            <w:pPr>
              <w:keepNext/>
              <w:keepLines/>
              <w:jc w:val="center"/>
              <w:rPr>
                <w:rFonts w:ascii="Arial Narrow" w:eastAsiaTheme="majorEastAsia" w:hAnsi="Arial Narrow" w:cstheme="majorBidi"/>
                <w:bCs/>
                <w:sz w:val="20"/>
              </w:rPr>
            </w:pPr>
            <w:r w:rsidRPr="00F67F99">
              <w:rPr>
                <w:rFonts w:ascii="Arial Narrow" w:eastAsiaTheme="majorEastAsia" w:hAnsi="Arial Narrow" w:cstheme="majorBidi"/>
                <w:bCs/>
                <w:sz w:val="20"/>
              </w:rPr>
              <w:t>91%</w:t>
            </w:r>
          </w:p>
        </w:tc>
      </w:tr>
    </w:tbl>
    <w:p w14:paraId="1CD8E763" w14:textId="77777777" w:rsidR="004344F6" w:rsidRPr="004344F6" w:rsidRDefault="004344F6" w:rsidP="00E55FD2">
      <w:pPr>
        <w:keepNext/>
        <w:keepLines/>
        <w:rPr>
          <w:rFonts w:ascii="Arial Narrow" w:eastAsiaTheme="majorEastAsia" w:hAnsi="Arial Narrow" w:cstheme="majorBidi"/>
          <w:sz w:val="20"/>
        </w:rPr>
      </w:pPr>
      <w:r w:rsidRPr="004344F6">
        <w:rPr>
          <w:rFonts w:ascii="Arial Narrow" w:eastAsiaTheme="majorEastAsia" w:hAnsi="Arial Narrow" w:cstheme="majorBidi"/>
          <w:sz w:val="20"/>
        </w:rPr>
        <w:t>Overall notes:</w:t>
      </w:r>
    </w:p>
    <w:p w14:paraId="483183E0" w14:textId="77777777" w:rsidR="004344F6" w:rsidRPr="004344F6" w:rsidRDefault="004344F6" w:rsidP="00E55FD2">
      <w:pPr>
        <w:keepNext/>
        <w:keepLines/>
        <w:numPr>
          <w:ilvl w:val="0"/>
          <w:numId w:val="17"/>
        </w:numPr>
        <w:ind w:left="819" w:hanging="425"/>
        <w:contextualSpacing/>
        <w:rPr>
          <w:rFonts w:ascii="Arial Narrow" w:eastAsiaTheme="majorEastAsia" w:hAnsi="Arial Narrow" w:cstheme="majorBidi"/>
          <w:sz w:val="20"/>
          <w:szCs w:val="20"/>
        </w:rPr>
      </w:pPr>
      <w:r w:rsidRPr="004344F6">
        <w:rPr>
          <w:rFonts w:ascii="Arial Narrow" w:eastAsiaTheme="majorEastAsia" w:hAnsi="Arial Narrow" w:cstheme="majorBidi"/>
          <w:sz w:val="20"/>
          <w:szCs w:val="20"/>
        </w:rPr>
        <w:t xml:space="preserve">Patients’ commencement year was the first year they received IVIg for any condition or indication in </w:t>
      </w:r>
      <w:proofErr w:type="spellStart"/>
      <w:r w:rsidRPr="004344F6">
        <w:rPr>
          <w:rFonts w:ascii="Arial Narrow" w:eastAsiaTheme="majorEastAsia" w:hAnsi="Arial Narrow" w:cstheme="majorBidi"/>
          <w:sz w:val="20"/>
          <w:szCs w:val="20"/>
        </w:rPr>
        <w:t>BloodSTAR</w:t>
      </w:r>
      <w:proofErr w:type="spellEnd"/>
      <w:r w:rsidRPr="004344F6">
        <w:rPr>
          <w:rFonts w:ascii="Arial Narrow" w:eastAsiaTheme="majorEastAsia" w:hAnsi="Arial Narrow" w:cstheme="majorBidi"/>
          <w:sz w:val="20"/>
          <w:szCs w:val="20"/>
        </w:rPr>
        <w:t xml:space="preserve">, therefore patients have not necessarily been on continuous treatment since commencement. </w:t>
      </w:r>
    </w:p>
    <w:p w14:paraId="2E9D0A15" w14:textId="77777777" w:rsidR="004344F6" w:rsidRPr="004344F6" w:rsidRDefault="004344F6" w:rsidP="00E55FD2">
      <w:pPr>
        <w:keepNext/>
        <w:keepLines/>
        <w:numPr>
          <w:ilvl w:val="0"/>
          <w:numId w:val="17"/>
        </w:numPr>
        <w:ind w:left="819" w:hanging="425"/>
        <w:contextualSpacing/>
        <w:rPr>
          <w:rFonts w:ascii="Arial Narrow" w:eastAsiaTheme="majorEastAsia" w:hAnsi="Arial Narrow" w:cstheme="majorBidi"/>
          <w:sz w:val="20"/>
          <w:szCs w:val="20"/>
        </w:rPr>
      </w:pPr>
      <w:r w:rsidRPr="004344F6">
        <w:rPr>
          <w:rFonts w:ascii="Arial Narrow" w:eastAsiaTheme="majorEastAsia" w:hAnsi="Arial Narrow" w:cstheme="majorBidi"/>
          <w:sz w:val="20"/>
          <w:szCs w:val="20"/>
        </w:rPr>
        <w:t>Nearly half of the patients currently on gMG for maintenance commenced in 2020-21 or earlier.</w:t>
      </w:r>
    </w:p>
    <w:p w14:paraId="59989C12" w14:textId="77777777" w:rsidR="004344F6" w:rsidRPr="004344F6" w:rsidRDefault="004344F6" w:rsidP="00E55FD2">
      <w:pPr>
        <w:keepNext/>
        <w:keepLines/>
        <w:numPr>
          <w:ilvl w:val="0"/>
          <w:numId w:val="17"/>
        </w:numPr>
        <w:ind w:left="819" w:hanging="425"/>
        <w:contextualSpacing/>
        <w:rPr>
          <w:rFonts w:ascii="Arial Narrow" w:eastAsiaTheme="majorEastAsia" w:hAnsi="Arial Narrow" w:cstheme="majorBidi"/>
          <w:sz w:val="20"/>
        </w:rPr>
      </w:pPr>
      <w:r w:rsidRPr="004344F6">
        <w:rPr>
          <w:rFonts w:ascii="Arial Narrow" w:eastAsiaTheme="majorEastAsia" w:hAnsi="Arial Narrow" w:cstheme="majorBidi"/>
          <w:sz w:val="20"/>
        </w:rPr>
        <w:t xml:space="preserve">Total number of patients supplied IVIg for ‘maintenance’ </w:t>
      </w:r>
      <w:r w:rsidRPr="00F67F99">
        <w:rPr>
          <w:rFonts w:ascii="Arial Narrow" w:eastAsiaTheme="majorEastAsia" w:hAnsi="Arial Narrow" w:cstheme="majorBidi"/>
          <w:sz w:val="20"/>
        </w:rPr>
        <w:t>therapy 2019-20: 1,167; 2020-21: 1,135; 2021-22: 1,239; 2022-23: 1,276; 2023-24: 1,324.</w:t>
      </w:r>
    </w:p>
    <w:p w14:paraId="4EA85394" w14:textId="77777777" w:rsidR="004344F6" w:rsidRPr="004344F6" w:rsidRDefault="004344F6" w:rsidP="00E55FD2">
      <w:pPr>
        <w:keepNext/>
        <w:keepLines/>
        <w:rPr>
          <w:rFonts w:ascii="Arial Narrow" w:eastAsiaTheme="majorEastAsia" w:hAnsi="Arial Narrow" w:cstheme="majorBidi"/>
          <w:bCs/>
          <w:sz w:val="20"/>
        </w:rPr>
      </w:pPr>
      <w:proofErr w:type="gramStart"/>
      <w:r w:rsidRPr="004344F6">
        <w:rPr>
          <w:rFonts w:ascii="Arial Narrow" w:eastAsiaTheme="majorEastAsia" w:hAnsi="Arial Narrow" w:cstheme="majorBidi"/>
          <w:bCs/>
          <w:sz w:val="20"/>
          <w:vertAlign w:val="superscript"/>
        </w:rPr>
        <w:t>a</w:t>
      </w:r>
      <w:proofErr w:type="gramEnd"/>
      <w:r w:rsidRPr="004344F6">
        <w:rPr>
          <w:rFonts w:ascii="Arial Narrow" w:eastAsiaTheme="majorEastAsia" w:hAnsi="Arial Narrow" w:cstheme="majorBidi"/>
          <w:bCs/>
          <w:sz w:val="20"/>
          <w:vertAlign w:val="superscript"/>
        </w:rPr>
        <w:t xml:space="preserve"> </w:t>
      </w:r>
      <w:r w:rsidRPr="004344F6">
        <w:rPr>
          <w:rFonts w:ascii="Arial Narrow" w:eastAsiaTheme="majorEastAsia" w:hAnsi="Arial Narrow" w:cstheme="majorBidi"/>
          <w:bCs/>
          <w:sz w:val="20"/>
        </w:rPr>
        <w:t xml:space="preserve">Excluding patients who commenced in 2023-24, </w:t>
      </w:r>
      <w:bookmarkStart w:id="92" w:name="_Hlk194047712"/>
      <w:r w:rsidRPr="004344F6">
        <w:rPr>
          <w:rFonts w:ascii="Arial Narrow" w:eastAsiaTheme="majorEastAsia" w:hAnsi="Arial Narrow" w:cstheme="majorBidi"/>
          <w:bCs/>
          <w:sz w:val="20"/>
        </w:rPr>
        <w:t>as this may represent a part year of treatment and may include non-responders.</w:t>
      </w:r>
    </w:p>
    <w:bookmarkEnd w:id="92"/>
    <w:p w14:paraId="2A9B23F7" w14:textId="77C64517" w:rsidR="004344F6" w:rsidRPr="004344F6" w:rsidRDefault="004344F6" w:rsidP="00E55FD2">
      <w:pPr>
        <w:keepNext/>
        <w:keepLines/>
        <w:rPr>
          <w:rFonts w:ascii="Arial Narrow" w:eastAsiaTheme="majorEastAsia" w:hAnsi="Arial Narrow" w:cstheme="majorBidi"/>
          <w:bCs/>
          <w:sz w:val="20"/>
        </w:rPr>
      </w:pPr>
      <w:r w:rsidRPr="004344F6">
        <w:rPr>
          <w:rFonts w:ascii="Arial Narrow" w:eastAsiaTheme="majorEastAsia" w:hAnsi="Arial Narrow" w:cstheme="majorBidi"/>
          <w:bCs/>
          <w:sz w:val="20"/>
          <w:vertAlign w:val="superscript"/>
        </w:rPr>
        <w:t>b</w:t>
      </w:r>
      <w:r w:rsidRPr="004344F6">
        <w:rPr>
          <w:rFonts w:ascii="Arial Narrow" w:eastAsiaTheme="majorEastAsia" w:hAnsi="Arial Narrow" w:cstheme="majorBidi"/>
          <w:bCs/>
          <w:sz w:val="20"/>
        </w:rPr>
        <w:t xml:space="preserve"> Some of this data is from </w:t>
      </w:r>
      <w:hyperlink r:id="rId13" w:history="1">
        <w:r w:rsidRPr="004344F6">
          <w:rPr>
            <w:rFonts w:ascii="Arial Narrow" w:eastAsiaTheme="majorEastAsia" w:hAnsi="Arial Narrow" w:cstheme="majorBidi"/>
            <w:bCs/>
            <w:color w:val="0000FF" w:themeColor="hyperlink"/>
            <w:sz w:val="20"/>
            <w:u w:val="single"/>
          </w:rPr>
          <w:t>https://www.blood.gov.au/report-issue-and-use-immunoglobulin</w:t>
        </w:r>
      </w:hyperlink>
      <w:r w:rsidRPr="004344F6">
        <w:rPr>
          <w:rFonts w:ascii="Arial Narrow" w:eastAsiaTheme="majorEastAsia" w:hAnsi="Arial Narrow" w:cstheme="majorBidi"/>
          <w:bCs/>
          <w:sz w:val="20"/>
        </w:rPr>
        <w:t xml:space="preserve"> data from 2022-23.</w:t>
      </w:r>
    </w:p>
    <w:p w14:paraId="1CBF9459" w14:textId="77777777" w:rsidR="004344F6" w:rsidRPr="007D4659" w:rsidRDefault="004344F6" w:rsidP="00E55FD2">
      <w:pPr>
        <w:keepNext/>
        <w:keepLines/>
        <w:rPr>
          <w:rFonts w:ascii="Arial Narrow" w:eastAsiaTheme="majorEastAsia" w:hAnsi="Arial Narrow" w:cstheme="majorBidi"/>
          <w:bCs/>
          <w:sz w:val="20"/>
        </w:rPr>
      </w:pPr>
      <w:r w:rsidRPr="007D4659">
        <w:rPr>
          <w:rFonts w:ascii="Arial Narrow" w:eastAsiaTheme="majorEastAsia" w:hAnsi="Arial Narrow" w:cstheme="majorBidi"/>
          <w:bCs/>
          <w:sz w:val="20"/>
          <w:vertAlign w:val="superscript"/>
        </w:rPr>
        <w:t xml:space="preserve">c </w:t>
      </w:r>
      <w:r w:rsidRPr="007D4659">
        <w:rPr>
          <w:rFonts w:ascii="Arial Narrow" w:eastAsiaTheme="majorEastAsia" w:hAnsi="Arial Narrow" w:cstheme="majorBidi"/>
          <w:bCs/>
          <w:sz w:val="20"/>
        </w:rPr>
        <w:t>Remainder is in patients with myasthenia gravis prior to surgery/thymectomy or in myasthenic crisis.</w:t>
      </w:r>
    </w:p>
    <w:p w14:paraId="7CAAD718" w14:textId="77777777" w:rsidR="004344F6" w:rsidRPr="007D4659" w:rsidRDefault="004344F6" w:rsidP="00E55FD2">
      <w:pPr>
        <w:keepNext/>
        <w:keepLines/>
        <w:spacing w:after="120"/>
        <w:rPr>
          <w:rFonts w:ascii="Arial Narrow" w:eastAsiaTheme="majorEastAsia" w:hAnsi="Arial Narrow" w:cstheme="majorBidi"/>
          <w:bCs/>
          <w:sz w:val="20"/>
        </w:rPr>
      </w:pPr>
      <w:r w:rsidRPr="007D4659">
        <w:rPr>
          <w:rFonts w:ascii="Arial Narrow" w:eastAsiaTheme="majorEastAsia" w:hAnsi="Arial Narrow" w:cstheme="majorBidi"/>
          <w:bCs/>
          <w:sz w:val="20"/>
          <w:vertAlign w:val="superscript"/>
        </w:rPr>
        <w:t>d</w:t>
      </w:r>
      <w:r w:rsidRPr="007D4659">
        <w:rPr>
          <w:rFonts w:ascii="Arial Narrow" w:eastAsiaTheme="majorEastAsia" w:hAnsi="Arial Narrow" w:cstheme="majorBidi"/>
          <w:bCs/>
          <w:sz w:val="20"/>
        </w:rPr>
        <w:t xml:space="preserve"> Result is similar (3.4%) using the most recent two years of data</w:t>
      </w:r>
    </w:p>
    <w:p w14:paraId="410ABFD6" w14:textId="677F5577" w:rsidR="004344F6" w:rsidRPr="007D4659" w:rsidRDefault="004344F6" w:rsidP="00E55FD2">
      <w:pPr>
        <w:pStyle w:val="COMexecsummnumbered"/>
        <w:rPr>
          <w:rFonts w:cs="Calibri"/>
        </w:rPr>
      </w:pPr>
      <w:r w:rsidRPr="007D4659">
        <w:t>The</w:t>
      </w:r>
      <w:r w:rsidRPr="007D4659">
        <w:rPr>
          <w:rFonts w:cs="Calibri"/>
        </w:rPr>
        <w:t xml:space="preserve"> ESC noted that these data showed that the average drug cost per patient in 2023-24 for IVIg was $</w:t>
      </w:r>
      <w:r w:rsidR="0011411E" w:rsidRPr="0077631D">
        <w:rPr>
          <w:rFonts w:cs="Calibri"/>
          <w:color w:val="000000"/>
          <w:spacing w:val="6"/>
          <w:w w:val="60"/>
          <w:shd w:val="solid" w:color="000000" w:fill="000000"/>
          <w:fitText w:val="470" w:id="-656192256"/>
          <w14:textFill>
            <w14:solidFill>
              <w14:srgbClr w14:val="000000">
                <w14:alpha w14:val="100000"/>
              </w14:srgbClr>
            </w14:solidFill>
          </w14:textFill>
        </w:rPr>
        <w:t>|||</w:t>
      </w:r>
      <w:r w:rsidR="0077631D" w:rsidRPr="0077631D">
        <w:rPr>
          <w:rFonts w:cs="Calibri"/>
          <w:color w:val="000000"/>
          <w:spacing w:val="6"/>
          <w:w w:val="60"/>
          <w:shd w:val="solid" w:color="000000" w:fill="000000"/>
          <w:fitText w:val="470" w:id="-656192256"/>
          <w14:textFill>
            <w14:solidFill>
              <w14:srgbClr w14:val="000000">
                <w14:alpha w14:val="100000"/>
              </w14:srgbClr>
            </w14:solidFill>
          </w14:textFill>
        </w:rPr>
        <w:t xml:space="preserve"> </w:t>
      </w:r>
      <w:r w:rsidR="0011411E" w:rsidRPr="0077631D">
        <w:rPr>
          <w:rFonts w:cs="Calibri"/>
          <w:color w:val="000000"/>
          <w:spacing w:val="6"/>
          <w:w w:val="60"/>
          <w:shd w:val="solid" w:color="000000" w:fill="000000"/>
          <w:fitText w:val="470" w:id="-656192256"/>
          <w14:textFill>
            <w14:solidFill>
              <w14:srgbClr w14:val="000000">
                <w14:alpha w14:val="100000"/>
              </w14:srgbClr>
            </w14:solidFill>
          </w14:textFill>
        </w:rPr>
        <w:t>||</w:t>
      </w:r>
      <w:r w:rsidR="0011411E" w:rsidRPr="0077631D">
        <w:rPr>
          <w:rFonts w:cs="Calibri"/>
          <w:color w:val="000000"/>
          <w:spacing w:val="4"/>
          <w:w w:val="60"/>
          <w:shd w:val="solid" w:color="000000" w:fill="000000"/>
          <w:fitText w:val="470" w:id="-656192256"/>
          <w14:textFill>
            <w14:solidFill>
              <w14:srgbClr w14:val="000000">
                <w14:alpha w14:val="100000"/>
              </w14:srgbClr>
            </w14:solidFill>
          </w14:textFill>
        </w:rPr>
        <w:t>|</w:t>
      </w:r>
      <w:r w:rsidRPr="007D4659">
        <w:rPr>
          <w:rFonts w:cs="Calibri"/>
        </w:rPr>
        <w:t xml:space="preserve"> based on an average cost per gram of $</w:t>
      </w:r>
      <w:r w:rsidR="0011411E" w:rsidRPr="0077631D">
        <w:rPr>
          <w:rFonts w:cs="Calibri"/>
          <w:color w:val="000000"/>
          <w:spacing w:val="6"/>
          <w:w w:val="60"/>
          <w:shd w:val="solid" w:color="000000" w:fill="000000"/>
          <w:fitText w:val="470" w:id="-656192255"/>
          <w14:textFill>
            <w14:solidFill>
              <w14:srgbClr w14:val="000000">
                <w14:alpha w14:val="100000"/>
              </w14:srgbClr>
            </w14:solidFill>
          </w14:textFill>
        </w:rPr>
        <w:t>|||</w:t>
      </w:r>
      <w:r w:rsidR="0077631D" w:rsidRPr="0077631D">
        <w:rPr>
          <w:rFonts w:cs="Calibri"/>
          <w:color w:val="000000"/>
          <w:spacing w:val="6"/>
          <w:w w:val="60"/>
          <w:shd w:val="solid" w:color="000000" w:fill="000000"/>
          <w:fitText w:val="470" w:id="-656192255"/>
          <w14:textFill>
            <w14:solidFill>
              <w14:srgbClr w14:val="000000">
                <w14:alpha w14:val="100000"/>
              </w14:srgbClr>
            </w14:solidFill>
          </w14:textFill>
        </w:rPr>
        <w:t xml:space="preserve"> </w:t>
      </w:r>
      <w:r w:rsidR="0011411E" w:rsidRPr="0077631D">
        <w:rPr>
          <w:rFonts w:cs="Calibri"/>
          <w:color w:val="000000"/>
          <w:spacing w:val="6"/>
          <w:w w:val="60"/>
          <w:shd w:val="solid" w:color="000000" w:fill="000000"/>
          <w:fitText w:val="470" w:id="-656192255"/>
          <w14:textFill>
            <w14:solidFill>
              <w14:srgbClr w14:val="000000">
                <w14:alpha w14:val="100000"/>
              </w14:srgbClr>
            </w14:solidFill>
          </w14:textFill>
        </w:rPr>
        <w:t>||</w:t>
      </w:r>
      <w:r w:rsidR="0011411E" w:rsidRPr="0077631D">
        <w:rPr>
          <w:rFonts w:cs="Calibri"/>
          <w:color w:val="000000"/>
          <w:spacing w:val="4"/>
          <w:w w:val="60"/>
          <w:shd w:val="solid" w:color="000000" w:fill="000000"/>
          <w:fitText w:val="470" w:id="-656192255"/>
          <w14:textFill>
            <w14:solidFill>
              <w14:srgbClr w14:val="000000">
                <w14:alpha w14:val="100000"/>
              </w14:srgbClr>
            </w14:solidFill>
          </w14:textFill>
        </w:rPr>
        <w:t>|</w:t>
      </w:r>
      <w:r w:rsidRPr="007D4659">
        <w:rPr>
          <w:rFonts w:cs="Calibri"/>
        </w:rPr>
        <w:t xml:space="preserve"> (which is an average across all IVIg use in Australia) and an average of 541.1 grams per patient per year (specific to the myasthenia gravis maintenance setting). This excluded patients who commenced in 2023-24, as this may represent a part year of treatment and may include non-responders. The IVIg doses used in clinical practice were lower than the maximum recommended dose in the Product Information. As such, the ESC noted that applying NBA utilisation data produced substantially lower costs per patient when compared to applying maximum recommended doses for IVIg. </w:t>
      </w:r>
    </w:p>
    <w:p w14:paraId="546E41FE" w14:textId="7CEA00EE" w:rsidR="004344F6" w:rsidRPr="004344F6" w:rsidRDefault="004344F6" w:rsidP="00E55FD2">
      <w:pPr>
        <w:pStyle w:val="COMexecsummnumbered"/>
        <w:rPr>
          <w:rFonts w:cs="Calibri"/>
        </w:rPr>
      </w:pPr>
      <w:r w:rsidRPr="004344F6">
        <w:rPr>
          <w:rFonts w:cs="Calibri"/>
        </w:rPr>
        <w:t xml:space="preserve">The ESC advised that, for the new therapies, the average amount of drug per patient would need to be determined and should appropriately account for any loading doses and, for the </w:t>
      </w:r>
      <w:proofErr w:type="spellStart"/>
      <w:r w:rsidRPr="004344F6">
        <w:rPr>
          <w:rFonts w:cs="Calibri"/>
        </w:rPr>
        <w:t>FcRn</w:t>
      </w:r>
      <w:proofErr w:type="spellEnd"/>
      <w:r w:rsidRPr="004344F6">
        <w:rPr>
          <w:rFonts w:cs="Calibri"/>
        </w:rPr>
        <w:t xml:space="preserve"> blockers, the likely decreasing treatment-free intervals over time </w:t>
      </w:r>
      <w:r w:rsidRPr="004344F6">
        <w:rPr>
          <w:rFonts w:cs="Calibri"/>
        </w:rPr>
        <w:lastRenderedPageBreak/>
        <w:t>seen in the extension trials. The ESC requested that sponsors provide information to inform the equi-effective doses and cost-</w:t>
      </w:r>
      <w:r w:rsidR="00FA065C">
        <w:rPr>
          <w:rFonts w:cs="Calibri"/>
        </w:rPr>
        <w:t>comparison</w:t>
      </w:r>
      <w:r w:rsidR="00FA065C" w:rsidRPr="004344F6">
        <w:rPr>
          <w:rFonts w:cs="Calibri"/>
        </w:rPr>
        <w:t xml:space="preserve"> </w:t>
      </w:r>
      <w:r w:rsidRPr="004344F6">
        <w:rPr>
          <w:rFonts w:cs="Calibri"/>
        </w:rPr>
        <w:t>approach in their pre-PBAC responses.</w:t>
      </w:r>
    </w:p>
    <w:p w14:paraId="24E69188" w14:textId="77777777" w:rsidR="004344F6" w:rsidRPr="004344F6" w:rsidRDefault="004344F6" w:rsidP="00E55FD2">
      <w:pPr>
        <w:spacing w:before="60" w:after="60"/>
        <w:outlineLvl w:val="1"/>
        <w:rPr>
          <w:rFonts w:cs="Calibri"/>
          <w:b/>
          <w:i/>
          <w:iCs/>
          <w:snapToGrid w:val="0"/>
        </w:rPr>
      </w:pPr>
      <w:r w:rsidRPr="004344F6">
        <w:rPr>
          <w:rFonts w:cs="Calibri"/>
          <w:b/>
          <w:i/>
          <w:iCs/>
          <w:snapToGrid w:val="0"/>
        </w:rPr>
        <w:t>ESC’s view on the estimated PBS usage and financial implications</w:t>
      </w:r>
    </w:p>
    <w:p w14:paraId="3C69C33B" w14:textId="77777777" w:rsidR="004344F6" w:rsidRPr="004344F6" w:rsidRDefault="004344F6" w:rsidP="00E55FD2">
      <w:pPr>
        <w:pStyle w:val="COMexecsummnumbered"/>
        <w:rPr>
          <w:rFonts w:cs="Calibri"/>
        </w:rPr>
      </w:pPr>
      <w:r w:rsidRPr="004344F6">
        <w:rPr>
          <w:rFonts w:cs="Calibri"/>
        </w:rPr>
        <w:t xml:space="preserve">The ESC considered that the use of IVIg as maintenance therapy, from the NBA data, may be an appropriate starting point to estimate the use of new gMG therapies. </w:t>
      </w:r>
    </w:p>
    <w:p w14:paraId="40738A72" w14:textId="77777777" w:rsidR="004344F6" w:rsidRPr="004344F6" w:rsidRDefault="004344F6" w:rsidP="00E55FD2">
      <w:pPr>
        <w:pStyle w:val="COMexecsummnumbered"/>
        <w:rPr>
          <w:rFonts w:cs="Calibri"/>
        </w:rPr>
      </w:pPr>
      <w:r w:rsidRPr="004344F6">
        <w:rPr>
          <w:rFonts w:cs="Calibri"/>
        </w:rPr>
        <w:t xml:space="preserve">The ESC considered that the following would also need to be considered: the proportion of patients who are </w:t>
      </w:r>
      <w:proofErr w:type="spellStart"/>
      <w:r w:rsidRPr="004344F6">
        <w:rPr>
          <w:rFonts w:cs="Calibri"/>
        </w:rPr>
        <w:t>AChR</w:t>
      </w:r>
      <w:proofErr w:type="spellEnd"/>
      <w:r w:rsidRPr="004344F6">
        <w:rPr>
          <w:rFonts w:cs="Calibri"/>
        </w:rPr>
        <w:t xml:space="preserve"> antibody positive; uptake rates; treatment response rates; and annual growth rates. Consideration would be required as to whether there would </w:t>
      </w:r>
      <w:proofErr w:type="gramStart"/>
      <w:r w:rsidRPr="004344F6">
        <w:rPr>
          <w:rFonts w:cs="Calibri"/>
        </w:rPr>
        <w:t>be:</w:t>
      </w:r>
      <w:proofErr w:type="gramEnd"/>
      <w:r w:rsidRPr="004344F6">
        <w:rPr>
          <w:rFonts w:cs="Calibri"/>
        </w:rPr>
        <w:t xml:space="preserve"> additional eligible patients (e.g. patients who are unable or unwilling to be treated with IVIg); and/or, on the other hand, patients who still require IVIg in this setting (e.g. patients who do not respond to the new therapies, patients at high risk of infections). Overall, the ESC considered that the total number of patients on the newer therapies is likely to be less than the number of patients who access IVIg.</w:t>
      </w:r>
    </w:p>
    <w:p w14:paraId="2B93135A" w14:textId="77777777" w:rsidR="004344F6" w:rsidRPr="004344F6" w:rsidRDefault="004344F6" w:rsidP="00E55FD2">
      <w:pPr>
        <w:pStyle w:val="COMexecsummnumbered"/>
        <w:rPr>
          <w:rFonts w:cs="Calibri"/>
        </w:rPr>
      </w:pPr>
      <w:r w:rsidRPr="004344F6">
        <w:rPr>
          <w:rFonts w:cs="Calibri"/>
        </w:rPr>
        <w:t xml:space="preserve">Should the PBS restrictions for the new therapies be more restrictive than the existing IVIg criteria (e.g. in terms of functional impairment criteria and number of prior therapies), there may be patients who qualify for IVIg but not the newer therapies. </w:t>
      </w:r>
    </w:p>
    <w:p w14:paraId="445A38AA" w14:textId="77777777" w:rsidR="004344F6" w:rsidRPr="004344F6" w:rsidRDefault="004344F6" w:rsidP="00E55FD2">
      <w:pPr>
        <w:pStyle w:val="COMexecsummnumbered"/>
        <w:rPr>
          <w:rFonts w:cs="Calibri"/>
        </w:rPr>
      </w:pPr>
      <w:r w:rsidRPr="004344F6">
        <w:rPr>
          <w:rFonts w:cs="Calibri"/>
        </w:rPr>
        <w:t xml:space="preserve">The ESC noted that </w:t>
      </w:r>
      <w:proofErr w:type="gramStart"/>
      <w:r w:rsidRPr="004344F6">
        <w:rPr>
          <w:rFonts w:cs="Calibri"/>
        </w:rPr>
        <w:t>the vast majority of</w:t>
      </w:r>
      <w:proofErr w:type="gramEnd"/>
      <w:r w:rsidRPr="004344F6">
        <w:rPr>
          <w:rFonts w:cs="Calibri"/>
        </w:rPr>
        <w:t xml:space="preserve"> patients accessing IVIg (under the NBA maintenance listing) commenced two or more y</w:t>
      </w:r>
      <w:r w:rsidRPr="007D4659">
        <w:rPr>
          <w:rFonts w:cs="Calibri"/>
        </w:rPr>
        <w:t>ears ago (71%). This indicated that most patients are using IVIg for refractory disease, with those accessing it for bridging therapy likely to be a proportion of the 29%</w:t>
      </w:r>
      <w:r w:rsidRPr="004344F6">
        <w:rPr>
          <w:rFonts w:cs="Calibri"/>
        </w:rPr>
        <w:t xml:space="preserve"> of patients who commenced within the past two years.</w:t>
      </w:r>
    </w:p>
    <w:p w14:paraId="543CAAD9" w14:textId="4978930F" w:rsidR="004344F6" w:rsidRPr="004344F6" w:rsidRDefault="004344F6" w:rsidP="00E55FD2">
      <w:pPr>
        <w:pStyle w:val="COMexecsummnumbered"/>
        <w:rPr>
          <w:rFonts w:cs="Calibri"/>
        </w:rPr>
      </w:pPr>
      <w:r w:rsidRPr="004344F6">
        <w:rPr>
          <w:rFonts w:cs="Calibri"/>
        </w:rPr>
        <w:t xml:space="preserve">The ESC considered that any listing of the new therapies should be approximately cost-neutral to government across the </w:t>
      </w:r>
      <w:r w:rsidR="00C62A65">
        <w:rPr>
          <w:rFonts w:cs="Calibri"/>
        </w:rPr>
        <w:t>NBA and PBS</w:t>
      </w:r>
      <w:r w:rsidRPr="004344F6">
        <w:rPr>
          <w:rFonts w:cs="Calibri"/>
        </w:rPr>
        <w:t>.</w:t>
      </w:r>
    </w:p>
    <w:p w14:paraId="36731F8C" w14:textId="04739777" w:rsidR="004344F6" w:rsidRPr="004344F6" w:rsidRDefault="004344F6" w:rsidP="00E55FD2">
      <w:pPr>
        <w:pStyle w:val="COMexecsummnumbered"/>
        <w:rPr>
          <w:rFonts w:cs="Calibri"/>
        </w:rPr>
      </w:pPr>
      <w:r w:rsidRPr="004344F6">
        <w:rPr>
          <w:rFonts w:cs="Calibri"/>
        </w:rPr>
        <w:t xml:space="preserve">The ESC considered that a single RSA that includes </w:t>
      </w:r>
      <w:proofErr w:type="gramStart"/>
      <w:r w:rsidRPr="004344F6">
        <w:rPr>
          <w:rFonts w:cs="Calibri"/>
        </w:rPr>
        <w:t>all of</w:t>
      </w:r>
      <w:proofErr w:type="gramEnd"/>
      <w:r w:rsidRPr="004344F6">
        <w:rPr>
          <w:rFonts w:cs="Calibri"/>
        </w:rPr>
        <w:t xml:space="preserve"> the new PBS listed treatments would be required to mitigate the risk of use outside the intended restriction. The ESC considered that for efgartigimod and rozanolixizumab the RSA would also need to mitigate the risk of an increase in the frequency of cycles received over time.</w:t>
      </w:r>
    </w:p>
    <w:p w14:paraId="5646085A" w14:textId="77777777" w:rsidR="004344F6" w:rsidRDefault="004344F6" w:rsidP="00E55FD2">
      <w:pPr>
        <w:pStyle w:val="COMexecsummnumbered"/>
        <w:numPr>
          <w:ilvl w:val="0"/>
          <w:numId w:val="0"/>
        </w:numPr>
        <w:ind w:left="720"/>
        <w:rPr>
          <w:i/>
          <w:iCs/>
          <w:snapToGrid w:val="0"/>
          <w:szCs w:val="24"/>
          <w:lang w:val="en-GB" w:eastAsia="en-US"/>
        </w:rPr>
      </w:pPr>
    </w:p>
    <w:p w14:paraId="644EE447" w14:textId="45FBD833" w:rsidR="004344F6" w:rsidRPr="004344F6" w:rsidRDefault="004344F6" w:rsidP="00E55FD2">
      <w:pPr>
        <w:pStyle w:val="COMexecsummnumbered"/>
        <w:numPr>
          <w:ilvl w:val="0"/>
          <w:numId w:val="0"/>
        </w:numPr>
        <w:ind w:left="720"/>
        <w:rPr>
          <w:i/>
          <w:iCs/>
          <w:snapToGrid w:val="0"/>
          <w:szCs w:val="24"/>
          <w:lang w:val="en-GB" w:eastAsia="en-US"/>
        </w:rPr>
      </w:pPr>
      <w:bookmarkStart w:id="93" w:name="_Hlk193704278"/>
      <w:r w:rsidRPr="004344F6">
        <w:rPr>
          <w:i/>
          <w:iCs/>
          <w:snapToGrid w:val="0"/>
          <w:szCs w:val="24"/>
          <w:lang w:val="en-GB" w:eastAsia="en-US"/>
        </w:rPr>
        <w:t xml:space="preserve">For more detail on PBAC’s view, see section </w:t>
      </w:r>
      <w:r>
        <w:rPr>
          <w:i/>
          <w:iCs/>
          <w:snapToGrid w:val="0"/>
          <w:szCs w:val="24"/>
          <w:lang w:val="en-GB" w:eastAsia="en-US"/>
        </w:rPr>
        <w:t>8</w:t>
      </w:r>
      <w:r w:rsidRPr="004344F6">
        <w:rPr>
          <w:i/>
          <w:iCs/>
          <w:snapToGrid w:val="0"/>
          <w:szCs w:val="24"/>
          <w:lang w:val="en-GB" w:eastAsia="en-US"/>
        </w:rPr>
        <w:t xml:space="preserve"> PBAC outcome.</w:t>
      </w:r>
    </w:p>
    <w:bookmarkEnd w:id="93"/>
    <w:p w14:paraId="20D2F2D8" w14:textId="120AD420" w:rsidR="00DA6CF0" w:rsidRPr="00DA6CF0" w:rsidRDefault="00DA6CF0" w:rsidP="00E55FD2">
      <w:pPr>
        <w:keepNext/>
        <w:numPr>
          <w:ilvl w:val="0"/>
          <w:numId w:val="1"/>
        </w:numPr>
        <w:spacing w:before="240" w:after="120"/>
        <w:jc w:val="left"/>
        <w:outlineLvl w:val="0"/>
        <w:rPr>
          <w:rFonts w:asciiTheme="minorHAnsi" w:hAnsiTheme="minorHAnsi"/>
          <w:b/>
          <w:snapToGrid w:val="0"/>
          <w:sz w:val="32"/>
          <w:szCs w:val="32"/>
        </w:rPr>
      </w:pPr>
      <w:r w:rsidRPr="00DA6CF0">
        <w:rPr>
          <w:rFonts w:asciiTheme="minorHAnsi" w:hAnsiTheme="minorHAnsi"/>
          <w:b/>
          <w:snapToGrid w:val="0"/>
          <w:sz w:val="32"/>
          <w:szCs w:val="32"/>
        </w:rPr>
        <w:t>PBAC Outcome</w:t>
      </w:r>
    </w:p>
    <w:p w14:paraId="39E6AF90" w14:textId="1FDBA632" w:rsidR="005B372F" w:rsidRDefault="005B372F" w:rsidP="00E55FD2">
      <w:pPr>
        <w:pStyle w:val="COMexecsummnumbered"/>
        <w:numPr>
          <w:ilvl w:val="1"/>
          <w:numId w:val="19"/>
        </w:numPr>
      </w:pPr>
      <w:bookmarkStart w:id="94" w:name="_Hlk194072782"/>
      <w:bookmarkStart w:id="95" w:name="_Hlk193704502"/>
      <w:r>
        <w:t xml:space="preserve">The PBAC recommended the listing of </w:t>
      </w:r>
      <w:proofErr w:type="spellStart"/>
      <w:r>
        <w:t>zilucoplan</w:t>
      </w:r>
      <w:proofErr w:type="spellEnd"/>
      <w:r>
        <w:t xml:space="preserve"> for the treatment of generalised myasthenia gravis (gMG), on the basis that it should be available only under special arrangements under </w:t>
      </w:r>
      <w:r w:rsidR="00AF2141">
        <w:t xml:space="preserve">the </w:t>
      </w:r>
      <w:r>
        <w:t>Section 100</w:t>
      </w:r>
      <w:r w:rsidR="00D25663" w:rsidRPr="00D25663">
        <w:t xml:space="preserve"> Highly Specialised Drugs Program</w:t>
      </w:r>
      <w:r>
        <w:t xml:space="preserve">. The PBAC recognised the high clinical need for new therapies to treat this condition, which has substantial impacts on patient quality of life. The recommendation was made </w:t>
      </w:r>
      <w:proofErr w:type="gramStart"/>
      <w:r>
        <w:t>on the basis of</w:t>
      </w:r>
      <w:proofErr w:type="gramEnd"/>
      <w:r>
        <w:t xml:space="preserve"> a cost-comparison versus intravenous immunoglobulin (IVIg), supported by a cost-per-responder analysis versus </w:t>
      </w:r>
      <w:r w:rsidR="00A7503D">
        <w:t>placebo</w:t>
      </w:r>
      <w:r>
        <w:t xml:space="preserve">. The PBAC acknowledged the limitations </w:t>
      </w:r>
      <w:r>
        <w:lastRenderedPageBreak/>
        <w:t xml:space="preserve">of the available evidence for chronic IVIg, however the PBAC considered that there was no evidence to suggest superior efficacy or safety of </w:t>
      </w:r>
      <w:proofErr w:type="spellStart"/>
      <w:r>
        <w:t>zilucoplan</w:t>
      </w:r>
      <w:proofErr w:type="spellEnd"/>
      <w:r>
        <w:t xml:space="preserve"> versus chronic IVIg or PLEX. Further, the PBAC considered that there was no reliable evidence to suggest that </w:t>
      </w:r>
      <w:proofErr w:type="spellStart"/>
      <w:r>
        <w:t>zilucoplan</w:t>
      </w:r>
      <w:proofErr w:type="spellEnd"/>
      <w:r>
        <w:t xml:space="preserve"> was superior in terms of efficacy or safety compared with the other three therapies considered at the March 2025 meeting for the treatment of gMG (</w:t>
      </w:r>
      <w:proofErr w:type="spellStart"/>
      <w:r>
        <w:t>ravulizumab</w:t>
      </w:r>
      <w:proofErr w:type="spellEnd"/>
      <w:r>
        <w:t>, efgartigimod and rozanolixizumab). Overall, the PBAC advised that the four treatments should be considered as non-inferior with each other and with IVIg.</w:t>
      </w:r>
    </w:p>
    <w:p w14:paraId="61E9FFBA" w14:textId="77777777" w:rsidR="005B372F" w:rsidRDefault="005B372F" w:rsidP="00E55FD2">
      <w:pPr>
        <w:pStyle w:val="COMexecsummnumbered"/>
        <w:numPr>
          <w:ilvl w:val="1"/>
          <w:numId w:val="19"/>
        </w:numPr>
      </w:pPr>
      <w:r>
        <w:t xml:space="preserve">The recommendation was made </w:t>
      </w:r>
      <w:proofErr w:type="gramStart"/>
      <w:r>
        <w:t>on the basis of</w:t>
      </w:r>
      <w:proofErr w:type="gramEnd"/>
      <w:r>
        <w:t xml:space="preserve"> the totality of the evidence presented across all four of the submissions for new gMG therapies.</w:t>
      </w:r>
    </w:p>
    <w:p w14:paraId="6904694B" w14:textId="77777777" w:rsidR="005B372F" w:rsidRDefault="005B372F" w:rsidP="00E55FD2">
      <w:pPr>
        <w:pStyle w:val="COMexecsummnumbered"/>
        <w:numPr>
          <w:ilvl w:val="1"/>
          <w:numId w:val="19"/>
        </w:numPr>
      </w:pPr>
      <w:r>
        <w:t xml:space="preserve">The PBAC noted the strong consumer and clinician support for the new gMG therapies received via the Consumer Comments facility on the PBS website. The PBAC appreciated the input provided by patients, carers and clinicians and found the comments very informative for understanding the high and unmet clinical need for new effective treatments and the potential use of the new therapies in practice. The comments outlined the significant impact that gMG can have on quality of life, including the impact on patients’ families. The comments also described the limitations of currently available treatment options including adverse events and lengthy administration times. Consumers outlined that the new therapies represent a substantial improvement in administration time compared with IVIg, </w:t>
      </w:r>
      <w:proofErr w:type="gramStart"/>
      <w:r>
        <w:t>and also</w:t>
      </w:r>
      <w:proofErr w:type="gramEnd"/>
      <w:r>
        <w:t xml:space="preserve"> shorter travel distances for patients outside metropolitan areas. The comments described a hope that the new therapies will reduce gMG symptoms quickly, reduce the need for other medications and associated side-effects, and reduce hospital visits, contributing to an overall improved quality of life. The PBAC noted the strong support for access to both complement inhibitors (</w:t>
      </w:r>
      <w:proofErr w:type="spellStart"/>
      <w:r>
        <w:t>ravulizumab</w:t>
      </w:r>
      <w:proofErr w:type="spellEnd"/>
      <w:r>
        <w:t xml:space="preserve"> and </w:t>
      </w:r>
      <w:proofErr w:type="spellStart"/>
      <w:r>
        <w:t>zilucoplan</w:t>
      </w:r>
      <w:proofErr w:type="spellEnd"/>
      <w:r>
        <w:t xml:space="preserve">) and </w:t>
      </w:r>
      <w:proofErr w:type="spellStart"/>
      <w:r>
        <w:t>FcRn</w:t>
      </w:r>
      <w:proofErr w:type="spellEnd"/>
      <w:r>
        <w:t xml:space="preserve"> blockers (efgartigimod and rozanolixizumab) across both the bridging and refractory settings. </w:t>
      </w:r>
    </w:p>
    <w:p w14:paraId="69486392" w14:textId="05A853E9" w:rsidR="005B372F" w:rsidRDefault="005B372F" w:rsidP="00E55FD2">
      <w:pPr>
        <w:pStyle w:val="COMexecsummnumbered"/>
        <w:numPr>
          <w:ilvl w:val="1"/>
          <w:numId w:val="19"/>
        </w:numPr>
      </w:pPr>
      <w:r>
        <w:t xml:space="preserve">The PBAC advised that the restrictions were </w:t>
      </w:r>
      <w:proofErr w:type="gramStart"/>
      <w:r>
        <w:t>complex</w:t>
      </w:r>
      <w:proofErr w:type="gramEnd"/>
      <w:r>
        <w:t xml:space="preserve"> and further work would be required to finalise the restrictions including further consultation with expert neurologists </w:t>
      </w:r>
      <w:r w:rsidR="006C553E">
        <w:t>and immunologists</w:t>
      </w:r>
      <w:r w:rsidR="006C553E" w:rsidRPr="004A3F07">
        <w:t xml:space="preserve"> </w:t>
      </w:r>
      <w:r>
        <w:t xml:space="preserve">before listing can proceed. </w:t>
      </w:r>
    </w:p>
    <w:bookmarkEnd w:id="94"/>
    <w:p w14:paraId="642EC404" w14:textId="259A457D" w:rsidR="00295D68" w:rsidRDefault="00295D68" w:rsidP="00E55FD2">
      <w:pPr>
        <w:pStyle w:val="COMexecsummnumbered"/>
        <w:numPr>
          <w:ilvl w:val="1"/>
          <w:numId w:val="19"/>
        </w:numPr>
      </w:pPr>
      <w:r w:rsidRPr="00295D68">
        <w:t xml:space="preserve">The PBAC noted that the resubmission requested listing of </w:t>
      </w:r>
      <w:proofErr w:type="spellStart"/>
      <w:r w:rsidRPr="00295D68">
        <w:t>zilucoplan</w:t>
      </w:r>
      <w:proofErr w:type="spellEnd"/>
      <w:r w:rsidRPr="00295D68">
        <w:t xml:space="preserve"> in treatment refractory patients only, and acknowledged the key trial was not designed to specifically assess the efficacy of </w:t>
      </w:r>
      <w:proofErr w:type="spellStart"/>
      <w:r w:rsidRPr="00295D68">
        <w:t>zilucoplan</w:t>
      </w:r>
      <w:proofErr w:type="spellEnd"/>
      <w:r w:rsidRPr="00295D68">
        <w:t xml:space="preserve"> in the bridging setting. However, the PBAC considered the new gMG therapies (both complement inhibitors and </w:t>
      </w:r>
      <w:proofErr w:type="spellStart"/>
      <w:r w:rsidRPr="00295D68">
        <w:t>FcR</w:t>
      </w:r>
      <w:r w:rsidR="005B372F">
        <w:t>n</w:t>
      </w:r>
      <w:proofErr w:type="spellEnd"/>
      <w:r w:rsidRPr="00295D68">
        <w:t xml:space="preserve"> blockers) should be listed in the bridging setting (in addition to the refractory setting) given the high unmet need, clinical rationale and strong clinician support for listing in this setting. The PBAC further acknowledged comments from clinicians </w:t>
      </w:r>
      <w:r>
        <w:t>advocating for</w:t>
      </w:r>
      <w:r w:rsidRPr="00295D68">
        <w:t xml:space="preserve"> broad listings that allow clinician discretion in the choice as to which agent to use in a particular patient. </w:t>
      </w:r>
    </w:p>
    <w:p w14:paraId="371AF3AE" w14:textId="77777777" w:rsidR="005B372F" w:rsidRDefault="005B372F" w:rsidP="00E55FD2">
      <w:pPr>
        <w:pStyle w:val="COMexecsummnumbered"/>
        <w:numPr>
          <w:ilvl w:val="1"/>
          <w:numId w:val="1"/>
        </w:numPr>
      </w:pPr>
      <w:bookmarkStart w:id="96" w:name="_Ref194587738"/>
      <w:r>
        <w:t>As such, the PBAC considered the four new therapies for gMG should be listed in three settings, consistent with the advice provided by clinicians at the stakeholder meeting and in the consumer comments:</w:t>
      </w:r>
      <w:bookmarkEnd w:id="96"/>
    </w:p>
    <w:p w14:paraId="20033075" w14:textId="77777777" w:rsidR="005B372F" w:rsidRDefault="005B372F" w:rsidP="00E55FD2">
      <w:pPr>
        <w:pStyle w:val="COMexecsummnumbered"/>
        <w:numPr>
          <w:ilvl w:val="0"/>
          <w:numId w:val="22"/>
        </w:numPr>
      </w:pPr>
      <w:r>
        <w:lastRenderedPageBreak/>
        <w:t>I</w:t>
      </w:r>
      <w:r w:rsidRPr="002269BF">
        <w:t xml:space="preserve">mmediate access for patients whose condition is acute </w:t>
      </w:r>
      <w:r>
        <w:t>and</w:t>
      </w:r>
      <w:r w:rsidRPr="002269BF">
        <w:t xml:space="preserve"> severe, and who are at high risk of rapid deterioration</w:t>
      </w:r>
      <w:r>
        <w:t>. The PBAC advised that the restriction in this setting should require patients to be treated with concomitant corticosteroid and NS-IST therapy with the flexibility that NS-IST can be commenced within two weeks of initiation of the new therapy. A maximum time on treatment of 3-months would apply for this setting</w:t>
      </w:r>
      <w:r w:rsidRPr="00EE7A06">
        <w:t>.</w:t>
      </w:r>
      <w:r w:rsidRPr="002269BF">
        <w:t xml:space="preserve"> </w:t>
      </w:r>
    </w:p>
    <w:p w14:paraId="3566AE9A" w14:textId="4541D3CA" w:rsidR="005B372F" w:rsidRPr="00CC390C" w:rsidRDefault="005B372F" w:rsidP="00E55FD2">
      <w:pPr>
        <w:pStyle w:val="COMexecsummnumbered"/>
        <w:numPr>
          <w:ilvl w:val="0"/>
          <w:numId w:val="22"/>
        </w:numPr>
      </w:pPr>
      <w:r w:rsidRPr="00CC390C">
        <w:t xml:space="preserve">Bridging: early in the treatment algorithm, in combination with standard therapy to provide </w:t>
      </w:r>
      <w:r w:rsidR="00A07667" w:rsidRPr="00494D2A">
        <w:rPr>
          <w:bCs/>
          <w:snapToGrid w:val="0"/>
          <w:lang w:eastAsia="en-US"/>
        </w:rPr>
        <w:t>bridging immunosuppression</w:t>
      </w:r>
      <w:r w:rsidRPr="00494D2A">
        <w:rPr>
          <w:snapToGrid w:val="0"/>
          <w:lang w:eastAsia="en-US"/>
        </w:rPr>
        <w:t xml:space="preserve"> whilst </w:t>
      </w:r>
      <w:r w:rsidR="00A07667" w:rsidRPr="00494D2A">
        <w:rPr>
          <w:bCs/>
          <w:snapToGrid w:val="0"/>
          <w:lang w:eastAsia="en-US"/>
        </w:rPr>
        <w:t>immunosuppression with NS-IST/thymectomy takes effect</w:t>
      </w:r>
      <w:r>
        <w:t>. A maximum time on treatment of 6-months would apply for this setting.</w:t>
      </w:r>
    </w:p>
    <w:p w14:paraId="3F452954" w14:textId="77777777" w:rsidR="005B372F" w:rsidRDefault="005B372F" w:rsidP="00E55FD2">
      <w:pPr>
        <w:pStyle w:val="COMexecsummnumbered"/>
        <w:numPr>
          <w:ilvl w:val="0"/>
          <w:numId w:val="21"/>
        </w:numPr>
      </w:pPr>
      <w:r w:rsidRPr="00CC390C">
        <w:t xml:space="preserve">Refractory: later in </w:t>
      </w:r>
      <w:r>
        <w:t xml:space="preserve">the </w:t>
      </w:r>
      <w:r w:rsidRPr="00CC390C">
        <w:t>disease course where other treatments have failed</w:t>
      </w:r>
      <w:r>
        <w:t>.</w:t>
      </w:r>
    </w:p>
    <w:p w14:paraId="5B4F5E1F" w14:textId="768A76C0" w:rsidR="005B372F" w:rsidRDefault="005B372F" w:rsidP="00E55FD2">
      <w:pPr>
        <w:pStyle w:val="COMexecsummnumbered"/>
        <w:numPr>
          <w:ilvl w:val="1"/>
          <w:numId w:val="1"/>
        </w:numPr>
      </w:pPr>
      <w:bookmarkStart w:id="97" w:name="_Ref194586694"/>
      <w:r>
        <w:t>The PBAC considered the restriction in the bridging setting should provide access for patients whose condition is m</w:t>
      </w:r>
      <w:r w:rsidRPr="00CD1FCF">
        <w:t>oderate-</w:t>
      </w:r>
      <w:r>
        <w:t>to-</w:t>
      </w:r>
      <w:r w:rsidRPr="00CD1FCF">
        <w:t>severe</w:t>
      </w:r>
      <w:r>
        <w:t>, and who have</w:t>
      </w:r>
      <w:r w:rsidRPr="00CD1FCF">
        <w:t xml:space="preserve"> trialled </w:t>
      </w:r>
      <w:r>
        <w:t>at least three</w:t>
      </w:r>
      <w:r w:rsidRPr="00CD1FCF">
        <w:t xml:space="preserve"> months of therap</w:t>
      </w:r>
      <w:r>
        <w:t xml:space="preserve">y with </w:t>
      </w:r>
      <w:r w:rsidRPr="00CD1FCF">
        <w:t>remission</w:t>
      </w:r>
      <w:r>
        <w:t>-inducing</w:t>
      </w:r>
      <w:r w:rsidRPr="00CD1FCF">
        <w:t xml:space="preserve"> intent</w:t>
      </w:r>
      <w:r>
        <w:t xml:space="preserve">. The PBAC advised this should be defined as two of the following three: </w:t>
      </w:r>
      <w:r w:rsidRPr="00CD1FCF">
        <w:t>NS-IST</w:t>
      </w:r>
      <w:r>
        <w:t xml:space="preserve">; a </w:t>
      </w:r>
      <w:r w:rsidRPr="00CD1FCF">
        <w:t>corticosteroid</w:t>
      </w:r>
      <w:r>
        <w:t xml:space="preserve">; thymectomy. The NS-IST and/or </w:t>
      </w:r>
      <w:r w:rsidRPr="00CD1FCF">
        <w:t>corticosteroid</w:t>
      </w:r>
      <w:r>
        <w:t xml:space="preserve"> should have been administered a</w:t>
      </w:r>
      <w:r w:rsidRPr="00CD1FCF">
        <w:t>t optimised dosing (</w:t>
      </w:r>
      <w:r w:rsidR="00AB3294" w:rsidRPr="00AB3294">
        <w:t>definition of optimised doses not specified and will be up to the treating physician to determine</w:t>
      </w:r>
      <w:r w:rsidRPr="00CD1FCF">
        <w:t>)</w:t>
      </w:r>
      <w:r>
        <w:t xml:space="preserve">. The PBAC advised the initiation criteria in this setting should require patients to meet a disease severity threshold </w:t>
      </w:r>
      <w:proofErr w:type="gramStart"/>
      <w:r>
        <w:t>similar to</w:t>
      </w:r>
      <w:proofErr w:type="gramEnd"/>
      <w:r>
        <w:t xml:space="preserve"> most of the key trials, e.g.</w:t>
      </w:r>
      <w:r w:rsidRPr="00D11D29">
        <w:t xml:space="preserve"> around MG-ADL ≥ 6 </w:t>
      </w:r>
      <w:r>
        <w:t>(</w:t>
      </w:r>
      <w:r w:rsidRPr="00D11D29">
        <w:t xml:space="preserve">consistent with two of the four trials of the new therapies for </w:t>
      </w:r>
      <w:r>
        <w:t xml:space="preserve">gMG). The PBAC agreed with the clinician correspondence which expressed a preference for also including a </w:t>
      </w:r>
      <w:r w:rsidRPr="0014114A">
        <w:t xml:space="preserve">clinician-reported component </w:t>
      </w:r>
      <w:r>
        <w:t>i.e. using the MGC instrument</w:t>
      </w:r>
      <w:r w:rsidRPr="00D11D29">
        <w:t xml:space="preserve"> </w:t>
      </w:r>
      <w:r w:rsidR="008241FE" w:rsidRPr="008241FE">
        <w:t xml:space="preserve">(with a threshold to be determined based on consultation with expert neurologists and immunologists) </w:t>
      </w:r>
      <w:r>
        <w:t xml:space="preserve">in addition to </w:t>
      </w:r>
      <w:r w:rsidR="00612153">
        <w:t xml:space="preserve">the </w:t>
      </w:r>
      <w:r>
        <w:t xml:space="preserve">MG-ADL (paragraph </w:t>
      </w:r>
      <w:bookmarkEnd w:id="97"/>
      <w:r w:rsidR="001C4D09">
        <w:fldChar w:fldCharType="begin"/>
      </w:r>
      <w:r w:rsidR="001C4D09">
        <w:instrText xml:space="preserve"> REF _Ref194588319 \r \h </w:instrText>
      </w:r>
      <w:r w:rsidR="001C4D09">
        <w:fldChar w:fldCharType="separate"/>
      </w:r>
      <w:r w:rsidR="00271F88">
        <w:t>6.5</w:t>
      </w:r>
      <w:r w:rsidR="001C4D09">
        <w:fldChar w:fldCharType="end"/>
      </w:r>
      <w:r w:rsidR="003E3BD3">
        <w:fldChar w:fldCharType="begin"/>
      </w:r>
      <w:r w:rsidR="003E3BD3">
        <w:instrText xml:space="preserve"> REF _Ref193199650 \r \h </w:instrText>
      </w:r>
      <w:r w:rsidR="003E3BD3">
        <w:fldChar w:fldCharType="separate"/>
      </w:r>
      <w:r w:rsidR="00271F88">
        <w:t>b)</w:t>
      </w:r>
      <w:r w:rsidR="003E3BD3">
        <w:fldChar w:fldCharType="end"/>
      </w:r>
      <w:r w:rsidR="00AE667C">
        <w:t>.</w:t>
      </w:r>
    </w:p>
    <w:p w14:paraId="0EDAA69A" w14:textId="56935933" w:rsidR="005B372F" w:rsidRDefault="005B372F" w:rsidP="00E55FD2">
      <w:pPr>
        <w:pStyle w:val="COMexecsummnumbered"/>
        <w:numPr>
          <w:ilvl w:val="1"/>
          <w:numId w:val="1"/>
        </w:numPr>
      </w:pPr>
      <w:bookmarkStart w:id="98" w:name="_Ref194586696"/>
      <w:r>
        <w:t xml:space="preserve">The PBAC </w:t>
      </w:r>
      <w:r w:rsidRPr="00E5233C">
        <w:t xml:space="preserve">considered the </w:t>
      </w:r>
      <w:r>
        <w:t>restrictions in the refractory setting should require patients to have</w:t>
      </w:r>
      <w:r w:rsidRPr="00CD1FCF">
        <w:t xml:space="preserve"> </w:t>
      </w:r>
      <w:r>
        <w:t>t</w:t>
      </w:r>
      <w:r w:rsidRPr="00CD1FCF">
        <w:t xml:space="preserve">rialled </w:t>
      </w:r>
      <w:r>
        <w:t>at least</w:t>
      </w:r>
      <w:r w:rsidRPr="00CD1FCF">
        <w:t xml:space="preserve"> 12 months of </w:t>
      </w:r>
      <w:r>
        <w:t xml:space="preserve">two of the following three treatments: a </w:t>
      </w:r>
      <w:r w:rsidRPr="003A7680">
        <w:t>NS-IST</w:t>
      </w:r>
      <w:r>
        <w:t>;</w:t>
      </w:r>
      <w:r w:rsidRPr="003A7680">
        <w:t xml:space="preserve"> </w:t>
      </w:r>
      <w:r>
        <w:t xml:space="preserve">a </w:t>
      </w:r>
      <w:r w:rsidRPr="003A7680">
        <w:t>corticosteroid</w:t>
      </w:r>
      <w:r>
        <w:t>; thymectomy. This would allow patients to t</w:t>
      </w:r>
      <w:r w:rsidRPr="00CD1FCF">
        <w:t xml:space="preserve">ransition from </w:t>
      </w:r>
      <w:r>
        <w:t xml:space="preserve">the </w:t>
      </w:r>
      <w:r w:rsidRPr="00CD1FCF">
        <w:t xml:space="preserve">bridging setting (with </w:t>
      </w:r>
      <w:r>
        <w:t xml:space="preserve">a </w:t>
      </w:r>
      <w:r w:rsidRPr="00CD1FCF">
        <w:t>3</w:t>
      </w:r>
      <w:r>
        <w:t>-</w:t>
      </w:r>
      <w:r w:rsidRPr="00CD1FCF">
        <w:t xml:space="preserve">month </w:t>
      </w:r>
      <w:r>
        <w:t xml:space="preserve">treatment </w:t>
      </w:r>
      <w:r w:rsidRPr="00CD1FCF">
        <w:t xml:space="preserve">break) </w:t>
      </w:r>
      <w:r>
        <w:t xml:space="preserve">as </w:t>
      </w:r>
      <w:r w:rsidR="00F0414F">
        <w:t xml:space="preserve">the </w:t>
      </w:r>
      <w:r w:rsidRPr="008F4976">
        <w:t xml:space="preserve">NS-IST and/or corticosteroid should have been </w:t>
      </w:r>
      <w:r>
        <w:t>co-</w:t>
      </w:r>
      <w:r w:rsidRPr="008F4976">
        <w:t xml:space="preserve">administered </w:t>
      </w:r>
      <w:r>
        <w:t>in the previous bridging setting. The PBAC advised the disease severity thresholds for initiation in the refractory setting should be the same as those for the bridging setting</w:t>
      </w:r>
      <w:bookmarkEnd w:id="98"/>
      <w:r>
        <w:t>.</w:t>
      </w:r>
    </w:p>
    <w:p w14:paraId="75362587" w14:textId="4DD989D5" w:rsidR="005B372F" w:rsidRPr="00800E74" w:rsidRDefault="005B372F" w:rsidP="00E55FD2">
      <w:pPr>
        <w:pStyle w:val="COMexecsummnumbered"/>
        <w:numPr>
          <w:ilvl w:val="1"/>
          <w:numId w:val="1"/>
        </w:numPr>
      </w:pPr>
      <w:bookmarkStart w:id="99" w:name="_Ref194586599"/>
      <w:r w:rsidRPr="00800E74">
        <w:t xml:space="preserve">The PBAC considered that, in </w:t>
      </w:r>
      <w:r>
        <w:t>the acute and</w:t>
      </w:r>
      <w:r w:rsidRPr="00800E74">
        <w:t xml:space="preserve"> bridging settings, there should be </w:t>
      </w:r>
      <w:r>
        <w:t xml:space="preserve">a maximum time on treatment of 3 months and 6 months respectively, </w:t>
      </w:r>
      <w:r w:rsidRPr="00800E74">
        <w:t xml:space="preserve">to prevent ongoing use given the potential for the condition to respond to NS-IST therapy or improve over time. The PBAC considered that the </w:t>
      </w:r>
      <w:r>
        <w:t xml:space="preserve">initial </w:t>
      </w:r>
      <w:r w:rsidRPr="00800E74">
        <w:t xml:space="preserve">restriction for the </w:t>
      </w:r>
      <w:r>
        <w:rPr>
          <w:lang w:val="en-GB"/>
        </w:rPr>
        <w:t>treatment refractory setting</w:t>
      </w:r>
      <w:r w:rsidDel="001F42A7">
        <w:t xml:space="preserve"> </w:t>
      </w:r>
      <w:r w:rsidRPr="00800E74">
        <w:t xml:space="preserve">should </w:t>
      </w:r>
      <w:r w:rsidRPr="00800E74">
        <w:rPr>
          <w:lang w:val="en-GB"/>
        </w:rPr>
        <w:t xml:space="preserve">require the patient to </w:t>
      </w:r>
      <w:r>
        <w:rPr>
          <w:lang w:val="en-GB"/>
        </w:rPr>
        <w:t>have trialled cessation of</w:t>
      </w:r>
      <w:r w:rsidRPr="00800E74">
        <w:rPr>
          <w:lang w:val="en-GB"/>
        </w:rPr>
        <w:t xml:space="preserve"> the new therapy </w:t>
      </w:r>
      <w:r>
        <w:rPr>
          <w:lang w:val="en-GB"/>
        </w:rPr>
        <w:t>for three months to be eligible for further treatment with new therapy for this setting</w:t>
      </w:r>
      <w:r w:rsidDel="00162CD0">
        <w:rPr>
          <w:lang w:val="en-GB"/>
        </w:rPr>
        <w:t xml:space="preserve"> </w:t>
      </w:r>
      <w:r w:rsidRPr="008F4976">
        <w:rPr>
          <w:rFonts w:ascii="Calibri" w:hAnsi="Calibri" w:cs="Calibri"/>
          <w:lang w:val="en-GB"/>
        </w:rPr>
        <w:t>(</w:t>
      </w:r>
      <w:r>
        <w:rPr>
          <w:rFonts w:ascii="Calibri" w:hAnsi="Calibri" w:cs="Calibri"/>
          <w:lang w:val="en-GB"/>
        </w:rPr>
        <w:t xml:space="preserve">consistent with the ESC advice in </w:t>
      </w:r>
      <w:r w:rsidRPr="008F4976">
        <w:rPr>
          <w:rFonts w:ascii="Calibri" w:hAnsi="Calibri" w:cs="Calibri"/>
          <w:lang w:val="en-GB"/>
        </w:rPr>
        <w:t>paragraph</w:t>
      </w:r>
      <w:r>
        <w:rPr>
          <w:rFonts w:ascii="Calibri" w:hAnsi="Calibri" w:cs="Calibri"/>
          <w:lang w:val="en-GB"/>
        </w:rPr>
        <w:t xml:space="preserve"> </w:t>
      </w:r>
      <w:r>
        <w:rPr>
          <w:rFonts w:ascii="Calibri" w:hAnsi="Calibri" w:cs="Calibri"/>
          <w:lang w:val="en-GB"/>
        </w:rPr>
        <w:fldChar w:fldCharType="begin"/>
      </w:r>
      <w:r>
        <w:rPr>
          <w:rFonts w:ascii="Calibri" w:hAnsi="Calibri" w:cs="Calibri"/>
          <w:lang w:val="en-GB"/>
        </w:rPr>
        <w:instrText xml:space="preserve"> REF _Ref193200650 \r \h </w:instrText>
      </w:r>
      <w:r>
        <w:rPr>
          <w:rFonts w:ascii="Calibri" w:hAnsi="Calibri" w:cs="Calibri"/>
          <w:lang w:val="en-GB"/>
        </w:rPr>
      </w:r>
      <w:r>
        <w:rPr>
          <w:rFonts w:ascii="Calibri" w:hAnsi="Calibri" w:cs="Calibri"/>
          <w:lang w:val="en-GB"/>
        </w:rPr>
        <w:fldChar w:fldCharType="separate"/>
      </w:r>
      <w:r w:rsidR="00271F88">
        <w:rPr>
          <w:rFonts w:ascii="Calibri" w:hAnsi="Calibri" w:cs="Calibri"/>
          <w:lang w:val="en-GB"/>
        </w:rPr>
        <w:t>7.6</w:t>
      </w:r>
      <w:r>
        <w:rPr>
          <w:rFonts w:ascii="Calibri" w:hAnsi="Calibri" w:cs="Calibri"/>
          <w:lang w:val="en-GB"/>
        </w:rPr>
        <w:fldChar w:fldCharType="end"/>
      </w:r>
      <w:r w:rsidRPr="008F4976">
        <w:rPr>
          <w:rFonts w:ascii="Calibri" w:hAnsi="Calibri" w:cs="Calibri"/>
          <w:lang w:val="en-GB"/>
        </w:rPr>
        <w:t>).</w:t>
      </w:r>
      <w:bookmarkEnd w:id="99"/>
      <w:r w:rsidRPr="008F4976">
        <w:rPr>
          <w:rFonts w:ascii="Calibri" w:hAnsi="Calibri" w:cs="Calibri"/>
          <w:lang w:val="en-GB"/>
        </w:rPr>
        <w:t xml:space="preserve"> </w:t>
      </w:r>
    </w:p>
    <w:p w14:paraId="394AA61A" w14:textId="3EBEA7E9" w:rsidR="005B372F" w:rsidRPr="00CF5C85" w:rsidRDefault="005B372F" w:rsidP="00E55FD2">
      <w:pPr>
        <w:pStyle w:val="COMexecsummnumbered"/>
        <w:numPr>
          <w:ilvl w:val="1"/>
          <w:numId w:val="1"/>
        </w:numPr>
      </w:pPr>
      <w:bookmarkStart w:id="100" w:name="_Ref194586722"/>
      <w:r w:rsidRPr="00800E74">
        <w:t>In terms of response criteria</w:t>
      </w:r>
      <w:r>
        <w:t xml:space="preserve"> in the refractory setting</w:t>
      </w:r>
      <w:r w:rsidRPr="00800E74">
        <w:t xml:space="preserve">, the PBAC considered that response should be based on </w:t>
      </w:r>
      <w:r w:rsidR="008241FE">
        <w:t>an</w:t>
      </w:r>
      <w:r w:rsidRPr="00E8507D">
        <w:t xml:space="preserve"> MG-ADL ≥ 2</w:t>
      </w:r>
      <w:r w:rsidR="008241FE">
        <w:t xml:space="preserve"> </w:t>
      </w:r>
      <w:r w:rsidR="008241FE" w:rsidRPr="008241FE">
        <w:t>(plus a</w:t>
      </w:r>
      <w:r w:rsidR="00F21ADF">
        <w:t xml:space="preserve"> corresponding</w:t>
      </w:r>
      <w:r w:rsidR="008241FE" w:rsidRPr="008241FE">
        <w:t xml:space="preserve"> MGC level to be </w:t>
      </w:r>
      <w:r w:rsidR="008241FE" w:rsidRPr="008241FE">
        <w:lastRenderedPageBreak/>
        <w:t>determined based on consultation with expert neurologists and immunologists),</w:t>
      </w:r>
      <w:r>
        <w:t xml:space="preserve"> achieved</w:t>
      </w:r>
      <w:r w:rsidRPr="00800E74">
        <w:t xml:space="preserve"> </w:t>
      </w:r>
      <w:r w:rsidRPr="00E8507D">
        <w:t>at 2</w:t>
      </w:r>
      <w:r>
        <w:t xml:space="preserve"> to </w:t>
      </w:r>
      <w:r w:rsidRPr="00E8507D">
        <w:t>16 weeks</w:t>
      </w:r>
      <w:r>
        <w:t xml:space="preserve">, per the clinician </w:t>
      </w:r>
      <w:r w:rsidRPr="00CF5C85">
        <w:t xml:space="preserve">correspondence (paragraph </w:t>
      </w:r>
      <w:r w:rsidRPr="00CF5C85">
        <w:fldChar w:fldCharType="begin"/>
      </w:r>
      <w:r w:rsidRPr="00CF5C85">
        <w:instrText xml:space="preserve"> REF _Ref193199135 \r \h </w:instrText>
      </w:r>
      <w:r>
        <w:instrText xml:space="preserve"> \* MERGEFORMAT </w:instrText>
      </w:r>
      <w:r w:rsidRPr="00CF5C85">
        <w:fldChar w:fldCharType="separate"/>
      </w:r>
      <w:r w:rsidR="00271F88">
        <w:t>6.4</w:t>
      </w:r>
      <w:r w:rsidRPr="00CF5C85">
        <w:fldChar w:fldCharType="end"/>
      </w:r>
      <w:r w:rsidRPr="00CF5C85">
        <w:fldChar w:fldCharType="begin"/>
      </w:r>
      <w:r w:rsidRPr="00CF5C85">
        <w:instrText xml:space="preserve"> REF _Ref193201006 \r \h </w:instrText>
      </w:r>
      <w:r>
        <w:instrText xml:space="preserve"> \* MERGEFORMAT </w:instrText>
      </w:r>
      <w:r w:rsidRPr="00CF5C85">
        <w:fldChar w:fldCharType="separate"/>
      </w:r>
      <w:r w:rsidR="00271F88">
        <w:t>e)</w:t>
      </w:r>
      <w:r w:rsidRPr="00CF5C85">
        <w:fldChar w:fldCharType="end"/>
      </w:r>
      <w:r w:rsidRPr="00CF5C85">
        <w:t>.</w:t>
      </w:r>
      <w:bookmarkEnd w:id="100"/>
    </w:p>
    <w:p w14:paraId="7FD3093C" w14:textId="565F428F" w:rsidR="005B372F" w:rsidRPr="00CF5C85" w:rsidRDefault="005B372F" w:rsidP="00E55FD2">
      <w:pPr>
        <w:pStyle w:val="COMexecsummnumbered"/>
        <w:numPr>
          <w:ilvl w:val="1"/>
          <w:numId w:val="1"/>
        </w:numPr>
      </w:pPr>
      <w:r>
        <w:t>The PBAC considered it would be appropriate to list the required number of doses with repeats to enable the approximate full treatment time of 3-months for the acute severe setting, and 6-months for the bridging</w:t>
      </w:r>
      <w:r w:rsidR="00F56787">
        <w:t xml:space="preserve"> setting</w:t>
      </w:r>
      <w:r>
        <w:t>. The PBAC also advised it would be appropriate to list</w:t>
      </w:r>
      <w:r w:rsidRPr="00173A88">
        <w:t xml:space="preserve"> </w:t>
      </w:r>
      <w:r>
        <w:t xml:space="preserve">the number of doses with repeats for each 6-months of treatment in the refractory setting. The PBAC acknowledged there will be some variability in the number of doses and treatment when </w:t>
      </w:r>
      <w:proofErr w:type="gramStart"/>
      <w:r>
        <w:t>taking into account</w:t>
      </w:r>
      <w:proofErr w:type="gramEnd"/>
      <w:r>
        <w:t xml:space="preserve"> the specific dosing regimens of each drug. </w:t>
      </w:r>
    </w:p>
    <w:p w14:paraId="5E16422C" w14:textId="77777777" w:rsidR="005B372F" w:rsidRPr="00E8507D" w:rsidRDefault="005B372F" w:rsidP="00E55FD2">
      <w:pPr>
        <w:pStyle w:val="COMexecsummnumbered"/>
        <w:numPr>
          <w:ilvl w:val="1"/>
          <w:numId w:val="1"/>
        </w:numPr>
      </w:pPr>
      <w:r w:rsidRPr="00CF5C85">
        <w:t>The PBAC considered that the patient must be treated</w:t>
      </w:r>
      <w:r w:rsidRPr="00E8507D">
        <w:t xml:space="preserve"> by (or in consultation with) a neurologist or clinical immunologist with experience in the management of gMG</w:t>
      </w:r>
      <w:r>
        <w:t xml:space="preserve">. The PBAC advised that there should be no age criteria in the restrictions. </w:t>
      </w:r>
    </w:p>
    <w:p w14:paraId="16F58A19" w14:textId="77777777" w:rsidR="005B372F" w:rsidRDefault="005B372F" w:rsidP="00E55FD2">
      <w:pPr>
        <w:pStyle w:val="COMexecsummnumbered"/>
        <w:numPr>
          <w:ilvl w:val="1"/>
          <w:numId w:val="1"/>
        </w:numPr>
      </w:pPr>
      <w:bookmarkStart w:id="101" w:name="_Ref194587740"/>
      <w:r w:rsidRPr="00EE7A06">
        <w:t>Due to the short timeframe of 3-months and 6-months of acute severe treatment and bridging therapy respectively, the PBAC considered switching between the new therapies would not be appropriate within these settings, however a patient may switch when moving from one phase of treatment to the next. Within the refractory setting, patients may switch as needed on the basis that any unused repeat prescriptions for the previous therapy be cancelled.</w:t>
      </w:r>
      <w:bookmarkEnd w:id="101"/>
      <w:r w:rsidRPr="00EE7A06">
        <w:t xml:space="preserve"> </w:t>
      </w:r>
    </w:p>
    <w:p w14:paraId="64BF9B13" w14:textId="77777777" w:rsidR="005B372F" w:rsidRDefault="005B372F" w:rsidP="00E55FD2">
      <w:pPr>
        <w:pStyle w:val="COMexecsummnumbered"/>
        <w:numPr>
          <w:ilvl w:val="1"/>
          <w:numId w:val="1"/>
        </w:numPr>
      </w:pPr>
      <w:r w:rsidRPr="00EA00F2">
        <w:t xml:space="preserve">The </w:t>
      </w:r>
      <w:r>
        <w:t>PBAC</w:t>
      </w:r>
      <w:r w:rsidRPr="00EA00F2">
        <w:t xml:space="preserve"> considered that the new gMG therapies should substitute for IVIg and PLEX rather than be added on to or used in combination with these modalities</w:t>
      </w:r>
      <w:r>
        <w:t>.</w:t>
      </w:r>
      <w:r w:rsidRPr="00EA00F2">
        <w:t xml:space="preserve"> </w:t>
      </w:r>
      <w:r>
        <w:t>The PBAC advised that:</w:t>
      </w:r>
    </w:p>
    <w:p w14:paraId="25AD185F" w14:textId="588A429F" w:rsidR="005B372F" w:rsidRPr="008241FE" w:rsidRDefault="005B372F" w:rsidP="00E55FD2">
      <w:pPr>
        <w:pStyle w:val="COMexecsummnumbered"/>
        <w:numPr>
          <w:ilvl w:val="0"/>
          <w:numId w:val="20"/>
        </w:numPr>
        <w:ind w:left="1134"/>
      </w:pPr>
      <w:r>
        <w:t xml:space="preserve">the PBS restriction should state </w:t>
      </w:r>
      <w:r w:rsidRPr="008241FE">
        <w:t xml:space="preserve">that the new therapy should not be used in combination with </w:t>
      </w:r>
      <w:proofErr w:type="gramStart"/>
      <w:r w:rsidRPr="008241FE">
        <w:t>IVIg;</w:t>
      </w:r>
      <w:proofErr w:type="gramEnd"/>
      <w:r w:rsidRPr="008241FE">
        <w:t xml:space="preserve"> </w:t>
      </w:r>
    </w:p>
    <w:p w14:paraId="7C8CC0A3" w14:textId="77777777" w:rsidR="005B372F" w:rsidRDefault="005B372F" w:rsidP="00E55FD2">
      <w:pPr>
        <w:pStyle w:val="COMexecsummnumbered"/>
        <w:numPr>
          <w:ilvl w:val="0"/>
          <w:numId w:val="20"/>
        </w:numPr>
        <w:ind w:left="1134"/>
      </w:pPr>
      <w:r>
        <w:t>there should be no requirement for the patient to have trialled prior IVIg (or PLEX) given the limitations of the available evidence for chronic IVIg; and</w:t>
      </w:r>
    </w:p>
    <w:p w14:paraId="3EC71C09" w14:textId="77777777" w:rsidR="005B372F" w:rsidRDefault="005B372F" w:rsidP="00E55FD2">
      <w:pPr>
        <w:pStyle w:val="COMexecsummnumbered"/>
        <w:numPr>
          <w:ilvl w:val="0"/>
          <w:numId w:val="20"/>
        </w:numPr>
        <w:ind w:left="1134"/>
      </w:pPr>
      <w:r>
        <w:t>t</w:t>
      </w:r>
      <w:r w:rsidRPr="007E0CDA">
        <w:t>he prescribing criteria for IVIg should be revised to ensure use remains appropriate in the context of the availability of the new therapies.</w:t>
      </w:r>
    </w:p>
    <w:p w14:paraId="778B519E" w14:textId="77777777" w:rsidR="005B372F" w:rsidRDefault="005B372F" w:rsidP="00E55FD2">
      <w:pPr>
        <w:pStyle w:val="COMexecsummnumbered"/>
        <w:numPr>
          <w:ilvl w:val="1"/>
          <w:numId w:val="1"/>
        </w:numPr>
      </w:pPr>
      <w:r>
        <w:t xml:space="preserve">The PBAC considered that </w:t>
      </w:r>
      <w:r w:rsidRPr="000A1820">
        <w:t>chronic IVIg was a relevant comparator for providing a frame of reference for interpreting the cost</w:t>
      </w:r>
      <w:r>
        <w:t>-</w:t>
      </w:r>
      <w:r w:rsidRPr="000A1820">
        <w:t>per</w:t>
      </w:r>
      <w:r>
        <w:t>-</w:t>
      </w:r>
      <w:r w:rsidRPr="000A1820">
        <w:t xml:space="preserve">patient of the newer gMG therapies </w:t>
      </w:r>
      <w:r>
        <w:t>across</w:t>
      </w:r>
      <w:r w:rsidRPr="000A1820">
        <w:t xml:space="preserve"> </w:t>
      </w:r>
      <w:r>
        <w:t xml:space="preserve">both </w:t>
      </w:r>
      <w:r w:rsidRPr="000A1820">
        <w:t xml:space="preserve">the refractory </w:t>
      </w:r>
      <w:r>
        <w:t xml:space="preserve">and bridging </w:t>
      </w:r>
      <w:r w:rsidRPr="000A1820">
        <w:t>setting</w:t>
      </w:r>
      <w:r>
        <w:t xml:space="preserve">s. The PBAC acknowledged the ESC’s concerns that, </w:t>
      </w:r>
      <w:r w:rsidRPr="00C54C97">
        <w:t>in the bridging setting</w:t>
      </w:r>
      <w:r>
        <w:t>,</w:t>
      </w:r>
      <w:r w:rsidRPr="00C54C97">
        <w:t xml:space="preserve"> </w:t>
      </w:r>
      <w:r>
        <w:t xml:space="preserve">there is a </w:t>
      </w:r>
      <w:r w:rsidRPr="00C54C97">
        <w:t xml:space="preserve">lower level of certainty in the incremental benefit versus optimisation of existing therapies </w:t>
      </w:r>
      <w:r>
        <w:t xml:space="preserve">but </w:t>
      </w:r>
      <w:r w:rsidRPr="00C54C97">
        <w:t xml:space="preserve">considered these concerns would be adequately addressed by </w:t>
      </w:r>
      <w:r>
        <w:t xml:space="preserve">having a </w:t>
      </w:r>
      <w:r w:rsidRPr="00C54C97">
        <w:t>maximum duration</w:t>
      </w:r>
      <w:r>
        <w:t xml:space="preserve"> of use in this setting</w:t>
      </w:r>
      <w:r w:rsidRPr="00C54C97">
        <w:t>, along with a combined RSA across both setting</w:t>
      </w:r>
      <w:r>
        <w:t>s.</w:t>
      </w:r>
    </w:p>
    <w:p w14:paraId="36C71E20" w14:textId="77777777" w:rsidR="005B372F" w:rsidRDefault="005B372F" w:rsidP="00E55FD2">
      <w:pPr>
        <w:pStyle w:val="COMexecsummnumbered"/>
        <w:numPr>
          <w:ilvl w:val="1"/>
          <w:numId w:val="1"/>
        </w:numPr>
      </w:pPr>
      <w:r>
        <w:t xml:space="preserve">The PBAC also considered that the </w:t>
      </w:r>
      <w:r w:rsidRPr="000A1820">
        <w:t xml:space="preserve">four </w:t>
      </w:r>
      <w:r>
        <w:t xml:space="preserve">new </w:t>
      </w:r>
      <w:r w:rsidRPr="000A1820">
        <w:t xml:space="preserve">gMG therapies (efgartigimod, rozanolixizumab, </w:t>
      </w:r>
      <w:proofErr w:type="spellStart"/>
      <w:r w:rsidRPr="000A1820">
        <w:t>ravulizumab</w:t>
      </w:r>
      <w:proofErr w:type="spellEnd"/>
      <w:r w:rsidRPr="000A1820">
        <w:t xml:space="preserve"> and </w:t>
      </w:r>
      <w:proofErr w:type="spellStart"/>
      <w:r w:rsidRPr="000A1820">
        <w:t>zilucoplan</w:t>
      </w:r>
      <w:proofErr w:type="spellEnd"/>
      <w:r w:rsidRPr="000A1820">
        <w:t>) were all near-market comparators to each other</w:t>
      </w:r>
      <w:r>
        <w:t>.</w:t>
      </w:r>
    </w:p>
    <w:p w14:paraId="0FDB71B1" w14:textId="36568CC4" w:rsidR="005B372F" w:rsidRDefault="005B372F" w:rsidP="00E55FD2">
      <w:pPr>
        <w:pStyle w:val="COMexecsummnumbered"/>
        <w:numPr>
          <w:ilvl w:val="1"/>
          <w:numId w:val="1"/>
        </w:numPr>
      </w:pPr>
      <w:r>
        <w:t>The PBAC considered there was no evidence to suggest superior efficacy or safety between any of the four new gMG therapies (</w:t>
      </w:r>
      <w:proofErr w:type="spellStart"/>
      <w:r>
        <w:t>zilucoplan</w:t>
      </w:r>
      <w:proofErr w:type="spellEnd"/>
      <w:r>
        <w:t xml:space="preserve">, </w:t>
      </w:r>
      <w:proofErr w:type="spellStart"/>
      <w:r>
        <w:t>ravulizumab</w:t>
      </w:r>
      <w:proofErr w:type="spellEnd"/>
      <w:r>
        <w:t xml:space="preserve">, efgartigimod </w:t>
      </w:r>
      <w:r>
        <w:lastRenderedPageBreak/>
        <w:t xml:space="preserve">and rozanolixizumab). The PBAC further considered that the published network meta-analyses had substantial limitations, in particular the lack of accounting for the treatment effects of </w:t>
      </w:r>
      <w:proofErr w:type="spellStart"/>
      <w:r>
        <w:t>FcRn</w:t>
      </w:r>
      <w:proofErr w:type="spellEnd"/>
      <w:r>
        <w:t xml:space="preserve"> blockers waning over time during the off-treatment period.</w:t>
      </w:r>
      <w:r w:rsidR="0077631D">
        <w:t xml:space="preserve"> </w:t>
      </w:r>
    </w:p>
    <w:p w14:paraId="233D7E4F" w14:textId="44E45AFB" w:rsidR="00CC0A18" w:rsidRPr="00380C9B" w:rsidRDefault="00CC0A18" w:rsidP="00E55FD2">
      <w:pPr>
        <w:pStyle w:val="COMexecsummnumbered"/>
        <w:numPr>
          <w:ilvl w:val="1"/>
          <w:numId w:val="19"/>
        </w:numPr>
      </w:pPr>
      <w:r w:rsidRPr="00380C9B">
        <w:t xml:space="preserve">The PBAC noted the previous submission for </w:t>
      </w:r>
      <w:proofErr w:type="spellStart"/>
      <w:r w:rsidRPr="00380C9B">
        <w:t>zilucoplan</w:t>
      </w:r>
      <w:proofErr w:type="spellEnd"/>
      <w:r w:rsidRPr="00380C9B">
        <w:t xml:space="preserve"> had presented indirect comparisons versus chronic IVIg, including one that used NCT02473952 (subsequently published as Bril 2024) to inform the IVIg arm. The PBAC noted this indirect comparison found no statistically significant differences in functional outcomes </w:t>
      </w:r>
      <w:r w:rsidR="00EE303B">
        <w:t xml:space="preserve">between </w:t>
      </w:r>
      <w:proofErr w:type="spellStart"/>
      <w:r w:rsidRPr="00380C9B">
        <w:t>zilucoplan</w:t>
      </w:r>
      <w:proofErr w:type="spellEnd"/>
      <w:r w:rsidRPr="00380C9B">
        <w:t xml:space="preserve"> and chronic IVIg. The PBAC further noted the previous submission considered that it was likely that </w:t>
      </w:r>
      <w:proofErr w:type="spellStart"/>
      <w:r w:rsidRPr="00380C9B">
        <w:t>zilucoplan</w:t>
      </w:r>
      <w:proofErr w:type="spellEnd"/>
      <w:r w:rsidRPr="00380C9B">
        <w:t xml:space="preserve"> is at least non-inferior in terms of efficacy and safety compared to chronic IVIg/PLEX, albeit noting the submission’s claim that the limited evidence base available for chronic IVIg/PLEX preclude</w:t>
      </w:r>
      <w:r w:rsidR="005B372F">
        <w:t>d</w:t>
      </w:r>
      <w:r w:rsidRPr="00380C9B">
        <w:t xml:space="preserve"> any robust clinical conclusion. The PBAC acknowledged the limitations of the available evidence for chronic IVIg however, based on the totality of the evidence presented across the four submissions, the PBAC considered that there was no evidence to suggest superior efficacy or safety of any of the four new gMG therapies versus chronic IVIg or PLEX.</w:t>
      </w:r>
    </w:p>
    <w:p w14:paraId="2A01D3FF" w14:textId="5EDBA9E9" w:rsidR="00D14335" w:rsidRPr="00CC0A18" w:rsidRDefault="00D14335" w:rsidP="00E55FD2">
      <w:pPr>
        <w:pStyle w:val="COMexecsummnumbered"/>
        <w:numPr>
          <w:ilvl w:val="1"/>
          <w:numId w:val="19"/>
        </w:numPr>
      </w:pPr>
      <w:r w:rsidRPr="00380C9B">
        <w:t xml:space="preserve">Overall, the PBAC considered that </w:t>
      </w:r>
      <w:proofErr w:type="spellStart"/>
      <w:r w:rsidR="00CC0A18" w:rsidRPr="00380C9B">
        <w:t>zilucoplan</w:t>
      </w:r>
      <w:proofErr w:type="spellEnd"/>
      <w:r w:rsidRPr="00380C9B">
        <w:t xml:space="preserve"> has</w:t>
      </w:r>
      <w:r>
        <w:t xml:space="preserve"> non-inferior comparative effectiveness and safety versus chronic IVIg </w:t>
      </w:r>
      <w:proofErr w:type="gramStart"/>
      <w:r>
        <w:t>and also</w:t>
      </w:r>
      <w:proofErr w:type="gramEnd"/>
      <w:r>
        <w:t xml:space="preserve"> </w:t>
      </w:r>
      <w:r w:rsidRPr="00CC0A18">
        <w:t xml:space="preserve">against </w:t>
      </w:r>
      <w:proofErr w:type="spellStart"/>
      <w:r w:rsidR="00CC0A18" w:rsidRPr="00CC0A18">
        <w:t>ravulizumab</w:t>
      </w:r>
      <w:proofErr w:type="spellEnd"/>
      <w:r w:rsidRPr="00CC0A18">
        <w:t xml:space="preserve">, efgartigimod and rozanolixizumab. </w:t>
      </w:r>
    </w:p>
    <w:p w14:paraId="232EA186" w14:textId="04DFFC83" w:rsidR="00D14335" w:rsidRDefault="00D14335" w:rsidP="00E55FD2">
      <w:pPr>
        <w:pStyle w:val="COMexecsummnumbered"/>
        <w:numPr>
          <w:ilvl w:val="1"/>
          <w:numId w:val="19"/>
        </w:numPr>
      </w:pPr>
      <w:bookmarkStart w:id="102" w:name="_Hlk194585825"/>
      <w:r w:rsidRPr="00CC0A18">
        <w:t xml:space="preserve">The PBAC noted the economic model </w:t>
      </w:r>
      <w:r w:rsidR="00CC0A18" w:rsidRPr="00CC0A18">
        <w:t xml:space="preserve">positioned </w:t>
      </w:r>
      <w:proofErr w:type="spellStart"/>
      <w:r w:rsidR="00CC0A18" w:rsidRPr="00CC0A18">
        <w:t>zilucoplan</w:t>
      </w:r>
      <w:proofErr w:type="spellEnd"/>
      <w:r w:rsidR="00CC0A18" w:rsidRPr="00CC0A18">
        <w:t xml:space="preserve"> primarily as a subsequent therapy after treatment failure with chronic IVIg/PLEX,</w:t>
      </w:r>
      <w:r w:rsidRPr="00CC0A18">
        <w:t xml:space="preserve"> which was </w:t>
      </w:r>
      <w:r w:rsidR="005B372F">
        <w:t>in</w:t>
      </w:r>
      <w:r w:rsidRPr="00CC0A18">
        <w:t>consistent with the recommended place in therapy</w:t>
      </w:r>
      <w:bookmarkEnd w:id="102"/>
      <w:r w:rsidRPr="00CC0A18">
        <w:t>. Further</w:t>
      </w:r>
      <w:r>
        <w:t>, the PBAC agreed with ESC that the cost-utility analysis submitted was limited by the lack of long-term data available and the complex nature of the condition. As such, the PBAC considered the uncertainty in the ICER was unlikely to be adequately resolved with further revisions to the model structure and reiterated that the cost-per-patient of IVIg could provide a frame of reference for the newer gMG therapies in a cost-comparison approach.</w:t>
      </w:r>
    </w:p>
    <w:p w14:paraId="4EF75AE2" w14:textId="56677293" w:rsidR="00D14335" w:rsidRDefault="00D14335" w:rsidP="00E55FD2">
      <w:pPr>
        <w:pStyle w:val="COMexecsummnumbered"/>
        <w:numPr>
          <w:ilvl w:val="1"/>
          <w:numId w:val="19"/>
        </w:numPr>
      </w:pPr>
      <w:r>
        <w:t xml:space="preserve">To determine the average IVIg dose per patient per year, the PBAC considered it would not be practical to use the dose </w:t>
      </w:r>
      <w:r w:rsidR="00CE7D6A">
        <w:t xml:space="preserve">recommended </w:t>
      </w:r>
      <w:r>
        <w:t>in the Product Information (induction dose: 1-2g/kg and maintenance dose: 0.4-1 g/kg every 4 to 6 weeks)</w:t>
      </w:r>
      <w:r>
        <w:rPr>
          <w:rStyle w:val="FootnoteReference"/>
        </w:rPr>
        <w:footnoteReference w:id="7"/>
      </w:r>
      <w:r>
        <w:t xml:space="preserve"> given the wide dose range specified which could result in </w:t>
      </w:r>
      <w:r w:rsidR="00CE7D6A">
        <w:t xml:space="preserve">annual </w:t>
      </w:r>
      <w:r>
        <w:t xml:space="preserve">doses </w:t>
      </w:r>
      <w:r w:rsidR="00CE7D6A">
        <w:t>o</w:t>
      </w:r>
      <w:r>
        <w:t>f 352g to 1,172g per patient (using an average patient weight of 83.7 kg per Bril 2024). Further, in Bril 2024 (one of the key studies of chronic IVIg in gMG), IVIg was administered every 3 weeks</w:t>
      </w:r>
      <w:r w:rsidR="00A62F85">
        <w:t>,</w:t>
      </w:r>
      <w:r>
        <w:t xml:space="preserve"> which does not align with the Product Information (dosing every 4 to 6 weeks). </w:t>
      </w:r>
    </w:p>
    <w:p w14:paraId="02667BB4" w14:textId="0EBBDCEA" w:rsidR="00D14335" w:rsidRDefault="007E3061" w:rsidP="00E55FD2">
      <w:pPr>
        <w:pStyle w:val="COMexecsummnumbered"/>
        <w:numPr>
          <w:ilvl w:val="1"/>
          <w:numId w:val="19"/>
        </w:numPr>
      </w:pPr>
      <w:bookmarkStart w:id="103" w:name="_Ref194046300"/>
      <w:r w:rsidRPr="007E3061">
        <w:t xml:space="preserve">The PBAC acknowledged the NBA data was based on the average dose across all severity levels and thus included patients with less severe disease than the threshold for initiation of the new therapies. Further, use of the 2023-24 NBA data would not account for the varying cost per gram of IVIg (which depends on the proportion of </w:t>
      </w:r>
      <w:r w:rsidRPr="007E3061">
        <w:lastRenderedPageBreak/>
        <w:t xml:space="preserve">imported IVIg, with the cost in 2023-24 being higher than previous years). </w:t>
      </w:r>
      <w:bookmarkEnd w:id="103"/>
      <w:r w:rsidR="00EE303B" w:rsidRPr="00EE303B">
        <w:t>Notwithstanding this, the PBAC considered the IVIg utilisation data from the NBA was the most appropriate data available for determining the average annual dose of IVIg being used in Australian patients.</w:t>
      </w:r>
    </w:p>
    <w:p w14:paraId="30A45593" w14:textId="5816AD30" w:rsidR="00D14335" w:rsidRDefault="00D14335" w:rsidP="00E55FD2">
      <w:pPr>
        <w:pStyle w:val="COMexecsummnumbered"/>
        <w:numPr>
          <w:ilvl w:val="1"/>
          <w:numId w:val="19"/>
        </w:numPr>
      </w:pPr>
      <w:bookmarkStart w:id="104" w:name="_Ref194586320"/>
      <w:r>
        <w:t>The PBAC considered that a cost-comparison versus IVIg would need to be based on the drug cost per patient per year accounting for:</w:t>
      </w:r>
      <w:bookmarkEnd w:id="104"/>
    </w:p>
    <w:p w14:paraId="2B73B030" w14:textId="73838C09" w:rsidR="00D14335" w:rsidRDefault="00D14335" w:rsidP="00E55FD2">
      <w:pPr>
        <w:pStyle w:val="COMexecsummbulletlist"/>
        <w:numPr>
          <w:ilvl w:val="0"/>
          <w:numId w:val="41"/>
        </w:numPr>
        <w:snapToGrid w:val="0"/>
        <w:ind w:left="1134" w:hanging="283"/>
      </w:pPr>
      <w:r>
        <w:t>the total average annual dose of IVIg per patient observed in the NBA data (for maintenance gMG</w:t>
      </w:r>
      <w:r w:rsidR="00EE303B" w:rsidRPr="00EE303B">
        <w:t xml:space="preserve"> </w:t>
      </w:r>
      <w:r w:rsidR="00EE303B" w:rsidRPr="007D4659">
        <w:t>of 541.1 grams per year</w:t>
      </w:r>
      <w:r w:rsidR="00EE303B">
        <w:t xml:space="preserve"> (shown in</w:t>
      </w:r>
      <w:r>
        <w:t xml:space="preserve"> </w:t>
      </w:r>
      <w:r>
        <w:fldChar w:fldCharType="begin"/>
      </w:r>
      <w:r>
        <w:instrText xml:space="preserve"> REF _Ref193116172 \h  \* MERGEFORMAT </w:instrText>
      </w:r>
      <w:r>
        <w:fldChar w:fldCharType="separate"/>
      </w:r>
      <w:r w:rsidR="00271F88" w:rsidRPr="00271F88">
        <w:t>Table 18</w:t>
      </w:r>
      <w:r>
        <w:fldChar w:fldCharType="end"/>
      </w:r>
      <w:r>
        <w:t>).</w:t>
      </w:r>
    </w:p>
    <w:p w14:paraId="227C71AB" w14:textId="24274CF9" w:rsidR="00CE7D6A" w:rsidRPr="00CE7D6A" w:rsidRDefault="00CE7D6A" w:rsidP="00E55FD2">
      <w:pPr>
        <w:pStyle w:val="COMexecsummbulletlist"/>
        <w:numPr>
          <w:ilvl w:val="0"/>
          <w:numId w:val="41"/>
        </w:numPr>
        <w:snapToGrid w:val="0"/>
        <w:ind w:left="1134" w:hanging="283"/>
      </w:pPr>
      <w:r w:rsidRPr="00CE7D6A">
        <w:t xml:space="preserve">the </w:t>
      </w:r>
      <w:proofErr w:type="spellStart"/>
      <w:r w:rsidRPr="00CE7D6A">
        <w:t>zilucoplan</w:t>
      </w:r>
      <w:proofErr w:type="spellEnd"/>
      <w:r w:rsidRPr="00CE7D6A">
        <w:t xml:space="preserve"> dose </w:t>
      </w:r>
      <w:r>
        <w:t>recommend</w:t>
      </w:r>
      <w:r w:rsidRPr="00CE7D6A">
        <w:t>ed in the product information assuming the same weight distribution as patients in the trial</w:t>
      </w:r>
      <w:r w:rsidR="00C44DB3">
        <w:t xml:space="preserve"> (outlined in </w:t>
      </w:r>
      <w:r w:rsidR="00C44DB3">
        <w:fldChar w:fldCharType="begin"/>
      </w:r>
      <w:r w:rsidR="00C44DB3">
        <w:instrText xml:space="preserve"> REF _Ref193725177 \h </w:instrText>
      </w:r>
      <w:r w:rsidR="00C44DB3">
        <w:fldChar w:fldCharType="separate"/>
      </w:r>
      <w:r w:rsidR="00271F88">
        <w:t xml:space="preserve">Table </w:t>
      </w:r>
      <w:r w:rsidR="00271F88">
        <w:rPr>
          <w:noProof/>
        </w:rPr>
        <w:t>14</w:t>
      </w:r>
      <w:r w:rsidR="00C44DB3">
        <w:fldChar w:fldCharType="end"/>
      </w:r>
      <w:r w:rsidR="00C44DB3">
        <w:t>)</w:t>
      </w:r>
      <w:r w:rsidRPr="00CE7D6A">
        <w:t xml:space="preserve">, not accounting for response rates. Compliance assumptions of around </w:t>
      </w:r>
      <w:r w:rsidRPr="007D4659">
        <w:t xml:space="preserve">95% may be appropriate for the complement inhibitors (administered on a chronic basis) given the cost-comparison approach being applied. </w:t>
      </w:r>
      <w:r w:rsidR="00D755F4" w:rsidRPr="007D4659">
        <w:t>Based on these assumptions, t</w:t>
      </w:r>
      <w:r w:rsidRPr="007D4659">
        <w:t xml:space="preserve">he average annual dose of </w:t>
      </w:r>
      <w:proofErr w:type="spellStart"/>
      <w:r w:rsidRPr="007D4659">
        <w:t>zilucoplan</w:t>
      </w:r>
      <w:proofErr w:type="spellEnd"/>
      <w:r w:rsidRPr="007D4659">
        <w:t xml:space="preserve"> would be: 9,95</w:t>
      </w:r>
      <w:r w:rsidR="00E5478A" w:rsidRPr="007D4659">
        <w:t>1</w:t>
      </w:r>
      <w:r w:rsidRPr="007D4659">
        <w:t xml:space="preserve"> mg per year </w:t>
      </w:r>
      <w:bookmarkStart w:id="105" w:name="_Hlk194586004"/>
      <w:r w:rsidRPr="007D4659">
        <w:t>(</w:t>
      </w:r>
      <w:r w:rsidR="00725555" w:rsidRPr="007D4659">
        <w:t xml:space="preserve">i.e. </w:t>
      </w:r>
      <w:r w:rsidRPr="007D4659">
        <w:t>10,475 mg x 95%</w:t>
      </w:r>
      <w:r w:rsidR="00725555" w:rsidRPr="007D4659">
        <w:t xml:space="preserve"> compliance</w:t>
      </w:r>
      <w:r w:rsidRPr="007D4659">
        <w:t>).</w:t>
      </w:r>
      <w:bookmarkEnd w:id="105"/>
    </w:p>
    <w:p w14:paraId="3F8A9E33" w14:textId="77777777" w:rsidR="00D14335" w:rsidRPr="00C50D06" w:rsidRDefault="00D14335" w:rsidP="00E55FD2">
      <w:pPr>
        <w:pStyle w:val="COMexecsummbulletlist"/>
        <w:numPr>
          <w:ilvl w:val="0"/>
          <w:numId w:val="41"/>
        </w:numPr>
        <w:snapToGrid w:val="0"/>
        <w:ind w:left="1134" w:hanging="283"/>
      </w:pPr>
      <w:r>
        <w:t xml:space="preserve">a small premium to account for the administration benefits associated with the newer therapies compared with IVIg, noting the extensive administration requirements associated with IVIg, with an infusion time of around 2 to 4 hours and up to 8 hours, which have resource </w:t>
      </w:r>
      <w:r w:rsidRPr="00C50D06">
        <w:t>implications and a direct impact on patients and carers.</w:t>
      </w:r>
    </w:p>
    <w:p w14:paraId="43E3F261" w14:textId="77777777" w:rsidR="00D14335" w:rsidRPr="00C50D06" w:rsidRDefault="00D14335" w:rsidP="00E55FD2">
      <w:pPr>
        <w:pStyle w:val="COMexecsummbulletlist"/>
        <w:numPr>
          <w:ilvl w:val="0"/>
          <w:numId w:val="41"/>
        </w:numPr>
        <w:snapToGrid w:val="0"/>
        <w:ind w:left="1134" w:hanging="283"/>
      </w:pPr>
      <w:r w:rsidRPr="00C50D06">
        <w:t>meningococcal vaccination for the complement inhibitors.</w:t>
      </w:r>
    </w:p>
    <w:p w14:paraId="1AD643A4" w14:textId="04BE4EBD" w:rsidR="00D14335" w:rsidRPr="0052301C" w:rsidRDefault="00D14335" w:rsidP="00E55FD2">
      <w:pPr>
        <w:pStyle w:val="COMexecsummnumbered"/>
        <w:numPr>
          <w:ilvl w:val="1"/>
          <w:numId w:val="19"/>
        </w:numPr>
      </w:pPr>
      <w:r>
        <w:t xml:space="preserve">The PBAC noted the results of a cost-per-responder analysis versus placebo which </w:t>
      </w:r>
      <w:r w:rsidRPr="0052301C">
        <w:t>assumed the same drug cost per patient as IVIg (based on the NBA data), along with the average incremental response rate across the four gMG trials (refer to paragraph</w:t>
      </w:r>
      <w:r w:rsidR="00C50D06" w:rsidRPr="0052301C">
        <w:t xml:space="preserve"> </w:t>
      </w:r>
      <w:r w:rsidR="00C50D06" w:rsidRPr="0052301C">
        <w:fldChar w:fldCharType="begin"/>
      </w:r>
      <w:r w:rsidR="00C50D06" w:rsidRPr="0052301C">
        <w:instrText xml:space="preserve"> REF _Ref193117743 \r \h  \* MERGEFORMAT </w:instrText>
      </w:r>
      <w:r w:rsidR="00C50D06" w:rsidRPr="0052301C">
        <w:fldChar w:fldCharType="separate"/>
      </w:r>
      <w:r w:rsidR="00271F88">
        <w:t>6.99</w:t>
      </w:r>
      <w:r w:rsidR="00C50D06" w:rsidRPr="0052301C">
        <w:fldChar w:fldCharType="end"/>
      </w:r>
      <w:r w:rsidRPr="0052301C">
        <w:t xml:space="preserve">). The PBAC considered cost-per-responder analysis supported that the new therapies would be cost effective if priced based on </w:t>
      </w:r>
      <w:r w:rsidR="00C50D06" w:rsidRPr="0052301C">
        <w:t xml:space="preserve">the </w:t>
      </w:r>
      <w:r w:rsidRPr="0052301C">
        <w:t>IVIg cost as outlined above.</w:t>
      </w:r>
    </w:p>
    <w:p w14:paraId="28ED9A3C" w14:textId="271EEAC4" w:rsidR="00D14335" w:rsidRDefault="00D14335" w:rsidP="00E55FD2">
      <w:pPr>
        <w:pStyle w:val="COMexecsummnumbered"/>
        <w:numPr>
          <w:ilvl w:val="1"/>
          <w:numId w:val="19"/>
        </w:numPr>
      </w:pPr>
      <w:bookmarkStart w:id="106" w:name="_Ref194673453"/>
      <w:bookmarkStart w:id="107" w:name="_Ref194349212"/>
      <w:r w:rsidRPr="0052301C">
        <w:t xml:space="preserve">The PBAC advised that the financial estimates should </w:t>
      </w:r>
      <w:r w:rsidR="00E62FDC">
        <w:t>take the</w:t>
      </w:r>
      <w:r w:rsidRPr="0052301C">
        <w:t xml:space="preserve"> total number of patients accessing IVIg as gMG maintenance therapy</w:t>
      </w:r>
      <w:r w:rsidR="0025067F">
        <w:t xml:space="preserve"> as a starting point</w:t>
      </w:r>
      <w:r w:rsidRPr="0052301C">
        <w:t xml:space="preserve">, which </w:t>
      </w:r>
      <w:r w:rsidRPr="009A2424">
        <w:t>was 1,324 in 2023-24 (</w:t>
      </w:r>
      <w:r w:rsidR="00C50D06" w:rsidRPr="009A2424">
        <w:t xml:space="preserve">refer to </w:t>
      </w:r>
      <w:r w:rsidR="00C50D06" w:rsidRPr="009A2424">
        <w:fldChar w:fldCharType="begin"/>
      </w:r>
      <w:r w:rsidR="00C50D06" w:rsidRPr="009A2424">
        <w:instrText xml:space="preserve"> REF _Ref194408028 \h </w:instrText>
      </w:r>
      <w:r w:rsidR="009A2424">
        <w:instrText xml:space="preserve"> \* MERGEFORMAT </w:instrText>
      </w:r>
      <w:r w:rsidR="00C50D06" w:rsidRPr="009A2424">
        <w:fldChar w:fldCharType="separate"/>
      </w:r>
      <w:r w:rsidR="00271F88">
        <w:t xml:space="preserve">Table </w:t>
      </w:r>
      <w:r w:rsidR="00271F88">
        <w:rPr>
          <w:noProof/>
        </w:rPr>
        <w:t>17</w:t>
      </w:r>
      <w:r w:rsidR="00C50D06" w:rsidRPr="009A2424">
        <w:fldChar w:fldCharType="end"/>
      </w:r>
      <w:r w:rsidRPr="009A2424">
        <w:t xml:space="preserve">). The PBAC considered the following should </w:t>
      </w:r>
      <w:r w:rsidR="0025067F" w:rsidRPr="009A2424">
        <w:t xml:space="preserve">then </w:t>
      </w:r>
      <w:r w:rsidRPr="009A2424">
        <w:t>be applied: market growth (of around 4% per year,</w:t>
      </w:r>
      <w:r>
        <w:t xml:space="preserve"> based on the last five years of IVIg data); and the proportion of patients whose gMG is </w:t>
      </w:r>
      <w:proofErr w:type="spellStart"/>
      <w:r>
        <w:t>AChR</w:t>
      </w:r>
      <w:proofErr w:type="spellEnd"/>
      <w:r>
        <w:t xml:space="preserve">+ (of around 86% </w:t>
      </w:r>
      <w:r w:rsidR="00C50D06">
        <w:t>as proposed by the sponsor).</w:t>
      </w:r>
      <w:bookmarkEnd w:id="106"/>
      <w:r w:rsidR="00C50D06">
        <w:t xml:space="preserve"> </w:t>
      </w:r>
      <w:bookmarkEnd w:id="107"/>
    </w:p>
    <w:p w14:paraId="3E42B75B" w14:textId="77777777" w:rsidR="00D14335" w:rsidRDefault="00D14335" w:rsidP="00E55FD2">
      <w:pPr>
        <w:pStyle w:val="COMexecsummnumbered"/>
        <w:numPr>
          <w:ilvl w:val="1"/>
          <w:numId w:val="19"/>
        </w:numPr>
      </w:pPr>
      <w:r>
        <w:t>The PBAC advised that uptake should be based on the new therapies as a group, and should be from two key groups within existing IVIg users:</w:t>
      </w:r>
    </w:p>
    <w:p w14:paraId="300BBC55" w14:textId="1CA5595F" w:rsidR="008963E8" w:rsidRDefault="008963E8" w:rsidP="00E55FD2">
      <w:pPr>
        <w:pStyle w:val="COMexecsummbulletlist"/>
      </w:pPr>
      <w:r>
        <w:t xml:space="preserve">uptake from new patients and existing IVIg users with ongoing functional impairment (i.e. </w:t>
      </w:r>
      <w:r w:rsidR="007510F8" w:rsidRPr="00271F88">
        <w:rPr>
          <w:color w:val="000000"/>
          <w:w w:val="15"/>
          <w:shd w:val="solid" w:color="000000" w:fill="000000"/>
          <w:fitText w:val="-20" w:id="-691334399"/>
          <w14:textFill>
            <w14:solidFill>
              <w14:srgbClr w14:val="000000">
                <w14:alpha w14:val="100000"/>
              </w14:srgbClr>
            </w14:solidFill>
          </w14:textFill>
        </w:rPr>
        <w:t>|</w:t>
      </w:r>
      <w:r w:rsidR="0077631D" w:rsidRPr="00271F88">
        <w:rPr>
          <w:color w:val="000000"/>
          <w:w w:val="15"/>
          <w:shd w:val="solid" w:color="000000" w:fill="000000"/>
          <w:fitText w:val="-20" w:id="-691334399"/>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99"/>
          <w14:textFill>
            <w14:solidFill>
              <w14:srgbClr w14:val="000000">
                <w14:alpha w14:val="100000"/>
              </w14:srgbClr>
            </w14:solidFill>
          </w14:textFill>
        </w:rPr>
        <w:t>|</w:t>
      </w:r>
      <w:r w:rsidRPr="00CF09E8">
        <w:t>%</w:t>
      </w:r>
      <w:r>
        <w:t xml:space="preserve"> of the </w:t>
      </w:r>
      <w:proofErr w:type="spellStart"/>
      <w:r>
        <w:t>AChR</w:t>
      </w:r>
      <w:proofErr w:type="spellEnd"/>
      <w:r>
        <w:t xml:space="preserve">+ patient cohort, </w:t>
      </w:r>
      <w:r>
        <w:fldChar w:fldCharType="begin"/>
      </w:r>
      <w:r>
        <w:instrText xml:space="preserve"> REF _Ref194408028 \h </w:instrText>
      </w:r>
      <w:r>
        <w:fldChar w:fldCharType="separate"/>
      </w:r>
      <w:r w:rsidR="00271F88">
        <w:t xml:space="preserve">Table </w:t>
      </w:r>
      <w:r w:rsidR="00271F88">
        <w:rPr>
          <w:noProof/>
        </w:rPr>
        <w:t>17</w:t>
      </w:r>
      <w:r>
        <w:fldChar w:fldCharType="end"/>
      </w:r>
      <w:r>
        <w:t xml:space="preserve">). This group would likely have relatively high uptake of the new therapies (potentially up to </w:t>
      </w:r>
      <w:r w:rsidR="007510F8" w:rsidRPr="00271F88">
        <w:rPr>
          <w:color w:val="000000"/>
          <w:w w:val="15"/>
          <w:shd w:val="solid" w:color="000000" w:fill="000000"/>
          <w:fitText w:val="-20" w:id="-691334398"/>
          <w14:textFill>
            <w14:solidFill>
              <w14:srgbClr w14:val="000000">
                <w14:alpha w14:val="100000"/>
              </w14:srgbClr>
            </w14:solidFill>
          </w14:textFill>
        </w:rPr>
        <w:t>|</w:t>
      </w:r>
      <w:r w:rsidR="0077631D" w:rsidRPr="00271F88">
        <w:rPr>
          <w:color w:val="000000"/>
          <w:w w:val="15"/>
          <w:shd w:val="solid" w:color="000000" w:fill="000000"/>
          <w:fitText w:val="-20" w:id="-691334398"/>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98"/>
          <w14:textFill>
            <w14:solidFill>
              <w14:srgbClr w14:val="000000">
                <w14:alpha w14:val="100000"/>
              </w14:srgbClr>
            </w14:solidFill>
          </w14:textFill>
        </w:rPr>
        <w:t>|</w:t>
      </w:r>
      <w:r>
        <w:t xml:space="preserve">%). </w:t>
      </w:r>
    </w:p>
    <w:p w14:paraId="4D44D2FC" w14:textId="7B1CDA68" w:rsidR="008963E8" w:rsidRDefault="008963E8" w:rsidP="00E55FD2">
      <w:pPr>
        <w:pStyle w:val="COMexecsummbulletlist"/>
      </w:pPr>
      <w:r>
        <w:t xml:space="preserve">uptake from prevalent patients (i.e. the remaining </w:t>
      </w:r>
      <w:r w:rsidR="007510F8" w:rsidRPr="00271F88">
        <w:rPr>
          <w:color w:val="000000"/>
          <w:w w:val="15"/>
          <w:shd w:val="solid" w:color="000000" w:fill="000000"/>
          <w:fitText w:val="-20" w:id="-691334397"/>
          <w14:textFill>
            <w14:solidFill>
              <w14:srgbClr w14:val="000000">
                <w14:alpha w14:val="100000"/>
              </w14:srgbClr>
            </w14:solidFill>
          </w14:textFill>
        </w:rPr>
        <w:t>|</w:t>
      </w:r>
      <w:r w:rsidR="0077631D" w:rsidRPr="00271F88">
        <w:rPr>
          <w:color w:val="000000"/>
          <w:w w:val="15"/>
          <w:shd w:val="solid" w:color="000000" w:fill="000000"/>
          <w:fitText w:val="-20" w:id="-691334397"/>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97"/>
          <w14:textFill>
            <w14:solidFill>
              <w14:srgbClr w14:val="000000">
                <w14:alpha w14:val="100000"/>
              </w14:srgbClr>
            </w14:solidFill>
          </w14:textFill>
        </w:rPr>
        <w:t>|</w:t>
      </w:r>
      <w:r w:rsidRPr="00724C0E">
        <w:t>%</w:t>
      </w:r>
      <w:r>
        <w:t xml:space="preserve"> of the </w:t>
      </w:r>
      <w:proofErr w:type="spellStart"/>
      <w:r>
        <w:t>AChR</w:t>
      </w:r>
      <w:proofErr w:type="spellEnd"/>
      <w:r>
        <w:t xml:space="preserve">+ patient cohort) already established on IVIg (uptake of around </w:t>
      </w:r>
      <w:r w:rsidR="007510F8" w:rsidRPr="00271F88">
        <w:rPr>
          <w:color w:val="000000"/>
          <w:w w:val="15"/>
          <w:shd w:val="solid" w:color="000000" w:fill="000000"/>
          <w:fitText w:val="-20" w:id="-691334396"/>
          <w14:textFill>
            <w14:solidFill>
              <w14:srgbClr w14:val="000000">
                <w14:alpha w14:val="100000"/>
              </w14:srgbClr>
            </w14:solidFill>
          </w14:textFill>
        </w:rPr>
        <w:t>|</w:t>
      </w:r>
      <w:r w:rsidR="0077631D" w:rsidRPr="00271F88">
        <w:rPr>
          <w:color w:val="000000"/>
          <w:w w:val="15"/>
          <w:shd w:val="solid" w:color="000000" w:fill="000000"/>
          <w:fitText w:val="-20" w:id="-691334396"/>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96"/>
          <w14:textFill>
            <w14:solidFill>
              <w14:srgbClr w14:val="000000">
                <w14:alpha w14:val="100000"/>
              </w14:srgbClr>
            </w14:solidFill>
          </w14:textFill>
        </w:rPr>
        <w:t>|</w:t>
      </w:r>
      <w:r>
        <w:t>%).</w:t>
      </w:r>
    </w:p>
    <w:p w14:paraId="6B9F124E" w14:textId="3073FE30" w:rsidR="00D14335" w:rsidRDefault="00D14335" w:rsidP="00E55FD2">
      <w:pPr>
        <w:pStyle w:val="COMexecsummnumbered"/>
        <w:numPr>
          <w:ilvl w:val="1"/>
          <w:numId w:val="19"/>
        </w:numPr>
      </w:pPr>
      <w:r>
        <w:lastRenderedPageBreak/>
        <w:t xml:space="preserve">The PBAC advised that the </w:t>
      </w:r>
      <w:proofErr w:type="gramStart"/>
      <w:r>
        <w:t>aforementioned uptake</w:t>
      </w:r>
      <w:proofErr w:type="gramEnd"/>
      <w:r>
        <w:t xml:space="preserve"> rates were intended to account for: any additional eligible patients (e.g. patients who are not responding to, or who are unable to be treated with IVIg); the PBS restriction being narrower than the current IVIg criteria; and the stopping rules (as these would generally mirror how IVIg is used in practice). The </w:t>
      </w:r>
      <w:proofErr w:type="gramStart"/>
      <w:r>
        <w:t>aforementioned rates</w:t>
      </w:r>
      <w:proofErr w:type="gramEnd"/>
      <w:r>
        <w:t xml:space="preserve"> would equate to an overall uptake rate of around </w:t>
      </w:r>
      <w:r w:rsidR="007510F8" w:rsidRPr="00271F88">
        <w:rPr>
          <w:color w:val="000000"/>
          <w:w w:val="15"/>
          <w:shd w:val="solid" w:color="000000" w:fill="000000"/>
          <w:fitText w:val="-20" w:id="-691334395"/>
          <w14:textFill>
            <w14:solidFill>
              <w14:srgbClr w14:val="000000">
                <w14:alpha w14:val="100000"/>
              </w14:srgbClr>
            </w14:solidFill>
          </w14:textFill>
        </w:rPr>
        <w:t>|</w:t>
      </w:r>
      <w:r w:rsidR="0077631D" w:rsidRPr="00271F88">
        <w:rPr>
          <w:color w:val="000000"/>
          <w:w w:val="15"/>
          <w:shd w:val="solid" w:color="000000" w:fill="000000"/>
          <w:fitText w:val="-20" w:id="-691334395"/>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95"/>
          <w14:textFill>
            <w14:solidFill>
              <w14:srgbClr w14:val="000000">
                <w14:alpha w14:val="100000"/>
              </w14:srgbClr>
            </w14:solidFill>
          </w14:textFill>
        </w:rPr>
        <w:t>|</w:t>
      </w:r>
      <w:r w:rsidRPr="00611AC3">
        <w:t xml:space="preserve">% in Year 1 (i.e. </w:t>
      </w:r>
      <w:r w:rsidR="007510F8" w:rsidRPr="00271F88">
        <w:rPr>
          <w:color w:val="000000"/>
          <w:w w:val="15"/>
          <w:shd w:val="solid" w:color="000000" w:fill="000000"/>
          <w:fitText w:val="-20" w:id="-691334394"/>
          <w14:textFill>
            <w14:solidFill>
              <w14:srgbClr w14:val="000000">
                <w14:alpha w14:val="100000"/>
              </w14:srgbClr>
            </w14:solidFill>
          </w14:textFill>
        </w:rPr>
        <w:t>|</w:t>
      </w:r>
      <w:r w:rsidR="0077631D" w:rsidRPr="00271F88">
        <w:rPr>
          <w:color w:val="000000"/>
          <w:w w:val="15"/>
          <w:shd w:val="solid" w:color="000000" w:fill="000000"/>
          <w:fitText w:val="-20" w:id="-691334394"/>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94"/>
          <w14:textFill>
            <w14:solidFill>
              <w14:srgbClr w14:val="000000">
                <w14:alpha w14:val="100000"/>
              </w14:srgbClr>
            </w14:solidFill>
          </w14:textFill>
        </w:rPr>
        <w:t>|</w:t>
      </w:r>
      <w:r w:rsidRPr="00611AC3">
        <w:t>% of</w:t>
      </w:r>
      <w:r>
        <w:t xml:space="preserve"> all patients on IVIg for </w:t>
      </w:r>
      <w:proofErr w:type="spellStart"/>
      <w:r>
        <w:t>AChR</w:t>
      </w:r>
      <w:proofErr w:type="spellEnd"/>
      <w:r>
        <w:t>+ gMG would commence a new gMG therapy in Year 1 of listing, refer to</w:t>
      </w:r>
      <w:r w:rsidR="00C50D06">
        <w:t xml:space="preserve"> </w:t>
      </w:r>
      <w:r w:rsidR="00C50D06">
        <w:fldChar w:fldCharType="begin"/>
      </w:r>
      <w:r w:rsidR="00C50D06">
        <w:instrText xml:space="preserve"> REF _Ref194408028 \h </w:instrText>
      </w:r>
      <w:r w:rsidR="00C50D06">
        <w:fldChar w:fldCharType="separate"/>
      </w:r>
      <w:r w:rsidR="00271F88">
        <w:t xml:space="preserve">Table </w:t>
      </w:r>
      <w:r w:rsidR="00271F88">
        <w:rPr>
          <w:noProof/>
        </w:rPr>
        <w:t>17</w:t>
      </w:r>
      <w:r w:rsidR="00C50D06">
        <w:fldChar w:fldCharType="end"/>
      </w:r>
      <w:r>
        <w:t>). The PBAC considered this was at the higher end of plausibility given the proportion of patients on IVIg who would be eligible for the new therapies could potentially be quite low.</w:t>
      </w:r>
    </w:p>
    <w:p w14:paraId="508E3BBD" w14:textId="4C2F407F" w:rsidR="00D14335" w:rsidRDefault="00D14335" w:rsidP="00E55FD2">
      <w:pPr>
        <w:pStyle w:val="COMexecsummnumbered"/>
        <w:numPr>
          <w:ilvl w:val="1"/>
          <w:numId w:val="19"/>
        </w:numPr>
      </w:pPr>
      <w:r>
        <w:t xml:space="preserve">The PBAC advised that uptake was likely to increase over time, and that this may be gradual given the large prevalent pool with a long history of IVIg use. As such, the PBAC advised that it would be reasonable for the estimated uptake rates to increase by </w:t>
      </w:r>
      <w:r w:rsidR="007510F8" w:rsidRPr="00271F88">
        <w:rPr>
          <w:color w:val="000000"/>
          <w:w w:val="15"/>
          <w:shd w:val="solid" w:color="000000" w:fill="000000"/>
          <w:fitText w:val="-20" w:id="-691334393"/>
          <w14:textFill>
            <w14:solidFill>
              <w14:srgbClr w14:val="000000">
                <w14:alpha w14:val="100000"/>
              </w14:srgbClr>
            </w14:solidFill>
          </w14:textFill>
        </w:rPr>
        <w:t>|</w:t>
      </w:r>
      <w:r w:rsidR="0077631D" w:rsidRPr="00271F88">
        <w:rPr>
          <w:color w:val="000000"/>
          <w:w w:val="15"/>
          <w:shd w:val="solid" w:color="000000" w:fill="000000"/>
          <w:fitText w:val="-20" w:id="-691334393"/>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93"/>
          <w14:textFill>
            <w14:solidFill>
              <w14:srgbClr w14:val="000000">
                <w14:alpha w14:val="100000"/>
              </w14:srgbClr>
            </w14:solidFill>
          </w14:textFill>
        </w:rPr>
        <w:t>|</w:t>
      </w:r>
      <w:r w:rsidRPr="002415C6">
        <w:t> percentage</w:t>
      </w:r>
      <w:r>
        <w:t xml:space="preserve"> points each year for the first </w:t>
      </w:r>
      <w:r w:rsidR="008963E8">
        <w:t>six</w:t>
      </w:r>
      <w:r>
        <w:t xml:space="preserve"> years of listing.</w:t>
      </w:r>
    </w:p>
    <w:p w14:paraId="7B968FCF" w14:textId="47A7572A" w:rsidR="00D14335" w:rsidRDefault="00D14335" w:rsidP="00E55FD2">
      <w:pPr>
        <w:pStyle w:val="COMexecsummnumbered"/>
        <w:numPr>
          <w:ilvl w:val="1"/>
          <w:numId w:val="19"/>
        </w:numPr>
      </w:pPr>
      <w:bookmarkStart w:id="108" w:name="_Ref194349215"/>
      <w:r>
        <w:t>The PBAC advised that the dose assumptions (e.g. number of doses per patient per year) in the financial estimates should be the same as those applied in the cost-comparison</w:t>
      </w:r>
      <w:r w:rsidR="007E3061">
        <w:t xml:space="preserve"> (refer to paragraph</w:t>
      </w:r>
      <w:r w:rsidR="008963E8">
        <w:t xml:space="preserve"> </w:t>
      </w:r>
      <w:r w:rsidR="008963E8">
        <w:fldChar w:fldCharType="begin"/>
      </w:r>
      <w:r w:rsidR="008963E8">
        <w:instrText xml:space="preserve"> REF _Ref194586320 \r \h </w:instrText>
      </w:r>
      <w:r w:rsidR="008963E8">
        <w:fldChar w:fldCharType="separate"/>
      </w:r>
      <w:r w:rsidR="00271F88">
        <w:t>8.23</w:t>
      </w:r>
      <w:r w:rsidR="008963E8">
        <w:fldChar w:fldCharType="end"/>
      </w:r>
      <w:r w:rsidR="007E3061">
        <w:t>)</w:t>
      </w:r>
      <w:r>
        <w:t>.</w:t>
      </w:r>
      <w:bookmarkEnd w:id="108"/>
    </w:p>
    <w:p w14:paraId="490BC228" w14:textId="23C5AE29" w:rsidR="00687344" w:rsidRPr="00687344" w:rsidRDefault="00687344" w:rsidP="00E55FD2">
      <w:pPr>
        <w:pStyle w:val="COMexecsummnumbered"/>
        <w:numPr>
          <w:ilvl w:val="1"/>
          <w:numId w:val="19"/>
        </w:numPr>
      </w:pPr>
      <w:r w:rsidRPr="00687344">
        <w:t xml:space="preserve">The PBAC considered that any listing of the new gMG therapies would be associated with a substantial reduction in the utilisation of IVIg for gMG maintenance, given the lack of other treatment options but also acknowledging that a small proportion of patients cannot tolerate or access </w:t>
      </w:r>
      <w:proofErr w:type="gramStart"/>
      <w:r w:rsidRPr="00687344">
        <w:t>IVIg, or</w:t>
      </w:r>
      <w:proofErr w:type="gramEnd"/>
      <w:r w:rsidRPr="00687344">
        <w:t xml:space="preserve"> have ceased IVIg due to lack of response.</w:t>
      </w:r>
      <w:r w:rsidR="0077631D">
        <w:t xml:space="preserve"> </w:t>
      </w:r>
    </w:p>
    <w:p w14:paraId="61799D94" w14:textId="62129754" w:rsidR="00D14335" w:rsidRDefault="00D14335" w:rsidP="00E55FD2">
      <w:pPr>
        <w:pStyle w:val="COMexecsummnumbered"/>
        <w:numPr>
          <w:ilvl w:val="1"/>
          <w:numId w:val="19"/>
        </w:numPr>
      </w:pPr>
      <w:r>
        <w:t xml:space="preserve">The PBAC noted that more complex approaches to estimating the financial impacts could be used (e.g. calculating utilisation in the bridging and refractory settings separately, taking stopping rules into account) but considered the simplified approach outlined above was </w:t>
      </w:r>
      <w:bookmarkStart w:id="109" w:name="_Hlk194433445"/>
      <w:r w:rsidR="00C50D06" w:rsidRPr="00C50D06">
        <w:t>likely to provide more accurate forecasts</w:t>
      </w:r>
      <w:bookmarkEnd w:id="109"/>
      <w:r>
        <w:t xml:space="preserve"> given the lack of robust data to inform a more complex approach</w:t>
      </w:r>
      <w:r w:rsidR="00C50D06">
        <w:t xml:space="preserve">, </w:t>
      </w:r>
      <w:r>
        <w:t>and the intent of the restrictions to mimic the current use of IVIg in clinical practice (in terms of use across both the bridging and refractory settings, with clinicians regularly assessing the on-going need for continuing IVIg therapy including through treatment breaks).</w:t>
      </w:r>
    </w:p>
    <w:p w14:paraId="119F2537" w14:textId="4D086A01" w:rsidR="00D14335" w:rsidRDefault="00D14335" w:rsidP="00E55FD2">
      <w:pPr>
        <w:pStyle w:val="COMexecsummnumbered"/>
        <w:numPr>
          <w:ilvl w:val="1"/>
          <w:numId w:val="19"/>
        </w:numPr>
      </w:pPr>
      <w:bookmarkStart w:id="110" w:name="_Ref194410451"/>
      <w:r>
        <w:t xml:space="preserve">The PBAC advised that a single RSA that includes </w:t>
      </w:r>
      <w:proofErr w:type="gramStart"/>
      <w:r>
        <w:t>all of</w:t>
      </w:r>
      <w:proofErr w:type="gramEnd"/>
      <w:r>
        <w:t xml:space="preserve"> the new therapies (in all settings) would be required to mitigate the risk of use outside the intended restriction. For the </w:t>
      </w:r>
      <w:proofErr w:type="spellStart"/>
      <w:r>
        <w:t>FcR</w:t>
      </w:r>
      <w:r w:rsidR="00956E1A">
        <w:t>n</w:t>
      </w:r>
      <w:proofErr w:type="spellEnd"/>
      <w:r>
        <w:t xml:space="preserve"> blockers, the RSA would also need to mitigate the risk of an increase in the frequency of cycles received over time. The PBAC advised that the risk of higher dosing frequency is less relevant for the complement inhibitors and thus these sponsors should not be adversely affected by more frequent </w:t>
      </w:r>
      <w:proofErr w:type="spellStart"/>
      <w:r>
        <w:t>FcR</w:t>
      </w:r>
      <w:r w:rsidR="00956E1A">
        <w:t>n</w:t>
      </w:r>
      <w:proofErr w:type="spellEnd"/>
      <w:r>
        <w:t xml:space="preserve"> blocker dosing. The PBAC advised that the Department and each sponsor should work to ensure the cost per patient does not exceed the estimates in the cost-comparison and the financials.</w:t>
      </w:r>
      <w:bookmarkEnd w:id="110"/>
    </w:p>
    <w:p w14:paraId="64711646" w14:textId="631CF821" w:rsidR="0091023C" w:rsidRPr="0091023C" w:rsidRDefault="0091023C" w:rsidP="00E55FD2">
      <w:pPr>
        <w:pStyle w:val="COMexecsummnumbered"/>
        <w:numPr>
          <w:ilvl w:val="1"/>
          <w:numId w:val="19"/>
        </w:numPr>
      </w:pPr>
      <w:bookmarkStart w:id="111" w:name="_Ref194410452"/>
      <w:r w:rsidRPr="0091023C">
        <w:t xml:space="preserve">The PBAC acknowledged </w:t>
      </w:r>
      <w:r w:rsidR="005A6428">
        <w:t xml:space="preserve">the </w:t>
      </w:r>
      <w:r w:rsidR="005A6428" w:rsidRPr="0091023C">
        <w:t xml:space="preserve">financial estimates as outlined in paragraphs </w:t>
      </w:r>
      <w:r w:rsidR="005A6428">
        <w:fldChar w:fldCharType="begin"/>
      </w:r>
      <w:r w:rsidR="005A6428">
        <w:instrText xml:space="preserve"> REF _Ref194673453 \r \h </w:instrText>
      </w:r>
      <w:r w:rsidR="005A6428">
        <w:fldChar w:fldCharType="separate"/>
      </w:r>
      <w:r w:rsidR="00271F88">
        <w:t>8.25</w:t>
      </w:r>
      <w:r w:rsidR="005A6428">
        <w:fldChar w:fldCharType="end"/>
      </w:r>
      <w:r w:rsidR="005A6428">
        <w:t xml:space="preserve"> to </w:t>
      </w:r>
      <w:r w:rsidR="005A6428">
        <w:fldChar w:fldCharType="begin"/>
      </w:r>
      <w:r w:rsidR="005A6428">
        <w:instrText xml:space="preserve"> REF _Ref194349215 \r \h </w:instrText>
      </w:r>
      <w:r w:rsidR="005A6428">
        <w:fldChar w:fldCharType="separate"/>
      </w:r>
      <w:r w:rsidR="00271F88">
        <w:t>8.29</w:t>
      </w:r>
      <w:r w:rsidR="005A6428">
        <w:fldChar w:fldCharType="end"/>
      </w:r>
      <w:r w:rsidR="005A6428">
        <w:t xml:space="preserve"> </w:t>
      </w:r>
      <w:r w:rsidR="007B09B0">
        <w:t>were associated with</w:t>
      </w:r>
      <w:r w:rsidRPr="0091023C">
        <w:t xml:space="preserve"> some uncertainty and considered that it may be reasonable for the risk of use outside the intended restriction to be managed through a </w:t>
      </w:r>
      <w:r w:rsidR="007510F8" w:rsidRPr="00271F88">
        <w:rPr>
          <w:color w:val="000000"/>
          <w:w w:val="15"/>
          <w:shd w:val="solid" w:color="000000" w:fill="000000"/>
          <w:fitText w:val="-20" w:id="-691334392"/>
          <w14:textFill>
            <w14:solidFill>
              <w14:srgbClr w14:val="000000">
                <w14:alpha w14:val="100000"/>
              </w14:srgbClr>
            </w14:solidFill>
          </w14:textFill>
        </w:rPr>
        <w:t>|</w:t>
      </w:r>
      <w:r w:rsidR="0077631D" w:rsidRPr="00271F88">
        <w:rPr>
          <w:color w:val="000000"/>
          <w:w w:val="15"/>
          <w:shd w:val="solid" w:color="000000" w:fill="000000"/>
          <w:fitText w:val="-20" w:id="-691334392"/>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92"/>
          <w14:textFill>
            <w14:solidFill>
              <w14:srgbClr w14:val="000000">
                <w14:alpha w14:val="100000"/>
              </w14:srgbClr>
            </w14:solidFill>
          </w14:textFill>
        </w:rPr>
        <w:t>|</w:t>
      </w:r>
      <w:r w:rsidRPr="0091023C">
        <w:t xml:space="preserve"> RSA – with the </w:t>
      </w:r>
      <w:r w:rsidR="007510F8" w:rsidRPr="00271F88">
        <w:rPr>
          <w:color w:val="000000"/>
          <w:w w:val="15"/>
          <w:shd w:val="solid" w:color="000000" w:fill="000000"/>
          <w:fitText w:val="-20" w:id="-691334391"/>
          <w14:textFill>
            <w14:solidFill>
              <w14:srgbClr w14:val="000000">
                <w14:alpha w14:val="100000"/>
              </w14:srgbClr>
            </w14:solidFill>
          </w14:textFill>
        </w:rPr>
        <w:t>|</w:t>
      </w:r>
      <w:r w:rsidR="0077631D" w:rsidRPr="00271F88">
        <w:rPr>
          <w:color w:val="000000"/>
          <w:w w:val="15"/>
          <w:shd w:val="solid" w:color="000000" w:fill="000000"/>
          <w:fitText w:val="-20" w:id="-691334391"/>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91"/>
          <w14:textFill>
            <w14:solidFill>
              <w14:srgbClr w14:val="000000">
                <w14:alpha w14:val="100000"/>
              </w14:srgbClr>
            </w14:solidFill>
          </w14:textFill>
        </w:rPr>
        <w:t>|</w:t>
      </w:r>
      <w:r w:rsidR="002415C6" w:rsidRPr="002415C6">
        <w:t xml:space="preserve"> </w:t>
      </w:r>
      <w:r w:rsidR="007510F8" w:rsidRPr="00271F88">
        <w:rPr>
          <w:color w:val="000000"/>
          <w:w w:val="15"/>
          <w:shd w:val="solid" w:color="000000" w:fill="000000"/>
          <w:fitText w:val="-20" w:id="-691334390"/>
          <w14:textFill>
            <w14:solidFill>
              <w14:srgbClr w14:val="000000">
                <w14:alpha w14:val="100000"/>
              </w14:srgbClr>
            </w14:solidFill>
          </w14:textFill>
        </w:rPr>
        <w:t>|</w:t>
      </w:r>
      <w:r w:rsidR="0077631D" w:rsidRPr="00271F88">
        <w:rPr>
          <w:color w:val="000000"/>
          <w:w w:val="15"/>
          <w:shd w:val="solid" w:color="000000" w:fill="000000"/>
          <w:fitText w:val="-20" w:id="-691334390"/>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90"/>
          <w14:textFill>
            <w14:solidFill>
              <w14:srgbClr w14:val="000000">
                <w14:alpha w14:val="100000"/>
              </w14:srgbClr>
            </w14:solidFill>
          </w14:textFill>
        </w:rPr>
        <w:t>|</w:t>
      </w:r>
      <w:r w:rsidRPr="0091023C">
        <w:t xml:space="preserve"> based on the financial estimates outlined by </w:t>
      </w:r>
      <w:r w:rsidR="007A3751">
        <w:t xml:space="preserve">the </w:t>
      </w:r>
      <w:r w:rsidRPr="0091023C">
        <w:t xml:space="preserve">PBAC </w:t>
      </w:r>
      <w:r w:rsidR="00AA1386">
        <w:t>(</w:t>
      </w:r>
      <w:r w:rsidR="00793772">
        <w:t xml:space="preserve">e.g. with the </w:t>
      </w:r>
      <w:proofErr w:type="spellStart"/>
      <w:r w:rsidR="0096370D">
        <w:t>AChR</w:t>
      </w:r>
      <w:proofErr w:type="spellEnd"/>
      <w:r w:rsidR="0096370D">
        <w:t xml:space="preserve">+ </w:t>
      </w:r>
      <w:r w:rsidR="00793772">
        <w:t xml:space="preserve">proportion </w:t>
      </w:r>
      <w:r w:rsidR="0096370D">
        <w:t xml:space="preserve">and </w:t>
      </w:r>
      <w:r w:rsidR="00793772">
        <w:t>uptake rates</w:t>
      </w:r>
      <w:r w:rsidR="00A96C11">
        <w:t xml:space="preserve"> applied as outlined i</w:t>
      </w:r>
      <w:r w:rsidR="00AA1386" w:rsidRPr="00AA1386">
        <w:t xml:space="preserve">n paragraphs </w:t>
      </w:r>
      <w:r w:rsidR="00AA1386">
        <w:fldChar w:fldCharType="begin"/>
      </w:r>
      <w:r w:rsidR="00AA1386">
        <w:instrText xml:space="preserve"> REF _Ref194673453 \r \h </w:instrText>
      </w:r>
      <w:r w:rsidR="00AA1386">
        <w:fldChar w:fldCharType="separate"/>
      </w:r>
      <w:r w:rsidR="00271F88">
        <w:t>8.25</w:t>
      </w:r>
      <w:r w:rsidR="00AA1386">
        <w:fldChar w:fldCharType="end"/>
      </w:r>
      <w:r w:rsidR="00AA1386">
        <w:t xml:space="preserve"> to </w:t>
      </w:r>
      <w:r w:rsidR="00AA1386">
        <w:fldChar w:fldCharType="begin"/>
      </w:r>
      <w:r w:rsidR="00AA1386">
        <w:instrText xml:space="preserve"> REF _Ref194349215 \r \h </w:instrText>
      </w:r>
      <w:r w:rsidR="00AA1386">
        <w:fldChar w:fldCharType="separate"/>
      </w:r>
      <w:r w:rsidR="00271F88">
        <w:t>8.29</w:t>
      </w:r>
      <w:r w:rsidR="00AA1386">
        <w:fldChar w:fldCharType="end"/>
      </w:r>
      <w:r w:rsidR="00C62DE7">
        <w:t xml:space="preserve"> and </w:t>
      </w:r>
      <w:r w:rsidR="00C62DE7">
        <w:fldChar w:fldCharType="begin"/>
      </w:r>
      <w:r w:rsidR="00C62DE7">
        <w:instrText xml:space="preserve"> REF _Ref194408028 \h </w:instrText>
      </w:r>
      <w:r w:rsidR="00C62DE7">
        <w:fldChar w:fldCharType="separate"/>
      </w:r>
      <w:r w:rsidR="00271F88">
        <w:t xml:space="preserve">Table </w:t>
      </w:r>
      <w:r w:rsidR="00271F88">
        <w:rPr>
          <w:noProof/>
        </w:rPr>
        <w:lastRenderedPageBreak/>
        <w:t>17</w:t>
      </w:r>
      <w:r w:rsidR="00C62DE7">
        <w:fldChar w:fldCharType="end"/>
      </w:r>
      <w:r w:rsidR="00AA1386">
        <w:t xml:space="preserve">) </w:t>
      </w:r>
      <w:r w:rsidRPr="0091023C">
        <w:t xml:space="preserve">with a rebate of less than </w:t>
      </w:r>
      <w:r w:rsidR="007510F8" w:rsidRPr="00271F88">
        <w:rPr>
          <w:color w:val="000000"/>
          <w:w w:val="15"/>
          <w:shd w:val="solid" w:color="000000" w:fill="000000"/>
          <w:fitText w:val="-20" w:id="-691334389"/>
          <w14:textFill>
            <w14:solidFill>
              <w14:srgbClr w14:val="000000">
                <w14:alpha w14:val="100000"/>
              </w14:srgbClr>
            </w14:solidFill>
          </w14:textFill>
        </w:rPr>
        <w:t>|</w:t>
      </w:r>
      <w:r w:rsidR="0077631D" w:rsidRPr="00271F88">
        <w:rPr>
          <w:color w:val="000000"/>
          <w:w w:val="15"/>
          <w:shd w:val="solid" w:color="000000" w:fill="000000"/>
          <w:fitText w:val="-20" w:id="-691334389"/>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89"/>
          <w14:textFill>
            <w14:solidFill>
              <w14:srgbClr w14:val="000000">
                <w14:alpha w14:val="100000"/>
              </w14:srgbClr>
            </w14:solidFill>
          </w14:textFill>
        </w:rPr>
        <w:t>|</w:t>
      </w:r>
      <w:r w:rsidRPr="0091023C">
        <w:t xml:space="preserve">%, then a </w:t>
      </w:r>
      <w:r w:rsidR="007510F8" w:rsidRPr="00271F88">
        <w:rPr>
          <w:color w:val="000000"/>
          <w:w w:val="15"/>
          <w:shd w:val="solid" w:color="000000" w:fill="000000"/>
          <w:fitText w:val="-20" w:id="-691334388"/>
          <w14:textFill>
            <w14:solidFill>
              <w14:srgbClr w14:val="000000">
                <w14:alpha w14:val="100000"/>
              </w14:srgbClr>
            </w14:solidFill>
          </w14:textFill>
        </w:rPr>
        <w:t>|</w:t>
      </w:r>
      <w:r w:rsidR="0077631D" w:rsidRPr="00271F88">
        <w:rPr>
          <w:color w:val="000000"/>
          <w:w w:val="15"/>
          <w:shd w:val="solid" w:color="000000" w:fill="000000"/>
          <w:fitText w:val="-20" w:id="-691334388"/>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88"/>
          <w14:textFill>
            <w14:solidFill>
              <w14:srgbClr w14:val="000000">
                <w14:alpha w14:val="100000"/>
              </w14:srgbClr>
            </w14:solidFill>
          </w14:textFill>
        </w:rPr>
        <w:t>|</w:t>
      </w:r>
      <w:r w:rsidR="002415C6" w:rsidRPr="002415C6">
        <w:t xml:space="preserve"> </w:t>
      </w:r>
      <w:r w:rsidR="007510F8" w:rsidRPr="00271F88">
        <w:rPr>
          <w:color w:val="000000"/>
          <w:w w:val="15"/>
          <w:shd w:val="solid" w:color="000000" w:fill="000000"/>
          <w:fitText w:val="-20" w:id="-691334387"/>
          <w14:textFill>
            <w14:solidFill>
              <w14:srgbClr w14:val="000000">
                <w14:alpha w14:val="100000"/>
              </w14:srgbClr>
            </w14:solidFill>
          </w14:textFill>
        </w:rPr>
        <w:t>|</w:t>
      </w:r>
      <w:r w:rsidR="0077631D" w:rsidRPr="00271F88">
        <w:rPr>
          <w:color w:val="000000"/>
          <w:w w:val="15"/>
          <w:shd w:val="solid" w:color="000000" w:fill="000000"/>
          <w:fitText w:val="-20" w:id="-691334387"/>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87"/>
          <w14:textFill>
            <w14:solidFill>
              <w14:srgbClr w14:val="000000">
                <w14:alpha w14:val="100000"/>
              </w14:srgbClr>
            </w14:solidFill>
          </w14:textFill>
        </w:rPr>
        <w:t>|</w:t>
      </w:r>
      <w:r w:rsidRPr="0091023C">
        <w:t xml:space="preserve"> based on the total number of patients using IVIg for maintenance gMG with a rebate of </w:t>
      </w:r>
      <w:r w:rsidR="007510F8" w:rsidRPr="00271F88">
        <w:rPr>
          <w:color w:val="000000"/>
          <w:w w:val="15"/>
          <w:shd w:val="solid" w:color="000000" w:fill="000000"/>
          <w:fitText w:val="-20" w:id="-691334386"/>
          <w14:textFill>
            <w14:solidFill>
              <w14:srgbClr w14:val="000000">
                <w14:alpha w14:val="100000"/>
              </w14:srgbClr>
            </w14:solidFill>
          </w14:textFill>
        </w:rPr>
        <w:t>|</w:t>
      </w:r>
      <w:r w:rsidR="0077631D" w:rsidRPr="00271F88">
        <w:rPr>
          <w:color w:val="000000"/>
          <w:w w:val="15"/>
          <w:shd w:val="solid" w:color="000000" w:fill="000000"/>
          <w:fitText w:val="-20" w:id="-691334386"/>
          <w14:textFill>
            <w14:solidFill>
              <w14:srgbClr w14:val="000000">
                <w14:alpha w14:val="100000"/>
              </w14:srgbClr>
            </w14:solidFill>
          </w14:textFill>
        </w:rPr>
        <w:t xml:space="preserve"> </w:t>
      </w:r>
      <w:r w:rsidR="007510F8" w:rsidRPr="00271F88">
        <w:rPr>
          <w:color w:val="000000"/>
          <w:spacing w:val="-61"/>
          <w:w w:val="15"/>
          <w:shd w:val="solid" w:color="000000" w:fill="000000"/>
          <w:fitText w:val="-20" w:id="-691334386"/>
          <w14:textFill>
            <w14:solidFill>
              <w14:srgbClr w14:val="000000">
                <w14:alpha w14:val="100000"/>
              </w14:srgbClr>
            </w14:solidFill>
          </w14:textFill>
        </w:rPr>
        <w:t>|</w:t>
      </w:r>
      <w:r w:rsidRPr="0091023C">
        <w:t>%.</w:t>
      </w:r>
    </w:p>
    <w:bookmarkEnd w:id="111"/>
    <w:p w14:paraId="7B43C581" w14:textId="66B6919E" w:rsidR="00D14335" w:rsidRDefault="00D14335" w:rsidP="00E55FD2">
      <w:pPr>
        <w:pStyle w:val="COMexecsummnumbered"/>
        <w:numPr>
          <w:ilvl w:val="1"/>
          <w:numId w:val="19"/>
        </w:numPr>
      </w:pPr>
      <w:r>
        <w:t xml:space="preserve">The PBAC advised that a utilisation review by DUSC should be conducted two years after listing of any new therapies, which should also assess whether the newer therapies have resulted in a reduction in IVIg use (noting this would require data from the </w:t>
      </w:r>
      <w:r w:rsidR="00956E1A">
        <w:t>NBA</w:t>
      </w:r>
      <w:r>
        <w:t>).</w:t>
      </w:r>
    </w:p>
    <w:p w14:paraId="48958C9B" w14:textId="3790E52A" w:rsidR="00813AEF" w:rsidRPr="00813AEF" w:rsidRDefault="00813AEF" w:rsidP="00E55FD2">
      <w:pPr>
        <w:pStyle w:val="COMexecsummnumbered"/>
        <w:numPr>
          <w:ilvl w:val="1"/>
          <w:numId w:val="19"/>
        </w:numPr>
      </w:pPr>
      <w:r w:rsidRPr="00813AEF">
        <w:t xml:space="preserve">The PBAC noted the Product Information for </w:t>
      </w:r>
      <w:proofErr w:type="spellStart"/>
      <w:r w:rsidRPr="00813AEF">
        <w:t>zilucoplan</w:t>
      </w:r>
      <w:proofErr w:type="spellEnd"/>
      <w:r w:rsidRPr="00813AEF">
        <w:t xml:space="preserve"> stated “vaccines against serogroups A, C, Y, W, and where available, serogroup B, are recommended for preventing the commonly pathogenic meningococcal serogroups. Vaccination, revaccination (boosters) and prophylactic antibiotic treatment should occur according to current relevant guidelines”. The PBAC </w:t>
      </w:r>
      <w:r w:rsidR="00956E1A">
        <w:t>advised</w:t>
      </w:r>
      <w:r w:rsidRPr="00813AEF">
        <w:t xml:space="preserve"> it would be appropriate to extend access on the National Immunisation Program for the vaccinations recommended in the Product Information.</w:t>
      </w:r>
      <w:r w:rsidR="0077631D">
        <w:t xml:space="preserve"> </w:t>
      </w:r>
    </w:p>
    <w:p w14:paraId="0A8694CB" w14:textId="789DD480" w:rsidR="00D14335" w:rsidRDefault="00D14335" w:rsidP="00E55FD2">
      <w:pPr>
        <w:pStyle w:val="COMexecsummnumbered"/>
        <w:numPr>
          <w:ilvl w:val="1"/>
          <w:numId w:val="19"/>
        </w:numPr>
      </w:pPr>
      <w:r>
        <w:t xml:space="preserve">The PBAC advised that </w:t>
      </w:r>
      <w:proofErr w:type="spellStart"/>
      <w:r w:rsidR="00813AEF">
        <w:t>zilucoplan</w:t>
      </w:r>
      <w:proofErr w:type="spellEnd"/>
      <w:r>
        <w:t xml:space="preserve"> is not suitable for prescribing by nurse practitioners.</w:t>
      </w:r>
    </w:p>
    <w:p w14:paraId="1263EC64" w14:textId="77777777" w:rsidR="00E773CC" w:rsidRDefault="00121344" w:rsidP="00E55FD2">
      <w:pPr>
        <w:pStyle w:val="COMexecsummnumbered"/>
        <w:numPr>
          <w:ilvl w:val="1"/>
          <w:numId w:val="19"/>
        </w:numPr>
      </w:pPr>
      <w:proofErr w:type="spellStart"/>
      <w:r>
        <w:t>Zilucoplan</w:t>
      </w:r>
      <w:proofErr w:type="spellEnd"/>
      <w:r w:rsidRPr="00121344">
        <w:t xml:space="preserve"> should be exempt from the Early Supply Rule as it does not be apply to Section 100 Highly Specialised Drug listings.</w:t>
      </w:r>
      <w:r w:rsidR="00E773CC" w:rsidRPr="00E773CC">
        <w:t xml:space="preserve"> </w:t>
      </w:r>
    </w:p>
    <w:p w14:paraId="3BF2DAEF" w14:textId="1A70DE43" w:rsidR="00121344" w:rsidRDefault="00E773CC" w:rsidP="00E55FD2">
      <w:pPr>
        <w:pStyle w:val="COMexecsummnumbered"/>
        <w:numPr>
          <w:ilvl w:val="1"/>
          <w:numId w:val="19"/>
        </w:numPr>
      </w:pPr>
      <w:r>
        <w:t xml:space="preserve">The PBAC advised that </w:t>
      </w:r>
      <w:proofErr w:type="spellStart"/>
      <w:r>
        <w:t>zilucoplan</w:t>
      </w:r>
      <w:proofErr w:type="spellEnd"/>
      <w:r>
        <w:t xml:space="preserve"> should not be treated as interchangeable with any other drugs.</w:t>
      </w:r>
    </w:p>
    <w:p w14:paraId="6806E7B7" w14:textId="3B24F53F" w:rsidR="00D14335" w:rsidRDefault="00D14335" w:rsidP="00E55FD2">
      <w:pPr>
        <w:pStyle w:val="COMexecsummnumbered"/>
        <w:numPr>
          <w:ilvl w:val="1"/>
          <w:numId w:val="19"/>
        </w:numPr>
      </w:pPr>
      <w:r>
        <w:t xml:space="preserve">The PBAC found that the criteria prescribed by the </w:t>
      </w:r>
      <w:r>
        <w:rPr>
          <w:i/>
          <w:iCs/>
        </w:rPr>
        <w:t>National Health (Pharmaceuticals and Vaccines – Cost Recovery) Regulations 2022</w:t>
      </w:r>
      <w:r>
        <w:t xml:space="preserve"> for Pricing Pathway A were not met. Specifically, the PBAC found that in the circumstances of its recommendation for </w:t>
      </w:r>
      <w:proofErr w:type="spellStart"/>
      <w:r w:rsidR="00813AEF">
        <w:t>zilucoplan</w:t>
      </w:r>
      <w:proofErr w:type="spellEnd"/>
      <w:r>
        <w:t>:</w:t>
      </w:r>
    </w:p>
    <w:p w14:paraId="6BF44B9E" w14:textId="77777777" w:rsidR="00D14335" w:rsidRDefault="00D14335" w:rsidP="00E55FD2">
      <w:pPr>
        <w:pStyle w:val="COMexecsummbulletlist"/>
        <w:numPr>
          <w:ilvl w:val="0"/>
          <w:numId w:val="41"/>
        </w:numPr>
        <w:snapToGrid w:val="0"/>
        <w:ind w:left="1276" w:hanging="357"/>
      </w:pPr>
      <w:r>
        <w:t xml:space="preserve">The treatment is not expected to provide a substantial and clinically relevant improvement in efficacy, or reduction of toxicity, over </w:t>
      </w:r>
      <w:proofErr w:type="gramStart"/>
      <w:r>
        <w:t>IVIg;</w:t>
      </w:r>
      <w:proofErr w:type="gramEnd"/>
    </w:p>
    <w:p w14:paraId="1605DB12" w14:textId="77777777" w:rsidR="00D14335" w:rsidRDefault="00D14335" w:rsidP="00E55FD2">
      <w:pPr>
        <w:pStyle w:val="COMexecsummbulletlist"/>
        <w:numPr>
          <w:ilvl w:val="0"/>
          <w:numId w:val="41"/>
        </w:numPr>
        <w:snapToGrid w:val="0"/>
        <w:ind w:left="1276" w:hanging="357"/>
      </w:pPr>
      <w:r>
        <w:t xml:space="preserve">The treatment is not expected to address a high and urgent unmet clinical need because an alternative therapy (IVIg) is </w:t>
      </w:r>
      <w:proofErr w:type="gramStart"/>
      <w:r>
        <w:t>available;</w:t>
      </w:r>
      <w:proofErr w:type="gramEnd"/>
      <w:r>
        <w:t xml:space="preserve"> </w:t>
      </w:r>
    </w:p>
    <w:p w14:paraId="79B1FFF3" w14:textId="77777777" w:rsidR="00D14335" w:rsidRDefault="00D14335" w:rsidP="00E55FD2">
      <w:pPr>
        <w:pStyle w:val="COMexecsummbulletlist"/>
        <w:numPr>
          <w:ilvl w:val="0"/>
          <w:numId w:val="41"/>
        </w:numPr>
        <w:snapToGrid w:val="0"/>
        <w:ind w:left="1276"/>
      </w:pPr>
      <w:r>
        <w:t xml:space="preserve">It was not necessary to make a finding in relation to whether it would be in the public interest for the subsequent pricing application to be progressed under Pricing Pathway A because one or more of the preceding tests had failed. </w:t>
      </w:r>
    </w:p>
    <w:p w14:paraId="3CB5193E" w14:textId="77777777" w:rsidR="00D14335" w:rsidRDefault="00D14335" w:rsidP="00E55FD2">
      <w:pPr>
        <w:pStyle w:val="COMexecsummnumbered"/>
        <w:numPr>
          <w:ilvl w:val="1"/>
          <w:numId w:val="19"/>
        </w:numPr>
      </w:pPr>
      <w:r>
        <w:t xml:space="preserve">The PBAC noted that this submission is not eligible for an Independent Review as it received a positive recommendation. </w:t>
      </w:r>
    </w:p>
    <w:bookmarkEnd w:id="95"/>
    <w:p w14:paraId="41E3E248" w14:textId="77777777" w:rsidR="00D14335" w:rsidRDefault="00D14335" w:rsidP="00E55FD2">
      <w:pPr>
        <w:jc w:val="left"/>
        <w:rPr>
          <w:b/>
          <w:bCs/>
        </w:rPr>
      </w:pPr>
      <w:r>
        <w:rPr>
          <w:b/>
          <w:bCs/>
        </w:rPr>
        <w:t>Outcome:</w:t>
      </w:r>
    </w:p>
    <w:p w14:paraId="5E6CC6D6" w14:textId="77777777" w:rsidR="00D14335" w:rsidRDefault="00D14335" w:rsidP="00E55FD2">
      <w:pPr>
        <w:jc w:val="left"/>
      </w:pPr>
      <w:r>
        <w:t xml:space="preserve">Recommended </w:t>
      </w:r>
    </w:p>
    <w:bookmarkEnd w:id="86"/>
    <w:p w14:paraId="340D8FEE" w14:textId="77777777" w:rsidR="00DA6CF0" w:rsidRPr="00DA6CF0" w:rsidRDefault="00DA6CF0" w:rsidP="00E55FD2">
      <w:pPr>
        <w:keepNext/>
        <w:numPr>
          <w:ilvl w:val="0"/>
          <w:numId w:val="1"/>
        </w:numPr>
        <w:spacing w:before="240" w:after="120"/>
        <w:jc w:val="left"/>
        <w:outlineLvl w:val="0"/>
        <w:rPr>
          <w:rFonts w:asciiTheme="minorHAnsi" w:hAnsiTheme="minorHAnsi"/>
          <w:b/>
          <w:snapToGrid w:val="0"/>
          <w:sz w:val="32"/>
          <w:szCs w:val="32"/>
        </w:rPr>
      </w:pPr>
      <w:r w:rsidRPr="00DA6CF0">
        <w:rPr>
          <w:rFonts w:asciiTheme="minorHAnsi" w:hAnsiTheme="minorHAnsi"/>
          <w:b/>
          <w:snapToGrid w:val="0"/>
          <w:sz w:val="32"/>
          <w:szCs w:val="32"/>
        </w:rPr>
        <w:t>Recommended listing</w:t>
      </w:r>
    </w:p>
    <w:p w14:paraId="6F98EDDF" w14:textId="4B8F2BA4" w:rsidR="0063316F" w:rsidRDefault="00956E1A" w:rsidP="00E55FD2">
      <w:pPr>
        <w:spacing w:before="120" w:after="120"/>
        <w:ind w:left="709"/>
        <w:rPr>
          <w:rFonts w:asciiTheme="minorHAnsi" w:hAnsiTheme="minorHAnsi"/>
          <w:bCs/>
          <w:snapToGrid w:val="0"/>
          <w:lang w:val="en-GB" w:eastAsia="en-US"/>
        </w:rPr>
      </w:pPr>
      <w:r w:rsidRPr="00956E1A">
        <w:rPr>
          <w:rFonts w:asciiTheme="minorHAnsi" w:hAnsiTheme="minorHAnsi"/>
          <w:bCs/>
          <w:snapToGrid w:val="0"/>
          <w:lang w:val="en-GB" w:eastAsia="en-US"/>
        </w:rPr>
        <w:t>This restriction is in the process of being finalised (see point 8.4). The sponsor will be notified of the final restriction.</w:t>
      </w:r>
      <w:bookmarkEnd w:id="87"/>
    </w:p>
    <w:p w14:paraId="1258E26B" w14:textId="77777777" w:rsidR="00C843A0" w:rsidRPr="00C843A0" w:rsidRDefault="00C843A0" w:rsidP="00E55FD2">
      <w:pPr>
        <w:keepNext/>
        <w:numPr>
          <w:ilvl w:val="0"/>
          <w:numId w:val="1"/>
        </w:numPr>
        <w:spacing w:before="240" w:after="120"/>
        <w:jc w:val="left"/>
        <w:outlineLvl w:val="0"/>
        <w:rPr>
          <w:rFonts w:asciiTheme="minorHAnsi" w:hAnsiTheme="minorHAnsi"/>
          <w:b/>
          <w:snapToGrid w:val="0"/>
          <w:sz w:val="32"/>
          <w:szCs w:val="32"/>
        </w:rPr>
      </w:pPr>
      <w:r w:rsidRPr="00C843A0">
        <w:rPr>
          <w:rFonts w:asciiTheme="minorHAnsi" w:hAnsiTheme="minorHAnsi"/>
          <w:b/>
          <w:snapToGrid w:val="0"/>
          <w:sz w:val="32"/>
          <w:szCs w:val="32"/>
        </w:rPr>
        <w:lastRenderedPageBreak/>
        <w:t>Context for Decision</w:t>
      </w:r>
    </w:p>
    <w:p w14:paraId="76F2E4A8" w14:textId="77777777" w:rsidR="00C843A0" w:rsidRPr="00C843A0" w:rsidRDefault="00C843A0" w:rsidP="00E55FD2">
      <w:pPr>
        <w:spacing w:after="120"/>
        <w:ind w:left="720"/>
        <w:rPr>
          <w:rFonts w:asciiTheme="minorHAnsi" w:hAnsiTheme="minorHAnsi"/>
          <w:bCs/>
          <w:lang w:val="en-GB"/>
        </w:rPr>
      </w:pPr>
      <w:r w:rsidRPr="00C843A0">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F3AED4D" w14:textId="77777777" w:rsidR="00C843A0" w:rsidRPr="00C843A0" w:rsidRDefault="00C843A0" w:rsidP="00E55FD2">
      <w:pPr>
        <w:keepNext/>
        <w:numPr>
          <w:ilvl w:val="0"/>
          <w:numId w:val="1"/>
        </w:numPr>
        <w:spacing w:before="240" w:after="120"/>
        <w:jc w:val="left"/>
        <w:outlineLvl w:val="0"/>
        <w:rPr>
          <w:rFonts w:asciiTheme="minorHAnsi" w:hAnsiTheme="minorHAnsi"/>
          <w:b/>
          <w:snapToGrid w:val="0"/>
          <w:sz w:val="32"/>
          <w:szCs w:val="32"/>
        </w:rPr>
      </w:pPr>
      <w:r w:rsidRPr="00C843A0">
        <w:rPr>
          <w:rFonts w:asciiTheme="minorHAnsi" w:hAnsiTheme="minorHAnsi"/>
          <w:b/>
          <w:snapToGrid w:val="0"/>
          <w:sz w:val="32"/>
          <w:szCs w:val="32"/>
        </w:rPr>
        <w:t>Sponsor’s Comment</w:t>
      </w:r>
    </w:p>
    <w:p w14:paraId="3F783DCE" w14:textId="67F17712" w:rsidR="00C843A0" w:rsidRPr="002415C6" w:rsidRDefault="0029051E" w:rsidP="00E55FD2">
      <w:pPr>
        <w:spacing w:after="120" w:line="276" w:lineRule="auto"/>
        <w:ind w:left="720"/>
        <w:rPr>
          <w:rFonts w:asciiTheme="minorHAnsi" w:eastAsiaTheme="minorHAnsi" w:hAnsiTheme="minorHAnsi"/>
          <w:bCs/>
          <w:lang w:eastAsia="en-US"/>
        </w:rPr>
      </w:pPr>
      <w:r>
        <w:rPr>
          <w:rFonts w:asciiTheme="minorHAnsi" w:eastAsiaTheme="minorHAnsi" w:hAnsiTheme="minorHAnsi"/>
          <w:bCs/>
          <w:lang w:eastAsia="en-US"/>
        </w:rPr>
        <w:t xml:space="preserve">The sponsor had no comment. </w:t>
      </w:r>
    </w:p>
    <w:sectPr w:rsidR="00C843A0" w:rsidRPr="002415C6" w:rsidSect="00057E65">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AD7A" w14:textId="77777777" w:rsidR="008D17D0" w:rsidRDefault="008D17D0" w:rsidP="00124A51">
      <w:r>
        <w:separator/>
      </w:r>
    </w:p>
    <w:p w14:paraId="1D102532" w14:textId="77777777" w:rsidR="008D17D0" w:rsidRDefault="008D17D0"/>
    <w:p w14:paraId="0F6FBD05" w14:textId="77777777" w:rsidR="008D17D0" w:rsidRDefault="008D17D0"/>
    <w:p w14:paraId="4CB311BA" w14:textId="77777777" w:rsidR="008D17D0" w:rsidRDefault="008D17D0"/>
  </w:endnote>
  <w:endnote w:type="continuationSeparator" w:id="0">
    <w:p w14:paraId="2085D02E" w14:textId="77777777" w:rsidR="008D17D0" w:rsidRDefault="008D17D0" w:rsidP="00124A51">
      <w:r>
        <w:continuationSeparator/>
      </w:r>
    </w:p>
    <w:p w14:paraId="4890347A" w14:textId="77777777" w:rsidR="008D17D0" w:rsidRDefault="008D17D0"/>
    <w:p w14:paraId="5F39F5E6" w14:textId="77777777" w:rsidR="008D17D0" w:rsidRDefault="008D17D0"/>
    <w:p w14:paraId="4D9B60A1" w14:textId="77777777" w:rsidR="008D17D0" w:rsidRDefault="008D17D0"/>
  </w:endnote>
  <w:endnote w:type="continuationNotice" w:id="1">
    <w:p w14:paraId="3B3A6667" w14:textId="77777777" w:rsidR="008D17D0" w:rsidRDefault="008D1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lantinStd">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401" w14:textId="02044289" w:rsidR="007510F8" w:rsidRDefault="00A372B9">
    <w:pPr>
      <w:pStyle w:val="Footer"/>
    </w:pPr>
    <w:r>
      <w:rPr>
        <w:noProof/>
      </w:rPr>
      <mc:AlternateContent>
        <mc:Choice Requires="wps">
          <w:drawing>
            <wp:anchor distT="0" distB="0" distL="0" distR="0" simplePos="0" relativeHeight="251658244" behindDoc="0" locked="0" layoutInCell="1" allowOverlap="1" wp14:anchorId="78794520" wp14:editId="08FD609F">
              <wp:simplePos x="635" y="635"/>
              <wp:positionH relativeFrom="page">
                <wp:align>center</wp:align>
              </wp:positionH>
              <wp:positionV relativeFrom="page">
                <wp:align>bottom</wp:align>
              </wp:positionV>
              <wp:extent cx="551815" cy="376555"/>
              <wp:effectExtent l="0" t="0" r="635" b="0"/>
              <wp:wrapNone/>
              <wp:docPr id="8270203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B940FB" w14:textId="18FEE0AF" w:rsidR="00A372B9" w:rsidRPr="00A372B9" w:rsidRDefault="00A372B9" w:rsidP="00A372B9">
                          <w:pPr>
                            <w:rPr>
                              <w:rFonts w:eastAsia="Calibri" w:cs="Calibri"/>
                              <w:noProof/>
                              <w:color w:val="FF0000"/>
                            </w:rPr>
                          </w:pPr>
                          <w:r w:rsidRPr="00A372B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94520"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7B940FB" w14:textId="18FEE0AF" w:rsidR="00A372B9" w:rsidRPr="00A372B9" w:rsidRDefault="00A372B9" w:rsidP="00A372B9">
                    <w:pPr>
                      <w:rPr>
                        <w:rFonts w:eastAsia="Calibri" w:cs="Calibri"/>
                        <w:noProof/>
                        <w:color w:val="FF0000"/>
                      </w:rPr>
                    </w:pPr>
                    <w:r w:rsidRPr="00A372B9">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2091B3B7" w:rsidR="00D843F2" w:rsidRDefault="00A372B9" w:rsidP="00753B29">
    <w:pPr>
      <w:jc w:val="center"/>
    </w:pPr>
    <w:r>
      <w:rPr>
        <w:noProof/>
      </w:rPr>
      <mc:AlternateContent>
        <mc:Choice Requires="wps">
          <w:drawing>
            <wp:anchor distT="0" distB="0" distL="0" distR="0" simplePos="0" relativeHeight="251658245" behindDoc="0" locked="0" layoutInCell="1" allowOverlap="1" wp14:anchorId="10A840BC" wp14:editId="400D6E70">
              <wp:simplePos x="914400" y="9410700"/>
              <wp:positionH relativeFrom="page">
                <wp:align>center</wp:align>
              </wp:positionH>
              <wp:positionV relativeFrom="page">
                <wp:align>bottom</wp:align>
              </wp:positionV>
              <wp:extent cx="551815" cy="376555"/>
              <wp:effectExtent l="0" t="0" r="635" b="0"/>
              <wp:wrapNone/>
              <wp:docPr id="20202064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602C24" w14:textId="1A8A16A8" w:rsidR="00A372B9" w:rsidRPr="00A372B9" w:rsidRDefault="00A372B9" w:rsidP="00A372B9">
                          <w:pPr>
                            <w:rPr>
                              <w:rFonts w:eastAsia="Calibri" w:cs="Calibri"/>
                              <w:noProof/>
                              <w:color w:val="FF0000"/>
                            </w:rPr>
                          </w:pPr>
                          <w:r w:rsidRPr="00A372B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840B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E602C24" w14:textId="1A8A16A8" w:rsidR="00A372B9" w:rsidRPr="00A372B9" w:rsidRDefault="00A372B9" w:rsidP="00A372B9">
                    <w:pPr>
                      <w:rPr>
                        <w:rFonts w:eastAsia="Calibri" w:cs="Calibri"/>
                        <w:noProof/>
                        <w:color w:val="FF0000"/>
                      </w:rPr>
                    </w:pPr>
                    <w:r w:rsidRPr="00A372B9">
                      <w:rPr>
                        <w:rFonts w:eastAsia="Calibri" w:cs="Calibri"/>
                        <w:noProof/>
                        <w:color w:val="FF0000"/>
                      </w:rPr>
                      <w:t>OFFICIAL</w:t>
                    </w:r>
                  </w:p>
                </w:txbxContent>
              </v:textbox>
              <w10:wrap anchorx="page" anchory="page"/>
            </v:shape>
          </w:pict>
        </mc:Fallback>
      </mc:AlternateContent>
    </w:r>
  </w:p>
  <w:p w14:paraId="37484CD3" w14:textId="142BB127" w:rsidR="00D843F2" w:rsidRPr="007C1CD9" w:rsidRDefault="00000000" w:rsidP="00AB5410">
    <w:pPr>
      <w:pStyle w:val="PageFooter"/>
    </w:pPr>
    <w:sdt>
      <w:sdtPr>
        <w:id w:val="1036156457"/>
        <w:docPartObj>
          <w:docPartGallery w:val="Page Numbers (Bottom of Page)"/>
          <w:docPartUnique/>
        </w:docPartObj>
      </w:sdtPr>
      <w:sdtContent>
        <w:r w:rsidR="00D843F2">
          <w:fldChar w:fldCharType="begin"/>
        </w:r>
        <w:r w:rsidR="00D843F2">
          <w:instrText xml:space="preserve"> PAGE   \* MERGEFORMAT </w:instrText>
        </w:r>
        <w:r w:rsidR="00D843F2">
          <w:fldChar w:fldCharType="separate"/>
        </w:r>
        <w:r w:rsidR="00D843F2">
          <w:t>2</w:t>
        </w:r>
        <w:r w:rsidR="00D843F2">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F545" w14:textId="306A83C8" w:rsidR="007510F8" w:rsidRDefault="00A372B9">
    <w:pPr>
      <w:pStyle w:val="Footer"/>
    </w:pPr>
    <w:r>
      <w:rPr>
        <w:noProof/>
      </w:rPr>
      <mc:AlternateContent>
        <mc:Choice Requires="wps">
          <w:drawing>
            <wp:anchor distT="0" distB="0" distL="0" distR="0" simplePos="0" relativeHeight="251658243" behindDoc="0" locked="0" layoutInCell="1" allowOverlap="1" wp14:anchorId="014E5A37" wp14:editId="5FCB88E8">
              <wp:simplePos x="635" y="635"/>
              <wp:positionH relativeFrom="page">
                <wp:align>center</wp:align>
              </wp:positionH>
              <wp:positionV relativeFrom="page">
                <wp:align>bottom</wp:align>
              </wp:positionV>
              <wp:extent cx="551815" cy="376555"/>
              <wp:effectExtent l="0" t="0" r="635" b="0"/>
              <wp:wrapNone/>
              <wp:docPr id="1136529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FDA52E" w14:textId="4EB6B552" w:rsidR="00A372B9" w:rsidRPr="00A372B9" w:rsidRDefault="00A372B9" w:rsidP="00A372B9">
                          <w:pPr>
                            <w:rPr>
                              <w:rFonts w:eastAsia="Calibri" w:cs="Calibri"/>
                              <w:noProof/>
                              <w:color w:val="FF0000"/>
                            </w:rPr>
                          </w:pPr>
                          <w:r w:rsidRPr="00A372B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E5A3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5FDA52E" w14:textId="4EB6B552" w:rsidR="00A372B9" w:rsidRPr="00A372B9" w:rsidRDefault="00A372B9" w:rsidP="00A372B9">
                    <w:pPr>
                      <w:rPr>
                        <w:rFonts w:eastAsia="Calibri" w:cs="Calibri"/>
                        <w:noProof/>
                        <w:color w:val="FF0000"/>
                      </w:rPr>
                    </w:pPr>
                    <w:r w:rsidRPr="00A372B9">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B429" w14:textId="77777777" w:rsidR="008D17D0" w:rsidRDefault="008D17D0" w:rsidP="00124A51">
      <w:r>
        <w:separator/>
      </w:r>
    </w:p>
  </w:footnote>
  <w:footnote w:type="continuationSeparator" w:id="0">
    <w:p w14:paraId="3BD5C177" w14:textId="77777777" w:rsidR="008D17D0" w:rsidRDefault="008D17D0" w:rsidP="00124A51">
      <w:r>
        <w:continuationSeparator/>
      </w:r>
    </w:p>
    <w:p w14:paraId="126BD776" w14:textId="77777777" w:rsidR="008D17D0" w:rsidRDefault="008D17D0"/>
    <w:p w14:paraId="4E358C8E" w14:textId="77777777" w:rsidR="008D17D0" w:rsidRDefault="008D17D0"/>
    <w:p w14:paraId="775DF062" w14:textId="77777777" w:rsidR="008D17D0" w:rsidRDefault="008D17D0"/>
  </w:footnote>
  <w:footnote w:type="continuationNotice" w:id="1">
    <w:p w14:paraId="3431077B" w14:textId="77777777" w:rsidR="008D17D0" w:rsidRDefault="008D17D0"/>
  </w:footnote>
  <w:footnote w:id="2">
    <w:p w14:paraId="5243C276" w14:textId="43D6F924" w:rsidR="00410146" w:rsidRPr="007D19FE" w:rsidRDefault="00410146" w:rsidP="00410146">
      <w:pPr>
        <w:pStyle w:val="FootnoteText"/>
        <w:rPr>
          <w:rFonts w:ascii="Arial Narrow" w:hAnsi="Arial Narrow"/>
        </w:rPr>
      </w:pPr>
      <w:r>
        <w:rPr>
          <w:rStyle w:val="FootnoteReference"/>
        </w:rPr>
        <w:footnoteRef/>
      </w:r>
      <w:r>
        <w:t xml:space="preserve"> </w:t>
      </w:r>
      <w:r w:rsidRPr="007D19FE">
        <w:rPr>
          <w:rFonts w:ascii="Arial Narrow" w:hAnsi="Arial Narrow"/>
        </w:rPr>
        <w:t xml:space="preserve">IVIg is funded by the National Blood Authority (NBA) as maintenance therapy for moderate to severe myasthenia gravis when other treatments have been ineffective or caused intolerable side effects. The NBA criteria for IVIg requires (a) a patient to have a MGC score </w:t>
      </w:r>
      <w:r w:rsidR="00B509DA" w:rsidRPr="007D19FE">
        <w:rPr>
          <w:rFonts w:ascii="Arial Narrow" w:hAnsi="Arial Narrow"/>
        </w:rPr>
        <w:t>≥</w:t>
      </w:r>
      <w:r w:rsidRPr="007D19FE">
        <w:rPr>
          <w:rFonts w:ascii="Arial Narrow" w:hAnsi="Arial Narrow"/>
        </w:rPr>
        <w:t xml:space="preserve">4 points; and (b) </w:t>
      </w:r>
      <w:r w:rsidR="00B509DA" w:rsidRPr="007D19FE">
        <w:rPr>
          <w:rFonts w:ascii="Arial Narrow" w:hAnsi="Arial Narrow"/>
        </w:rPr>
        <w:t>≥</w:t>
      </w:r>
      <w:r w:rsidRPr="007D19FE">
        <w:rPr>
          <w:rFonts w:ascii="Arial Narrow" w:hAnsi="Arial Narrow"/>
        </w:rPr>
        <w:t>2 other treatments to have been ineffective, contra-indicated, unavailable or caused intolerable side effects. The NBA criteria state ‘IVIg should be regarded as a stopgap treatment while using short-term drugs such as pyridostigmine and while introducing effective immunotherapy’ and requires evidence of response for ongoing therapy after 4 months and then annually thereafter.</w:t>
      </w:r>
    </w:p>
  </w:footnote>
  <w:footnote w:id="3">
    <w:p w14:paraId="1A50FEA3" w14:textId="77777777" w:rsidR="00050DC7" w:rsidRPr="00C539C3" w:rsidRDefault="00050DC7" w:rsidP="00050DC7">
      <w:pPr>
        <w:pStyle w:val="FootnoteText"/>
        <w:rPr>
          <w:rFonts w:ascii="Arial Narrow" w:hAnsi="Arial Narrow"/>
        </w:rPr>
      </w:pPr>
      <w:r>
        <w:rPr>
          <w:rStyle w:val="FootnoteReference"/>
        </w:rPr>
        <w:footnoteRef/>
      </w:r>
      <w:r>
        <w:t xml:space="preserve"> </w:t>
      </w:r>
      <w:r w:rsidRPr="00C539C3">
        <w:rPr>
          <w:rFonts w:ascii="Arial Narrow" w:hAnsi="Arial Narrow"/>
        </w:rPr>
        <w:t>Myasthenia Gravis Stakeholder Meeting (May 2024) Outcome Statement, Available at: https://www.pbs.gov.au/info/industry/listing/elements/pbac-meetings/stakeholder-meetings</w:t>
      </w:r>
    </w:p>
  </w:footnote>
  <w:footnote w:id="4">
    <w:p w14:paraId="0E905054" w14:textId="77777777" w:rsidR="004344F6" w:rsidRDefault="004344F6" w:rsidP="004344F6">
      <w:pPr>
        <w:pStyle w:val="FootnoteText"/>
      </w:pPr>
      <w:r w:rsidRPr="00C539C3">
        <w:rPr>
          <w:rStyle w:val="FootnoteReference"/>
          <w:rFonts w:ascii="Arial Narrow" w:hAnsi="Arial Narrow"/>
        </w:rPr>
        <w:footnoteRef/>
      </w:r>
      <w:r w:rsidRPr="00C539C3">
        <w:rPr>
          <w:rFonts w:ascii="Arial Narrow" w:hAnsi="Arial Narrow"/>
        </w:rPr>
        <w:t xml:space="preserve"> Hehir, M.K., Burns, T.M., Alpers, J., Conaway, M.R., Sawa, M. and Sanders, D.B. (2010), Mycophenolate mofetil in </w:t>
      </w:r>
      <w:proofErr w:type="spellStart"/>
      <w:r w:rsidRPr="00C539C3">
        <w:rPr>
          <w:rFonts w:ascii="Arial Narrow" w:hAnsi="Arial Narrow"/>
        </w:rPr>
        <w:t>AChR</w:t>
      </w:r>
      <w:proofErr w:type="spellEnd"/>
      <w:r w:rsidRPr="00C539C3">
        <w:rPr>
          <w:rFonts w:ascii="Arial Narrow" w:hAnsi="Arial Narrow"/>
        </w:rPr>
        <w:t xml:space="preserve">-antibody-positive myasthenia gravis: Outcomes in 102 patients†. Muscle Nerve, 41: 593-598. </w:t>
      </w:r>
      <w:hyperlink r:id="rId1" w:history="1">
        <w:r w:rsidRPr="00C539C3">
          <w:rPr>
            <w:rStyle w:val="Hyperlink"/>
            <w:rFonts w:ascii="Arial Narrow" w:hAnsi="Arial Narrow"/>
          </w:rPr>
          <w:t>https://doi.org/10.1002/mus.21640</w:t>
        </w:r>
      </w:hyperlink>
      <w:r w:rsidRPr="00C539C3">
        <w:rPr>
          <w:rFonts w:ascii="Arial Narrow" w:hAnsi="Arial Narrow"/>
        </w:rPr>
        <w:t>, Accessed at https://pubmed.ncbi.nlm.nih.gov/20405499/</w:t>
      </w:r>
    </w:p>
  </w:footnote>
  <w:footnote w:id="5">
    <w:p w14:paraId="51666C6C" w14:textId="77777777" w:rsidR="004344F6" w:rsidRPr="00C112C3" w:rsidRDefault="004344F6" w:rsidP="004344F6">
      <w:pPr>
        <w:pStyle w:val="FootnoteText"/>
        <w:rPr>
          <w:rFonts w:ascii="Arial Narrow" w:hAnsi="Arial Narrow"/>
        </w:rPr>
      </w:pPr>
      <w:r w:rsidRPr="00C112C3">
        <w:rPr>
          <w:rStyle w:val="FootnoteReference"/>
          <w:rFonts w:ascii="Arial Narrow" w:hAnsi="Arial Narrow"/>
        </w:rPr>
        <w:footnoteRef/>
      </w:r>
      <w:r w:rsidRPr="00C112C3">
        <w:rPr>
          <w:rFonts w:ascii="Arial Narrow" w:hAnsi="Arial Narrow"/>
        </w:rPr>
        <w:t xml:space="preserve"> Palace J, Newsom-Davis J, Lecky B. A randomized double-blind trial of prednisolone alone or with azathioprine in myasthenia gravis. Myasthenia Gravis Study Group. Neurology. 1998 Jun;50(6):1778-83. </w:t>
      </w:r>
      <w:proofErr w:type="spellStart"/>
      <w:r w:rsidRPr="00C112C3">
        <w:rPr>
          <w:rFonts w:ascii="Arial Narrow" w:hAnsi="Arial Narrow"/>
        </w:rPr>
        <w:t>doi</w:t>
      </w:r>
      <w:proofErr w:type="spellEnd"/>
      <w:r w:rsidRPr="00C112C3">
        <w:rPr>
          <w:rFonts w:ascii="Arial Narrow" w:hAnsi="Arial Narrow"/>
        </w:rPr>
        <w:t>: 10.1212/wnl.50.6.1778. PMID: 9633727.</w:t>
      </w:r>
    </w:p>
  </w:footnote>
  <w:footnote w:id="6">
    <w:p w14:paraId="615A5721" w14:textId="77777777" w:rsidR="004344F6" w:rsidRPr="00116D6F" w:rsidRDefault="004344F6" w:rsidP="004344F6">
      <w:pPr>
        <w:pStyle w:val="FootnoteText"/>
        <w:rPr>
          <w:rFonts w:ascii="Arial Narrow" w:hAnsi="Arial Narrow"/>
        </w:rPr>
      </w:pPr>
      <w:r w:rsidRPr="00116D6F">
        <w:rPr>
          <w:rStyle w:val="FootnoteReference"/>
          <w:rFonts w:ascii="Arial Narrow" w:hAnsi="Arial Narrow"/>
        </w:rPr>
        <w:footnoteRef/>
      </w:r>
      <w:r w:rsidRPr="00116D6F">
        <w:rPr>
          <w:rFonts w:ascii="Arial Narrow" w:hAnsi="Arial Narrow"/>
        </w:rPr>
        <w:t xml:space="preserve"> Criteria for Clinical Use of Immunoglobulin in Australia, accessed at: </w:t>
      </w:r>
    </w:p>
    <w:p w14:paraId="61CD7C68" w14:textId="77777777" w:rsidR="004344F6" w:rsidRDefault="004344F6" w:rsidP="004344F6">
      <w:pPr>
        <w:pStyle w:val="FootnoteText"/>
      </w:pPr>
      <w:r w:rsidRPr="00116D6F">
        <w:rPr>
          <w:rFonts w:ascii="Arial Narrow" w:hAnsi="Arial Narrow"/>
        </w:rPr>
        <w:t xml:space="preserve"> https://www.criteria.blood.gov.au/MedicalCondition/View/2681</w:t>
      </w:r>
    </w:p>
  </w:footnote>
  <w:footnote w:id="7">
    <w:p w14:paraId="2C960F8E" w14:textId="77777777" w:rsidR="00D14335" w:rsidRDefault="00D14335" w:rsidP="00D14335">
      <w:pPr>
        <w:pStyle w:val="FootnoteText"/>
      </w:pPr>
      <w:r>
        <w:rPr>
          <w:rStyle w:val="FootnoteReference"/>
        </w:rPr>
        <w:footnoteRef/>
      </w:r>
      <w:r>
        <w:t xml:space="preserve"> Australian Product Information for </w:t>
      </w:r>
      <w:proofErr w:type="spellStart"/>
      <w:r>
        <w:t>Privigen</w:t>
      </w:r>
      <w:proofErr w:type="spellEnd"/>
      <w:r>
        <w:t xml:space="preserve"> and </w:t>
      </w:r>
      <w:proofErr w:type="spellStart"/>
      <w:r>
        <w:t>Intragam</w:t>
      </w:r>
      <w:proofErr w:type="spellEnd"/>
      <w:r>
        <w:t xml:space="preserve"> </w:t>
      </w:r>
      <w:hyperlink r:id="rId2" w:history="1">
        <w:r>
          <w:rPr>
            <w:rStyle w:val="Hyperlink"/>
          </w:rPr>
          <w:t>https://www.ebs.tga.gov.au/ebs/picmi/picmirepository.nsf/pdf?OpenAgent=&amp;id=CP-2020-PI-01935-1&amp;d=20250321172310101</w:t>
        </w:r>
      </w:hyperlink>
      <w:r>
        <w:t>; https://www.ebs.tga.gov.au/ebs/picmi/picmirepository.nsf/pdf?OpenAgent=&amp;id=CP-2014-PI-03087-1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E227" w14:textId="49D9E78B" w:rsidR="007510F8" w:rsidRDefault="00A372B9">
    <w:pPr>
      <w:pStyle w:val="Header"/>
    </w:pPr>
    <w:r>
      <w:rPr>
        <w:noProof/>
      </w:rPr>
      <mc:AlternateContent>
        <mc:Choice Requires="wps">
          <w:drawing>
            <wp:anchor distT="0" distB="0" distL="0" distR="0" simplePos="0" relativeHeight="251658241" behindDoc="0" locked="0" layoutInCell="1" allowOverlap="1" wp14:anchorId="4794AEB1" wp14:editId="75F58843">
              <wp:simplePos x="635" y="635"/>
              <wp:positionH relativeFrom="page">
                <wp:align>center</wp:align>
              </wp:positionH>
              <wp:positionV relativeFrom="page">
                <wp:align>top</wp:align>
              </wp:positionV>
              <wp:extent cx="551815" cy="376555"/>
              <wp:effectExtent l="0" t="0" r="635" b="4445"/>
              <wp:wrapNone/>
              <wp:docPr id="2012829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B6B411" w14:textId="2126DC13" w:rsidR="00A372B9" w:rsidRPr="00A372B9" w:rsidRDefault="00A372B9" w:rsidP="00A372B9">
                          <w:pPr>
                            <w:rPr>
                              <w:rFonts w:eastAsia="Calibri" w:cs="Calibri"/>
                              <w:noProof/>
                              <w:color w:val="FF0000"/>
                            </w:rPr>
                          </w:pPr>
                          <w:r w:rsidRPr="00A372B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94AEB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9B6B411" w14:textId="2126DC13" w:rsidR="00A372B9" w:rsidRPr="00A372B9" w:rsidRDefault="00A372B9" w:rsidP="00A372B9">
                    <w:pPr>
                      <w:rPr>
                        <w:rFonts w:eastAsia="Calibri" w:cs="Calibri"/>
                        <w:noProof/>
                        <w:color w:val="FF0000"/>
                      </w:rPr>
                    </w:pPr>
                    <w:r w:rsidRPr="00A372B9">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39880C1B" w:rsidR="00D843F2" w:rsidRPr="00A51C91" w:rsidRDefault="00A372B9" w:rsidP="00A51C91">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33453762" wp14:editId="51018006">
              <wp:simplePos x="914400" y="914400"/>
              <wp:positionH relativeFrom="page">
                <wp:align>center</wp:align>
              </wp:positionH>
              <wp:positionV relativeFrom="page">
                <wp:align>top</wp:align>
              </wp:positionV>
              <wp:extent cx="551815" cy="376555"/>
              <wp:effectExtent l="0" t="0" r="635" b="4445"/>
              <wp:wrapNone/>
              <wp:docPr id="14962592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CC4811" w14:textId="64F57B48" w:rsidR="00A372B9" w:rsidRPr="00A372B9" w:rsidRDefault="00A372B9" w:rsidP="00A372B9">
                          <w:pPr>
                            <w:rPr>
                              <w:rFonts w:eastAsia="Calibri" w:cs="Calibri"/>
                              <w:noProof/>
                              <w:color w:val="FF0000"/>
                            </w:rPr>
                          </w:pPr>
                          <w:r w:rsidRPr="00A372B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5376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1CC4811" w14:textId="64F57B48" w:rsidR="00A372B9" w:rsidRPr="00A372B9" w:rsidRDefault="00A372B9" w:rsidP="00A372B9">
                    <w:pPr>
                      <w:rPr>
                        <w:rFonts w:eastAsia="Calibri" w:cs="Calibri"/>
                        <w:noProof/>
                        <w:color w:val="FF0000"/>
                      </w:rPr>
                    </w:pPr>
                    <w:r w:rsidRPr="00A372B9">
                      <w:rPr>
                        <w:rFonts w:eastAsia="Calibri" w:cs="Calibri"/>
                        <w:noProof/>
                        <w:color w:val="FF0000"/>
                      </w:rPr>
                      <w:t>OFFICIAL</w:t>
                    </w:r>
                  </w:p>
                </w:txbxContent>
              </v:textbox>
              <w10:wrap anchorx="page" anchory="page"/>
            </v:shape>
          </w:pict>
        </mc:Fallback>
      </mc:AlternateContent>
    </w:r>
    <w:r w:rsidR="00AE5166" w:rsidRPr="00AE5166">
      <w:rPr>
        <w:rFonts w:asciiTheme="minorHAnsi" w:hAnsiTheme="minorHAnsi"/>
        <w:color w:val="808080"/>
      </w:rPr>
      <w:t xml:space="preserve">Public Summary Document </w:t>
    </w:r>
    <w:r w:rsidR="00E21CE6">
      <w:rPr>
        <w:rFonts w:asciiTheme="minorHAnsi" w:hAnsiTheme="minorHAnsi"/>
        <w:color w:val="808080"/>
      </w:rPr>
      <w:t xml:space="preserve">– </w:t>
    </w:r>
    <w:r w:rsidR="003960ED">
      <w:rPr>
        <w:rFonts w:asciiTheme="minorHAnsi" w:hAnsiTheme="minorHAnsi"/>
        <w:color w:val="808080"/>
      </w:rPr>
      <w:t>March 2025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BF92" w14:textId="3DA91EB6" w:rsidR="007510F8" w:rsidRDefault="00A372B9">
    <w:pPr>
      <w:pStyle w:val="Header"/>
    </w:pPr>
    <w:r>
      <w:rPr>
        <w:noProof/>
      </w:rPr>
      <mc:AlternateContent>
        <mc:Choice Requires="wps">
          <w:drawing>
            <wp:anchor distT="0" distB="0" distL="0" distR="0" simplePos="0" relativeHeight="251658240" behindDoc="0" locked="0" layoutInCell="1" allowOverlap="1" wp14:anchorId="1C0BF6F9" wp14:editId="5396A20B">
              <wp:simplePos x="635" y="635"/>
              <wp:positionH relativeFrom="page">
                <wp:align>center</wp:align>
              </wp:positionH>
              <wp:positionV relativeFrom="page">
                <wp:align>top</wp:align>
              </wp:positionV>
              <wp:extent cx="551815" cy="376555"/>
              <wp:effectExtent l="0" t="0" r="635" b="4445"/>
              <wp:wrapNone/>
              <wp:docPr id="17704197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6118D6" w14:textId="60027CEB" w:rsidR="00A372B9" w:rsidRPr="00A372B9" w:rsidRDefault="00A372B9" w:rsidP="00A372B9">
                          <w:pPr>
                            <w:rPr>
                              <w:rFonts w:eastAsia="Calibri" w:cs="Calibri"/>
                              <w:noProof/>
                              <w:color w:val="FF0000"/>
                            </w:rPr>
                          </w:pPr>
                          <w:r w:rsidRPr="00A372B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0BF6F9"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86118D6" w14:textId="60027CEB" w:rsidR="00A372B9" w:rsidRPr="00A372B9" w:rsidRDefault="00A372B9" w:rsidP="00A372B9">
                    <w:pPr>
                      <w:rPr>
                        <w:rFonts w:eastAsia="Calibri" w:cs="Calibri"/>
                        <w:noProof/>
                        <w:color w:val="FF0000"/>
                      </w:rPr>
                    </w:pPr>
                    <w:r w:rsidRPr="00A372B9">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47A846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2" w15:restartNumberingAfterBreak="0">
    <w:nsid w:val="038C3F82"/>
    <w:multiLevelType w:val="hybridMultilevel"/>
    <w:tmpl w:val="3E1E4ED0"/>
    <w:lvl w:ilvl="0" w:tplc="1EDC318C">
      <w:start w:val="28"/>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277890"/>
    <w:multiLevelType w:val="hybridMultilevel"/>
    <w:tmpl w:val="4008E2A8"/>
    <w:lvl w:ilvl="0" w:tplc="D96A5434">
      <w:start w:val="1"/>
      <w:numFmt w:val="bullet"/>
      <w:pStyle w:val="Normalbullet1"/>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767DE"/>
    <w:multiLevelType w:val="hybridMultilevel"/>
    <w:tmpl w:val="035894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5EE7AEA"/>
    <w:multiLevelType w:val="hybridMultilevel"/>
    <w:tmpl w:val="444CAD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4E6478"/>
    <w:multiLevelType w:val="hybridMultilevel"/>
    <w:tmpl w:val="719288A8"/>
    <w:styleLink w:val="SectionBii2"/>
    <w:lvl w:ilvl="0" w:tplc="0278ED9A">
      <w:start w:val="1"/>
      <w:numFmt w:val="bullet"/>
      <w:lvlText w:val=""/>
      <w:lvlJc w:val="left"/>
      <w:pPr>
        <w:ind w:left="720" w:hanging="360"/>
      </w:pPr>
      <w:rPr>
        <w:rFonts w:ascii="Symbol" w:hAnsi="Symbol" w:hint="default"/>
        <w:spacing w:val="0"/>
        <w:w w:val="100"/>
        <w:position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FB219F8"/>
    <w:multiLevelType w:val="hybridMultilevel"/>
    <w:tmpl w:val="A1D6FE1E"/>
    <w:lvl w:ilvl="0" w:tplc="59207B12">
      <w:start w:val="1"/>
      <w:numFmt w:val="bullet"/>
      <w:pStyle w:val="COMexecsummmainissuesbulle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C632F7"/>
    <w:multiLevelType w:val="hybridMultilevel"/>
    <w:tmpl w:val="E6443E6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3008530A"/>
    <w:multiLevelType w:val="hybridMultilevel"/>
    <w:tmpl w:val="8384D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7A3A45"/>
    <w:multiLevelType w:val="hybridMultilevel"/>
    <w:tmpl w:val="B7F6E0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2A2347D"/>
    <w:multiLevelType w:val="hybridMultilevel"/>
    <w:tmpl w:val="20802582"/>
    <w:lvl w:ilvl="0" w:tplc="3C144F54">
      <w:start w:val="1"/>
      <w:numFmt w:val="bullet"/>
      <w:pStyle w:val="Summarybox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720272"/>
    <w:multiLevelType w:val="hybridMultilevel"/>
    <w:tmpl w:val="00BC7322"/>
    <w:styleLink w:val="SectionBii2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562B61"/>
    <w:multiLevelType w:val="hybridMultilevel"/>
    <w:tmpl w:val="38487648"/>
    <w:lvl w:ilvl="0" w:tplc="4E244ED8">
      <w:start w:val="1"/>
      <w:numFmt w:val="bullet"/>
      <w:pStyle w:val="Tablebullet1"/>
      <w:lvlText w:val=""/>
      <w:lvlJc w:val="left"/>
      <w:pPr>
        <w:ind w:left="720" w:hanging="360"/>
      </w:pPr>
      <w:rPr>
        <w:rFonts w:ascii="Wingdings" w:hAnsi="Wingdings" w:hint="default"/>
      </w:rPr>
    </w:lvl>
    <w:lvl w:ilvl="1" w:tplc="778CD7EA">
      <w:start w:val="1"/>
      <w:numFmt w:val="bullet"/>
      <w:pStyle w:val="Tablebulle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1684F"/>
    <w:multiLevelType w:val="hybridMultilevel"/>
    <w:tmpl w:val="FA44A946"/>
    <w:lvl w:ilvl="0" w:tplc="84F8AA1A">
      <w:start w:val="1"/>
      <w:numFmt w:val="bullet"/>
      <w:lvlText w:val="•"/>
      <w:lvlJc w:val="left"/>
      <w:pPr>
        <w:tabs>
          <w:tab w:val="num" w:pos="720"/>
        </w:tabs>
        <w:ind w:left="720" w:hanging="360"/>
      </w:pPr>
      <w:rPr>
        <w:rFonts w:ascii="Arial" w:hAnsi="Arial" w:hint="default"/>
      </w:rPr>
    </w:lvl>
    <w:lvl w:ilvl="1" w:tplc="464AD4D8" w:tentative="1">
      <w:start w:val="1"/>
      <w:numFmt w:val="bullet"/>
      <w:lvlText w:val="•"/>
      <w:lvlJc w:val="left"/>
      <w:pPr>
        <w:tabs>
          <w:tab w:val="num" w:pos="1440"/>
        </w:tabs>
        <w:ind w:left="1440" w:hanging="360"/>
      </w:pPr>
      <w:rPr>
        <w:rFonts w:ascii="Arial" w:hAnsi="Arial" w:hint="default"/>
      </w:rPr>
    </w:lvl>
    <w:lvl w:ilvl="2" w:tplc="DAB01160" w:tentative="1">
      <w:start w:val="1"/>
      <w:numFmt w:val="bullet"/>
      <w:lvlText w:val="•"/>
      <w:lvlJc w:val="left"/>
      <w:pPr>
        <w:tabs>
          <w:tab w:val="num" w:pos="2160"/>
        </w:tabs>
        <w:ind w:left="2160" w:hanging="360"/>
      </w:pPr>
      <w:rPr>
        <w:rFonts w:ascii="Arial" w:hAnsi="Arial" w:hint="default"/>
      </w:rPr>
    </w:lvl>
    <w:lvl w:ilvl="3" w:tplc="08505AB0" w:tentative="1">
      <w:start w:val="1"/>
      <w:numFmt w:val="bullet"/>
      <w:lvlText w:val="•"/>
      <w:lvlJc w:val="left"/>
      <w:pPr>
        <w:tabs>
          <w:tab w:val="num" w:pos="2880"/>
        </w:tabs>
        <w:ind w:left="2880" w:hanging="360"/>
      </w:pPr>
      <w:rPr>
        <w:rFonts w:ascii="Arial" w:hAnsi="Arial" w:hint="default"/>
      </w:rPr>
    </w:lvl>
    <w:lvl w:ilvl="4" w:tplc="A8822C62" w:tentative="1">
      <w:start w:val="1"/>
      <w:numFmt w:val="bullet"/>
      <w:lvlText w:val="•"/>
      <w:lvlJc w:val="left"/>
      <w:pPr>
        <w:tabs>
          <w:tab w:val="num" w:pos="3600"/>
        </w:tabs>
        <w:ind w:left="3600" w:hanging="360"/>
      </w:pPr>
      <w:rPr>
        <w:rFonts w:ascii="Arial" w:hAnsi="Arial" w:hint="default"/>
      </w:rPr>
    </w:lvl>
    <w:lvl w:ilvl="5" w:tplc="163677B8" w:tentative="1">
      <w:start w:val="1"/>
      <w:numFmt w:val="bullet"/>
      <w:lvlText w:val="•"/>
      <w:lvlJc w:val="left"/>
      <w:pPr>
        <w:tabs>
          <w:tab w:val="num" w:pos="4320"/>
        </w:tabs>
        <w:ind w:left="4320" w:hanging="360"/>
      </w:pPr>
      <w:rPr>
        <w:rFonts w:ascii="Arial" w:hAnsi="Arial" w:hint="default"/>
      </w:rPr>
    </w:lvl>
    <w:lvl w:ilvl="6" w:tplc="60A65DBA" w:tentative="1">
      <w:start w:val="1"/>
      <w:numFmt w:val="bullet"/>
      <w:lvlText w:val="•"/>
      <w:lvlJc w:val="left"/>
      <w:pPr>
        <w:tabs>
          <w:tab w:val="num" w:pos="5040"/>
        </w:tabs>
        <w:ind w:left="5040" w:hanging="360"/>
      </w:pPr>
      <w:rPr>
        <w:rFonts w:ascii="Arial" w:hAnsi="Arial" w:hint="default"/>
      </w:rPr>
    </w:lvl>
    <w:lvl w:ilvl="7" w:tplc="FBAEC8A4" w:tentative="1">
      <w:start w:val="1"/>
      <w:numFmt w:val="bullet"/>
      <w:lvlText w:val="•"/>
      <w:lvlJc w:val="left"/>
      <w:pPr>
        <w:tabs>
          <w:tab w:val="num" w:pos="5760"/>
        </w:tabs>
        <w:ind w:left="5760" w:hanging="360"/>
      </w:pPr>
      <w:rPr>
        <w:rFonts w:ascii="Arial" w:hAnsi="Arial" w:hint="default"/>
      </w:rPr>
    </w:lvl>
    <w:lvl w:ilvl="8" w:tplc="F2F408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941D99"/>
    <w:multiLevelType w:val="hybridMultilevel"/>
    <w:tmpl w:val="4EF684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99A25F4"/>
    <w:multiLevelType w:val="multilevel"/>
    <w:tmpl w:val="2124B9A2"/>
    <w:styleLink w:val="SectionBii"/>
    <w:lvl w:ilvl="0">
      <w:start w:val="2"/>
      <w:numFmt w:val="upperLetter"/>
      <w:lvlText w:val="%1(ii)."/>
      <w:lvlJc w:val="left"/>
      <w:pPr>
        <w:ind w:left="1077" w:hanging="1077"/>
      </w:pPr>
      <w:rPr>
        <w:rFonts w:ascii="Arial" w:hAnsi="Arial" w:hint="default"/>
        <w:b/>
        <w:sz w:val="22"/>
      </w:rPr>
    </w:lvl>
    <w:lvl w:ilvl="1">
      <w:start w:val="1"/>
      <w:numFmt w:val="decimal"/>
      <w:lvlText w:val="%1(ii).%2."/>
      <w:lvlJc w:val="left"/>
      <w:pPr>
        <w:ind w:left="1474" w:hanging="1474"/>
      </w:pPr>
      <w:rPr>
        <w:rFonts w:ascii="Arial" w:hAnsi="Arial" w:hint="default"/>
        <w:b/>
        <w:sz w:val="22"/>
      </w:rPr>
    </w:lvl>
    <w:lvl w:ilvl="2">
      <w:start w:val="1"/>
      <w:numFmt w:val="decimal"/>
      <w:lvlText w:val="%1(ii).%2.%3."/>
      <w:lvlJc w:val="left"/>
      <w:pPr>
        <w:ind w:left="1871" w:hanging="1871"/>
      </w:pPr>
      <w:rPr>
        <w:rFonts w:ascii="Arial" w:hAnsi="Arial" w:hint="default"/>
        <w:b/>
        <w:sz w:val="22"/>
      </w:rPr>
    </w:lvl>
    <w:lvl w:ilvl="3">
      <w:start w:val="1"/>
      <w:numFmt w:val="decimal"/>
      <w:lvlText w:val="%1(ii).%2.%3.%4."/>
      <w:lvlJc w:val="left"/>
      <w:pPr>
        <w:ind w:left="2268" w:hanging="2268"/>
      </w:pPr>
      <w:rPr>
        <w:rFonts w:ascii="Arial" w:hAnsi="Arial" w:hint="default"/>
        <w:b/>
        <w:sz w:val="22"/>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5BEC2CB7"/>
    <w:multiLevelType w:val="hybridMultilevel"/>
    <w:tmpl w:val="37FE6414"/>
    <w:lvl w:ilvl="0" w:tplc="0C090001">
      <w:start w:val="1"/>
      <w:numFmt w:val="bullet"/>
      <w:lvlText w:val=""/>
      <w:lvlJc w:val="left"/>
      <w:pPr>
        <w:ind w:left="1116" w:hanging="360"/>
      </w:pPr>
      <w:rPr>
        <w:rFonts w:ascii="Symbol" w:hAnsi="Symbol" w:hint="default"/>
      </w:rPr>
    </w:lvl>
    <w:lvl w:ilvl="1" w:tplc="0C090003" w:tentative="1">
      <w:start w:val="1"/>
      <w:numFmt w:val="bullet"/>
      <w:lvlText w:val="o"/>
      <w:lvlJc w:val="left"/>
      <w:pPr>
        <w:ind w:left="1836" w:hanging="360"/>
      </w:pPr>
      <w:rPr>
        <w:rFonts w:ascii="Courier New" w:hAnsi="Courier New" w:cs="Courier New" w:hint="default"/>
      </w:rPr>
    </w:lvl>
    <w:lvl w:ilvl="2" w:tplc="0C090005" w:tentative="1">
      <w:start w:val="1"/>
      <w:numFmt w:val="bullet"/>
      <w:lvlText w:val=""/>
      <w:lvlJc w:val="left"/>
      <w:pPr>
        <w:ind w:left="2556" w:hanging="360"/>
      </w:pPr>
      <w:rPr>
        <w:rFonts w:ascii="Wingdings" w:hAnsi="Wingdings" w:hint="default"/>
      </w:rPr>
    </w:lvl>
    <w:lvl w:ilvl="3" w:tplc="0C090001" w:tentative="1">
      <w:start w:val="1"/>
      <w:numFmt w:val="bullet"/>
      <w:lvlText w:val=""/>
      <w:lvlJc w:val="left"/>
      <w:pPr>
        <w:ind w:left="3276" w:hanging="360"/>
      </w:pPr>
      <w:rPr>
        <w:rFonts w:ascii="Symbol" w:hAnsi="Symbol" w:hint="default"/>
      </w:rPr>
    </w:lvl>
    <w:lvl w:ilvl="4" w:tplc="0C090003" w:tentative="1">
      <w:start w:val="1"/>
      <w:numFmt w:val="bullet"/>
      <w:lvlText w:val="o"/>
      <w:lvlJc w:val="left"/>
      <w:pPr>
        <w:ind w:left="3996" w:hanging="360"/>
      </w:pPr>
      <w:rPr>
        <w:rFonts w:ascii="Courier New" w:hAnsi="Courier New" w:cs="Courier New" w:hint="default"/>
      </w:rPr>
    </w:lvl>
    <w:lvl w:ilvl="5" w:tplc="0C090005" w:tentative="1">
      <w:start w:val="1"/>
      <w:numFmt w:val="bullet"/>
      <w:lvlText w:val=""/>
      <w:lvlJc w:val="left"/>
      <w:pPr>
        <w:ind w:left="4716" w:hanging="360"/>
      </w:pPr>
      <w:rPr>
        <w:rFonts w:ascii="Wingdings" w:hAnsi="Wingdings" w:hint="default"/>
      </w:rPr>
    </w:lvl>
    <w:lvl w:ilvl="6" w:tplc="0C090001" w:tentative="1">
      <w:start w:val="1"/>
      <w:numFmt w:val="bullet"/>
      <w:lvlText w:val=""/>
      <w:lvlJc w:val="left"/>
      <w:pPr>
        <w:ind w:left="5436" w:hanging="360"/>
      </w:pPr>
      <w:rPr>
        <w:rFonts w:ascii="Symbol" w:hAnsi="Symbol" w:hint="default"/>
      </w:rPr>
    </w:lvl>
    <w:lvl w:ilvl="7" w:tplc="0C090003" w:tentative="1">
      <w:start w:val="1"/>
      <w:numFmt w:val="bullet"/>
      <w:lvlText w:val="o"/>
      <w:lvlJc w:val="left"/>
      <w:pPr>
        <w:ind w:left="6156" w:hanging="360"/>
      </w:pPr>
      <w:rPr>
        <w:rFonts w:ascii="Courier New" w:hAnsi="Courier New" w:cs="Courier New" w:hint="default"/>
      </w:rPr>
    </w:lvl>
    <w:lvl w:ilvl="8" w:tplc="0C090005" w:tentative="1">
      <w:start w:val="1"/>
      <w:numFmt w:val="bullet"/>
      <w:lvlText w:val=""/>
      <w:lvlJc w:val="left"/>
      <w:pPr>
        <w:ind w:left="6876" w:hanging="360"/>
      </w:pPr>
      <w:rPr>
        <w:rFonts w:ascii="Wingdings" w:hAnsi="Wingdings" w:hint="default"/>
      </w:rPr>
    </w:lvl>
  </w:abstractNum>
  <w:abstractNum w:abstractNumId="20" w15:restartNumberingAfterBreak="0">
    <w:nsid w:val="5CCC5359"/>
    <w:multiLevelType w:val="hybridMultilevel"/>
    <w:tmpl w:val="EC06558C"/>
    <w:lvl w:ilvl="0" w:tplc="52A02E00">
      <w:start w:val="1"/>
      <w:numFmt w:val="upperLetter"/>
      <w:pStyle w:val="N2PRISMA"/>
      <w:lvlText w:val="(%1)"/>
      <w:lvlJc w:val="left"/>
      <w:pPr>
        <w:ind w:left="852" w:hanging="360"/>
      </w:pPr>
      <w:rPr>
        <w:rFonts w:hint="default"/>
      </w:rPr>
    </w:lvl>
    <w:lvl w:ilvl="1" w:tplc="0C090019" w:tentative="1">
      <w:start w:val="1"/>
      <w:numFmt w:val="lowerLetter"/>
      <w:lvlText w:val="%2."/>
      <w:lvlJc w:val="left"/>
      <w:pPr>
        <w:ind w:left="1572" w:hanging="360"/>
      </w:pPr>
    </w:lvl>
    <w:lvl w:ilvl="2" w:tplc="0C09001B" w:tentative="1">
      <w:start w:val="1"/>
      <w:numFmt w:val="lowerRoman"/>
      <w:lvlText w:val="%3."/>
      <w:lvlJc w:val="right"/>
      <w:pPr>
        <w:ind w:left="2292" w:hanging="180"/>
      </w:pPr>
    </w:lvl>
    <w:lvl w:ilvl="3" w:tplc="0C09000F" w:tentative="1">
      <w:start w:val="1"/>
      <w:numFmt w:val="decimal"/>
      <w:lvlText w:val="%4."/>
      <w:lvlJc w:val="left"/>
      <w:pPr>
        <w:ind w:left="3012" w:hanging="360"/>
      </w:pPr>
    </w:lvl>
    <w:lvl w:ilvl="4" w:tplc="0C090019" w:tentative="1">
      <w:start w:val="1"/>
      <w:numFmt w:val="lowerLetter"/>
      <w:lvlText w:val="%5."/>
      <w:lvlJc w:val="left"/>
      <w:pPr>
        <w:ind w:left="3732" w:hanging="360"/>
      </w:pPr>
    </w:lvl>
    <w:lvl w:ilvl="5" w:tplc="0C09001B" w:tentative="1">
      <w:start w:val="1"/>
      <w:numFmt w:val="lowerRoman"/>
      <w:lvlText w:val="%6."/>
      <w:lvlJc w:val="right"/>
      <w:pPr>
        <w:ind w:left="4452" w:hanging="180"/>
      </w:pPr>
    </w:lvl>
    <w:lvl w:ilvl="6" w:tplc="0C09000F" w:tentative="1">
      <w:start w:val="1"/>
      <w:numFmt w:val="decimal"/>
      <w:lvlText w:val="%7."/>
      <w:lvlJc w:val="left"/>
      <w:pPr>
        <w:ind w:left="5172" w:hanging="360"/>
      </w:pPr>
    </w:lvl>
    <w:lvl w:ilvl="7" w:tplc="0C090019" w:tentative="1">
      <w:start w:val="1"/>
      <w:numFmt w:val="lowerLetter"/>
      <w:lvlText w:val="%8."/>
      <w:lvlJc w:val="left"/>
      <w:pPr>
        <w:ind w:left="5892" w:hanging="360"/>
      </w:pPr>
    </w:lvl>
    <w:lvl w:ilvl="8" w:tplc="0C09001B" w:tentative="1">
      <w:start w:val="1"/>
      <w:numFmt w:val="lowerRoman"/>
      <w:lvlText w:val="%9."/>
      <w:lvlJc w:val="right"/>
      <w:pPr>
        <w:ind w:left="6612" w:hanging="180"/>
      </w:pPr>
    </w:lvl>
  </w:abstractNum>
  <w:abstractNum w:abstractNumId="21" w15:restartNumberingAfterBreak="0">
    <w:nsid w:val="6099164C"/>
    <w:multiLevelType w:val="hybridMultilevel"/>
    <w:tmpl w:val="098802CC"/>
    <w:lvl w:ilvl="0" w:tplc="D8862BD6">
      <w:start w:val="4"/>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4C1606"/>
    <w:multiLevelType w:val="hybridMultilevel"/>
    <w:tmpl w:val="1656699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68763651"/>
    <w:multiLevelType w:val="hybridMultilevel"/>
    <w:tmpl w:val="1BF4C0CE"/>
    <w:lvl w:ilvl="0" w:tplc="0C090017">
      <w:start w:val="1"/>
      <w:numFmt w:val="lowerLetter"/>
      <w:lvlText w:val="%1)"/>
      <w:lvlJc w:val="left"/>
      <w:pPr>
        <w:ind w:left="1854" w:hanging="360"/>
      </w:p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24"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320409CE"/>
    <w:styleLink w:val="SectionBii1"/>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7E7650"/>
    <w:multiLevelType w:val="hybridMultilevel"/>
    <w:tmpl w:val="4478FB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6186631">
    <w:abstractNumId w:val="25"/>
  </w:num>
  <w:num w:numId="2" w16cid:durableId="917793048">
    <w:abstractNumId w:val="14"/>
  </w:num>
  <w:num w:numId="3" w16cid:durableId="1156729720">
    <w:abstractNumId w:val="12"/>
  </w:num>
  <w:num w:numId="4" w16cid:durableId="1048839230">
    <w:abstractNumId w:val="25"/>
  </w:num>
  <w:num w:numId="5" w16cid:durableId="521091235">
    <w:abstractNumId w:val="1"/>
  </w:num>
  <w:num w:numId="6" w16cid:durableId="2123836775">
    <w:abstractNumId w:val="15"/>
  </w:num>
  <w:num w:numId="7" w16cid:durableId="690643893">
    <w:abstractNumId w:val="7"/>
  </w:num>
  <w:num w:numId="8" w16cid:durableId="586351384">
    <w:abstractNumId w:val="13"/>
  </w:num>
  <w:num w:numId="9" w16cid:durableId="1011226129">
    <w:abstractNumId w:val="18"/>
  </w:num>
  <w:num w:numId="10" w16cid:durableId="2090498499">
    <w:abstractNumId w:val="0"/>
    <w:lvlOverride w:ilvl="0">
      <w:startOverride w:val="1"/>
    </w:lvlOverride>
  </w:num>
  <w:num w:numId="11" w16cid:durableId="1690252309">
    <w:abstractNumId w:val="6"/>
  </w:num>
  <w:num w:numId="12" w16cid:durableId="990914514">
    <w:abstractNumId w:val="11"/>
  </w:num>
  <w:num w:numId="13" w16cid:durableId="1050302331">
    <w:abstractNumId w:val="20"/>
  </w:num>
  <w:num w:numId="14" w16cid:durableId="933435929">
    <w:abstractNumId w:val="3"/>
  </w:num>
  <w:num w:numId="15" w16cid:durableId="742684352">
    <w:abstractNumId w:val="26"/>
  </w:num>
  <w:num w:numId="16" w16cid:durableId="126240624">
    <w:abstractNumId w:val="24"/>
  </w:num>
  <w:num w:numId="17" w16cid:durableId="772212157">
    <w:abstractNumId w:val="5"/>
  </w:num>
  <w:num w:numId="18" w16cid:durableId="1013259607">
    <w:abstractNumId w:val="19"/>
  </w:num>
  <w:num w:numId="19" w16cid:durableId="15269428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206416">
    <w:abstractNumId w:val="9"/>
  </w:num>
  <w:num w:numId="21" w16cid:durableId="475532295">
    <w:abstractNumId w:val="4"/>
  </w:num>
  <w:num w:numId="22" w16cid:durableId="296952065">
    <w:abstractNumId w:val="17"/>
  </w:num>
  <w:num w:numId="23" w16cid:durableId="2080404081">
    <w:abstractNumId w:val="16"/>
  </w:num>
  <w:num w:numId="24" w16cid:durableId="1451391745">
    <w:abstractNumId w:val="8"/>
  </w:num>
  <w:num w:numId="25" w16cid:durableId="1313943682">
    <w:abstractNumId w:val="25"/>
  </w:num>
  <w:num w:numId="26" w16cid:durableId="409890885">
    <w:abstractNumId w:val="25"/>
  </w:num>
  <w:num w:numId="27" w16cid:durableId="1139960672">
    <w:abstractNumId w:val="25"/>
  </w:num>
  <w:num w:numId="28" w16cid:durableId="2124810669">
    <w:abstractNumId w:val="25"/>
  </w:num>
  <w:num w:numId="29" w16cid:durableId="1317143571">
    <w:abstractNumId w:val="25"/>
  </w:num>
  <w:num w:numId="30" w16cid:durableId="898175051">
    <w:abstractNumId w:val="25"/>
  </w:num>
  <w:num w:numId="31" w16cid:durableId="926502969">
    <w:abstractNumId w:val="25"/>
  </w:num>
  <w:num w:numId="32" w16cid:durableId="1602490514">
    <w:abstractNumId w:val="21"/>
  </w:num>
  <w:num w:numId="33" w16cid:durableId="877620976">
    <w:abstractNumId w:val="25"/>
  </w:num>
  <w:num w:numId="34" w16cid:durableId="2143568846">
    <w:abstractNumId w:val="25"/>
  </w:num>
  <w:num w:numId="35" w16cid:durableId="642389650">
    <w:abstractNumId w:val="2"/>
  </w:num>
  <w:num w:numId="36" w16cid:durableId="823936469">
    <w:abstractNumId w:val="25"/>
  </w:num>
  <w:num w:numId="37" w16cid:durableId="1596474516">
    <w:abstractNumId w:val="25"/>
  </w:num>
  <w:num w:numId="38" w16cid:durableId="464545119">
    <w:abstractNumId w:val="10"/>
  </w:num>
  <w:num w:numId="39" w16cid:durableId="1324973724">
    <w:abstractNumId w:val="1"/>
  </w:num>
  <w:num w:numId="40" w16cid:durableId="1101023162">
    <w:abstractNumId w:val="22"/>
  </w:num>
  <w:num w:numId="41" w16cid:durableId="225606052">
    <w:abstractNumId w:val="15"/>
  </w:num>
  <w:num w:numId="42" w16cid:durableId="1325474270">
    <w:abstractNumId w:val="17"/>
  </w:num>
  <w:num w:numId="43" w16cid:durableId="823008281">
    <w:abstractNumId w:val="4"/>
  </w:num>
  <w:num w:numId="44" w16cid:durableId="1680040642">
    <w:abstractNumId w:val="9"/>
  </w:num>
  <w:num w:numId="45" w16cid:durableId="10262490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02196786">
    <w:abstractNumId w:val="25"/>
  </w:num>
  <w:num w:numId="47" w16cid:durableId="2081949048">
    <w:abstractNumId w:val="25"/>
  </w:num>
  <w:num w:numId="48" w16cid:durableId="2035963716">
    <w:abstractNumId w:val="25"/>
  </w:num>
  <w:num w:numId="49" w16cid:durableId="126006718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D1"/>
    <w:rsid w:val="00000566"/>
    <w:rsid w:val="00000790"/>
    <w:rsid w:val="000009CF"/>
    <w:rsid w:val="00000F24"/>
    <w:rsid w:val="0000110B"/>
    <w:rsid w:val="00001117"/>
    <w:rsid w:val="000013BD"/>
    <w:rsid w:val="00001C26"/>
    <w:rsid w:val="00002003"/>
    <w:rsid w:val="000029B1"/>
    <w:rsid w:val="00002EC5"/>
    <w:rsid w:val="00003112"/>
    <w:rsid w:val="00003499"/>
    <w:rsid w:val="000039B7"/>
    <w:rsid w:val="00003F82"/>
    <w:rsid w:val="0000449D"/>
    <w:rsid w:val="00004617"/>
    <w:rsid w:val="0000463B"/>
    <w:rsid w:val="00005199"/>
    <w:rsid w:val="00005327"/>
    <w:rsid w:val="0000532F"/>
    <w:rsid w:val="000056B9"/>
    <w:rsid w:val="00005B42"/>
    <w:rsid w:val="0000639A"/>
    <w:rsid w:val="00006608"/>
    <w:rsid w:val="00006C6A"/>
    <w:rsid w:val="0000718D"/>
    <w:rsid w:val="000078B3"/>
    <w:rsid w:val="000100C9"/>
    <w:rsid w:val="00010FF3"/>
    <w:rsid w:val="0001145E"/>
    <w:rsid w:val="00011CBF"/>
    <w:rsid w:val="00011DE7"/>
    <w:rsid w:val="00012045"/>
    <w:rsid w:val="0001224B"/>
    <w:rsid w:val="00013247"/>
    <w:rsid w:val="00013452"/>
    <w:rsid w:val="00013609"/>
    <w:rsid w:val="000137C8"/>
    <w:rsid w:val="000142CB"/>
    <w:rsid w:val="00014334"/>
    <w:rsid w:val="00014824"/>
    <w:rsid w:val="00014E9E"/>
    <w:rsid w:val="000151C6"/>
    <w:rsid w:val="00015488"/>
    <w:rsid w:val="00015886"/>
    <w:rsid w:val="00015A2F"/>
    <w:rsid w:val="00015FB7"/>
    <w:rsid w:val="000161D3"/>
    <w:rsid w:val="000162EF"/>
    <w:rsid w:val="00016866"/>
    <w:rsid w:val="000168F3"/>
    <w:rsid w:val="00016991"/>
    <w:rsid w:val="00016FCB"/>
    <w:rsid w:val="0001702C"/>
    <w:rsid w:val="00017048"/>
    <w:rsid w:val="000177B6"/>
    <w:rsid w:val="00017B8A"/>
    <w:rsid w:val="00017F13"/>
    <w:rsid w:val="0002025B"/>
    <w:rsid w:val="000203EE"/>
    <w:rsid w:val="000207C9"/>
    <w:rsid w:val="00020D65"/>
    <w:rsid w:val="00020F1D"/>
    <w:rsid w:val="000211D1"/>
    <w:rsid w:val="000219E3"/>
    <w:rsid w:val="0002225F"/>
    <w:rsid w:val="0002252C"/>
    <w:rsid w:val="00023763"/>
    <w:rsid w:val="00023EE2"/>
    <w:rsid w:val="00024EB5"/>
    <w:rsid w:val="00025464"/>
    <w:rsid w:val="000257AB"/>
    <w:rsid w:val="00025844"/>
    <w:rsid w:val="00025AE5"/>
    <w:rsid w:val="00025E04"/>
    <w:rsid w:val="000264EE"/>
    <w:rsid w:val="000266C9"/>
    <w:rsid w:val="000267A4"/>
    <w:rsid w:val="000272FE"/>
    <w:rsid w:val="000274B8"/>
    <w:rsid w:val="0002777E"/>
    <w:rsid w:val="00027884"/>
    <w:rsid w:val="000304DA"/>
    <w:rsid w:val="00030948"/>
    <w:rsid w:val="00030C58"/>
    <w:rsid w:val="00031085"/>
    <w:rsid w:val="00031840"/>
    <w:rsid w:val="0003184C"/>
    <w:rsid w:val="00031A85"/>
    <w:rsid w:val="00031FBB"/>
    <w:rsid w:val="0003205C"/>
    <w:rsid w:val="000320D9"/>
    <w:rsid w:val="00032637"/>
    <w:rsid w:val="00033863"/>
    <w:rsid w:val="000339F6"/>
    <w:rsid w:val="00034502"/>
    <w:rsid w:val="000350F6"/>
    <w:rsid w:val="000351B1"/>
    <w:rsid w:val="0003576F"/>
    <w:rsid w:val="00035DC0"/>
    <w:rsid w:val="0003639D"/>
    <w:rsid w:val="00036829"/>
    <w:rsid w:val="0003688D"/>
    <w:rsid w:val="000368A7"/>
    <w:rsid w:val="00037139"/>
    <w:rsid w:val="000376FD"/>
    <w:rsid w:val="0003781D"/>
    <w:rsid w:val="00037B55"/>
    <w:rsid w:val="00037C81"/>
    <w:rsid w:val="00037DE3"/>
    <w:rsid w:val="0004041E"/>
    <w:rsid w:val="00040895"/>
    <w:rsid w:val="00040D30"/>
    <w:rsid w:val="00040D70"/>
    <w:rsid w:val="000410A0"/>
    <w:rsid w:val="00041773"/>
    <w:rsid w:val="00041D0C"/>
    <w:rsid w:val="00041D58"/>
    <w:rsid w:val="000423C7"/>
    <w:rsid w:val="000426BF"/>
    <w:rsid w:val="00042AD2"/>
    <w:rsid w:val="00042EBF"/>
    <w:rsid w:val="00042F11"/>
    <w:rsid w:val="0004326B"/>
    <w:rsid w:val="000435EE"/>
    <w:rsid w:val="00043A53"/>
    <w:rsid w:val="00043C37"/>
    <w:rsid w:val="0004411F"/>
    <w:rsid w:val="00044157"/>
    <w:rsid w:val="00044C8F"/>
    <w:rsid w:val="00044D45"/>
    <w:rsid w:val="00044EEC"/>
    <w:rsid w:val="00045017"/>
    <w:rsid w:val="00045A2B"/>
    <w:rsid w:val="00045C46"/>
    <w:rsid w:val="00045FCD"/>
    <w:rsid w:val="00046563"/>
    <w:rsid w:val="0004698F"/>
    <w:rsid w:val="00046D64"/>
    <w:rsid w:val="00047040"/>
    <w:rsid w:val="00047058"/>
    <w:rsid w:val="00047B45"/>
    <w:rsid w:val="00047F2B"/>
    <w:rsid w:val="00050031"/>
    <w:rsid w:val="00050398"/>
    <w:rsid w:val="000508C2"/>
    <w:rsid w:val="00050DC7"/>
    <w:rsid w:val="000510B2"/>
    <w:rsid w:val="00051523"/>
    <w:rsid w:val="00051AB5"/>
    <w:rsid w:val="0005205C"/>
    <w:rsid w:val="000521A9"/>
    <w:rsid w:val="00052EA6"/>
    <w:rsid w:val="00052EDC"/>
    <w:rsid w:val="000534C2"/>
    <w:rsid w:val="00053865"/>
    <w:rsid w:val="000539D0"/>
    <w:rsid w:val="000539E9"/>
    <w:rsid w:val="000542C7"/>
    <w:rsid w:val="00054621"/>
    <w:rsid w:val="000546CB"/>
    <w:rsid w:val="000546D7"/>
    <w:rsid w:val="00054A8D"/>
    <w:rsid w:val="00054AEE"/>
    <w:rsid w:val="00054DF5"/>
    <w:rsid w:val="00055AFE"/>
    <w:rsid w:val="00055B3E"/>
    <w:rsid w:val="00056171"/>
    <w:rsid w:val="00056C88"/>
    <w:rsid w:val="00056D34"/>
    <w:rsid w:val="00056ECF"/>
    <w:rsid w:val="00057E65"/>
    <w:rsid w:val="000604DF"/>
    <w:rsid w:val="000607F4"/>
    <w:rsid w:val="00060B71"/>
    <w:rsid w:val="000610C4"/>
    <w:rsid w:val="00061640"/>
    <w:rsid w:val="0006166E"/>
    <w:rsid w:val="00061D75"/>
    <w:rsid w:val="00062324"/>
    <w:rsid w:val="000630B3"/>
    <w:rsid w:val="00063154"/>
    <w:rsid w:val="00063725"/>
    <w:rsid w:val="0006374C"/>
    <w:rsid w:val="00063A56"/>
    <w:rsid w:val="00064AE3"/>
    <w:rsid w:val="00064E09"/>
    <w:rsid w:val="00064E13"/>
    <w:rsid w:val="00064F23"/>
    <w:rsid w:val="000653B5"/>
    <w:rsid w:val="000657F0"/>
    <w:rsid w:val="000659E7"/>
    <w:rsid w:val="00065A4A"/>
    <w:rsid w:val="0006635A"/>
    <w:rsid w:val="00066360"/>
    <w:rsid w:val="000667C3"/>
    <w:rsid w:val="00066AF8"/>
    <w:rsid w:val="00067059"/>
    <w:rsid w:val="000670ED"/>
    <w:rsid w:val="00067408"/>
    <w:rsid w:val="00067A04"/>
    <w:rsid w:val="00067CF8"/>
    <w:rsid w:val="00067E7B"/>
    <w:rsid w:val="00067F2D"/>
    <w:rsid w:val="00070997"/>
    <w:rsid w:val="00070EAA"/>
    <w:rsid w:val="00071248"/>
    <w:rsid w:val="000712AA"/>
    <w:rsid w:val="00071552"/>
    <w:rsid w:val="000718BF"/>
    <w:rsid w:val="00071E24"/>
    <w:rsid w:val="00071E55"/>
    <w:rsid w:val="000720B9"/>
    <w:rsid w:val="0007314D"/>
    <w:rsid w:val="000737F7"/>
    <w:rsid w:val="000739C5"/>
    <w:rsid w:val="00074074"/>
    <w:rsid w:val="000744DE"/>
    <w:rsid w:val="00074B44"/>
    <w:rsid w:val="00074EA3"/>
    <w:rsid w:val="00075047"/>
    <w:rsid w:val="0007519D"/>
    <w:rsid w:val="000752C6"/>
    <w:rsid w:val="000753FE"/>
    <w:rsid w:val="000759ED"/>
    <w:rsid w:val="00075C36"/>
    <w:rsid w:val="0007672F"/>
    <w:rsid w:val="00076928"/>
    <w:rsid w:val="00076B54"/>
    <w:rsid w:val="00077134"/>
    <w:rsid w:val="000771D4"/>
    <w:rsid w:val="0007728D"/>
    <w:rsid w:val="000774F0"/>
    <w:rsid w:val="00077D96"/>
    <w:rsid w:val="00080909"/>
    <w:rsid w:val="00080DDB"/>
    <w:rsid w:val="000812CA"/>
    <w:rsid w:val="00081E63"/>
    <w:rsid w:val="0008258D"/>
    <w:rsid w:val="000827B8"/>
    <w:rsid w:val="00082817"/>
    <w:rsid w:val="000835A0"/>
    <w:rsid w:val="00083E99"/>
    <w:rsid w:val="00084413"/>
    <w:rsid w:val="00084FA8"/>
    <w:rsid w:val="00085195"/>
    <w:rsid w:val="000853D9"/>
    <w:rsid w:val="0008550E"/>
    <w:rsid w:val="000856C5"/>
    <w:rsid w:val="00085878"/>
    <w:rsid w:val="00085953"/>
    <w:rsid w:val="00085C21"/>
    <w:rsid w:val="00085C31"/>
    <w:rsid w:val="00085F55"/>
    <w:rsid w:val="000874B1"/>
    <w:rsid w:val="00087662"/>
    <w:rsid w:val="000902D9"/>
    <w:rsid w:val="0009082F"/>
    <w:rsid w:val="00090C7E"/>
    <w:rsid w:val="00090D78"/>
    <w:rsid w:val="00091064"/>
    <w:rsid w:val="000911AC"/>
    <w:rsid w:val="00091342"/>
    <w:rsid w:val="00091747"/>
    <w:rsid w:val="00091ABC"/>
    <w:rsid w:val="00091B46"/>
    <w:rsid w:val="00091B4D"/>
    <w:rsid w:val="00091B6E"/>
    <w:rsid w:val="00091C94"/>
    <w:rsid w:val="00091F12"/>
    <w:rsid w:val="00092430"/>
    <w:rsid w:val="0009257F"/>
    <w:rsid w:val="00092600"/>
    <w:rsid w:val="0009262B"/>
    <w:rsid w:val="00092E75"/>
    <w:rsid w:val="0009328E"/>
    <w:rsid w:val="00093310"/>
    <w:rsid w:val="000933E4"/>
    <w:rsid w:val="00093BF0"/>
    <w:rsid w:val="00094166"/>
    <w:rsid w:val="0009445C"/>
    <w:rsid w:val="0009472C"/>
    <w:rsid w:val="00094A46"/>
    <w:rsid w:val="00094DF1"/>
    <w:rsid w:val="000950F7"/>
    <w:rsid w:val="00095194"/>
    <w:rsid w:val="00095200"/>
    <w:rsid w:val="00095842"/>
    <w:rsid w:val="000958C2"/>
    <w:rsid w:val="00095A31"/>
    <w:rsid w:val="00095ED0"/>
    <w:rsid w:val="00095FE5"/>
    <w:rsid w:val="00096284"/>
    <w:rsid w:val="00096488"/>
    <w:rsid w:val="00096884"/>
    <w:rsid w:val="00096B17"/>
    <w:rsid w:val="000A0152"/>
    <w:rsid w:val="000A02AF"/>
    <w:rsid w:val="000A0528"/>
    <w:rsid w:val="000A0836"/>
    <w:rsid w:val="000A177A"/>
    <w:rsid w:val="000A1BC0"/>
    <w:rsid w:val="000A217F"/>
    <w:rsid w:val="000A24D4"/>
    <w:rsid w:val="000A2969"/>
    <w:rsid w:val="000A2F9E"/>
    <w:rsid w:val="000A2FD4"/>
    <w:rsid w:val="000A302C"/>
    <w:rsid w:val="000A3417"/>
    <w:rsid w:val="000A3D5B"/>
    <w:rsid w:val="000A3E47"/>
    <w:rsid w:val="000A45EB"/>
    <w:rsid w:val="000A4912"/>
    <w:rsid w:val="000A4B56"/>
    <w:rsid w:val="000A522B"/>
    <w:rsid w:val="000A54B4"/>
    <w:rsid w:val="000A59CC"/>
    <w:rsid w:val="000A5F08"/>
    <w:rsid w:val="000A6039"/>
    <w:rsid w:val="000A648A"/>
    <w:rsid w:val="000A65D7"/>
    <w:rsid w:val="000A6756"/>
    <w:rsid w:val="000A6828"/>
    <w:rsid w:val="000A6DAD"/>
    <w:rsid w:val="000A7453"/>
    <w:rsid w:val="000A74EA"/>
    <w:rsid w:val="000A7537"/>
    <w:rsid w:val="000A7A78"/>
    <w:rsid w:val="000A7AB0"/>
    <w:rsid w:val="000A7D08"/>
    <w:rsid w:val="000A7F23"/>
    <w:rsid w:val="000B0121"/>
    <w:rsid w:val="000B0670"/>
    <w:rsid w:val="000B0E75"/>
    <w:rsid w:val="000B1020"/>
    <w:rsid w:val="000B1325"/>
    <w:rsid w:val="000B162F"/>
    <w:rsid w:val="000B1FFC"/>
    <w:rsid w:val="000B2268"/>
    <w:rsid w:val="000B27B1"/>
    <w:rsid w:val="000B2C21"/>
    <w:rsid w:val="000B2DCB"/>
    <w:rsid w:val="000B335E"/>
    <w:rsid w:val="000B380F"/>
    <w:rsid w:val="000B3998"/>
    <w:rsid w:val="000B3BC5"/>
    <w:rsid w:val="000B4A28"/>
    <w:rsid w:val="000B5129"/>
    <w:rsid w:val="000B530F"/>
    <w:rsid w:val="000B5C28"/>
    <w:rsid w:val="000B5CE0"/>
    <w:rsid w:val="000B6309"/>
    <w:rsid w:val="000B6345"/>
    <w:rsid w:val="000B6CAC"/>
    <w:rsid w:val="000B6F82"/>
    <w:rsid w:val="000B7138"/>
    <w:rsid w:val="000B7297"/>
    <w:rsid w:val="000B75A3"/>
    <w:rsid w:val="000B7612"/>
    <w:rsid w:val="000B78AE"/>
    <w:rsid w:val="000B7F4C"/>
    <w:rsid w:val="000C0333"/>
    <w:rsid w:val="000C0999"/>
    <w:rsid w:val="000C1286"/>
    <w:rsid w:val="000C132F"/>
    <w:rsid w:val="000C17A9"/>
    <w:rsid w:val="000C195D"/>
    <w:rsid w:val="000C1D17"/>
    <w:rsid w:val="000C1F3F"/>
    <w:rsid w:val="000C22D2"/>
    <w:rsid w:val="000C263B"/>
    <w:rsid w:val="000C2783"/>
    <w:rsid w:val="000C2A28"/>
    <w:rsid w:val="000C2F00"/>
    <w:rsid w:val="000C3435"/>
    <w:rsid w:val="000C34BC"/>
    <w:rsid w:val="000C374C"/>
    <w:rsid w:val="000C3DF9"/>
    <w:rsid w:val="000C4CF2"/>
    <w:rsid w:val="000C4F97"/>
    <w:rsid w:val="000C5072"/>
    <w:rsid w:val="000C54C2"/>
    <w:rsid w:val="000C574C"/>
    <w:rsid w:val="000C617B"/>
    <w:rsid w:val="000C6191"/>
    <w:rsid w:val="000C6682"/>
    <w:rsid w:val="000C6713"/>
    <w:rsid w:val="000C675A"/>
    <w:rsid w:val="000C77B6"/>
    <w:rsid w:val="000D0B05"/>
    <w:rsid w:val="000D15E6"/>
    <w:rsid w:val="000D16DC"/>
    <w:rsid w:val="000D1731"/>
    <w:rsid w:val="000D1BEB"/>
    <w:rsid w:val="000D1BFC"/>
    <w:rsid w:val="000D1D5D"/>
    <w:rsid w:val="000D2388"/>
    <w:rsid w:val="000D281A"/>
    <w:rsid w:val="000D2848"/>
    <w:rsid w:val="000D326A"/>
    <w:rsid w:val="000D39CA"/>
    <w:rsid w:val="000D4154"/>
    <w:rsid w:val="000D43E0"/>
    <w:rsid w:val="000D4C20"/>
    <w:rsid w:val="000D4D38"/>
    <w:rsid w:val="000D51FB"/>
    <w:rsid w:val="000D55BE"/>
    <w:rsid w:val="000D55FA"/>
    <w:rsid w:val="000D5AA0"/>
    <w:rsid w:val="000D5BBF"/>
    <w:rsid w:val="000D66B5"/>
    <w:rsid w:val="000D6AA5"/>
    <w:rsid w:val="000D6ACE"/>
    <w:rsid w:val="000D6C64"/>
    <w:rsid w:val="000D730F"/>
    <w:rsid w:val="000D7544"/>
    <w:rsid w:val="000D789C"/>
    <w:rsid w:val="000E0640"/>
    <w:rsid w:val="000E06E5"/>
    <w:rsid w:val="000E0C37"/>
    <w:rsid w:val="000E0E70"/>
    <w:rsid w:val="000E135D"/>
    <w:rsid w:val="000E1958"/>
    <w:rsid w:val="000E1C7D"/>
    <w:rsid w:val="000E1E52"/>
    <w:rsid w:val="000E1F5D"/>
    <w:rsid w:val="000E2220"/>
    <w:rsid w:val="000E2437"/>
    <w:rsid w:val="000E26AA"/>
    <w:rsid w:val="000E2BC6"/>
    <w:rsid w:val="000E2C64"/>
    <w:rsid w:val="000E2C65"/>
    <w:rsid w:val="000E3409"/>
    <w:rsid w:val="000E428F"/>
    <w:rsid w:val="000E4845"/>
    <w:rsid w:val="000E5768"/>
    <w:rsid w:val="000E5AE2"/>
    <w:rsid w:val="000E6789"/>
    <w:rsid w:val="000E6D4E"/>
    <w:rsid w:val="000E73B0"/>
    <w:rsid w:val="000E759E"/>
    <w:rsid w:val="000E77EF"/>
    <w:rsid w:val="000E7F06"/>
    <w:rsid w:val="000F00BA"/>
    <w:rsid w:val="000F0357"/>
    <w:rsid w:val="000F0778"/>
    <w:rsid w:val="000F08C5"/>
    <w:rsid w:val="000F0EDB"/>
    <w:rsid w:val="000F14CC"/>
    <w:rsid w:val="000F167F"/>
    <w:rsid w:val="000F2044"/>
    <w:rsid w:val="000F2629"/>
    <w:rsid w:val="000F26F8"/>
    <w:rsid w:val="000F288A"/>
    <w:rsid w:val="000F2BFE"/>
    <w:rsid w:val="000F316A"/>
    <w:rsid w:val="000F3769"/>
    <w:rsid w:val="000F38F8"/>
    <w:rsid w:val="000F3C74"/>
    <w:rsid w:val="000F4139"/>
    <w:rsid w:val="000F4340"/>
    <w:rsid w:val="000F43FA"/>
    <w:rsid w:val="000F4BB8"/>
    <w:rsid w:val="000F4C2F"/>
    <w:rsid w:val="000F4F3A"/>
    <w:rsid w:val="000F4FA9"/>
    <w:rsid w:val="000F53FB"/>
    <w:rsid w:val="000F55E7"/>
    <w:rsid w:val="000F5960"/>
    <w:rsid w:val="000F64FD"/>
    <w:rsid w:val="000F69FC"/>
    <w:rsid w:val="000F7127"/>
    <w:rsid w:val="000F735C"/>
    <w:rsid w:val="000F76FA"/>
    <w:rsid w:val="000F7B54"/>
    <w:rsid w:val="000F7C79"/>
    <w:rsid w:val="000F7E27"/>
    <w:rsid w:val="001000B3"/>
    <w:rsid w:val="00100117"/>
    <w:rsid w:val="00100910"/>
    <w:rsid w:val="00100D16"/>
    <w:rsid w:val="00100DB2"/>
    <w:rsid w:val="00100F8A"/>
    <w:rsid w:val="00101124"/>
    <w:rsid w:val="001015B8"/>
    <w:rsid w:val="00102316"/>
    <w:rsid w:val="00102575"/>
    <w:rsid w:val="00103299"/>
    <w:rsid w:val="00103530"/>
    <w:rsid w:val="00103707"/>
    <w:rsid w:val="0010372F"/>
    <w:rsid w:val="00103AD4"/>
    <w:rsid w:val="001040EE"/>
    <w:rsid w:val="00104119"/>
    <w:rsid w:val="00104353"/>
    <w:rsid w:val="0010452E"/>
    <w:rsid w:val="00104A35"/>
    <w:rsid w:val="00104F65"/>
    <w:rsid w:val="00105AE2"/>
    <w:rsid w:val="00105E50"/>
    <w:rsid w:val="001060C6"/>
    <w:rsid w:val="001065DD"/>
    <w:rsid w:val="001066AF"/>
    <w:rsid w:val="00106AB3"/>
    <w:rsid w:val="00106B80"/>
    <w:rsid w:val="001071CD"/>
    <w:rsid w:val="0010728A"/>
    <w:rsid w:val="0010795B"/>
    <w:rsid w:val="00107A8F"/>
    <w:rsid w:val="00107EA6"/>
    <w:rsid w:val="001100FC"/>
    <w:rsid w:val="0011032E"/>
    <w:rsid w:val="00111A1B"/>
    <w:rsid w:val="00111AE4"/>
    <w:rsid w:val="00112013"/>
    <w:rsid w:val="001122EE"/>
    <w:rsid w:val="001127A5"/>
    <w:rsid w:val="0011348B"/>
    <w:rsid w:val="00113525"/>
    <w:rsid w:val="00113918"/>
    <w:rsid w:val="00113BF8"/>
    <w:rsid w:val="0011411E"/>
    <w:rsid w:val="00114759"/>
    <w:rsid w:val="00114994"/>
    <w:rsid w:val="00114B9E"/>
    <w:rsid w:val="00115547"/>
    <w:rsid w:val="001157A0"/>
    <w:rsid w:val="00115982"/>
    <w:rsid w:val="0011628D"/>
    <w:rsid w:val="00116C53"/>
    <w:rsid w:val="00116EDB"/>
    <w:rsid w:val="00117928"/>
    <w:rsid w:val="00117DD6"/>
    <w:rsid w:val="001201BC"/>
    <w:rsid w:val="00120239"/>
    <w:rsid w:val="00120921"/>
    <w:rsid w:val="00120B14"/>
    <w:rsid w:val="00120FA6"/>
    <w:rsid w:val="00121344"/>
    <w:rsid w:val="00121799"/>
    <w:rsid w:val="001222FC"/>
    <w:rsid w:val="0012245C"/>
    <w:rsid w:val="001228B4"/>
    <w:rsid w:val="00122C75"/>
    <w:rsid w:val="00122DB0"/>
    <w:rsid w:val="00123489"/>
    <w:rsid w:val="00123902"/>
    <w:rsid w:val="00124412"/>
    <w:rsid w:val="0012480F"/>
    <w:rsid w:val="00124A51"/>
    <w:rsid w:val="001262D2"/>
    <w:rsid w:val="00126621"/>
    <w:rsid w:val="00126B1D"/>
    <w:rsid w:val="00126C1A"/>
    <w:rsid w:val="001275C7"/>
    <w:rsid w:val="00127F37"/>
    <w:rsid w:val="001300E5"/>
    <w:rsid w:val="001301E9"/>
    <w:rsid w:val="00130DFD"/>
    <w:rsid w:val="00131D82"/>
    <w:rsid w:val="0013224D"/>
    <w:rsid w:val="00132B22"/>
    <w:rsid w:val="00132E8F"/>
    <w:rsid w:val="00133D36"/>
    <w:rsid w:val="00134086"/>
    <w:rsid w:val="00134E57"/>
    <w:rsid w:val="001350B6"/>
    <w:rsid w:val="0013525B"/>
    <w:rsid w:val="00135717"/>
    <w:rsid w:val="001358DD"/>
    <w:rsid w:val="001365EF"/>
    <w:rsid w:val="001366F9"/>
    <w:rsid w:val="001367B0"/>
    <w:rsid w:val="0013716A"/>
    <w:rsid w:val="00137308"/>
    <w:rsid w:val="001373FE"/>
    <w:rsid w:val="00137645"/>
    <w:rsid w:val="0014015A"/>
    <w:rsid w:val="00140785"/>
    <w:rsid w:val="0014083F"/>
    <w:rsid w:val="001409A0"/>
    <w:rsid w:val="00140DFA"/>
    <w:rsid w:val="00140E99"/>
    <w:rsid w:val="00140F7F"/>
    <w:rsid w:val="001410A1"/>
    <w:rsid w:val="001410BB"/>
    <w:rsid w:val="00141215"/>
    <w:rsid w:val="00141B37"/>
    <w:rsid w:val="00141DFB"/>
    <w:rsid w:val="00141E65"/>
    <w:rsid w:val="00141EF5"/>
    <w:rsid w:val="0014262A"/>
    <w:rsid w:val="001428E0"/>
    <w:rsid w:val="00142BEE"/>
    <w:rsid w:val="001430EE"/>
    <w:rsid w:val="001432A4"/>
    <w:rsid w:val="00143E15"/>
    <w:rsid w:val="00143F67"/>
    <w:rsid w:val="00144144"/>
    <w:rsid w:val="0014419C"/>
    <w:rsid w:val="0014441B"/>
    <w:rsid w:val="0014508D"/>
    <w:rsid w:val="00145234"/>
    <w:rsid w:val="00145540"/>
    <w:rsid w:val="001456B0"/>
    <w:rsid w:val="0014586F"/>
    <w:rsid w:val="0014664E"/>
    <w:rsid w:val="00146F41"/>
    <w:rsid w:val="0014701B"/>
    <w:rsid w:val="0014774C"/>
    <w:rsid w:val="00147A39"/>
    <w:rsid w:val="00147B9C"/>
    <w:rsid w:val="00150774"/>
    <w:rsid w:val="00150FF6"/>
    <w:rsid w:val="001515ED"/>
    <w:rsid w:val="00151912"/>
    <w:rsid w:val="00151944"/>
    <w:rsid w:val="00152076"/>
    <w:rsid w:val="001535D2"/>
    <w:rsid w:val="0015402E"/>
    <w:rsid w:val="001547AB"/>
    <w:rsid w:val="001548C7"/>
    <w:rsid w:val="00154CF0"/>
    <w:rsid w:val="001555E3"/>
    <w:rsid w:val="0015582E"/>
    <w:rsid w:val="001559F9"/>
    <w:rsid w:val="00156170"/>
    <w:rsid w:val="00156284"/>
    <w:rsid w:val="00156808"/>
    <w:rsid w:val="00156968"/>
    <w:rsid w:val="00156A65"/>
    <w:rsid w:val="00156F8F"/>
    <w:rsid w:val="00157130"/>
    <w:rsid w:val="001576B1"/>
    <w:rsid w:val="00157AD8"/>
    <w:rsid w:val="00157E7D"/>
    <w:rsid w:val="001603B3"/>
    <w:rsid w:val="0016047B"/>
    <w:rsid w:val="00160798"/>
    <w:rsid w:val="00160A4C"/>
    <w:rsid w:val="00161051"/>
    <w:rsid w:val="00161754"/>
    <w:rsid w:val="001622DB"/>
    <w:rsid w:val="00162913"/>
    <w:rsid w:val="00162F62"/>
    <w:rsid w:val="001637DA"/>
    <w:rsid w:val="00163E1C"/>
    <w:rsid w:val="00163EFF"/>
    <w:rsid w:val="00163F66"/>
    <w:rsid w:val="001642BB"/>
    <w:rsid w:val="0016478E"/>
    <w:rsid w:val="001647B5"/>
    <w:rsid w:val="00164E94"/>
    <w:rsid w:val="0016505B"/>
    <w:rsid w:val="001653CE"/>
    <w:rsid w:val="001657C1"/>
    <w:rsid w:val="00165D4B"/>
    <w:rsid w:val="00165EC4"/>
    <w:rsid w:val="001661FB"/>
    <w:rsid w:val="0016640A"/>
    <w:rsid w:val="0016677E"/>
    <w:rsid w:val="001671A0"/>
    <w:rsid w:val="0016754E"/>
    <w:rsid w:val="0016767F"/>
    <w:rsid w:val="00167EE6"/>
    <w:rsid w:val="00170770"/>
    <w:rsid w:val="00170A51"/>
    <w:rsid w:val="00171DF2"/>
    <w:rsid w:val="00171E9F"/>
    <w:rsid w:val="001722E0"/>
    <w:rsid w:val="001726C9"/>
    <w:rsid w:val="0017274B"/>
    <w:rsid w:val="00172D4F"/>
    <w:rsid w:val="00173565"/>
    <w:rsid w:val="001736C1"/>
    <w:rsid w:val="00173A1C"/>
    <w:rsid w:val="00173B07"/>
    <w:rsid w:val="00173C40"/>
    <w:rsid w:val="00173F4D"/>
    <w:rsid w:val="001751FA"/>
    <w:rsid w:val="001752E4"/>
    <w:rsid w:val="0017555B"/>
    <w:rsid w:val="00175563"/>
    <w:rsid w:val="00176218"/>
    <w:rsid w:val="00176290"/>
    <w:rsid w:val="001765CF"/>
    <w:rsid w:val="001765D4"/>
    <w:rsid w:val="00176C74"/>
    <w:rsid w:val="00176D77"/>
    <w:rsid w:val="00177445"/>
    <w:rsid w:val="001776B1"/>
    <w:rsid w:val="00177829"/>
    <w:rsid w:val="00177F75"/>
    <w:rsid w:val="001801A0"/>
    <w:rsid w:val="00180F5D"/>
    <w:rsid w:val="0018108E"/>
    <w:rsid w:val="001814C2"/>
    <w:rsid w:val="001816E0"/>
    <w:rsid w:val="0018186F"/>
    <w:rsid w:val="00181C10"/>
    <w:rsid w:val="00181D9C"/>
    <w:rsid w:val="00182501"/>
    <w:rsid w:val="00182993"/>
    <w:rsid w:val="00182C37"/>
    <w:rsid w:val="00182D03"/>
    <w:rsid w:val="001837FF"/>
    <w:rsid w:val="001838EB"/>
    <w:rsid w:val="00184494"/>
    <w:rsid w:val="00184A64"/>
    <w:rsid w:val="00184B0E"/>
    <w:rsid w:val="00184CA1"/>
    <w:rsid w:val="00184CBD"/>
    <w:rsid w:val="00184D7D"/>
    <w:rsid w:val="00185076"/>
    <w:rsid w:val="00185D10"/>
    <w:rsid w:val="00185EEA"/>
    <w:rsid w:val="00186211"/>
    <w:rsid w:val="0018752F"/>
    <w:rsid w:val="001875ED"/>
    <w:rsid w:val="0018762B"/>
    <w:rsid w:val="001876CC"/>
    <w:rsid w:val="00187CD1"/>
    <w:rsid w:val="001909D7"/>
    <w:rsid w:val="00190C92"/>
    <w:rsid w:val="00190FCC"/>
    <w:rsid w:val="00191184"/>
    <w:rsid w:val="001915EA"/>
    <w:rsid w:val="0019189D"/>
    <w:rsid w:val="00191D25"/>
    <w:rsid w:val="001925F7"/>
    <w:rsid w:val="00193173"/>
    <w:rsid w:val="0019376C"/>
    <w:rsid w:val="00193838"/>
    <w:rsid w:val="00193F6D"/>
    <w:rsid w:val="00194243"/>
    <w:rsid w:val="0019495F"/>
    <w:rsid w:val="00194A44"/>
    <w:rsid w:val="00194AD8"/>
    <w:rsid w:val="00194EB0"/>
    <w:rsid w:val="00194EFE"/>
    <w:rsid w:val="00195134"/>
    <w:rsid w:val="00195136"/>
    <w:rsid w:val="00195222"/>
    <w:rsid w:val="00195452"/>
    <w:rsid w:val="0019594F"/>
    <w:rsid w:val="00196F04"/>
    <w:rsid w:val="00197266"/>
    <w:rsid w:val="001975D8"/>
    <w:rsid w:val="001A0006"/>
    <w:rsid w:val="001A0094"/>
    <w:rsid w:val="001A0736"/>
    <w:rsid w:val="001A079C"/>
    <w:rsid w:val="001A0D82"/>
    <w:rsid w:val="001A1059"/>
    <w:rsid w:val="001A14A3"/>
    <w:rsid w:val="001A16E5"/>
    <w:rsid w:val="001A178E"/>
    <w:rsid w:val="001A2DE5"/>
    <w:rsid w:val="001A33C3"/>
    <w:rsid w:val="001A3621"/>
    <w:rsid w:val="001A36FF"/>
    <w:rsid w:val="001A3970"/>
    <w:rsid w:val="001A3B17"/>
    <w:rsid w:val="001A43FA"/>
    <w:rsid w:val="001A47C5"/>
    <w:rsid w:val="001A49DB"/>
    <w:rsid w:val="001A4DB6"/>
    <w:rsid w:val="001A4FD9"/>
    <w:rsid w:val="001A59FB"/>
    <w:rsid w:val="001A5D22"/>
    <w:rsid w:val="001A5E9E"/>
    <w:rsid w:val="001A611C"/>
    <w:rsid w:val="001A6196"/>
    <w:rsid w:val="001A632D"/>
    <w:rsid w:val="001A6354"/>
    <w:rsid w:val="001A6366"/>
    <w:rsid w:val="001A6BC1"/>
    <w:rsid w:val="001A6F96"/>
    <w:rsid w:val="001A764D"/>
    <w:rsid w:val="001A7704"/>
    <w:rsid w:val="001A7AE8"/>
    <w:rsid w:val="001A7BAE"/>
    <w:rsid w:val="001A7D1E"/>
    <w:rsid w:val="001B093F"/>
    <w:rsid w:val="001B0DD6"/>
    <w:rsid w:val="001B1007"/>
    <w:rsid w:val="001B113F"/>
    <w:rsid w:val="001B19C9"/>
    <w:rsid w:val="001B204E"/>
    <w:rsid w:val="001B2372"/>
    <w:rsid w:val="001B2D0C"/>
    <w:rsid w:val="001B3443"/>
    <w:rsid w:val="001B3E09"/>
    <w:rsid w:val="001B3EF9"/>
    <w:rsid w:val="001B4121"/>
    <w:rsid w:val="001B4647"/>
    <w:rsid w:val="001B4885"/>
    <w:rsid w:val="001B4D20"/>
    <w:rsid w:val="001B529E"/>
    <w:rsid w:val="001B59F9"/>
    <w:rsid w:val="001B72F8"/>
    <w:rsid w:val="001B7B6A"/>
    <w:rsid w:val="001B7F84"/>
    <w:rsid w:val="001C002E"/>
    <w:rsid w:val="001C0A19"/>
    <w:rsid w:val="001C0E25"/>
    <w:rsid w:val="001C0F60"/>
    <w:rsid w:val="001C174A"/>
    <w:rsid w:val="001C1D91"/>
    <w:rsid w:val="001C1F92"/>
    <w:rsid w:val="001C2A9B"/>
    <w:rsid w:val="001C395F"/>
    <w:rsid w:val="001C3B82"/>
    <w:rsid w:val="001C3D35"/>
    <w:rsid w:val="001C3DD6"/>
    <w:rsid w:val="001C3F21"/>
    <w:rsid w:val="001C404F"/>
    <w:rsid w:val="001C4215"/>
    <w:rsid w:val="001C4299"/>
    <w:rsid w:val="001C4703"/>
    <w:rsid w:val="001C4874"/>
    <w:rsid w:val="001C48AF"/>
    <w:rsid w:val="001C49FA"/>
    <w:rsid w:val="001C4D09"/>
    <w:rsid w:val="001C4F25"/>
    <w:rsid w:val="001C50BE"/>
    <w:rsid w:val="001C55FB"/>
    <w:rsid w:val="001C5783"/>
    <w:rsid w:val="001C5B99"/>
    <w:rsid w:val="001C5F94"/>
    <w:rsid w:val="001C60C3"/>
    <w:rsid w:val="001C6840"/>
    <w:rsid w:val="001C6E23"/>
    <w:rsid w:val="001C6E66"/>
    <w:rsid w:val="001C7063"/>
    <w:rsid w:val="001C7699"/>
    <w:rsid w:val="001C7D13"/>
    <w:rsid w:val="001D0034"/>
    <w:rsid w:val="001D0161"/>
    <w:rsid w:val="001D01D2"/>
    <w:rsid w:val="001D02E8"/>
    <w:rsid w:val="001D0E59"/>
    <w:rsid w:val="001D0E6C"/>
    <w:rsid w:val="001D1100"/>
    <w:rsid w:val="001D1391"/>
    <w:rsid w:val="001D1682"/>
    <w:rsid w:val="001D1683"/>
    <w:rsid w:val="001D1E5F"/>
    <w:rsid w:val="001D1F55"/>
    <w:rsid w:val="001D25D7"/>
    <w:rsid w:val="001D27AF"/>
    <w:rsid w:val="001D2854"/>
    <w:rsid w:val="001D29CA"/>
    <w:rsid w:val="001D3818"/>
    <w:rsid w:val="001D4869"/>
    <w:rsid w:val="001D4EB0"/>
    <w:rsid w:val="001D50B2"/>
    <w:rsid w:val="001D541F"/>
    <w:rsid w:val="001D54BA"/>
    <w:rsid w:val="001D6192"/>
    <w:rsid w:val="001D6206"/>
    <w:rsid w:val="001D65C5"/>
    <w:rsid w:val="001D6694"/>
    <w:rsid w:val="001D6BE6"/>
    <w:rsid w:val="001D6DAC"/>
    <w:rsid w:val="001D71F4"/>
    <w:rsid w:val="001D7645"/>
    <w:rsid w:val="001D7E29"/>
    <w:rsid w:val="001E0423"/>
    <w:rsid w:val="001E0517"/>
    <w:rsid w:val="001E08FB"/>
    <w:rsid w:val="001E14E3"/>
    <w:rsid w:val="001E1AAC"/>
    <w:rsid w:val="001E1DD8"/>
    <w:rsid w:val="001E1E86"/>
    <w:rsid w:val="001E238E"/>
    <w:rsid w:val="001E2483"/>
    <w:rsid w:val="001E2707"/>
    <w:rsid w:val="001E2B1E"/>
    <w:rsid w:val="001E2CFF"/>
    <w:rsid w:val="001E2F24"/>
    <w:rsid w:val="001E30D4"/>
    <w:rsid w:val="001E314C"/>
    <w:rsid w:val="001E324B"/>
    <w:rsid w:val="001E34DF"/>
    <w:rsid w:val="001E4889"/>
    <w:rsid w:val="001E4C38"/>
    <w:rsid w:val="001E4D92"/>
    <w:rsid w:val="001E52DC"/>
    <w:rsid w:val="001E52EB"/>
    <w:rsid w:val="001E559B"/>
    <w:rsid w:val="001E580B"/>
    <w:rsid w:val="001E6053"/>
    <w:rsid w:val="001E61D2"/>
    <w:rsid w:val="001E647B"/>
    <w:rsid w:val="001E68C3"/>
    <w:rsid w:val="001E6A7A"/>
    <w:rsid w:val="001E6EFE"/>
    <w:rsid w:val="001E740C"/>
    <w:rsid w:val="001E786A"/>
    <w:rsid w:val="001E7C57"/>
    <w:rsid w:val="001F0288"/>
    <w:rsid w:val="001F0572"/>
    <w:rsid w:val="001F0C9B"/>
    <w:rsid w:val="001F0DD2"/>
    <w:rsid w:val="001F0F91"/>
    <w:rsid w:val="001F1235"/>
    <w:rsid w:val="001F1CB3"/>
    <w:rsid w:val="001F22EF"/>
    <w:rsid w:val="001F245F"/>
    <w:rsid w:val="001F24FF"/>
    <w:rsid w:val="001F2628"/>
    <w:rsid w:val="001F2AD5"/>
    <w:rsid w:val="001F32AD"/>
    <w:rsid w:val="001F33D8"/>
    <w:rsid w:val="001F3572"/>
    <w:rsid w:val="001F37E2"/>
    <w:rsid w:val="001F38B5"/>
    <w:rsid w:val="001F4081"/>
    <w:rsid w:val="001F4122"/>
    <w:rsid w:val="001F4396"/>
    <w:rsid w:val="001F4E31"/>
    <w:rsid w:val="001F587B"/>
    <w:rsid w:val="001F59D1"/>
    <w:rsid w:val="001F5CF3"/>
    <w:rsid w:val="001F5D18"/>
    <w:rsid w:val="001F64C2"/>
    <w:rsid w:val="001F6588"/>
    <w:rsid w:val="001F72C8"/>
    <w:rsid w:val="001F7361"/>
    <w:rsid w:val="001F75B0"/>
    <w:rsid w:val="00200894"/>
    <w:rsid w:val="002011B0"/>
    <w:rsid w:val="00201614"/>
    <w:rsid w:val="00201A23"/>
    <w:rsid w:val="0020213C"/>
    <w:rsid w:val="002022A7"/>
    <w:rsid w:val="0020234F"/>
    <w:rsid w:val="0020288A"/>
    <w:rsid w:val="00202AC4"/>
    <w:rsid w:val="00202C73"/>
    <w:rsid w:val="00203181"/>
    <w:rsid w:val="00203783"/>
    <w:rsid w:val="0020385F"/>
    <w:rsid w:val="00203EDF"/>
    <w:rsid w:val="00204424"/>
    <w:rsid w:val="002046F2"/>
    <w:rsid w:val="00204B48"/>
    <w:rsid w:val="002052E4"/>
    <w:rsid w:val="0020545B"/>
    <w:rsid w:val="002056F3"/>
    <w:rsid w:val="002057B2"/>
    <w:rsid w:val="00205AFF"/>
    <w:rsid w:val="0020631F"/>
    <w:rsid w:val="002066C4"/>
    <w:rsid w:val="002068A0"/>
    <w:rsid w:val="00207021"/>
    <w:rsid w:val="002070AF"/>
    <w:rsid w:val="0020730C"/>
    <w:rsid w:val="0020732F"/>
    <w:rsid w:val="0020778C"/>
    <w:rsid w:val="00207A6D"/>
    <w:rsid w:val="00207D00"/>
    <w:rsid w:val="002104B7"/>
    <w:rsid w:val="002105C1"/>
    <w:rsid w:val="002105F0"/>
    <w:rsid w:val="00211490"/>
    <w:rsid w:val="002116FD"/>
    <w:rsid w:val="00211AED"/>
    <w:rsid w:val="00211F2A"/>
    <w:rsid w:val="0021277E"/>
    <w:rsid w:val="00213267"/>
    <w:rsid w:val="002132F3"/>
    <w:rsid w:val="00213EF5"/>
    <w:rsid w:val="002142BF"/>
    <w:rsid w:val="00214C2C"/>
    <w:rsid w:val="002156C1"/>
    <w:rsid w:val="002162B1"/>
    <w:rsid w:val="002162B8"/>
    <w:rsid w:val="002162E5"/>
    <w:rsid w:val="00216BF5"/>
    <w:rsid w:val="00216C6E"/>
    <w:rsid w:val="00216D25"/>
    <w:rsid w:val="00217211"/>
    <w:rsid w:val="00220C40"/>
    <w:rsid w:val="00221015"/>
    <w:rsid w:val="002211B4"/>
    <w:rsid w:val="00221228"/>
    <w:rsid w:val="00221657"/>
    <w:rsid w:val="00221789"/>
    <w:rsid w:val="00222118"/>
    <w:rsid w:val="00222303"/>
    <w:rsid w:val="00222930"/>
    <w:rsid w:val="00222B30"/>
    <w:rsid w:val="00223590"/>
    <w:rsid w:val="00223B10"/>
    <w:rsid w:val="00223B49"/>
    <w:rsid w:val="00223C93"/>
    <w:rsid w:val="00223D5A"/>
    <w:rsid w:val="00223E62"/>
    <w:rsid w:val="00223EDB"/>
    <w:rsid w:val="00224273"/>
    <w:rsid w:val="0022457D"/>
    <w:rsid w:val="00224DD4"/>
    <w:rsid w:val="00225518"/>
    <w:rsid w:val="0022580D"/>
    <w:rsid w:val="00225832"/>
    <w:rsid w:val="00226367"/>
    <w:rsid w:val="00226F38"/>
    <w:rsid w:val="00227039"/>
    <w:rsid w:val="0022756A"/>
    <w:rsid w:val="002278A0"/>
    <w:rsid w:val="00227F5A"/>
    <w:rsid w:val="0023036B"/>
    <w:rsid w:val="002304FC"/>
    <w:rsid w:val="00230536"/>
    <w:rsid w:val="00230579"/>
    <w:rsid w:val="0023073B"/>
    <w:rsid w:val="00230998"/>
    <w:rsid w:val="002309CC"/>
    <w:rsid w:val="00230BAE"/>
    <w:rsid w:val="00230CBC"/>
    <w:rsid w:val="002313DF"/>
    <w:rsid w:val="00231459"/>
    <w:rsid w:val="00231604"/>
    <w:rsid w:val="00231BA9"/>
    <w:rsid w:val="0023209F"/>
    <w:rsid w:val="002324CC"/>
    <w:rsid w:val="00232E57"/>
    <w:rsid w:val="00233984"/>
    <w:rsid w:val="00233C01"/>
    <w:rsid w:val="00233D6F"/>
    <w:rsid w:val="00233F66"/>
    <w:rsid w:val="0023413C"/>
    <w:rsid w:val="002346F0"/>
    <w:rsid w:val="002348CD"/>
    <w:rsid w:val="002353E3"/>
    <w:rsid w:val="00235721"/>
    <w:rsid w:val="0023629D"/>
    <w:rsid w:val="00236382"/>
    <w:rsid w:val="002363F3"/>
    <w:rsid w:val="00236D1C"/>
    <w:rsid w:val="00237255"/>
    <w:rsid w:val="0023777F"/>
    <w:rsid w:val="00237AED"/>
    <w:rsid w:val="00240830"/>
    <w:rsid w:val="0024092E"/>
    <w:rsid w:val="00240EFC"/>
    <w:rsid w:val="00241129"/>
    <w:rsid w:val="002415C6"/>
    <w:rsid w:val="00241E72"/>
    <w:rsid w:val="002424AF"/>
    <w:rsid w:val="00242D8C"/>
    <w:rsid w:val="00242FB8"/>
    <w:rsid w:val="00243990"/>
    <w:rsid w:val="002439DC"/>
    <w:rsid w:val="00243A2E"/>
    <w:rsid w:val="00243B0C"/>
    <w:rsid w:val="00243B20"/>
    <w:rsid w:val="00243F83"/>
    <w:rsid w:val="002440AE"/>
    <w:rsid w:val="002441D2"/>
    <w:rsid w:val="0024437C"/>
    <w:rsid w:val="00244745"/>
    <w:rsid w:val="00244CB6"/>
    <w:rsid w:val="00244DC8"/>
    <w:rsid w:val="002458BA"/>
    <w:rsid w:val="00245B2C"/>
    <w:rsid w:val="00245CE9"/>
    <w:rsid w:val="00245CF6"/>
    <w:rsid w:val="00245EFB"/>
    <w:rsid w:val="0024636C"/>
    <w:rsid w:val="0024677E"/>
    <w:rsid w:val="002469B1"/>
    <w:rsid w:val="00247111"/>
    <w:rsid w:val="002471B4"/>
    <w:rsid w:val="00247905"/>
    <w:rsid w:val="00247925"/>
    <w:rsid w:val="00247E2E"/>
    <w:rsid w:val="00247F71"/>
    <w:rsid w:val="00250285"/>
    <w:rsid w:val="002505BF"/>
    <w:rsid w:val="0025067F"/>
    <w:rsid w:val="00251006"/>
    <w:rsid w:val="0025135A"/>
    <w:rsid w:val="00252107"/>
    <w:rsid w:val="002524D5"/>
    <w:rsid w:val="0025250A"/>
    <w:rsid w:val="00252566"/>
    <w:rsid w:val="0025273E"/>
    <w:rsid w:val="0025298F"/>
    <w:rsid w:val="00253215"/>
    <w:rsid w:val="00253547"/>
    <w:rsid w:val="00253891"/>
    <w:rsid w:val="00253B1D"/>
    <w:rsid w:val="00253B5A"/>
    <w:rsid w:val="00253D38"/>
    <w:rsid w:val="00253D3B"/>
    <w:rsid w:val="00253EC6"/>
    <w:rsid w:val="002546CC"/>
    <w:rsid w:val="00254B20"/>
    <w:rsid w:val="00254DCF"/>
    <w:rsid w:val="00255216"/>
    <w:rsid w:val="0025534B"/>
    <w:rsid w:val="00255BB7"/>
    <w:rsid w:val="00255BCB"/>
    <w:rsid w:val="00255C1C"/>
    <w:rsid w:val="002560DC"/>
    <w:rsid w:val="00256444"/>
    <w:rsid w:val="002565E4"/>
    <w:rsid w:val="00256846"/>
    <w:rsid w:val="00256867"/>
    <w:rsid w:val="00256E1A"/>
    <w:rsid w:val="002573D7"/>
    <w:rsid w:val="00257541"/>
    <w:rsid w:val="00257616"/>
    <w:rsid w:val="00257A39"/>
    <w:rsid w:val="00257AC4"/>
    <w:rsid w:val="00257BBE"/>
    <w:rsid w:val="00257D33"/>
    <w:rsid w:val="002602CF"/>
    <w:rsid w:val="00260B5D"/>
    <w:rsid w:val="00260BB9"/>
    <w:rsid w:val="00261E0D"/>
    <w:rsid w:val="00261EEF"/>
    <w:rsid w:val="00261F40"/>
    <w:rsid w:val="00261F74"/>
    <w:rsid w:val="00261F85"/>
    <w:rsid w:val="00261FDF"/>
    <w:rsid w:val="00262648"/>
    <w:rsid w:val="0026293A"/>
    <w:rsid w:val="00262A1A"/>
    <w:rsid w:val="00262A87"/>
    <w:rsid w:val="002631D8"/>
    <w:rsid w:val="00263BEA"/>
    <w:rsid w:val="00264D26"/>
    <w:rsid w:val="00264F4B"/>
    <w:rsid w:val="002651CD"/>
    <w:rsid w:val="002657F4"/>
    <w:rsid w:val="00265B15"/>
    <w:rsid w:val="00265D2B"/>
    <w:rsid w:val="0026681D"/>
    <w:rsid w:val="00266DB0"/>
    <w:rsid w:val="00266DBB"/>
    <w:rsid w:val="00267028"/>
    <w:rsid w:val="0026726A"/>
    <w:rsid w:val="00267642"/>
    <w:rsid w:val="00267AEA"/>
    <w:rsid w:val="00267FB8"/>
    <w:rsid w:val="002700E6"/>
    <w:rsid w:val="002713B4"/>
    <w:rsid w:val="00271678"/>
    <w:rsid w:val="00271E35"/>
    <w:rsid w:val="00271F88"/>
    <w:rsid w:val="00272116"/>
    <w:rsid w:val="002725F6"/>
    <w:rsid w:val="0027294B"/>
    <w:rsid w:val="00273470"/>
    <w:rsid w:val="00273EB4"/>
    <w:rsid w:val="002744E3"/>
    <w:rsid w:val="00274682"/>
    <w:rsid w:val="0027468C"/>
    <w:rsid w:val="00274A79"/>
    <w:rsid w:val="00274F3B"/>
    <w:rsid w:val="002750BA"/>
    <w:rsid w:val="00275158"/>
    <w:rsid w:val="00275238"/>
    <w:rsid w:val="00275247"/>
    <w:rsid w:val="00275C5A"/>
    <w:rsid w:val="00275ECE"/>
    <w:rsid w:val="002761AE"/>
    <w:rsid w:val="002765CB"/>
    <w:rsid w:val="00276BF5"/>
    <w:rsid w:val="00276CF9"/>
    <w:rsid w:val="002778A8"/>
    <w:rsid w:val="00277AAB"/>
    <w:rsid w:val="00277D6B"/>
    <w:rsid w:val="00277DCF"/>
    <w:rsid w:val="0028036B"/>
    <w:rsid w:val="002804B4"/>
    <w:rsid w:val="00281014"/>
    <w:rsid w:val="002812CE"/>
    <w:rsid w:val="002814AE"/>
    <w:rsid w:val="002815C7"/>
    <w:rsid w:val="00282215"/>
    <w:rsid w:val="00282372"/>
    <w:rsid w:val="0028290D"/>
    <w:rsid w:val="00282BDF"/>
    <w:rsid w:val="002836F3"/>
    <w:rsid w:val="002840BE"/>
    <w:rsid w:val="00284342"/>
    <w:rsid w:val="002849C9"/>
    <w:rsid w:val="00284A58"/>
    <w:rsid w:val="00284C69"/>
    <w:rsid w:val="002851F2"/>
    <w:rsid w:val="0028542B"/>
    <w:rsid w:val="00285672"/>
    <w:rsid w:val="00285923"/>
    <w:rsid w:val="00285BCE"/>
    <w:rsid w:val="00285C63"/>
    <w:rsid w:val="00285F32"/>
    <w:rsid w:val="002861BA"/>
    <w:rsid w:val="002861CA"/>
    <w:rsid w:val="0028665D"/>
    <w:rsid w:val="002866AB"/>
    <w:rsid w:val="00286C10"/>
    <w:rsid w:val="00287DD4"/>
    <w:rsid w:val="00287E95"/>
    <w:rsid w:val="00287ED7"/>
    <w:rsid w:val="0029051E"/>
    <w:rsid w:val="002906E7"/>
    <w:rsid w:val="00291489"/>
    <w:rsid w:val="002914A6"/>
    <w:rsid w:val="002916B1"/>
    <w:rsid w:val="002918D3"/>
    <w:rsid w:val="00291919"/>
    <w:rsid w:val="00291DD1"/>
    <w:rsid w:val="00292028"/>
    <w:rsid w:val="002928F5"/>
    <w:rsid w:val="00292EC4"/>
    <w:rsid w:val="0029318D"/>
    <w:rsid w:val="002933D7"/>
    <w:rsid w:val="00294710"/>
    <w:rsid w:val="002949C2"/>
    <w:rsid w:val="002949C4"/>
    <w:rsid w:val="00294D13"/>
    <w:rsid w:val="00294F70"/>
    <w:rsid w:val="0029560B"/>
    <w:rsid w:val="002957DD"/>
    <w:rsid w:val="00295D68"/>
    <w:rsid w:val="00295F0F"/>
    <w:rsid w:val="0029645B"/>
    <w:rsid w:val="002966F9"/>
    <w:rsid w:val="00297118"/>
    <w:rsid w:val="00297E5E"/>
    <w:rsid w:val="002A0F0B"/>
    <w:rsid w:val="002A14AB"/>
    <w:rsid w:val="002A1756"/>
    <w:rsid w:val="002A2ADE"/>
    <w:rsid w:val="002A2F50"/>
    <w:rsid w:val="002A2F78"/>
    <w:rsid w:val="002A2F7B"/>
    <w:rsid w:val="002A36BB"/>
    <w:rsid w:val="002A3D0A"/>
    <w:rsid w:val="002A4382"/>
    <w:rsid w:val="002A6051"/>
    <w:rsid w:val="002A65E8"/>
    <w:rsid w:val="002A7943"/>
    <w:rsid w:val="002A7AC6"/>
    <w:rsid w:val="002B05A1"/>
    <w:rsid w:val="002B09A4"/>
    <w:rsid w:val="002B0B34"/>
    <w:rsid w:val="002B0CA1"/>
    <w:rsid w:val="002B0CE2"/>
    <w:rsid w:val="002B1C1F"/>
    <w:rsid w:val="002B209A"/>
    <w:rsid w:val="002B2156"/>
    <w:rsid w:val="002B3E19"/>
    <w:rsid w:val="002B432F"/>
    <w:rsid w:val="002B4A0D"/>
    <w:rsid w:val="002B62B3"/>
    <w:rsid w:val="002B6754"/>
    <w:rsid w:val="002B6990"/>
    <w:rsid w:val="002B6CCE"/>
    <w:rsid w:val="002B76B6"/>
    <w:rsid w:val="002B7A07"/>
    <w:rsid w:val="002C016B"/>
    <w:rsid w:val="002C04C9"/>
    <w:rsid w:val="002C1390"/>
    <w:rsid w:val="002C1551"/>
    <w:rsid w:val="002C20E3"/>
    <w:rsid w:val="002C2510"/>
    <w:rsid w:val="002C2775"/>
    <w:rsid w:val="002C27C1"/>
    <w:rsid w:val="002C2A6D"/>
    <w:rsid w:val="002C2F24"/>
    <w:rsid w:val="002C36E3"/>
    <w:rsid w:val="002C38CA"/>
    <w:rsid w:val="002C41BC"/>
    <w:rsid w:val="002C448F"/>
    <w:rsid w:val="002C4D82"/>
    <w:rsid w:val="002C4DAB"/>
    <w:rsid w:val="002C4EF1"/>
    <w:rsid w:val="002C4F0F"/>
    <w:rsid w:val="002C5099"/>
    <w:rsid w:val="002C50FD"/>
    <w:rsid w:val="002C55C8"/>
    <w:rsid w:val="002C5889"/>
    <w:rsid w:val="002C5BCE"/>
    <w:rsid w:val="002C5C58"/>
    <w:rsid w:val="002C5CA5"/>
    <w:rsid w:val="002C60B1"/>
    <w:rsid w:val="002C6BCF"/>
    <w:rsid w:val="002C717D"/>
    <w:rsid w:val="002C71CE"/>
    <w:rsid w:val="002C7E07"/>
    <w:rsid w:val="002D01FA"/>
    <w:rsid w:val="002D043F"/>
    <w:rsid w:val="002D0483"/>
    <w:rsid w:val="002D08D5"/>
    <w:rsid w:val="002D08F8"/>
    <w:rsid w:val="002D0FD9"/>
    <w:rsid w:val="002D2062"/>
    <w:rsid w:val="002D2ACC"/>
    <w:rsid w:val="002D35DA"/>
    <w:rsid w:val="002D366A"/>
    <w:rsid w:val="002D43BE"/>
    <w:rsid w:val="002D4D0E"/>
    <w:rsid w:val="002D577C"/>
    <w:rsid w:val="002D5AE0"/>
    <w:rsid w:val="002D63E6"/>
    <w:rsid w:val="002D6764"/>
    <w:rsid w:val="002D6AA6"/>
    <w:rsid w:val="002D6BE0"/>
    <w:rsid w:val="002D6C8F"/>
    <w:rsid w:val="002D6CC6"/>
    <w:rsid w:val="002D6D30"/>
    <w:rsid w:val="002D6F4E"/>
    <w:rsid w:val="002D7832"/>
    <w:rsid w:val="002D7BD5"/>
    <w:rsid w:val="002D7DDF"/>
    <w:rsid w:val="002E0072"/>
    <w:rsid w:val="002E06B7"/>
    <w:rsid w:val="002E083A"/>
    <w:rsid w:val="002E084A"/>
    <w:rsid w:val="002E0D15"/>
    <w:rsid w:val="002E1071"/>
    <w:rsid w:val="002E15B9"/>
    <w:rsid w:val="002E18C2"/>
    <w:rsid w:val="002E2158"/>
    <w:rsid w:val="002E2320"/>
    <w:rsid w:val="002E27C8"/>
    <w:rsid w:val="002E2BDC"/>
    <w:rsid w:val="002E3002"/>
    <w:rsid w:val="002E34CF"/>
    <w:rsid w:val="002E34E2"/>
    <w:rsid w:val="002E3CA6"/>
    <w:rsid w:val="002E3E31"/>
    <w:rsid w:val="002E3FA1"/>
    <w:rsid w:val="002E48C2"/>
    <w:rsid w:val="002E4957"/>
    <w:rsid w:val="002E4E05"/>
    <w:rsid w:val="002E4F02"/>
    <w:rsid w:val="002E5012"/>
    <w:rsid w:val="002E524C"/>
    <w:rsid w:val="002E531C"/>
    <w:rsid w:val="002E5778"/>
    <w:rsid w:val="002E5AD4"/>
    <w:rsid w:val="002E5FC0"/>
    <w:rsid w:val="002E60B3"/>
    <w:rsid w:val="002E634C"/>
    <w:rsid w:val="002E647F"/>
    <w:rsid w:val="002E6568"/>
    <w:rsid w:val="002E6784"/>
    <w:rsid w:val="002E6F06"/>
    <w:rsid w:val="002E7098"/>
    <w:rsid w:val="002E7603"/>
    <w:rsid w:val="002E7722"/>
    <w:rsid w:val="002E7FDA"/>
    <w:rsid w:val="002F03A7"/>
    <w:rsid w:val="002F0725"/>
    <w:rsid w:val="002F07BA"/>
    <w:rsid w:val="002F0DA9"/>
    <w:rsid w:val="002F0DB6"/>
    <w:rsid w:val="002F1014"/>
    <w:rsid w:val="002F122B"/>
    <w:rsid w:val="002F1A7F"/>
    <w:rsid w:val="002F1AE6"/>
    <w:rsid w:val="002F1E3B"/>
    <w:rsid w:val="002F1F15"/>
    <w:rsid w:val="002F2418"/>
    <w:rsid w:val="002F300C"/>
    <w:rsid w:val="002F31C9"/>
    <w:rsid w:val="002F3404"/>
    <w:rsid w:val="002F380F"/>
    <w:rsid w:val="002F4BA9"/>
    <w:rsid w:val="002F5277"/>
    <w:rsid w:val="002F5943"/>
    <w:rsid w:val="002F597F"/>
    <w:rsid w:val="002F59C5"/>
    <w:rsid w:val="002F5BF1"/>
    <w:rsid w:val="002F643C"/>
    <w:rsid w:val="002F6F95"/>
    <w:rsid w:val="002F71A2"/>
    <w:rsid w:val="002F71C0"/>
    <w:rsid w:val="002F74F1"/>
    <w:rsid w:val="002F7718"/>
    <w:rsid w:val="002F7969"/>
    <w:rsid w:val="002F7A9D"/>
    <w:rsid w:val="002F7CB9"/>
    <w:rsid w:val="00300234"/>
    <w:rsid w:val="003002BB"/>
    <w:rsid w:val="00301017"/>
    <w:rsid w:val="0030155F"/>
    <w:rsid w:val="0030160C"/>
    <w:rsid w:val="00301A4F"/>
    <w:rsid w:val="00301C03"/>
    <w:rsid w:val="00301E40"/>
    <w:rsid w:val="00301E55"/>
    <w:rsid w:val="00302757"/>
    <w:rsid w:val="00302867"/>
    <w:rsid w:val="00302B51"/>
    <w:rsid w:val="003030CD"/>
    <w:rsid w:val="003038B8"/>
    <w:rsid w:val="00303AA5"/>
    <w:rsid w:val="0030456D"/>
    <w:rsid w:val="003045DA"/>
    <w:rsid w:val="00305130"/>
    <w:rsid w:val="0030587B"/>
    <w:rsid w:val="00305B8B"/>
    <w:rsid w:val="003060F9"/>
    <w:rsid w:val="003069FC"/>
    <w:rsid w:val="00306D5C"/>
    <w:rsid w:val="00306D98"/>
    <w:rsid w:val="0030786C"/>
    <w:rsid w:val="0031031A"/>
    <w:rsid w:val="00310981"/>
    <w:rsid w:val="00311791"/>
    <w:rsid w:val="00311952"/>
    <w:rsid w:val="00311C37"/>
    <w:rsid w:val="00311D9B"/>
    <w:rsid w:val="00312120"/>
    <w:rsid w:val="003124D9"/>
    <w:rsid w:val="00312594"/>
    <w:rsid w:val="00312CFE"/>
    <w:rsid w:val="00313201"/>
    <w:rsid w:val="003134F8"/>
    <w:rsid w:val="003138D9"/>
    <w:rsid w:val="003144DA"/>
    <w:rsid w:val="003146E4"/>
    <w:rsid w:val="0031478F"/>
    <w:rsid w:val="00314AE9"/>
    <w:rsid w:val="00314B18"/>
    <w:rsid w:val="0031513C"/>
    <w:rsid w:val="00315498"/>
    <w:rsid w:val="0031571D"/>
    <w:rsid w:val="0031614C"/>
    <w:rsid w:val="00316335"/>
    <w:rsid w:val="00316455"/>
    <w:rsid w:val="00316474"/>
    <w:rsid w:val="00317E0D"/>
    <w:rsid w:val="00317E89"/>
    <w:rsid w:val="00320224"/>
    <w:rsid w:val="003203A3"/>
    <w:rsid w:val="003204F3"/>
    <w:rsid w:val="00320667"/>
    <w:rsid w:val="0032153D"/>
    <w:rsid w:val="00321552"/>
    <w:rsid w:val="00321B9D"/>
    <w:rsid w:val="00322107"/>
    <w:rsid w:val="00322355"/>
    <w:rsid w:val="003226B4"/>
    <w:rsid w:val="00322794"/>
    <w:rsid w:val="003227C4"/>
    <w:rsid w:val="00322846"/>
    <w:rsid w:val="00322A0B"/>
    <w:rsid w:val="003241C6"/>
    <w:rsid w:val="00324F4F"/>
    <w:rsid w:val="00326016"/>
    <w:rsid w:val="00326AA8"/>
    <w:rsid w:val="00326DA7"/>
    <w:rsid w:val="003270E4"/>
    <w:rsid w:val="00327F7B"/>
    <w:rsid w:val="00330440"/>
    <w:rsid w:val="0033094F"/>
    <w:rsid w:val="00330A1D"/>
    <w:rsid w:val="00330C24"/>
    <w:rsid w:val="00330DAA"/>
    <w:rsid w:val="00330F5C"/>
    <w:rsid w:val="003313C7"/>
    <w:rsid w:val="00331D1A"/>
    <w:rsid w:val="003322FD"/>
    <w:rsid w:val="00332D4F"/>
    <w:rsid w:val="003335E8"/>
    <w:rsid w:val="00333EFB"/>
    <w:rsid w:val="00334432"/>
    <w:rsid w:val="00334B1C"/>
    <w:rsid w:val="00334E6B"/>
    <w:rsid w:val="00334F34"/>
    <w:rsid w:val="00335C46"/>
    <w:rsid w:val="003366C9"/>
    <w:rsid w:val="003369C7"/>
    <w:rsid w:val="00336A0D"/>
    <w:rsid w:val="00336B4B"/>
    <w:rsid w:val="00336C52"/>
    <w:rsid w:val="00336D23"/>
    <w:rsid w:val="003371B0"/>
    <w:rsid w:val="00337482"/>
    <w:rsid w:val="00340307"/>
    <w:rsid w:val="00340CED"/>
    <w:rsid w:val="00340D1A"/>
    <w:rsid w:val="00340D88"/>
    <w:rsid w:val="00340DF1"/>
    <w:rsid w:val="00341EB7"/>
    <w:rsid w:val="003428CF"/>
    <w:rsid w:val="003428D2"/>
    <w:rsid w:val="003432B2"/>
    <w:rsid w:val="003433B5"/>
    <w:rsid w:val="003436DD"/>
    <w:rsid w:val="00343950"/>
    <w:rsid w:val="00343C79"/>
    <w:rsid w:val="00343C7A"/>
    <w:rsid w:val="00343F56"/>
    <w:rsid w:val="00344E85"/>
    <w:rsid w:val="00345058"/>
    <w:rsid w:val="003457D1"/>
    <w:rsid w:val="00346259"/>
    <w:rsid w:val="00346C9A"/>
    <w:rsid w:val="003474CC"/>
    <w:rsid w:val="003476F2"/>
    <w:rsid w:val="00347958"/>
    <w:rsid w:val="00347FF1"/>
    <w:rsid w:val="00350318"/>
    <w:rsid w:val="00350437"/>
    <w:rsid w:val="00350572"/>
    <w:rsid w:val="00350898"/>
    <w:rsid w:val="0035142A"/>
    <w:rsid w:val="00351451"/>
    <w:rsid w:val="003514FF"/>
    <w:rsid w:val="00351552"/>
    <w:rsid w:val="003516B4"/>
    <w:rsid w:val="003517C2"/>
    <w:rsid w:val="003517F9"/>
    <w:rsid w:val="00351BA8"/>
    <w:rsid w:val="00351BA9"/>
    <w:rsid w:val="00351BF9"/>
    <w:rsid w:val="003536A5"/>
    <w:rsid w:val="00354085"/>
    <w:rsid w:val="003541B8"/>
    <w:rsid w:val="00354592"/>
    <w:rsid w:val="0035481B"/>
    <w:rsid w:val="00354CF6"/>
    <w:rsid w:val="00354F64"/>
    <w:rsid w:val="0035505C"/>
    <w:rsid w:val="0035514E"/>
    <w:rsid w:val="00356028"/>
    <w:rsid w:val="0035612B"/>
    <w:rsid w:val="0035620E"/>
    <w:rsid w:val="0035706B"/>
    <w:rsid w:val="003573BC"/>
    <w:rsid w:val="00357538"/>
    <w:rsid w:val="003575BE"/>
    <w:rsid w:val="00357C1A"/>
    <w:rsid w:val="00357F8E"/>
    <w:rsid w:val="00360345"/>
    <w:rsid w:val="00361246"/>
    <w:rsid w:val="00361A05"/>
    <w:rsid w:val="00361A25"/>
    <w:rsid w:val="003624C4"/>
    <w:rsid w:val="0036266F"/>
    <w:rsid w:val="003632FB"/>
    <w:rsid w:val="00363B00"/>
    <w:rsid w:val="0036445D"/>
    <w:rsid w:val="00364866"/>
    <w:rsid w:val="00364C14"/>
    <w:rsid w:val="00364EB1"/>
    <w:rsid w:val="003650E7"/>
    <w:rsid w:val="003654AC"/>
    <w:rsid w:val="0036586E"/>
    <w:rsid w:val="00365BE4"/>
    <w:rsid w:val="0036647F"/>
    <w:rsid w:val="003664BC"/>
    <w:rsid w:val="00366A45"/>
    <w:rsid w:val="00366D77"/>
    <w:rsid w:val="00366E58"/>
    <w:rsid w:val="00366EA8"/>
    <w:rsid w:val="003671D7"/>
    <w:rsid w:val="0036748B"/>
    <w:rsid w:val="003674EF"/>
    <w:rsid w:val="003675FC"/>
    <w:rsid w:val="00367C9D"/>
    <w:rsid w:val="00370B8D"/>
    <w:rsid w:val="00370DC1"/>
    <w:rsid w:val="003710CF"/>
    <w:rsid w:val="0037149C"/>
    <w:rsid w:val="00371DAB"/>
    <w:rsid w:val="00371F8B"/>
    <w:rsid w:val="00372996"/>
    <w:rsid w:val="00372AD3"/>
    <w:rsid w:val="00373254"/>
    <w:rsid w:val="0037358A"/>
    <w:rsid w:val="003744F6"/>
    <w:rsid w:val="003750F6"/>
    <w:rsid w:val="00375536"/>
    <w:rsid w:val="003760FC"/>
    <w:rsid w:val="00376B18"/>
    <w:rsid w:val="00376C92"/>
    <w:rsid w:val="00377573"/>
    <w:rsid w:val="00377F95"/>
    <w:rsid w:val="003802BF"/>
    <w:rsid w:val="003806A8"/>
    <w:rsid w:val="00380C9B"/>
    <w:rsid w:val="00381893"/>
    <w:rsid w:val="003821CF"/>
    <w:rsid w:val="00382334"/>
    <w:rsid w:val="00382F42"/>
    <w:rsid w:val="0038365C"/>
    <w:rsid w:val="0038369B"/>
    <w:rsid w:val="003838F7"/>
    <w:rsid w:val="00383B78"/>
    <w:rsid w:val="00385A9D"/>
    <w:rsid w:val="00386774"/>
    <w:rsid w:val="00386D21"/>
    <w:rsid w:val="00386FA4"/>
    <w:rsid w:val="00387121"/>
    <w:rsid w:val="003871DE"/>
    <w:rsid w:val="00387CE7"/>
    <w:rsid w:val="003902B1"/>
    <w:rsid w:val="00390847"/>
    <w:rsid w:val="00390C8E"/>
    <w:rsid w:val="00390D50"/>
    <w:rsid w:val="003911BE"/>
    <w:rsid w:val="003912FE"/>
    <w:rsid w:val="0039130E"/>
    <w:rsid w:val="0039179C"/>
    <w:rsid w:val="00391A24"/>
    <w:rsid w:val="00391C82"/>
    <w:rsid w:val="00391ED2"/>
    <w:rsid w:val="003920E9"/>
    <w:rsid w:val="00393736"/>
    <w:rsid w:val="0039401B"/>
    <w:rsid w:val="00394813"/>
    <w:rsid w:val="00394979"/>
    <w:rsid w:val="0039509F"/>
    <w:rsid w:val="003960ED"/>
    <w:rsid w:val="00396138"/>
    <w:rsid w:val="00396896"/>
    <w:rsid w:val="00396A5A"/>
    <w:rsid w:val="00396A8E"/>
    <w:rsid w:val="00396FD0"/>
    <w:rsid w:val="003970F4"/>
    <w:rsid w:val="003975A1"/>
    <w:rsid w:val="00397946"/>
    <w:rsid w:val="00397D2D"/>
    <w:rsid w:val="00397F96"/>
    <w:rsid w:val="003A067A"/>
    <w:rsid w:val="003A0B95"/>
    <w:rsid w:val="003A0BCE"/>
    <w:rsid w:val="003A1342"/>
    <w:rsid w:val="003A13CE"/>
    <w:rsid w:val="003A146A"/>
    <w:rsid w:val="003A1534"/>
    <w:rsid w:val="003A1A7A"/>
    <w:rsid w:val="003A1F90"/>
    <w:rsid w:val="003A2138"/>
    <w:rsid w:val="003A2392"/>
    <w:rsid w:val="003A2831"/>
    <w:rsid w:val="003A2986"/>
    <w:rsid w:val="003A3443"/>
    <w:rsid w:val="003A34B4"/>
    <w:rsid w:val="003A3A5B"/>
    <w:rsid w:val="003A3B89"/>
    <w:rsid w:val="003A3CB6"/>
    <w:rsid w:val="003A3ED1"/>
    <w:rsid w:val="003A413D"/>
    <w:rsid w:val="003A44DB"/>
    <w:rsid w:val="003A490C"/>
    <w:rsid w:val="003A4BAB"/>
    <w:rsid w:val="003A4C14"/>
    <w:rsid w:val="003A4C56"/>
    <w:rsid w:val="003A4D1C"/>
    <w:rsid w:val="003A5176"/>
    <w:rsid w:val="003A62BF"/>
    <w:rsid w:val="003A6974"/>
    <w:rsid w:val="003A69ED"/>
    <w:rsid w:val="003A6CB6"/>
    <w:rsid w:val="003A6D53"/>
    <w:rsid w:val="003A73A3"/>
    <w:rsid w:val="003A78E9"/>
    <w:rsid w:val="003A797C"/>
    <w:rsid w:val="003A7A61"/>
    <w:rsid w:val="003B0030"/>
    <w:rsid w:val="003B03A8"/>
    <w:rsid w:val="003B05B7"/>
    <w:rsid w:val="003B09B0"/>
    <w:rsid w:val="003B212E"/>
    <w:rsid w:val="003B2714"/>
    <w:rsid w:val="003B2BE1"/>
    <w:rsid w:val="003B2E26"/>
    <w:rsid w:val="003B33B8"/>
    <w:rsid w:val="003B3971"/>
    <w:rsid w:val="003B40F1"/>
    <w:rsid w:val="003B4536"/>
    <w:rsid w:val="003B4AFB"/>
    <w:rsid w:val="003B4DDA"/>
    <w:rsid w:val="003B5289"/>
    <w:rsid w:val="003B5293"/>
    <w:rsid w:val="003B53F0"/>
    <w:rsid w:val="003B5567"/>
    <w:rsid w:val="003B55D1"/>
    <w:rsid w:val="003B56E8"/>
    <w:rsid w:val="003B5B61"/>
    <w:rsid w:val="003B6313"/>
    <w:rsid w:val="003B63C6"/>
    <w:rsid w:val="003B76FD"/>
    <w:rsid w:val="003B798A"/>
    <w:rsid w:val="003C0EA5"/>
    <w:rsid w:val="003C1283"/>
    <w:rsid w:val="003C1654"/>
    <w:rsid w:val="003C1866"/>
    <w:rsid w:val="003C1941"/>
    <w:rsid w:val="003C2247"/>
    <w:rsid w:val="003C26DF"/>
    <w:rsid w:val="003C2E68"/>
    <w:rsid w:val="003C342A"/>
    <w:rsid w:val="003C3523"/>
    <w:rsid w:val="003C38C6"/>
    <w:rsid w:val="003C397F"/>
    <w:rsid w:val="003C4BB3"/>
    <w:rsid w:val="003C5408"/>
    <w:rsid w:val="003C5542"/>
    <w:rsid w:val="003C554B"/>
    <w:rsid w:val="003C5562"/>
    <w:rsid w:val="003C6363"/>
    <w:rsid w:val="003C68FA"/>
    <w:rsid w:val="003C6BF2"/>
    <w:rsid w:val="003C6ED6"/>
    <w:rsid w:val="003C7001"/>
    <w:rsid w:val="003C7030"/>
    <w:rsid w:val="003C754F"/>
    <w:rsid w:val="003C78CA"/>
    <w:rsid w:val="003C7C15"/>
    <w:rsid w:val="003C7D19"/>
    <w:rsid w:val="003C7D2C"/>
    <w:rsid w:val="003C7D2F"/>
    <w:rsid w:val="003D018A"/>
    <w:rsid w:val="003D02C6"/>
    <w:rsid w:val="003D06F8"/>
    <w:rsid w:val="003D082A"/>
    <w:rsid w:val="003D0C5A"/>
    <w:rsid w:val="003D1257"/>
    <w:rsid w:val="003D13C3"/>
    <w:rsid w:val="003D1828"/>
    <w:rsid w:val="003D18C5"/>
    <w:rsid w:val="003D1DE4"/>
    <w:rsid w:val="003D1E9A"/>
    <w:rsid w:val="003D1F41"/>
    <w:rsid w:val="003D201C"/>
    <w:rsid w:val="003D2422"/>
    <w:rsid w:val="003D2710"/>
    <w:rsid w:val="003D2737"/>
    <w:rsid w:val="003D2DD1"/>
    <w:rsid w:val="003D30EE"/>
    <w:rsid w:val="003D39A1"/>
    <w:rsid w:val="003D3A5D"/>
    <w:rsid w:val="003D3FAC"/>
    <w:rsid w:val="003D3FBF"/>
    <w:rsid w:val="003D4100"/>
    <w:rsid w:val="003D4936"/>
    <w:rsid w:val="003D4A30"/>
    <w:rsid w:val="003D4ACB"/>
    <w:rsid w:val="003D4B5A"/>
    <w:rsid w:val="003D4C7A"/>
    <w:rsid w:val="003D4E59"/>
    <w:rsid w:val="003D5C4D"/>
    <w:rsid w:val="003D5DE7"/>
    <w:rsid w:val="003D601C"/>
    <w:rsid w:val="003D6A31"/>
    <w:rsid w:val="003D7247"/>
    <w:rsid w:val="003D7452"/>
    <w:rsid w:val="003D776B"/>
    <w:rsid w:val="003D79BB"/>
    <w:rsid w:val="003D7C7E"/>
    <w:rsid w:val="003D7C98"/>
    <w:rsid w:val="003D7D9D"/>
    <w:rsid w:val="003D7DA1"/>
    <w:rsid w:val="003E001C"/>
    <w:rsid w:val="003E0543"/>
    <w:rsid w:val="003E1C7A"/>
    <w:rsid w:val="003E262D"/>
    <w:rsid w:val="003E27A8"/>
    <w:rsid w:val="003E293B"/>
    <w:rsid w:val="003E2B47"/>
    <w:rsid w:val="003E3119"/>
    <w:rsid w:val="003E3686"/>
    <w:rsid w:val="003E3BD3"/>
    <w:rsid w:val="003E4665"/>
    <w:rsid w:val="003E4E54"/>
    <w:rsid w:val="003E4EF1"/>
    <w:rsid w:val="003E5603"/>
    <w:rsid w:val="003E5BED"/>
    <w:rsid w:val="003E5C80"/>
    <w:rsid w:val="003E5E8C"/>
    <w:rsid w:val="003E65DA"/>
    <w:rsid w:val="003E6717"/>
    <w:rsid w:val="003E749E"/>
    <w:rsid w:val="003E7984"/>
    <w:rsid w:val="003F094A"/>
    <w:rsid w:val="003F103C"/>
    <w:rsid w:val="003F11E8"/>
    <w:rsid w:val="003F153F"/>
    <w:rsid w:val="003F1AF8"/>
    <w:rsid w:val="003F200C"/>
    <w:rsid w:val="003F2579"/>
    <w:rsid w:val="003F264E"/>
    <w:rsid w:val="003F2DA5"/>
    <w:rsid w:val="003F3175"/>
    <w:rsid w:val="003F4123"/>
    <w:rsid w:val="003F4156"/>
    <w:rsid w:val="003F49C9"/>
    <w:rsid w:val="003F546C"/>
    <w:rsid w:val="003F5569"/>
    <w:rsid w:val="003F5867"/>
    <w:rsid w:val="003F5ADF"/>
    <w:rsid w:val="003F5E26"/>
    <w:rsid w:val="003F6083"/>
    <w:rsid w:val="003F64ED"/>
    <w:rsid w:val="003F6BAB"/>
    <w:rsid w:val="003F7078"/>
    <w:rsid w:val="003F73BB"/>
    <w:rsid w:val="003F73E8"/>
    <w:rsid w:val="003F7423"/>
    <w:rsid w:val="0040011A"/>
    <w:rsid w:val="004008E3"/>
    <w:rsid w:val="00400B29"/>
    <w:rsid w:val="00400E1B"/>
    <w:rsid w:val="00401324"/>
    <w:rsid w:val="00401919"/>
    <w:rsid w:val="00401A99"/>
    <w:rsid w:val="00401B29"/>
    <w:rsid w:val="00401FF6"/>
    <w:rsid w:val="00402623"/>
    <w:rsid w:val="00402812"/>
    <w:rsid w:val="00403044"/>
    <w:rsid w:val="004036CB"/>
    <w:rsid w:val="004038C1"/>
    <w:rsid w:val="00403955"/>
    <w:rsid w:val="0040406F"/>
    <w:rsid w:val="004041C2"/>
    <w:rsid w:val="004043AE"/>
    <w:rsid w:val="004048CE"/>
    <w:rsid w:val="00404D96"/>
    <w:rsid w:val="0040504B"/>
    <w:rsid w:val="00405494"/>
    <w:rsid w:val="004059F4"/>
    <w:rsid w:val="004061B6"/>
    <w:rsid w:val="004064D1"/>
    <w:rsid w:val="0040678E"/>
    <w:rsid w:val="00406AAE"/>
    <w:rsid w:val="00406D29"/>
    <w:rsid w:val="004070B9"/>
    <w:rsid w:val="00407FE5"/>
    <w:rsid w:val="00410146"/>
    <w:rsid w:val="004101B0"/>
    <w:rsid w:val="00410326"/>
    <w:rsid w:val="00410399"/>
    <w:rsid w:val="0041068E"/>
    <w:rsid w:val="00410708"/>
    <w:rsid w:val="00410AF4"/>
    <w:rsid w:val="00410C72"/>
    <w:rsid w:val="00410E2D"/>
    <w:rsid w:val="00410EC7"/>
    <w:rsid w:val="00411B39"/>
    <w:rsid w:val="004127A7"/>
    <w:rsid w:val="00412948"/>
    <w:rsid w:val="00412C22"/>
    <w:rsid w:val="00412E29"/>
    <w:rsid w:val="00413090"/>
    <w:rsid w:val="00413A1E"/>
    <w:rsid w:val="00413AAD"/>
    <w:rsid w:val="00413F57"/>
    <w:rsid w:val="00414476"/>
    <w:rsid w:val="004145BD"/>
    <w:rsid w:val="00414662"/>
    <w:rsid w:val="00414C2E"/>
    <w:rsid w:val="00415149"/>
    <w:rsid w:val="004151CF"/>
    <w:rsid w:val="00415816"/>
    <w:rsid w:val="00416364"/>
    <w:rsid w:val="00416870"/>
    <w:rsid w:val="00416B6D"/>
    <w:rsid w:val="00416EAF"/>
    <w:rsid w:val="004172A5"/>
    <w:rsid w:val="0041784D"/>
    <w:rsid w:val="0042047F"/>
    <w:rsid w:val="00420AA6"/>
    <w:rsid w:val="00420B9F"/>
    <w:rsid w:val="004211EE"/>
    <w:rsid w:val="0042192C"/>
    <w:rsid w:val="0042194A"/>
    <w:rsid w:val="00421CBC"/>
    <w:rsid w:val="00421F7C"/>
    <w:rsid w:val="00422103"/>
    <w:rsid w:val="00422260"/>
    <w:rsid w:val="004227E3"/>
    <w:rsid w:val="00422996"/>
    <w:rsid w:val="00422B4B"/>
    <w:rsid w:val="00422B98"/>
    <w:rsid w:val="00422CAE"/>
    <w:rsid w:val="00423A3A"/>
    <w:rsid w:val="0042413F"/>
    <w:rsid w:val="004241DB"/>
    <w:rsid w:val="0042425C"/>
    <w:rsid w:val="00424615"/>
    <w:rsid w:val="0042494A"/>
    <w:rsid w:val="004258E9"/>
    <w:rsid w:val="00426015"/>
    <w:rsid w:val="00426739"/>
    <w:rsid w:val="00426EF8"/>
    <w:rsid w:val="00427CF0"/>
    <w:rsid w:val="0043036F"/>
    <w:rsid w:val="00430575"/>
    <w:rsid w:val="00430839"/>
    <w:rsid w:val="004317D6"/>
    <w:rsid w:val="004319F8"/>
    <w:rsid w:val="00431BAF"/>
    <w:rsid w:val="00431E55"/>
    <w:rsid w:val="004321F6"/>
    <w:rsid w:val="00432211"/>
    <w:rsid w:val="004322DC"/>
    <w:rsid w:val="00432F50"/>
    <w:rsid w:val="00433044"/>
    <w:rsid w:val="00433118"/>
    <w:rsid w:val="0043331C"/>
    <w:rsid w:val="00433562"/>
    <w:rsid w:val="00433764"/>
    <w:rsid w:val="00434088"/>
    <w:rsid w:val="00434328"/>
    <w:rsid w:val="004344F6"/>
    <w:rsid w:val="004347A5"/>
    <w:rsid w:val="0043542B"/>
    <w:rsid w:val="00435461"/>
    <w:rsid w:val="00435E51"/>
    <w:rsid w:val="00435F5E"/>
    <w:rsid w:val="00436991"/>
    <w:rsid w:val="00436C80"/>
    <w:rsid w:val="00436C96"/>
    <w:rsid w:val="00436D26"/>
    <w:rsid w:val="004375B9"/>
    <w:rsid w:val="00437B26"/>
    <w:rsid w:val="00437C57"/>
    <w:rsid w:val="00437C8F"/>
    <w:rsid w:val="00440023"/>
    <w:rsid w:val="004403D9"/>
    <w:rsid w:val="00440707"/>
    <w:rsid w:val="004409D3"/>
    <w:rsid w:val="004414E5"/>
    <w:rsid w:val="00441617"/>
    <w:rsid w:val="00441E25"/>
    <w:rsid w:val="004423C0"/>
    <w:rsid w:val="004428A5"/>
    <w:rsid w:val="004428D0"/>
    <w:rsid w:val="00442970"/>
    <w:rsid w:val="00442CE7"/>
    <w:rsid w:val="0044329F"/>
    <w:rsid w:val="00443949"/>
    <w:rsid w:val="00443978"/>
    <w:rsid w:val="00444185"/>
    <w:rsid w:val="004443A7"/>
    <w:rsid w:val="00444411"/>
    <w:rsid w:val="0044442C"/>
    <w:rsid w:val="0044458C"/>
    <w:rsid w:val="004445D7"/>
    <w:rsid w:val="004446BE"/>
    <w:rsid w:val="0044493F"/>
    <w:rsid w:val="00444CEC"/>
    <w:rsid w:val="00445941"/>
    <w:rsid w:val="004464CD"/>
    <w:rsid w:val="004464EB"/>
    <w:rsid w:val="00446867"/>
    <w:rsid w:val="00446FF6"/>
    <w:rsid w:val="00447BBB"/>
    <w:rsid w:val="00447D26"/>
    <w:rsid w:val="00447DFC"/>
    <w:rsid w:val="00447F13"/>
    <w:rsid w:val="00447F27"/>
    <w:rsid w:val="00450B4D"/>
    <w:rsid w:val="00450D15"/>
    <w:rsid w:val="0045121B"/>
    <w:rsid w:val="00451E6B"/>
    <w:rsid w:val="00452101"/>
    <w:rsid w:val="00452122"/>
    <w:rsid w:val="00452BF6"/>
    <w:rsid w:val="00452F37"/>
    <w:rsid w:val="004535F2"/>
    <w:rsid w:val="00453B19"/>
    <w:rsid w:val="00453CC9"/>
    <w:rsid w:val="00453F67"/>
    <w:rsid w:val="00453F78"/>
    <w:rsid w:val="0045449D"/>
    <w:rsid w:val="00454587"/>
    <w:rsid w:val="00454892"/>
    <w:rsid w:val="00454CEA"/>
    <w:rsid w:val="00454CED"/>
    <w:rsid w:val="004552F9"/>
    <w:rsid w:val="004553FA"/>
    <w:rsid w:val="004556F6"/>
    <w:rsid w:val="0045572B"/>
    <w:rsid w:val="00455D45"/>
    <w:rsid w:val="00456BE8"/>
    <w:rsid w:val="00456E86"/>
    <w:rsid w:val="00456EEA"/>
    <w:rsid w:val="004577F7"/>
    <w:rsid w:val="00457A4A"/>
    <w:rsid w:val="00457BC0"/>
    <w:rsid w:val="00457BF3"/>
    <w:rsid w:val="00460002"/>
    <w:rsid w:val="004606FE"/>
    <w:rsid w:val="004615E4"/>
    <w:rsid w:val="0046184E"/>
    <w:rsid w:val="00461B2A"/>
    <w:rsid w:val="00461CAA"/>
    <w:rsid w:val="00462C4C"/>
    <w:rsid w:val="00462EEB"/>
    <w:rsid w:val="004631CD"/>
    <w:rsid w:val="00463296"/>
    <w:rsid w:val="00463681"/>
    <w:rsid w:val="00463888"/>
    <w:rsid w:val="0046396A"/>
    <w:rsid w:val="00463BC4"/>
    <w:rsid w:val="00463C95"/>
    <w:rsid w:val="00464595"/>
    <w:rsid w:val="004658B5"/>
    <w:rsid w:val="0046614A"/>
    <w:rsid w:val="004663B0"/>
    <w:rsid w:val="00466B42"/>
    <w:rsid w:val="00466C6F"/>
    <w:rsid w:val="00466E68"/>
    <w:rsid w:val="004672C3"/>
    <w:rsid w:val="00467A4B"/>
    <w:rsid w:val="00467A6D"/>
    <w:rsid w:val="00467DE0"/>
    <w:rsid w:val="00467DEF"/>
    <w:rsid w:val="00470BF8"/>
    <w:rsid w:val="00471EA5"/>
    <w:rsid w:val="0047259C"/>
    <w:rsid w:val="00472A79"/>
    <w:rsid w:val="0047340C"/>
    <w:rsid w:val="00473F19"/>
    <w:rsid w:val="00474233"/>
    <w:rsid w:val="0047437D"/>
    <w:rsid w:val="004753A9"/>
    <w:rsid w:val="00475C4D"/>
    <w:rsid w:val="00475E22"/>
    <w:rsid w:val="00476077"/>
    <w:rsid w:val="00476182"/>
    <w:rsid w:val="00476804"/>
    <w:rsid w:val="004773DA"/>
    <w:rsid w:val="004775A5"/>
    <w:rsid w:val="0048079A"/>
    <w:rsid w:val="0048088E"/>
    <w:rsid w:val="00480F2B"/>
    <w:rsid w:val="00481593"/>
    <w:rsid w:val="00481A22"/>
    <w:rsid w:val="00481CC7"/>
    <w:rsid w:val="00482244"/>
    <w:rsid w:val="004823FF"/>
    <w:rsid w:val="00482552"/>
    <w:rsid w:val="00482720"/>
    <w:rsid w:val="0048282E"/>
    <w:rsid w:val="0048298F"/>
    <w:rsid w:val="00482EFA"/>
    <w:rsid w:val="004835E7"/>
    <w:rsid w:val="004836BD"/>
    <w:rsid w:val="00483A73"/>
    <w:rsid w:val="0048459D"/>
    <w:rsid w:val="00484630"/>
    <w:rsid w:val="004846BE"/>
    <w:rsid w:val="0048485A"/>
    <w:rsid w:val="00484D5B"/>
    <w:rsid w:val="004855E6"/>
    <w:rsid w:val="004859E1"/>
    <w:rsid w:val="00486524"/>
    <w:rsid w:val="004867E2"/>
    <w:rsid w:val="00486F83"/>
    <w:rsid w:val="004906ED"/>
    <w:rsid w:val="00490B17"/>
    <w:rsid w:val="00491561"/>
    <w:rsid w:val="004915F6"/>
    <w:rsid w:val="00491B3A"/>
    <w:rsid w:val="00492189"/>
    <w:rsid w:val="00492779"/>
    <w:rsid w:val="00492BBE"/>
    <w:rsid w:val="00492CFD"/>
    <w:rsid w:val="0049303A"/>
    <w:rsid w:val="00493253"/>
    <w:rsid w:val="004932A4"/>
    <w:rsid w:val="00493514"/>
    <w:rsid w:val="00493ECD"/>
    <w:rsid w:val="00494126"/>
    <w:rsid w:val="00494207"/>
    <w:rsid w:val="004942CA"/>
    <w:rsid w:val="00494680"/>
    <w:rsid w:val="00494A8F"/>
    <w:rsid w:val="00494BFD"/>
    <w:rsid w:val="00494DD5"/>
    <w:rsid w:val="00494F6F"/>
    <w:rsid w:val="00495089"/>
    <w:rsid w:val="004955D7"/>
    <w:rsid w:val="004956D8"/>
    <w:rsid w:val="004958D8"/>
    <w:rsid w:val="004962D2"/>
    <w:rsid w:val="004969CB"/>
    <w:rsid w:val="004973FE"/>
    <w:rsid w:val="00497728"/>
    <w:rsid w:val="00497D9A"/>
    <w:rsid w:val="004A0233"/>
    <w:rsid w:val="004A024E"/>
    <w:rsid w:val="004A03B8"/>
    <w:rsid w:val="004A0671"/>
    <w:rsid w:val="004A0DA1"/>
    <w:rsid w:val="004A13D6"/>
    <w:rsid w:val="004A1580"/>
    <w:rsid w:val="004A1A49"/>
    <w:rsid w:val="004A1DBD"/>
    <w:rsid w:val="004A23F4"/>
    <w:rsid w:val="004A2747"/>
    <w:rsid w:val="004A29E1"/>
    <w:rsid w:val="004A2EDF"/>
    <w:rsid w:val="004A2FA3"/>
    <w:rsid w:val="004A38D1"/>
    <w:rsid w:val="004A3908"/>
    <w:rsid w:val="004A4432"/>
    <w:rsid w:val="004A4BD7"/>
    <w:rsid w:val="004A52E9"/>
    <w:rsid w:val="004A5638"/>
    <w:rsid w:val="004A5B26"/>
    <w:rsid w:val="004A5F02"/>
    <w:rsid w:val="004A6040"/>
    <w:rsid w:val="004A6597"/>
    <w:rsid w:val="004A6744"/>
    <w:rsid w:val="004A7492"/>
    <w:rsid w:val="004A77F8"/>
    <w:rsid w:val="004A7848"/>
    <w:rsid w:val="004A793B"/>
    <w:rsid w:val="004A7E69"/>
    <w:rsid w:val="004B0074"/>
    <w:rsid w:val="004B1489"/>
    <w:rsid w:val="004B1874"/>
    <w:rsid w:val="004B1CB4"/>
    <w:rsid w:val="004B1E78"/>
    <w:rsid w:val="004B2F18"/>
    <w:rsid w:val="004B39A4"/>
    <w:rsid w:val="004B3DDB"/>
    <w:rsid w:val="004B44FD"/>
    <w:rsid w:val="004B5078"/>
    <w:rsid w:val="004B53A5"/>
    <w:rsid w:val="004B5CFC"/>
    <w:rsid w:val="004B6052"/>
    <w:rsid w:val="004B608A"/>
    <w:rsid w:val="004B6F79"/>
    <w:rsid w:val="004B6FAB"/>
    <w:rsid w:val="004B713A"/>
    <w:rsid w:val="004B7239"/>
    <w:rsid w:val="004B774D"/>
    <w:rsid w:val="004B796C"/>
    <w:rsid w:val="004B7DD1"/>
    <w:rsid w:val="004B7EFB"/>
    <w:rsid w:val="004C00ED"/>
    <w:rsid w:val="004C0576"/>
    <w:rsid w:val="004C0873"/>
    <w:rsid w:val="004C207F"/>
    <w:rsid w:val="004C2088"/>
    <w:rsid w:val="004C2213"/>
    <w:rsid w:val="004C24A9"/>
    <w:rsid w:val="004C2AC2"/>
    <w:rsid w:val="004C38E1"/>
    <w:rsid w:val="004C3B02"/>
    <w:rsid w:val="004C3FE0"/>
    <w:rsid w:val="004C47A0"/>
    <w:rsid w:val="004C4AED"/>
    <w:rsid w:val="004C5931"/>
    <w:rsid w:val="004C5B46"/>
    <w:rsid w:val="004C6045"/>
    <w:rsid w:val="004C6A33"/>
    <w:rsid w:val="004C6A62"/>
    <w:rsid w:val="004C7330"/>
    <w:rsid w:val="004C765E"/>
    <w:rsid w:val="004C7A50"/>
    <w:rsid w:val="004C7EA7"/>
    <w:rsid w:val="004C7F32"/>
    <w:rsid w:val="004D0BE7"/>
    <w:rsid w:val="004D0F18"/>
    <w:rsid w:val="004D0F29"/>
    <w:rsid w:val="004D14F0"/>
    <w:rsid w:val="004D1A8B"/>
    <w:rsid w:val="004D1EBC"/>
    <w:rsid w:val="004D217B"/>
    <w:rsid w:val="004D232A"/>
    <w:rsid w:val="004D2366"/>
    <w:rsid w:val="004D2938"/>
    <w:rsid w:val="004D2AA7"/>
    <w:rsid w:val="004D2C2D"/>
    <w:rsid w:val="004D2FFE"/>
    <w:rsid w:val="004D3AE2"/>
    <w:rsid w:val="004D3AE5"/>
    <w:rsid w:val="004D45FC"/>
    <w:rsid w:val="004D4791"/>
    <w:rsid w:val="004D52FA"/>
    <w:rsid w:val="004D53E4"/>
    <w:rsid w:val="004D5A21"/>
    <w:rsid w:val="004D617F"/>
    <w:rsid w:val="004D69A1"/>
    <w:rsid w:val="004D69B5"/>
    <w:rsid w:val="004D6DCD"/>
    <w:rsid w:val="004D6DD4"/>
    <w:rsid w:val="004D7227"/>
    <w:rsid w:val="004D7577"/>
    <w:rsid w:val="004D7AAD"/>
    <w:rsid w:val="004D7AC6"/>
    <w:rsid w:val="004D7B5E"/>
    <w:rsid w:val="004D7F5E"/>
    <w:rsid w:val="004E0E77"/>
    <w:rsid w:val="004E0E7F"/>
    <w:rsid w:val="004E0EAB"/>
    <w:rsid w:val="004E0EB8"/>
    <w:rsid w:val="004E106F"/>
    <w:rsid w:val="004E1140"/>
    <w:rsid w:val="004E13D0"/>
    <w:rsid w:val="004E1750"/>
    <w:rsid w:val="004E1867"/>
    <w:rsid w:val="004E18E9"/>
    <w:rsid w:val="004E20A2"/>
    <w:rsid w:val="004E2181"/>
    <w:rsid w:val="004E2A04"/>
    <w:rsid w:val="004E2ADC"/>
    <w:rsid w:val="004E2C89"/>
    <w:rsid w:val="004E2DF6"/>
    <w:rsid w:val="004E301B"/>
    <w:rsid w:val="004E3778"/>
    <w:rsid w:val="004E3A9E"/>
    <w:rsid w:val="004E3E5C"/>
    <w:rsid w:val="004E43B2"/>
    <w:rsid w:val="004E45D5"/>
    <w:rsid w:val="004E53FC"/>
    <w:rsid w:val="004E55BD"/>
    <w:rsid w:val="004E5CD3"/>
    <w:rsid w:val="004E5EC5"/>
    <w:rsid w:val="004E5FC5"/>
    <w:rsid w:val="004E64BF"/>
    <w:rsid w:val="004E67B5"/>
    <w:rsid w:val="004E6B69"/>
    <w:rsid w:val="004F01EC"/>
    <w:rsid w:val="004F038E"/>
    <w:rsid w:val="004F0C84"/>
    <w:rsid w:val="004F0D35"/>
    <w:rsid w:val="004F12F4"/>
    <w:rsid w:val="004F1B49"/>
    <w:rsid w:val="004F1C6A"/>
    <w:rsid w:val="004F1D02"/>
    <w:rsid w:val="004F24D5"/>
    <w:rsid w:val="004F2679"/>
    <w:rsid w:val="004F2F21"/>
    <w:rsid w:val="004F3DE5"/>
    <w:rsid w:val="004F48B7"/>
    <w:rsid w:val="004F4E9F"/>
    <w:rsid w:val="004F50D8"/>
    <w:rsid w:val="004F5960"/>
    <w:rsid w:val="004F5B97"/>
    <w:rsid w:val="004F5F08"/>
    <w:rsid w:val="004F6913"/>
    <w:rsid w:val="004F6CB2"/>
    <w:rsid w:val="004F742B"/>
    <w:rsid w:val="004F745E"/>
    <w:rsid w:val="004F7865"/>
    <w:rsid w:val="004F78EF"/>
    <w:rsid w:val="004F7FF7"/>
    <w:rsid w:val="005009C4"/>
    <w:rsid w:val="00500C9D"/>
    <w:rsid w:val="0050174E"/>
    <w:rsid w:val="00501854"/>
    <w:rsid w:val="00501910"/>
    <w:rsid w:val="00501B99"/>
    <w:rsid w:val="0050219B"/>
    <w:rsid w:val="0050331E"/>
    <w:rsid w:val="0050396F"/>
    <w:rsid w:val="00503B59"/>
    <w:rsid w:val="00503F17"/>
    <w:rsid w:val="00503F3A"/>
    <w:rsid w:val="005040D7"/>
    <w:rsid w:val="005048CB"/>
    <w:rsid w:val="00504F6F"/>
    <w:rsid w:val="00505142"/>
    <w:rsid w:val="00505B6F"/>
    <w:rsid w:val="00505F23"/>
    <w:rsid w:val="005068C3"/>
    <w:rsid w:val="00506905"/>
    <w:rsid w:val="00506928"/>
    <w:rsid w:val="00506C26"/>
    <w:rsid w:val="00507225"/>
    <w:rsid w:val="00507276"/>
    <w:rsid w:val="00507556"/>
    <w:rsid w:val="005077EF"/>
    <w:rsid w:val="005116BA"/>
    <w:rsid w:val="00511AD5"/>
    <w:rsid w:val="00511BC3"/>
    <w:rsid w:val="00511DC2"/>
    <w:rsid w:val="00511DC7"/>
    <w:rsid w:val="00511E90"/>
    <w:rsid w:val="00511F01"/>
    <w:rsid w:val="00512486"/>
    <w:rsid w:val="00512671"/>
    <w:rsid w:val="00513452"/>
    <w:rsid w:val="00513920"/>
    <w:rsid w:val="005142C5"/>
    <w:rsid w:val="00514691"/>
    <w:rsid w:val="00514B47"/>
    <w:rsid w:val="00514CF1"/>
    <w:rsid w:val="0051501B"/>
    <w:rsid w:val="0051528D"/>
    <w:rsid w:val="005152B5"/>
    <w:rsid w:val="005153D6"/>
    <w:rsid w:val="0051541F"/>
    <w:rsid w:val="00515886"/>
    <w:rsid w:val="00515B6E"/>
    <w:rsid w:val="00516568"/>
    <w:rsid w:val="00516B90"/>
    <w:rsid w:val="005170DC"/>
    <w:rsid w:val="005172F8"/>
    <w:rsid w:val="00517A6B"/>
    <w:rsid w:val="005206C8"/>
    <w:rsid w:val="0052123C"/>
    <w:rsid w:val="00521319"/>
    <w:rsid w:val="00521A3D"/>
    <w:rsid w:val="00522BC8"/>
    <w:rsid w:val="0052301C"/>
    <w:rsid w:val="005230C2"/>
    <w:rsid w:val="00523697"/>
    <w:rsid w:val="005238A8"/>
    <w:rsid w:val="00523B33"/>
    <w:rsid w:val="00523C28"/>
    <w:rsid w:val="005249BC"/>
    <w:rsid w:val="00524A17"/>
    <w:rsid w:val="00524E10"/>
    <w:rsid w:val="005253CF"/>
    <w:rsid w:val="005254A0"/>
    <w:rsid w:val="005254BA"/>
    <w:rsid w:val="00525C91"/>
    <w:rsid w:val="00526057"/>
    <w:rsid w:val="00526297"/>
    <w:rsid w:val="005266E1"/>
    <w:rsid w:val="00526A1B"/>
    <w:rsid w:val="00527749"/>
    <w:rsid w:val="005279FF"/>
    <w:rsid w:val="00527F11"/>
    <w:rsid w:val="00527FB0"/>
    <w:rsid w:val="00530572"/>
    <w:rsid w:val="00530DD6"/>
    <w:rsid w:val="0053176B"/>
    <w:rsid w:val="00532AE1"/>
    <w:rsid w:val="00532F08"/>
    <w:rsid w:val="005332CC"/>
    <w:rsid w:val="00533543"/>
    <w:rsid w:val="00533CA2"/>
    <w:rsid w:val="00533E2C"/>
    <w:rsid w:val="005341B3"/>
    <w:rsid w:val="00534D4C"/>
    <w:rsid w:val="00535CA0"/>
    <w:rsid w:val="00535CAA"/>
    <w:rsid w:val="005360DC"/>
    <w:rsid w:val="005362C2"/>
    <w:rsid w:val="0053680A"/>
    <w:rsid w:val="0053699D"/>
    <w:rsid w:val="005369F8"/>
    <w:rsid w:val="00536F42"/>
    <w:rsid w:val="00537182"/>
    <w:rsid w:val="005374D4"/>
    <w:rsid w:val="00540257"/>
    <w:rsid w:val="0054057A"/>
    <w:rsid w:val="005412C9"/>
    <w:rsid w:val="00541611"/>
    <w:rsid w:val="005419C4"/>
    <w:rsid w:val="00541EDD"/>
    <w:rsid w:val="00541F6C"/>
    <w:rsid w:val="00541F8D"/>
    <w:rsid w:val="005426FD"/>
    <w:rsid w:val="00542743"/>
    <w:rsid w:val="005428C9"/>
    <w:rsid w:val="0054294D"/>
    <w:rsid w:val="00542AAD"/>
    <w:rsid w:val="00542C2D"/>
    <w:rsid w:val="00542C4C"/>
    <w:rsid w:val="00543373"/>
    <w:rsid w:val="005436AA"/>
    <w:rsid w:val="005438D0"/>
    <w:rsid w:val="00543B37"/>
    <w:rsid w:val="00543F14"/>
    <w:rsid w:val="00543F20"/>
    <w:rsid w:val="00543FE5"/>
    <w:rsid w:val="005440EA"/>
    <w:rsid w:val="00544820"/>
    <w:rsid w:val="00545232"/>
    <w:rsid w:val="005457C5"/>
    <w:rsid w:val="005459A3"/>
    <w:rsid w:val="00545E49"/>
    <w:rsid w:val="00546508"/>
    <w:rsid w:val="00546EFE"/>
    <w:rsid w:val="00547005"/>
    <w:rsid w:val="005475F0"/>
    <w:rsid w:val="005478BD"/>
    <w:rsid w:val="00547991"/>
    <w:rsid w:val="005479E3"/>
    <w:rsid w:val="00547AA0"/>
    <w:rsid w:val="00547B91"/>
    <w:rsid w:val="00547C37"/>
    <w:rsid w:val="005500C7"/>
    <w:rsid w:val="00551505"/>
    <w:rsid w:val="005516F5"/>
    <w:rsid w:val="00551985"/>
    <w:rsid w:val="00552413"/>
    <w:rsid w:val="00552BD3"/>
    <w:rsid w:val="00552D0E"/>
    <w:rsid w:val="0055310F"/>
    <w:rsid w:val="005532A0"/>
    <w:rsid w:val="0055346C"/>
    <w:rsid w:val="00554B5A"/>
    <w:rsid w:val="00554F0C"/>
    <w:rsid w:val="00555109"/>
    <w:rsid w:val="0055565E"/>
    <w:rsid w:val="0055590B"/>
    <w:rsid w:val="00555D15"/>
    <w:rsid w:val="005568F2"/>
    <w:rsid w:val="00556B35"/>
    <w:rsid w:val="0055741A"/>
    <w:rsid w:val="005577EF"/>
    <w:rsid w:val="00557B19"/>
    <w:rsid w:val="0056020F"/>
    <w:rsid w:val="00560679"/>
    <w:rsid w:val="005611B7"/>
    <w:rsid w:val="00561605"/>
    <w:rsid w:val="00561797"/>
    <w:rsid w:val="005618D4"/>
    <w:rsid w:val="00561933"/>
    <w:rsid w:val="00561957"/>
    <w:rsid w:val="00561B9A"/>
    <w:rsid w:val="00561DD2"/>
    <w:rsid w:val="0056281C"/>
    <w:rsid w:val="00562ED3"/>
    <w:rsid w:val="00563190"/>
    <w:rsid w:val="0056358F"/>
    <w:rsid w:val="00563B4E"/>
    <w:rsid w:val="00564171"/>
    <w:rsid w:val="005643CA"/>
    <w:rsid w:val="00564867"/>
    <w:rsid w:val="00564D17"/>
    <w:rsid w:val="00564D2B"/>
    <w:rsid w:val="0056529A"/>
    <w:rsid w:val="00565336"/>
    <w:rsid w:val="00565B7A"/>
    <w:rsid w:val="00565C79"/>
    <w:rsid w:val="00565DF0"/>
    <w:rsid w:val="00565EA6"/>
    <w:rsid w:val="00566515"/>
    <w:rsid w:val="0056696F"/>
    <w:rsid w:val="00567582"/>
    <w:rsid w:val="00567D1B"/>
    <w:rsid w:val="005707F2"/>
    <w:rsid w:val="0057135C"/>
    <w:rsid w:val="0057215F"/>
    <w:rsid w:val="005721EF"/>
    <w:rsid w:val="00572269"/>
    <w:rsid w:val="0057244A"/>
    <w:rsid w:val="00572588"/>
    <w:rsid w:val="00572793"/>
    <w:rsid w:val="00572ED9"/>
    <w:rsid w:val="00572F26"/>
    <w:rsid w:val="00573622"/>
    <w:rsid w:val="005736BD"/>
    <w:rsid w:val="00574BAC"/>
    <w:rsid w:val="00574FC1"/>
    <w:rsid w:val="00575041"/>
    <w:rsid w:val="005750C5"/>
    <w:rsid w:val="005752DE"/>
    <w:rsid w:val="00575D60"/>
    <w:rsid w:val="00575D8D"/>
    <w:rsid w:val="0057651C"/>
    <w:rsid w:val="0057684F"/>
    <w:rsid w:val="00576972"/>
    <w:rsid w:val="00577248"/>
    <w:rsid w:val="005778C2"/>
    <w:rsid w:val="00577F53"/>
    <w:rsid w:val="0058036D"/>
    <w:rsid w:val="0058095F"/>
    <w:rsid w:val="005815C3"/>
    <w:rsid w:val="00581619"/>
    <w:rsid w:val="0058186D"/>
    <w:rsid w:val="005823E8"/>
    <w:rsid w:val="0058355F"/>
    <w:rsid w:val="00583699"/>
    <w:rsid w:val="0058399E"/>
    <w:rsid w:val="00583B64"/>
    <w:rsid w:val="00583EFE"/>
    <w:rsid w:val="00584A05"/>
    <w:rsid w:val="005852FF"/>
    <w:rsid w:val="00585759"/>
    <w:rsid w:val="00585B89"/>
    <w:rsid w:val="00585CAD"/>
    <w:rsid w:val="00585CDD"/>
    <w:rsid w:val="00585ED2"/>
    <w:rsid w:val="00585FD9"/>
    <w:rsid w:val="00586394"/>
    <w:rsid w:val="00586519"/>
    <w:rsid w:val="00586755"/>
    <w:rsid w:val="00587058"/>
    <w:rsid w:val="005870FB"/>
    <w:rsid w:val="00587E11"/>
    <w:rsid w:val="00590821"/>
    <w:rsid w:val="00590CD1"/>
    <w:rsid w:val="00590E56"/>
    <w:rsid w:val="00591159"/>
    <w:rsid w:val="00591957"/>
    <w:rsid w:val="00591C3D"/>
    <w:rsid w:val="0059242E"/>
    <w:rsid w:val="005926BD"/>
    <w:rsid w:val="00592F94"/>
    <w:rsid w:val="00592FBC"/>
    <w:rsid w:val="005931EB"/>
    <w:rsid w:val="00595206"/>
    <w:rsid w:val="00595A1E"/>
    <w:rsid w:val="00596153"/>
    <w:rsid w:val="005978D0"/>
    <w:rsid w:val="00597BF9"/>
    <w:rsid w:val="00597F5E"/>
    <w:rsid w:val="005A012A"/>
    <w:rsid w:val="005A0594"/>
    <w:rsid w:val="005A06BA"/>
    <w:rsid w:val="005A091E"/>
    <w:rsid w:val="005A0C11"/>
    <w:rsid w:val="005A0FBF"/>
    <w:rsid w:val="005A1048"/>
    <w:rsid w:val="005A151F"/>
    <w:rsid w:val="005A1624"/>
    <w:rsid w:val="005A1C2E"/>
    <w:rsid w:val="005A255E"/>
    <w:rsid w:val="005A2B98"/>
    <w:rsid w:val="005A309A"/>
    <w:rsid w:val="005A373D"/>
    <w:rsid w:val="005A4821"/>
    <w:rsid w:val="005A516E"/>
    <w:rsid w:val="005A55A3"/>
    <w:rsid w:val="005A5F59"/>
    <w:rsid w:val="005A6428"/>
    <w:rsid w:val="005A660C"/>
    <w:rsid w:val="005A6865"/>
    <w:rsid w:val="005A68CC"/>
    <w:rsid w:val="005A6C5E"/>
    <w:rsid w:val="005A70B7"/>
    <w:rsid w:val="005A73FD"/>
    <w:rsid w:val="005A76B3"/>
    <w:rsid w:val="005A7CFC"/>
    <w:rsid w:val="005B0B58"/>
    <w:rsid w:val="005B14B0"/>
    <w:rsid w:val="005B1927"/>
    <w:rsid w:val="005B2BF0"/>
    <w:rsid w:val="005B31E1"/>
    <w:rsid w:val="005B372F"/>
    <w:rsid w:val="005B3D23"/>
    <w:rsid w:val="005B3E16"/>
    <w:rsid w:val="005B3F28"/>
    <w:rsid w:val="005B43FD"/>
    <w:rsid w:val="005B4E53"/>
    <w:rsid w:val="005B4EF4"/>
    <w:rsid w:val="005B4F22"/>
    <w:rsid w:val="005B5857"/>
    <w:rsid w:val="005B62DC"/>
    <w:rsid w:val="005B62EA"/>
    <w:rsid w:val="005B64C1"/>
    <w:rsid w:val="005B694E"/>
    <w:rsid w:val="005B6A06"/>
    <w:rsid w:val="005B6A44"/>
    <w:rsid w:val="005B72A1"/>
    <w:rsid w:val="005C011C"/>
    <w:rsid w:val="005C0888"/>
    <w:rsid w:val="005C0895"/>
    <w:rsid w:val="005C1750"/>
    <w:rsid w:val="005C184E"/>
    <w:rsid w:val="005C18DA"/>
    <w:rsid w:val="005C19C4"/>
    <w:rsid w:val="005C1B83"/>
    <w:rsid w:val="005C25FF"/>
    <w:rsid w:val="005C2D24"/>
    <w:rsid w:val="005C2D55"/>
    <w:rsid w:val="005C346B"/>
    <w:rsid w:val="005C4408"/>
    <w:rsid w:val="005C457D"/>
    <w:rsid w:val="005C46AF"/>
    <w:rsid w:val="005C4B68"/>
    <w:rsid w:val="005C5ABC"/>
    <w:rsid w:val="005C5D04"/>
    <w:rsid w:val="005C6775"/>
    <w:rsid w:val="005D0218"/>
    <w:rsid w:val="005D044D"/>
    <w:rsid w:val="005D087A"/>
    <w:rsid w:val="005D08CC"/>
    <w:rsid w:val="005D0ABD"/>
    <w:rsid w:val="005D0D91"/>
    <w:rsid w:val="005D1390"/>
    <w:rsid w:val="005D18AD"/>
    <w:rsid w:val="005D1967"/>
    <w:rsid w:val="005D1ADF"/>
    <w:rsid w:val="005D1B87"/>
    <w:rsid w:val="005D26B4"/>
    <w:rsid w:val="005D286D"/>
    <w:rsid w:val="005D3473"/>
    <w:rsid w:val="005D38DB"/>
    <w:rsid w:val="005D5C46"/>
    <w:rsid w:val="005D5DBB"/>
    <w:rsid w:val="005D6769"/>
    <w:rsid w:val="005D6F08"/>
    <w:rsid w:val="005D7B95"/>
    <w:rsid w:val="005D7C96"/>
    <w:rsid w:val="005D7EBB"/>
    <w:rsid w:val="005E00E9"/>
    <w:rsid w:val="005E0F99"/>
    <w:rsid w:val="005E1995"/>
    <w:rsid w:val="005E1CB9"/>
    <w:rsid w:val="005E2009"/>
    <w:rsid w:val="005E242A"/>
    <w:rsid w:val="005E292F"/>
    <w:rsid w:val="005E2D7C"/>
    <w:rsid w:val="005E2DF9"/>
    <w:rsid w:val="005E30C5"/>
    <w:rsid w:val="005E4475"/>
    <w:rsid w:val="005E4649"/>
    <w:rsid w:val="005E4A74"/>
    <w:rsid w:val="005E4B2D"/>
    <w:rsid w:val="005E4C4D"/>
    <w:rsid w:val="005E4D91"/>
    <w:rsid w:val="005E5226"/>
    <w:rsid w:val="005E52BF"/>
    <w:rsid w:val="005E5A6F"/>
    <w:rsid w:val="005E5B88"/>
    <w:rsid w:val="005E5BDD"/>
    <w:rsid w:val="005E67A5"/>
    <w:rsid w:val="005E6892"/>
    <w:rsid w:val="005E6CBC"/>
    <w:rsid w:val="005E72FF"/>
    <w:rsid w:val="005E73C0"/>
    <w:rsid w:val="005E7C56"/>
    <w:rsid w:val="005E7E58"/>
    <w:rsid w:val="005E7FA1"/>
    <w:rsid w:val="005F066C"/>
    <w:rsid w:val="005F069F"/>
    <w:rsid w:val="005F07ED"/>
    <w:rsid w:val="005F156E"/>
    <w:rsid w:val="005F1604"/>
    <w:rsid w:val="005F2706"/>
    <w:rsid w:val="005F2A09"/>
    <w:rsid w:val="005F3B63"/>
    <w:rsid w:val="005F3F97"/>
    <w:rsid w:val="005F3FD8"/>
    <w:rsid w:val="005F4183"/>
    <w:rsid w:val="005F4376"/>
    <w:rsid w:val="005F4485"/>
    <w:rsid w:val="005F4CAC"/>
    <w:rsid w:val="005F55D5"/>
    <w:rsid w:val="005F59A9"/>
    <w:rsid w:val="005F61CB"/>
    <w:rsid w:val="005F6A8F"/>
    <w:rsid w:val="005F6BB7"/>
    <w:rsid w:val="005F6DED"/>
    <w:rsid w:val="005F7105"/>
    <w:rsid w:val="005F745C"/>
    <w:rsid w:val="005F7588"/>
    <w:rsid w:val="005F760C"/>
    <w:rsid w:val="005F7F8F"/>
    <w:rsid w:val="0060005E"/>
    <w:rsid w:val="0060030E"/>
    <w:rsid w:val="00601841"/>
    <w:rsid w:val="00601B43"/>
    <w:rsid w:val="006025C7"/>
    <w:rsid w:val="006028D3"/>
    <w:rsid w:val="00602A80"/>
    <w:rsid w:val="006033B4"/>
    <w:rsid w:val="006035D9"/>
    <w:rsid w:val="00603DB9"/>
    <w:rsid w:val="00603EB1"/>
    <w:rsid w:val="00603F8C"/>
    <w:rsid w:val="00604708"/>
    <w:rsid w:val="00605303"/>
    <w:rsid w:val="006057F5"/>
    <w:rsid w:val="00606353"/>
    <w:rsid w:val="00606577"/>
    <w:rsid w:val="0060689B"/>
    <w:rsid w:val="00606FBA"/>
    <w:rsid w:val="006070F9"/>
    <w:rsid w:val="006071E7"/>
    <w:rsid w:val="00607550"/>
    <w:rsid w:val="00607669"/>
    <w:rsid w:val="006076F4"/>
    <w:rsid w:val="00607AFD"/>
    <w:rsid w:val="0061055D"/>
    <w:rsid w:val="00610D9B"/>
    <w:rsid w:val="00610F42"/>
    <w:rsid w:val="00611AC3"/>
    <w:rsid w:val="00611ADD"/>
    <w:rsid w:val="00611B12"/>
    <w:rsid w:val="00612153"/>
    <w:rsid w:val="00612277"/>
    <w:rsid w:val="00612DD6"/>
    <w:rsid w:val="00612F97"/>
    <w:rsid w:val="006131E4"/>
    <w:rsid w:val="006132DD"/>
    <w:rsid w:val="0061345D"/>
    <w:rsid w:val="00613675"/>
    <w:rsid w:val="0061367A"/>
    <w:rsid w:val="006137FE"/>
    <w:rsid w:val="00613C0D"/>
    <w:rsid w:val="006148C0"/>
    <w:rsid w:val="00614EAF"/>
    <w:rsid w:val="0061505B"/>
    <w:rsid w:val="006150C7"/>
    <w:rsid w:val="0061549B"/>
    <w:rsid w:val="00616235"/>
    <w:rsid w:val="00616802"/>
    <w:rsid w:val="006168B8"/>
    <w:rsid w:val="006168C4"/>
    <w:rsid w:val="00616A55"/>
    <w:rsid w:val="00616DA1"/>
    <w:rsid w:val="00617432"/>
    <w:rsid w:val="006174C3"/>
    <w:rsid w:val="006177DD"/>
    <w:rsid w:val="00617B1C"/>
    <w:rsid w:val="00617E12"/>
    <w:rsid w:val="00620C25"/>
    <w:rsid w:val="00620D23"/>
    <w:rsid w:val="00621477"/>
    <w:rsid w:val="00621658"/>
    <w:rsid w:val="00621842"/>
    <w:rsid w:val="00621ADA"/>
    <w:rsid w:val="00621B9F"/>
    <w:rsid w:val="0062207C"/>
    <w:rsid w:val="006220EA"/>
    <w:rsid w:val="00622271"/>
    <w:rsid w:val="006224DB"/>
    <w:rsid w:val="00622C01"/>
    <w:rsid w:val="00622D97"/>
    <w:rsid w:val="00622EFC"/>
    <w:rsid w:val="006230FE"/>
    <w:rsid w:val="00623B92"/>
    <w:rsid w:val="00623F7B"/>
    <w:rsid w:val="00624332"/>
    <w:rsid w:val="00624BD4"/>
    <w:rsid w:val="006257F4"/>
    <w:rsid w:val="00625CA2"/>
    <w:rsid w:val="006261EA"/>
    <w:rsid w:val="006273BE"/>
    <w:rsid w:val="0063033F"/>
    <w:rsid w:val="006308DF"/>
    <w:rsid w:val="0063158F"/>
    <w:rsid w:val="0063199E"/>
    <w:rsid w:val="00631A17"/>
    <w:rsid w:val="00631BFE"/>
    <w:rsid w:val="00631D6B"/>
    <w:rsid w:val="00632183"/>
    <w:rsid w:val="00632620"/>
    <w:rsid w:val="00632842"/>
    <w:rsid w:val="006330A1"/>
    <w:rsid w:val="0063316F"/>
    <w:rsid w:val="0063331C"/>
    <w:rsid w:val="0063348D"/>
    <w:rsid w:val="00633767"/>
    <w:rsid w:val="00633792"/>
    <w:rsid w:val="00633C6F"/>
    <w:rsid w:val="00633EA8"/>
    <w:rsid w:val="006345BB"/>
    <w:rsid w:val="00634650"/>
    <w:rsid w:val="00634676"/>
    <w:rsid w:val="00634734"/>
    <w:rsid w:val="0063479F"/>
    <w:rsid w:val="006349D2"/>
    <w:rsid w:val="00634ABA"/>
    <w:rsid w:val="00634D01"/>
    <w:rsid w:val="00635148"/>
    <w:rsid w:val="006353B5"/>
    <w:rsid w:val="006353F0"/>
    <w:rsid w:val="00635414"/>
    <w:rsid w:val="006357B5"/>
    <w:rsid w:val="00635AAF"/>
    <w:rsid w:val="00635CEE"/>
    <w:rsid w:val="00635EE3"/>
    <w:rsid w:val="0063644B"/>
    <w:rsid w:val="006364A1"/>
    <w:rsid w:val="0063678E"/>
    <w:rsid w:val="00636840"/>
    <w:rsid w:val="00636DCA"/>
    <w:rsid w:val="006375BA"/>
    <w:rsid w:val="0063798F"/>
    <w:rsid w:val="00637BFD"/>
    <w:rsid w:val="00637C5C"/>
    <w:rsid w:val="006405A1"/>
    <w:rsid w:val="0064091E"/>
    <w:rsid w:val="00640D3E"/>
    <w:rsid w:val="00640D71"/>
    <w:rsid w:val="006412CE"/>
    <w:rsid w:val="00641737"/>
    <w:rsid w:val="00641C4E"/>
    <w:rsid w:val="00641FB3"/>
    <w:rsid w:val="006423E1"/>
    <w:rsid w:val="00642620"/>
    <w:rsid w:val="006426EF"/>
    <w:rsid w:val="00642B6D"/>
    <w:rsid w:val="006439A6"/>
    <w:rsid w:val="00643DE8"/>
    <w:rsid w:val="00643E94"/>
    <w:rsid w:val="0064415F"/>
    <w:rsid w:val="0064417F"/>
    <w:rsid w:val="0064434C"/>
    <w:rsid w:val="00644456"/>
    <w:rsid w:val="00644607"/>
    <w:rsid w:val="006448A9"/>
    <w:rsid w:val="006448DD"/>
    <w:rsid w:val="00644FD6"/>
    <w:rsid w:val="00645958"/>
    <w:rsid w:val="006461FF"/>
    <w:rsid w:val="006466E0"/>
    <w:rsid w:val="006470F8"/>
    <w:rsid w:val="006471CC"/>
    <w:rsid w:val="006472FE"/>
    <w:rsid w:val="00647668"/>
    <w:rsid w:val="00647A29"/>
    <w:rsid w:val="00647BFE"/>
    <w:rsid w:val="00650673"/>
    <w:rsid w:val="0065079F"/>
    <w:rsid w:val="0065094A"/>
    <w:rsid w:val="00650B2E"/>
    <w:rsid w:val="00650D69"/>
    <w:rsid w:val="00650D71"/>
    <w:rsid w:val="00650E06"/>
    <w:rsid w:val="00650E99"/>
    <w:rsid w:val="00650EA8"/>
    <w:rsid w:val="00651435"/>
    <w:rsid w:val="00651A3D"/>
    <w:rsid w:val="00651B51"/>
    <w:rsid w:val="00651D0D"/>
    <w:rsid w:val="0065276C"/>
    <w:rsid w:val="00652A28"/>
    <w:rsid w:val="00652B46"/>
    <w:rsid w:val="00652CFA"/>
    <w:rsid w:val="00652DB8"/>
    <w:rsid w:val="00652F9F"/>
    <w:rsid w:val="0065379F"/>
    <w:rsid w:val="006544D6"/>
    <w:rsid w:val="006556EF"/>
    <w:rsid w:val="00655AA2"/>
    <w:rsid w:val="006560A1"/>
    <w:rsid w:val="0065610E"/>
    <w:rsid w:val="00656188"/>
    <w:rsid w:val="006561DD"/>
    <w:rsid w:val="006563FA"/>
    <w:rsid w:val="00656A79"/>
    <w:rsid w:val="0065715A"/>
    <w:rsid w:val="0065716F"/>
    <w:rsid w:val="006577F7"/>
    <w:rsid w:val="00657A66"/>
    <w:rsid w:val="00657C03"/>
    <w:rsid w:val="00660BFB"/>
    <w:rsid w:val="00660C7E"/>
    <w:rsid w:val="00660E9C"/>
    <w:rsid w:val="00660F4E"/>
    <w:rsid w:val="006610F1"/>
    <w:rsid w:val="00661C6B"/>
    <w:rsid w:val="00662919"/>
    <w:rsid w:val="00662CEC"/>
    <w:rsid w:val="00662D3E"/>
    <w:rsid w:val="0066330F"/>
    <w:rsid w:val="00663935"/>
    <w:rsid w:val="00663B85"/>
    <w:rsid w:val="00663D3A"/>
    <w:rsid w:val="00664B41"/>
    <w:rsid w:val="00664DD8"/>
    <w:rsid w:val="006652BD"/>
    <w:rsid w:val="006654BB"/>
    <w:rsid w:val="00665A57"/>
    <w:rsid w:val="006662B3"/>
    <w:rsid w:val="00666BE2"/>
    <w:rsid w:val="00667A63"/>
    <w:rsid w:val="00667BE3"/>
    <w:rsid w:val="00667D79"/>
    <w:rsid w:val="00670572"/>
    <w:rsid w:val="00670BD9"/>
    <w:rsid w:val="00671004"/>
    <w:rsid w:val="00671310"/>
    <w:rsid w:val="00671B50"/>
    <w:rsid w:val="00671B91"/>
    <w:rsid w:val="00671BC0"/>
    <w:rsid w:val="00672110"/>
    <w:rsid w:val="0067213E"/>
    <w:rsid w:val="006721B2"/>
    <w:rsid w:val="006723BC"/>
    <w:rsid w:val="00672632"/>
    <w:rsid w:val="00672646"/>
    <w:rsid w:val="00672EB7"/>
    <w:rsid w:val="00673565"/>
    <w:rsid w:val="006742EE"/>
    <w:rsid w:val="00674E42"/>
    <w:rsid w:val="00675A64"/>
    <w:rsid w:val="00675B3D"/>
    <w:rsid w:val="00676096"/>
    <w:rsid w:val="0067614D"/>
    <w:rsid w:val="00676563"/>
    <w:rsid w:val="00676AF2"/>
    <w:rsid w:val="00676BED"/>
    <w:rsid w:val="0067739B"/>
    <w:rsid w:val="00677EAA"/>
    <w:rsid w:val="0068053C"/>
    <w:rsid w:val="006805C5"/>
    <w:rsid w:val="0068068F"/>
    <w:rsid w:val="0068092F"/>
    <w:rsid w:val="0068094C"/>
    <w:rsid w:val="00680D07"/>
    <w:rsid w:val="00680F57"/>
    <w:rsid w:val="006812A4"/>
    <w:rsid w:val="006813F8"/>
    <w:rsid w:val="00682112"/>
    <w:rsid w:val="006824B3"/>
    <w:rsid w:val="0068290B"/>
    <w:rsid w:val="00682BA6"/>
    <w:rsid w:val="00682C48"/>
    <w:rsid w:val="006832DE"/>
    <w:rsid w:val="00683E5B"/>
    <w:rsid w:val="0068422F"/>
    <w:rsid w:val="006853D6"/>
    <w:rsid w:val="00685EC5"/>
    <w:rsid w:val="006862D9"/>
    <w:rsid w:val="00686957"/>
    <w:rsid w:val="00686AAB"/>
    <w:rsid w:val="00686ECC"/>
    <w:rsid w:val="006871A4"/>
    <w:rsid w:val="006872BA"/>
    <w:rsid w:val="006872DE"/>
    <w:rsid w:val="006872F5"/>
    <w:rsid w:val="00687344"/>
    <w:rsid w:val="00687353"/>
    <w:rsid w:val="00687B04"/>
    <w:rsid w:val="0069000A"/>
    <w:rsid w:val="00690340"/>
    <w:rsid w:val="00690795"/>
    <w:rsid w:val="006908CB"/>
    <w:rsid w:val="0069105E"/>
    <w:rsid w:val="00691648"/>
    <w:rsid w:val="006917D7"/>
    <w:rsid w:val="006918F2"/>
    <w:rsid w:val="006919B1"/>
    <w:rsid w:val="00691C42"/>
    <w:rsid w:val="00692040"/>
    <w:rsid w:val="006928C2"/>
    <w:rsid w:val="00692DFA"/>
    <w:rsid w:val="006937AB"/>
    <w:rsid w:val="00693DC6"/>
    <w:rsid w:val="0069434C"/>
    <w:rsid w:val="00694C87"/>
    <w:rsid w:val="00694E38"/>
    <w:rsid w:val="00694F44"/>
    <w:rsid w:val="006954B8"/>
    <w:rsid w:val="006958B8"/>
    <w:rsid w:val="00695BAF"/>
    <w:rsid w:val="00695D5A"/>
    <w:rsid w:val="00695D81"/>
    <w:rsid w:val="00696972"/>
    <w:rsid w:val="00696B70"/>
    <w:rsid w:val="00696CD5"/>
    <w:rsid w:val="00696D22"/>
    <w:rsid w:val="00696EF9"/>
    <w:rsid w:val="00696F51"/>
    <w:rsid w:val="006970A8"/>
    <w:rsid w:val="00697715"/>
    <w:rsid w:val="006979A5"/>
    <w:rsid w:val="006A016F"/>
    <w:rsid w:val="006A019F"/>
    <w:rsid w:val="006A0223"/>
    <w:rsid w:val="006A0400"/>
    <w:rsid w:val="006A0A35"/>
    <w:rsid w:val="006A0DF7"/>
    <w:rsid w:val="006A10A4"/>
    <w:rsid w:val="006A1B98"/>
    <w:rsid w:val="006A2046"/>
    <w:rsid w:val="006A29FC"/>
    <w:rsid w:val="006A2A35"/>
    <w:rsid w:val="006A2EA0"/>
    <w:rsid w:val="006A3253"/>
    <w:rsid w:val="006A4321"/>
    <w:rsid w:val="006A43D9"/>
    <w:rsid w:val="006A44DD"/>
    <w:rsid w:val="006A4789"/>
    <w:rsid w:val="006A481E"/>
    <w:rsid w:val="006A48A0"/>
    <w:rsid w:val="006A4C31"/>
    <w:rsid w:val="006A4FE9"/>
    <w:rsid w:val="006A5524"/>
    <w:rsid w:val="006A5738"/>
    <w:rsid w:val="006A5BB3"/>
    <w:rsid w:val="006A65F8"/>
    <w:rsid w:val="006A6B99"/>
    <w:rsid w:val="006A6D85"/>
    <w:rsid w:val="006A6E85"/>
    <w:rsid w:val="006A7E5F"/>
    <w:rsid w:val="006B0744"/>
    <w:rsid w:val="006B0FEB"/>
    <w:rsid w:val="006B2179"/>
    <w:rsid w:val="006B22AC"/>
    <w:rsid w:val="006B261B"/>
    <w:rsid w:val="006B2C90"/>
    <w:rsid w:val="006B2CE3"/>
    <w:rsid w:val="006B2D13"/>
    <w:rsid w:val="006B3550"/>
    <w:rsid w:val="006B3598"/>
    <w:rsid w:val="006B35E6"/>
    <w:rsid w:val="006B4165"/>
    <w:rsid w:val="006B418B"/>
    <w:rsid w:val="006B465A"/>
    <w:rsid w:val="006B4C5B"/>
    <w:rsid w:val="006B53DE"/>
    <w:rsid w:val="006B55D3"/>
    <w:rsid w:val="006B5726"/>
    <w:rsid w:val="006B5E34"/>
    <w:rsid w:val="006B5E71"/>
    <w:rsid w:val="006B5F1B"/>
    <w:rsid w:val="006B6A3E"/>
    <w:rsid w:val="006B6DD0"/>
    <w:rsid w:val="006B769C"/>
    <w:rsid w:val="006B7763"/>
    <w:rsid w:val="006C0399"/>
    <w:rsid w:val="006C0AD9"/>
    <w:rsid w:val="006C0CC3"/>
    <w:rsid w:val="006C1AB7"/>
    <w:rsid w:val="006C2A8E"/>
    <w:rsid w:val="006C3255"/>
    <w:rsid w:val="006C3606"/>
    <w:rsid w:val="006C38EF"/>
    <w:rsid w:val="006C3F26"/>
    <w:rsid w:val="006C40E8"/>
    <w:rsid w:val="006C45C9"/>
    <w:rsid w:val="006C4BC3"/>
    <w:rsid w:val="006C4E44"/>
    <w:rsid w:val="006C4E4E"/>
    <w:rsid w:val="006C54AB"/>
    <w:rsid w:val="006C553E"/>
    <w:rsid w:val="006C568E"/>
    <w:rsid w:val="006C5835"/>
    <w:rsid w:val="006C60F3"/>
    <w:rsid w:val="006C61E5"/>
    <w:rsid w:val="006C6552"/>
    <w:rsid w:val="006C6ADD"/>
    <w:rsid w:val="006C7791"/>
    <w:rsid w:val="006D0801"/>
    <w:rsid w:val="006D0D17"/>
    <w:rsid w:val="006D0D19"/>
    <w:rsid w:val="006D1D6E"/>
    <w:rsid w:val="006D2136"/>
    <w:rsid w:val="006D3726"/>
    <w:rsid w:val="006D3B9E"/>
    <w:rsid w:val="006D3C7D"/>
    <w:rsid w:val="006D40E2"/>
    <w:rsid w:val="006D4365"/>
    <w:rsid w:val="006D4659"/>
    <w:rsid w:val="006D4691"/>
    <w:rsid w:val="006D4785"/>
    <w:rsid w:val="006D4AAD"/>
    <w:rsid w:val="006D4C73"/>
    <w:rsid w:val="006D4D77"/>
    <w:rsid w:val="006D5C24"/>
    <w:rsid w:val="006D5D5F"/>
    <w:rsid w:val="006D68FB"/>
    <w:rsid w:val="006D6940"/>
    <w:rsid w:val="006D6FF3"/>
    <w:rsid w:val="006D7638"/>
    <w:rsid w:val="006D7FD6"/>
    <w:rsid w:val="006E00C9"/>
    <w:rsid w:val="006E0312"/>
    <w:rsid w:val="006E04FB"/>
    <w:rsid w:val="006E0BEC"/>
    <w:rsid w:val="006E0E9D"/>
    <w:rsid w:val="006E13EB"/>
    <w:rsid w:val="006E18B7"/>
    <w:rsid w:val="006E2868"/>
    <w:rsid w:val="006E2979"/>
    <w:rsid w:val="006E2A48"/>
    <w:rsid w:val="006E2DFD"/>
    <w:rsid w:val="006E2FEA"/>
    <w:rsid w:val="006E318B"/>
    <w:rsid w:val="006E3F3F"/>
    <w:rsid w:val="006E47CA"/>
    <w:rsid w:val="006E4F4B"/>
    <w:rsid w:val="006E5099"/>
    <w:rsid w:val="006E50E9"/>
    <w:rsid w:val="006E5F11"/>
    <w:rsid w:val="006E61DE"/>
    <w:rsid w:val="006E6328"/>
    <w:rsid w:val="006E744C"/>
    <w:rsid w:val="006E769F"/>
    <w:rsid w:val="006E7F75"/>
    <w:rsid w:val="006F0188"/>
    <w:rsid w:val="006F0B4E"/>
    <w:rsid w:val="006F0B69"/>
    <w:rsid w:val="006F17CC"/>
    <w:rsid w:val="006F1F2F"/>
    <w:rsid w:val="006F207F"/>
    <w:rsid w:val="006F238A"/>
    <w:rsid w:val="006F2A0D"/>
    <w:rsid w:val="006F2EA9"/>
    <w:rsid w:val="006F2EAA"/>
    <w:rsid w:val="006F306C"/>
    <w:rsid w:val="006F43E4"/>
    <w:rsid w:val="006F4515"/>
    <w:rsid w:val="006F487F"/>
    <w:rsid w:val="006F4B61"/>
    <w:rsid w:val="006F53A3"/>
    <w:rsid w:val="006F56DE"/>
    <w:rsid w:val="006F5870"/>
    <w:rsid w:val="006F6158"/>
    <w:rsid w:val="006F63A5"/>
    <w:rsid w:val="006F66A6"/>
    <w:rsid w:val="006F6BEE"/>
    <w:rsid w:val="006F704B"/>
    <w:rsid w:val="006F73B7"/>
    <w:rsid w:val="007004CE"/>
    <w:rsid w:val="00700825"/>
    <w:rsid w:val="00700DCD"/>
    <w:rsid w:val="00700E57"/>
    <w:rsid w:val="007012D4"/>
    <w:rsid w:val="0070142B"/>
    <w:rsid w:val="007015DF"/>
    <w:rsid w:val="00701721"/>
    <w:rsid w:val="007020CD"/>
    <w:rsid w:val="00702348"/>
    <w:rsid w:val="0070276E"/>
    <w:rsid w:val="00702A3B"/>
    <w:rsid w:val="00702CAE"/>
    <w:rsid w:val="00702F60"/>
    <w:rsid w:val="00702F8F"/>
    <w:rsid w:val="00702FBC"/>
    <w:rsid w:val="00703159"/>
    <w:rsid w:val="0070428E"/>
    <w:rsid w:val="007042BE"/>
    <w:rsid w:val="00704651"/>
    <w:rsid w:val="007046C3"/>
    <w:rsid w:val="007048C3"/>
    <w:rsid w:val="00705AA1"/>
    <w:rsid w:val="0070633D"/>
    <w:rsid w:val="007066A6"/>
    <w:rsid w:val="00706C43"/>
    <w:rsid w:val="00707341"/>
    <w:rsid w:val="007079FC"/>
    <w:rsid w:val="00707A6B"/>
    <w:rsid w:val="00707AC5"/>
    <w:rsid w:val="0071009A"/>
    <w:rsid w:val="00710360"/>
    <w:rsid w:val="0071043A"/>
    <w:rsid w:val="007105BD"/>
    <w:rsid w:val="00711886"/>
    <w:rsid w:val="00711A36"/>
    <w:rsid w:val="00711AFC"/>
    <w:rsid w:val="00711EBF"/>
    <w:rsid w:val="00712045"/>
    <w:rsid w:val="007125D3"/>
    <w:rsid w:val="00712635"/>
    <w:rsid w:val="007129F5"/>
    <w:rsid w:val="0071384C"/>
    <w:rsid w:val="00713A1C"/>
    <w:rsid w:val="00713F0E"/>
    <w:rsid w:val="00714165"/>
    <w:rsid w:val="00714C26"/>
    <w:rsid w:val="007151B8"/>
    <w:rsid w:val="0071529C"/>
    <w:rsid w:val="00715861"/>
    <w:rsid w:val="00715E09"/>
    <w:rsid w:val="007166CC"/>
    <w:rsid w:val="00716E3C"/>
    <w:rsid w:val="007170DA"/>
    <w:rsid w:val="007172AD"/>
    <w:rsid w:val="00717505"/>
    <w:rsid w:val="00717546"/>
    <w:rsid w:val="007177B3"/>
    <w:rsid w:val="00717912"/>
    <w:rsid w:val="00717AC9"/>
    <w:rsid w:val="00717C00"/>
    <w:rsid w:val="0072069D"/>
    <w:rsid w:val="00720801"/>
    <w:rsid w:val="00720A5C"/>
    <w:rsid w:val="00721130"/>
    <w:rsid w:val="007218E7"/>
    <w:rsid w:val="00721FB3"/>
    <w:rsid w:val="00722786"/>
    <w:rsid w:val="0072297E"/>
    <w:rsid w:val="00722B1B"/>
    <w:rsid w:val="00722CB1"/>
    <w:rsid w:val="0072416F"/>
    <w:rsid w:val="00724C0E"/>
    <w:rsid w:val="00724C56"/>
    <w:rsid w:val="00724F3B"/>
    <w:rsid w:val="007250E9"/>
    <w:rsid w:val="00725555"/>
    <w:rsid w:val="00725E08"/>
    <w:rsid w:val="00725E48"/>
    <w:rsid w:val="00726776"/>
    <w:rsid w:val="0072683B"/>
    <w:rsid w:val="00726887"/>
    <w:rsid w:val="007268E5"/>
    <w:rsid w:val="00726D5C"/>
    <w:rsid w:val="0072766A"/>
    <w:rsid w:val="007279AE"/>
    <w:rsid w:val="00727B29"/>
    <w:rsid w:val="00727C94"/>
    <w:rsid w:val="0073051B"/>
    <w:rsid w:val="00730606"/>
    <w:rsid w:val="00730A69"/>
    <w:rsid w:val="00730C70"/>
    <w:rsid w:val="00730CBD"/>
    <w:rsid w:val="007310F7"/>
    <w:rsid w:val="00731155"/>
    <w:rsid w:val="00731B0A"/>
    <w:rsid w:val="00731EAE"/>
    <w:rsid w:val="00732BF1"/>
    <w:rsid w:val="00732F46"/>
    <w:rsid w:val="00733073"/>
    <w:rsid w:val="00733206"/>
    <w:rsid w:val="007333AC"/>
    <w:rsid w:val="0073342D"/>
    <w:rsid w:val="007336C8"/>
    <w:rsid w:val="00733CBE"/>
    <w:rsid w:val="0073475F"/>
    <w:rsid w:val="00734BAF"/>
    <w:rsid w:val="00734EAA"/>
    <w:rsid w:val="00735033"/>
    <w:rsid w:val="00735328"/>
    <w:rsid w:val="00735D9E"/>
    <w:rsid w:val="0073685B"/>
    <w:rsid w:val="0073707C"/>
    <w:rsid w:val="007375E1"/>
    <w:rsid w:val="00737781"/>
    <w:rsid w:val="00737BF3"/>
    <w:rsid w:val="00740634"/>
    <w:rsid w:val="0074103A"/>
    <w:rsid w:val="007415B8"/>
    <w:rsid w:val="00741605"/>
    <w:rsid w:val="0074232C"/>
    <w:rsid w:val="0074396C"/>
    <w:rsid w:val="00743DFF"/>
    <w:rsid w:val="00743FFE"/>
    <w:rsid w:val="00744710"/>
    <w:rsid w:val="007449BF"/>
    <w:rsid w:val="00745155"/>
    <w:rsid w:val="00745665"/>
    <w:rsid w:val="0074569F"/>
    <w:rsid w:val="00745980"/>
    <w:rsid w:val="007463FE"/>
    <w:rsid w:val="007469DF"/>
    <w:rsid w:val="00746BC0"/>
    <w:rsid w:val="0074724D"/>
    <w:rsid w:val="007502A3"/>
    <w:rsid w:val="007502CC"/>
    <w:rsid w:val="007503B1"/>
    <w:rsid w:val="00750473"/>
    <w:rsid w:val="007506A4"/>
    <w:rsid w:val="00750CAD"/>
    <w:rsid w:val="00750EE3"/>
    <w:rsid w:val="007510B4"/>
    <w:rsid w:val="007510F8"/>
    <w:rsid w:val="00751230"/>
    <w:rsid w:val="007512C0"/>
    <w:rsid w:val="0075165C"/>
    <w:rsid w:val="00751F76"/>
    <w:rsid w:val="00752142"/>
    <w:rsid w:val="007523F9"/>
    <w:rsid w:val="0075357E"/>
    <w:rsid w:val="00753B29"/>
    <w:rsid w:val="00753B30"/>
    <w:rsid w:val="007541CD"/>
    <w:rsid w:val="00754E03"/>
    <w:rsid w:val="00754EC3"/>
    <w:rsid w:val="00754F44"/>
    <w:rsid w:val="0075513F"/>
    <w:rsid w:val="007555E4"/>
    <w:rsid w:val="0075562C"/>
    <w:rsid w:val="00755B22"/>
    <w:rsid w:val="007562A8"/>
    <w:rsid w:val="00756514"/>
    <w:rsid w:val="0075682A"/>
    <w:rsid w:val="007569B2"/>
    <w:rsid w:val="00756C47"/>
    <w:rsid w:val="00756CC1"/>
    <w:rsid w:val="0075716C"/>
    <w:rsid w:val="0075717B"/>
    <w:rsid w:val="007573E8"/>
    <w:rsid w:val="00757952"/>
    <w:rsid w:val="007585C2"/>
    <w:rsid w:val="00760824"/>
    <w:rsid w:val="00760C4E"/>
    <w:rsid w:val="00760F9E"/>
    <w:rsid w:val="00761483"/>
    <w:rsid w:val="007616D5"/>
    <w:rsid w:val="007616E6"/>
    <w:rsid w:val="00761727"/>
    <w:rsid w:val="00762136"/>
    <w:rsid w:val="007627BE"/>
    <w:rsid w:val="00762A7E"/>
    <w:rsid w:val="007633FA"/>
    <w:rsid w:val="00764309"/>
    <w:rsid w:val="00764EEB"/>
    <w:rsid w:val="00764F03"/>
    <w:rsid w:val="0076521D"/>
    <w:rsid w:val="00765B1A"/>
    <w:rsid w:val="00765D03"/>
    <w:rsid w:val="00765DC1"/>
    <w:rsid w:val="00765F35"/>
    <w:rsid w:val="00765FCE"/>
    <w:rsid w:val="007669F0"/>
    <w:rsid w:val="00767184"/>
    <w:rsid w:val="00767A8D"/>
    <w:rsid w:val="00767CDC"/>
    <w:rsid w:val="0077065E"/>
    <w:rsid w:val="007708D0"/>
    <w:rsid w:val="00770BE9"/>
    <w:rsid w:val="00770EC8"/>
    <w:rsid w:val="007711F3"/>
    <w:rsid w:val="007717D1"/>
    <w:rsid w:val="00771A54"/>
    <w:rsid w:val="00772191"/>
    <w:rsid w:val="00772228"/>
    <w:rsid w:val="00772331"/>
    <w:rsid w:val="007725EB"/>
    <w:rsid w:val="00774CA0"/>
    <w:rsid w:val="00774FA3"/>
    <w:rsid w:val="007753FA"/>
    <w:rsid w:val="00775650"/>
    <w:rsid w:val="00775F0A"/>
    <w:rsid w:val="0077631D"/>
    <w:rsid w:val="0077639F"/>
    <w:rsid w:val="00776505"/>
    <w:rsid w:val="00776A29"/>
    <w:rsid w:val="00776B3E"/>
    <w:rsid w:val="00776B50"/>
    <w:rsid w:val="00777335"/>
    <w:rsid w:val="0077767D"/>
    <w:rsid w:val="0077774A"/>
    <w:rsid w:val="00777E94"/>
    <w:rsid w:val="00780000"/>
    <w:rsid w:val="007800FD"/>
    <w:rsid w:val="00780A27"/>
    <w:rsid w:val="00781B3F"/>
    <w:rsid w:val="007821EB"/>
    <w:rsid w:val="00782EE8"/>
    <w:rsid w:val="00783284"/>
    <w:rsid w:val="00783AD2"/>
    <w:rsid w:val="00783EBD"/>
    <w:rsid w:val="00784318"/>
    <w:rsid w:val="007843F2"/>
    <w:rsid w:val="007846FA"/>
    <w:rsid w:val="00784974"/>
    <w:rsid w:val="00785429"/>
    <w:rsid w:val="00785437"/>
    <w:rsid w:val="00785A9F"/>
    <w:rsid w:val="00785E06"/>
    <w:rsid w:val="00786289"/>
    <w:rsid w:val="00786E97"/>
    <w:rsid w:val="00786F8A"/>
    <w:rsid w:val="00787772"/>
    <w:rsid w:val="00790091"/>
    <w:rsid w:val="00790496"/>
    <w:rsid w:val="007906EC"/>
    <w:rsid w:val="00790C8B"/>
    <w:rsid w:val="00790E50"/>
    <w:rsid w:val="007910A8"/>
    <w:rsid w:val="0079131C"/>
    <w:rsid w:val="0079172B"/>
    <w:rsid w:val="0079172E"/>
    <w:rsid w:val="00791CEB"/>
    <w:rsid w:val="00791E70"/>
    <w:rsid w:val="0079209E"/>
    <w:rsid w:val="007925DF"/>
    <w:rsid w:val="00792807"/>
    <w:rsid w:val="00792ED0"/>
    <w:rsid w:val="00793772"/>
    <w:rsid w:val="00793A44"/>
    <w:rsid w:val="00796552"/>
    <w:rsid w:val="00796890"/>
    <w:rsid w:val="007968F0"/>
    <w:rsid w:val="00797863"/>
    <w:rsid w:val="00797C01"/>
    <w:rsid w:val="007A08AA"/>
    <w:rsid w:val="007A0A12"/>
    <w:rsid w:val="007A0AB8"/>
    <w:rsid w:val="007A0CB2"/>
    <w:rsid w:val="007A0F63"/>
    <w:rsid w:val="007A114A"/>
    <w:rsid w:val="007A132D"/>
    <w:rsid w:val="007A1345"/>
    <w:rsid w:val="007A162A"/>
    <w:rsid w:val="007A2296"/>
    <w:rsid w:val="007A2532"/>
    <w:rsid w:val="007A2539"/>
    <w:rsid w:val="007A2B0D"/>
    <w:rsid w:val="007A2BB8"/>
    <w:rsid w:val="007A2DDB"/>
    <w:rsid w:val="007A2DEC"/>
    <w:rsid w:val="007A2F33"/>
    <w:rsid w:val="007A3751"/>
    <w:rsid w:val="007A3941"/>
    <w:rsid w:val="007A4178"/>
    <w:rsid w:val="007A44A7"/>
    <w:rsid w:val="007A4733"/>
    <w:rsid w:val="007A55B2"/>
    <w:rsid w:val="007A5E2F"/>
    <w:rsid w:val="007A5FC7"/>
    <w:rsid w:val="007A6ABF"/>
    <w:rsid w:val="007A6AEE"/>
    <w:rsid w:val="007A6ED3"/>
    <w:rsid w:val="007A70BA"/>
    <w:rsid w:val="007A7A4C"/>
    <w:rsid w:val="007B01FF"/>
    <w:rsid w:val="007B09B0"/>
    <w:rsid w:val="007B0D68"/>
    <w:rsid w:val="007B0E03"/>
    <w:rsid w:val="007B1593"/>
    <w:rsid w:val="007B1609"/>
    <w:rsid w:val="007B16BA"/>
    <w:rsid w:val="007B18DE"/>
    <w:rsid w:val="007B1D42"/>
    <w:rsid w:val="007B251D"/>
    <w:rsid w:val="007B28E7"/>
    <w:rsid w:val="007B3533"/>
    <w:rsid w:val="007B3F5D"/>
    <w:rsid w:val="007B48DF"/>
    <w:rsid w:val="007B4F58"/>
    <w:rsid w:val="007B523E"/>
    <w:rsid w:val="007B528D"/>
    <w:rsid w:val="007B5A47"/>
    <w:rsid w:val="007B5E9B"/>
    <w:rsid w:val="007B5FBC"/>
    <w:rsid w:val="007B6156"/>
    <w:rsid w:val="007B63CA"/>
    <w:rsid w:val="007B723F"/>
    <w:rsid w:val="007B77D1"/>
    <w:rsid w:val="007B7854"/>
    <w:rsid w:val="007B7ACD"/>
    <w:rsid w:val="007C07C7"/>
    <w:rsid w:val="007C0BFA"/>
    <w:rsid w:val="007C0D2F"/>
    <w:rsid w:val="007C109F"/>
    <w:rsid w:val="007C130F"/>
    <w:rsid w:val="007C1A7E"/>
    <w:rsid w:val="007C1CD9"/>
    <w:rsid w:val="007C1D2E"/>
    <w:rsid w:val="007C250F"/>
    <w:rsid w:val="007C2D35"/>
    <w:rsid w:val="007C2F50"/>
    <w:rsid w:val="007C32EF"/>
    <w:rsid w:val="007C33F3"/>
    <w:rsid w:val="007C35EB"/>
    <w:rsid w:val="007C361D"/>
    <w:rsid w:val="007C4745"/>
    <w:rsid w:val="007C4B84"/>
    <w:rsid w:val="007C4C8D"/>
    <w:rsid w:val="007C4DEE"/>
    <w:rsid w:val="007C5015"/>
    <w:rsid w:val="007C52AE"/>
    <w:rsid w:val="007C57D3"/>
    <w:rsid w:val="007C5A8D"/>
    <w:rsid w:val="007C5E2A"/>
    <w:rsid w:val="007C62BE"/>
    <w:rsid w:val="007C6425"/>
    <w:rsid w:val="007C659F"/>
    <w:rsid w:val="007C65CB"/>
    <w:rsid w:val="007C6698"/>
    <w:rsid w:val="007C68E9"/>
    <w:rsid w:val="007C70C2"/>
    <w:rsid w:val="007C70FF"/>
    <w:rsid w:val="007C731C"/>
    <w:rsid w:val="007C7C25"/>
    <w:rsid w:val="007D004F"/>
    <w:rsid w:val="007D011B"/>
    <w:rsid w:val="007D0321"/>
    <w:rsid w:val="007D035F"/>
    <w:rsid w:val="007D0444"/>
    <w:rsid w:val="007D06B2"/>
    <w:rsid w:val="007D0B38"/>
    <w:rsid w:val="007D19FE"/>
    <w:rsid w:val="007D20D7"/>
    <w:rsid w:val="007D2752"/>
    <w:rsid w:val="007D28EC"/>
    <w:rsid w:val="007D2933"/>
    <w:rsid w:val="007D36B1"/>
    <w:rsid w:val="007D39B1"/>
    <w:rsid w:val="007D4244"/>
    <w:rsid w:val="007D463E"/>
    <w:rsid w:val="007D4643"/>
    <w:rsid w:val="007D4659"/>
    <w:rsid w:val="007D4D5B"/>
    <w:rsid w:val="007D5440"/>
    <w:rsid w:val="007D564F"/>
    <w:rsid w:val="007D57FB"/>
    <w:rsid w:val="007D5F85"/>
    <w:rsid w:val="007D6399"/>
    <w:rsid w:val="007D649B"/>
    <w:rsid w:val="007D69EB"/>
    <w:rsid w:val="007D6CAB"/>
    <w:rsid w:val="007D6E8E"/>
    <w:rsid w:val="007D6F2C"/>
    <w:rsid w:val="007D79ED"/>
    <w:rsid w:val="007D7BEB"/>
    <w:rsid w:val="007D7F9F"/>
    <w:rsid w:val="007E038B"/>
    <w:rsid w:val="007E0555"/>
    <w:rsid w:val="007E128F"/>
    <w:rsid w:val="007E154A"/>
    <w:rsid w:val="007E1BD0"/>
    <w:rsid w:val="007E2434"/>
    <w:rsid w:val="007E2437"/>
    <w:rsid w:val="007E2484"/>
    <w:rsid w:val="007E2884"/>
    <w:rsid w:val="007E3061"/>
    <w:rsid w:val="007E3827"/>
    <w:rsid w:val="007E3E52"/>
    <w:rsid w:val="007E4A4A"/>
    <w:rsid w:val="007E4ABB"/>
    <w:rsid w:val="007E4CAA"/>
    <w:rsid w:val="007E51D5"/>
    <w:rsid w:val="007E53F4"/>
    <w:rsid w:val="007E5632"/>
    <w:rsid w:val="007E5B28"/>
    <w:rsid w:val="007E723F"/>
    <w:rsid w:val="007E7655"/>
    <w:rsid w:val="007E778D"/>
    <w:rsid w:val="007E7921"/>
    <w:rsid w:val="007E7A41"/>
    <w:rsid w:val="007E7BA9"/>
    <w:rsid w:val="007E7BFD"/>
    <w:rsid w:val="007E7FAB"/>
    <w:rsid w:val="007F0265"/>
    <w:rsid w:val="007F0326"/>
    <w:rsid w:val="007F0A76"/>
    <w:rsid w:val="007F0BAE"/>
    <w:rsid w:val="007F0E26"/>
    <w:rsid w:val="007F1017"/>
    <w:rsid w:val="007F10E4"/>
    <w:rsid w:val="007F23FC"/>
    <w:rsid w:val="007F313D"/>
    <w:rsid w:val="007F3491"/>
    <w:rsid w:val="007F34E9"/>
    <w:rsid w:val="007F3599"/>
    <w:rsid w:val="007F3AB4"/>
    <w:rsid w:val="007F4A3F"/>
    <w:rsid w:val="007F4A61"/>
    <w:rsid w:val="007F5077"/>
    <w:rsid w:val="007F5255"/>
    <w:rsid w:val="007F555C"/>
    <w:rsid w:val="007F55FA"/>
    <w:rsid w:val="007F56CC"/>
    <w:rsid w:val="007F5909"/>
    <w:rsid w:val="007F6048"/>
    <w:rsid w:val="007F60F8"/>
    <w:rsid w:val="007F61C2"/>
    <w:rsid w:val="007F6312"/>
    <w:rsid w:val="007F70FC"/>
    <w:rsid w:val="007F73D6"/>
    <w:rsid w:val="007F7C79"/>
    <w:rsid w:val="008001E6"/>
    <w:rsid w:val="00800747"/>
    <w:rsid w:val="00800F6E"/>
    <w:rsid w:val="008011D6"/>
    <w:rsid w:val="008015B7"/>
    <w:rsid w:val="00801C9F"/>
    <w:rsid w:val="00802C2B"/>
    <w:rsid w:val="00802F70"/>
    <w:rsid w:val="00803114"/>
    <w:rsid w:val="00803A63"/>
    <w:rsid w:val="00803C81"/>
    <w:rsid w:val="00803FEC"/>
    <w:rsid w:val="0080408B"/>
    <w:rsid w:val="0080495C"/>
    <w:rsid w:val="00804BF7"/>
    <w:rsid w:val="00804C56"/>
    <w:rsid w:val="00805142"/>
    <w:rsid w:val="00805327"/>
    <w:rsid w:val="008054CD"/>
    <w:rsid w:val="0080566B"/>
    <w:rsid w:val="00805A67"/>
    <w:rsid w:val="00805A71"/>
    <w:rsid w:val="00805B32"/>
    <w:rsid w:val="00805FCE"/>
    <w:rsid w:val="008060F1"/>
    <w:rsid w:val="00806CF3"/>
    <w:rsid w:val="00807751"/>
    <w:rsid w:val="00807A8B"/>
    <w:rsid w:val="00810FB6"/>
    <w:rsid w:val="008110ED"/>
    <w:rsid w:val="00811335"/>
    <w:rsid w:val="00811383"/>
    <w:rsid w:val="00811552"/>
    <w:rsid w:val="00811AAF"/>
    <w:rsid w:val="00812149"/>
    <w:rsid w:val="008125CB"/>
    <w:rsid w:val="008126E4"/>
    <w:rsid w:val="0081293B"/>
    <w:rsid w:val="00812CAC"/>
    <w:rsid w:val="008131B6"/>
    <w:rsid w:val="008137B7"/>
    <w:rsid w:val="00813AEF"/>
    <w:rsid w:val="0081499F"/>
    <w:rsid w:val="00814CA5"/>
    <w:rsid w:val="00814DE1"/>
    <w:rsid w:val="00815C09"/>
    <w:rsid w:val="0081623F"/>
    <w:rsid w:val="00816361"/>
    <w:rsid w:val="008166EF"/>
    <w:rsid w:val="0081693D"/>
    <w:rsid w:val="00816B88"/>
    <w:rsid w:val="00816BA4"/>
    <w:rsid w:val="00816FEF"/>
    <w:rsid w:val="00817468"/>
    <w:rsid w:val="00817899"/>
    <w:rsid w:val="00820606"/>
    <w:rsid w:val="00820662"/>
    <w:rsid w:val="008206C2"/>
    <w:rsid w:val="00820A8C"/>
    <w:rsid w:val="008215FB"/>
    <w:rsid w:val="00821C81"/>
    <w:rsid w:val="00821D6A"/>
    <w:rsid w:val="00821E92"/>
    <w:rsid w:val="0082203A"/>
    <w:rsid w:val="008220CC"/>
    <w:rsid w:val="00822D84"/>
    <w:rsid w:val="00823051"/>
    <w:rsid w:val="00823174"/>
    <w:rsid w:val="00823A9B"/>
    <w:rsid w:val="00823CCD"/>
    <w:rsid w:val="0082413E"/>
    <w:rsid w:val="008241FE"/>
    <w:rsid w:val="0082454C"/>
    <w:rsid w:val="0082489A"/>
    <w:rsid w:val="00824E21"/>
    <w:rsid w:val="00825751"/>
    <w:rsid w:val="00825790"/>
    <w:rsid w:val="00825F77"/>
    <w:rsid w:val="008264EB"/>
    <w:rsid w:val="008266B6"/>
    <w:rsid w:val="008268CE"/>
    <w:rsid w:val="008269F6"/>
    <w:rsid w:val="00826C52"/>
    <w:rsid w:val="00826EDD"/>
    <w:rsid w:val="008279EF"/>
    <w:rsid w:val="00827C05"/>
    <w:rsid w:val="00827C23"/>
    <w:rsid w:val="008300F6"/>
    <w:rsid w:val="00831469"/>
    <w:rsid w:val="0083146B"/>
    <w:rsid w:val="0083174D"/>
    <w:rsid w:val="00831E4F"/>
    <w:rsid w:val="00832932"/>
    <w:rsid w:val="008329BF"/>
    <w:rsid w:val="00833B05"/>
    <w:rsid w:val="00833E62"/>
    <w:rsid w:val="0083409C"/>
    <w:rsid w:val="008343A3"/>
    <w:rsid w:val="008349ED"/>
    <w:rsid w:val="00834D05"/>
    <w:rsid w:val="00834DFA"/>
    <w:rsid w:val="00835367"/>
    <w:rsid w:val="008356E9"/>
    <w:rsid w:val="008362B4"/>
    <w:rsid w:val="008366D3"/>
    <w:rsid w:val="008367BF"/>
    <w:rsid w:val="00836C87"/>
    <w:rsid w:val="008374BF"/>
    <w:rsid w:val="008375BF"/>
    <w:rsid w:val="0083791B"/>
    <w:rsid w:val="00840CA2"/>
    <w:rsid w:val="00841465"/>
    <w:rsid w:val="00841C63"/>
    <w:rsid w:val="00841F77"/>
    <w:rsid w:val="00842217"/>
    <w:rsid w:val="008423EB"/>
    <w:rsid w:val="00842B74"/>
    <w:rsid w:val="00842B92"/>
    <w:rsid w:val="00842F2D"/>
    <w:rsid w:val="0084359F"/>
    <w:rsid w:val="00843627"/>
    <w:rsid w:val="0084369B"/>
    <w:rsid w:val="0084374F"/>
    <w:rsid w:val="00844A22"/>
    <w:rsid w:val="00844C46"/>
    <w:rsid w:val="00844DC4"/>
    <w:rsid w:val="008463AC"/>
    <w:rsid w:val="0084655C"/>
    <w:rsid w:val="0084672B"/>
    <w:rsid w:val="008473E5"/>
    <w:rsid w:val="0084760C"/>
    <w:rsid w:val="00847703"/>
    <w:rsid w:val="00847D4C"/>
    <w:rsid w:val="00847DF5"/>
    <w:rsid w:val="008505AC"/>
    <w:rsid w:val="008508CC"/>
    <w:rsid w:val="00850B81"/>
    <w:rsid w:val="00851006"/>
    <w:rsid w:val="00851494"/>
    <w:rsid w:val="008515FE"/>
    <w:rsid w:val="00851747"/>
    <w:rsid w:val="0085227A"/>
    <w:rsid w:val="0085262A"/>
    <w:rsid w:val="00852C91"/>
    <w:rsid w:val="0085309D"/>
    <w:rsid w:val="008531A1"/>
    <w:rsid w:val="0085364D"/>
    <w:rsid w:val="008557B0"/>
    <w:rsid w:val="008557DC"/>
    <w:rsid w:val="008564A6"/>
    <w:rsid w:val="008564FC"/>
    <w:rsid w:val="00856897"/>
    <w:rsid w:val="00856E2E"/>
    <w:rsid w:val="00856E9A"/>
    <w:rsid w:val="00857429"/>
    <w:rsid w:val="0085783C"/>
    <w:rsid w:val="00857D2E"/>
    <w:rsid w:val="0086019B"/>
    <w:rsid w:val="008602BE"/>
    <w:rsid w:val="0086075D"/>
    <w:rsid w:val="00861146"/>
    <w:rsid w:val="00861B35"/>
    <w:rsid w:val="00862502"/>
    <w:rsid w:val="00862796"/>
    <w:rsid w:val="00862CC1"/>
    <w:rsid w:val="00862D2D"/>
    <w:rsid w:val="00863D36"/>
    <w:rsid w:val="00863D87"/>
    <w:rsid w:val="0086418D"/>
    <w:rsid w:val="008642A7"/>
    <w:rsid w:val="0086502D"/>
    <w:rsid w:val="00865374"/>
    <w:rsid w:val="00865909"/>
    <w:rsid w:val="00865A2C"/>
    <w:rsid w:val="008660D4"/>
    <w:rsid w:val="00866718"/>
    <w:rsid w:val="00866722"/>
    <w:rsid w:val="0086677B"/>
    <w:rsid w:val="008675CA"/>
    <w:rsid w:val="00867D1E"/>
    <w:rsid w:val="00867D52"/>
    <w:rsid w:val="00870313"/>
    <w:rsid w:val="0087073D"/>
    <w:rsid w:val="00870C0E"/>
    <w:rsid w:val="00871021"/>
    <w:rsid w:val="008713E0"/>
    <w:rsid w:val="008714F9"/>
    <w:rsid w:val="00871FA9"/>
    <w:rsid w:val="0087221A"/>
    <w:rsid w:val="0087252A"/>
    <w:rsid w:val="00872592"/>
    <w:rsid w:val="008728E9"/>
    <w:rsid w:val="008734D0"/>
    <w:rsid w:val="0087351E"/>
    <w:rsid w:val="00873A48"/>
    <w:rsid w:val="008741F4"/>
    <w:rsid w:val="008742A6"/>
    <w:rsid w:val="00874380"/>
    <w:rsid w:val="008744B8"/>
    <w:rsid w:val="0087486E"/>
    <w:rsid w:val="00874B3E"/>
    <w:rsid w:val="008754D5"/>
    <w:rsid w:val="008755F2"/>
    <w:rsid w:val="00875E89"/>
    <w:rsid w:val="00876174"/>
    <w:rsid w:val="00876741"/>
    <w:rsid w:val="00876B02"/>
    <w:rsid w:val="00877769"/>
    <w:rsid w:val="00877BD9"/>
    <w:rsid w:val="00877F22"/>
    <w:rsid w:val="00880D45"/>
    <w:rsid w:val="00880D51"/>
    <w:rsid w:val="00881501"/>
    <w:rsid w:val="00881892"/>
    <w:rsid w:val="00881C6E"/>
    <w:rsid w:val="008824A9"/>
    <w:rsid w:val="00882874"/>
    <w:rsid w:val="00882C3F"/>
    <w:rsid w:val="00882D2B"/>
    <w:rsid w:val="00882E3C"/>
    <w:rsid w:val="0088308A"/>
    <w:rsid w:val="0088313D"/>
    <w:rsid w:val="00883787"/>
    <w:rsid w:val="008837C4"/>
    <w:rsid w:val="0088392D"/>
    <w:rsid w:val="00883A43"/>
    <w:rsid w:val="00883C6A"/>
    <w:rsid w:val="00883CF0"/>
    <w:rsid w:val="008842BB"/>
    <w:rsid w:val="008846B5"/>
    <w:rsid w:val="00884A4A"/>
    <w:rsid w:val="00884D00"/>
    <w:rsid w:val="0088510A"/>
    <w:rsid w:val="00885441"/>
    <w:rsid w:val="008855E4"/>
    <w:rsid w:val="00886CD2"/>
    <w:rsid w:val="008872CE"/>
    <w:rsid w:val="00887615"/>
    <w:rsid w:val="0088791A"/>
    <w:rsid w:val="00887C4D"/>
    <w:rsid w:val="00887CF6"/>
    <w:rsid w:val="00887E2B"/>
    <w:rsid w:val="008901FD"/>
    <w:rsid w:val="008904C7"/>
    <w:rsid w:val="00890C1D"/>
    <w:rsid w:val="00891106"/>
    <w:rsid w:val="00891E6F"/>
    <w:rsid w:val="00891FF9"/>
    <w:rsid w:val="00892161"/>
    <w:rsid w:val="00892279"/>
    <w:rsid w:val="008922BD"/>
    <w:rsid w:val="008926C9"/>
    <w:rsid w:val="0089275D"/>
    <w:rsid w:val="00892A36"/>
    <w:rsid w:val="00892CC6"/>
    <w:rsid w:val="00893239"/>
    <w:rsid w:val="008934B6"/>
    <w:rsid w:val="00893619"/>
    <w:rsid w:val="008941CA"/>
    <w:rsid w:val="0089420E"/>
    <w:rsid w:val="008942F6"/>
    <w:rsid w:val="008942FE"/>
    <w:rsid w:val="00894489"/>
    <w:rsid w:val="00894874"/>
    <w:rsid w:val="00894CD6"/>
    <w:rsid w:val="00894DB6"/>
    <w:rsid w:val="0089578C"/>
    <w:rsid w:val="008960A2"/>
    <w:rsid w:val="008963A5"/>
    <w:rsid w:val="008963E8"/>
    <w:rsid w:val="008966D9"/>
    <w:rsid w:val="00896C20"/>
    <w:rsid w:val="00896D5D"/>
    <w:rsid w:val="008972F7"/>
    <w:rsid w:val="00897991"/>
    <w:rsid w:val="008A098C"/>
    <w:rsid w:val="008A17D4"/>
    <w:rsid w:val="008A1E27"/>
    <w:rsid w:val="008A2B79"/>
    <w:rsid w:val="008A3104"/>
    <w:rsid w:val="008A3158"/>
    <w:rsid w:val="008A31FB"/>
    <w:rsid w:val="008A3201"/>
    <w:rsid w:val="008A3363"/>
    <w:rsid w:val="008A3371"/>
    <w:rsid w:val="008A3C3E"/>
    <w:rsid w:val="008A4E8A"/>
    <w:rsid w:val="008A520B"/>
    <w:rsid w:val="008A5CAB"/>
    <w:rsid w:val="008A5D95"/>
    <w:rsid w:val="008A5F47"/>
    <w:rsid w:val="008A625B"/>
    <w:rsid w:val="008A6271"/>
    <w:rsid w:val="008A63C4"/>
    <w:rsid w:val="008A6789"/>
    <w:rsid w:val="008A68A8"/>
    <w:rsid w:val="008A6FD8"/>
    <w:rsid w:val="008A774E"/>
    <w:rsid w:val="008A79DE"/>
    <w:rsid w:val="008A7CEA"/>
    <w:rsid w:val="008B0001"/>
    <w:rsid w:val="008B00FA"/>
    <w:rsid w:val="008B02B1"/>
    <w:rsid w:val="008B0875"/>
    <w:rsid w:val="008B0EFD"/>
    <w:rsid w:val="008B1263"/>
    <w:rsid w:val="008B1757"/>
    <w:rsid w:val="008B1858"/>
    <w:rsid w:val="008B1913"/>
    <w:rsid w:val="008B192B"/>
    <w:rsid w:val="008B1C33"/>
    <w:rsid w:val="008B2591"/>
    <w:rsid w:val="008B362F"/>
    <w:rsid w:val="008B4B6F"/>
    <w:rsid w:val="008B4FB6"/>
    <w:rsid w:val="008B5A22"/>
    <w:rsid w:val="008B65B8"/>
    <w:rsid w:val="008B719C"/>
    <w:rsid w:val="008B73BC"/>
    <w:rsid w:val="008B749E"/>
    <w:rsid w:val="008B77E6"/>
    <w:rsid w:val="008B7992"/>
    <w:rsid w:val="008B7D7E"/>
    <w:rsid w:val="008B7E30"/>
    <w:rsid w:val="008C00FC"/>
    <w:rsid w:val="008C0A75"/>
    <w:rsid w:val="008C2202"/>
    <w:rsid w:val="008C2211"/>
    <w:rsid w:val="008C22E7"/>
    <w:rsid w:val="008C29D7"/>
    <w:rsid w:val="008C2A2E"/>
    <w:rsid w:val="008C2BCE"/>
    <w:rsid w:val="008C2D16"/>
    <w:rsid w:val="008C322C"/>
    <w:rsid w:val="008C34AB"/>
    <w:rsid w:val="008C34F2"/>
    <w:rsid w:val="008C3928"/>
    <w:rsid w:val="008C3C17"/>
    <w:rsid w:val="008C3DD8"/>
    <w:rsid w:val="008C4629"/>
    <w:rsid w:val="008C4E15"/>
    <w:rsid w:val="008C5374"/>
    <w:rsid w:val="008C5610"/>
    <w:rsid w:val="008C5739"/>
    <w:rsid w:val="008C5D44"/>
    <w:rsid w:val="008C6870"/>
    <w:rsid w:val="008C7282"/>
    <w:rsid w:val="008C7357"/>
    <w:rsid w:val="008C77D4"/>
    <w:rsid w:val="008C7ECB"/>
    <w:rsid w:val="008D0312"/>
    <w:rsid w:val="008D0423"/>
    <w:rsid w:val="008D0BD9"/>
    <w:rsid w:val="008D0C06"/>
    <w:rsid w:val="008D0EA3"/>
    <w:rsid w:val="008D1180"/>
    <w:rsid w:val="008D13E9"/>
    <w:rsid w:val="008D1449"/>
    <w:rsid w:val="008D17C8"/>
    <w:rsid w:val="008D17D0"/>
    <w:rsid w:val="008D1C61"/>
    <w:rsid w:val="008D1CC5"/>
    <w:rsid w:val="008D26B5"/>
    <w:rsid w:val="008D32B5"/>
    <w:rsid w:val="008D38B7"/>
    <w:rsid w:val="008D3B86"/>
    <w:rsid w:val="008D3C41"/>
    <w:rsid w:val="008D3CD4"/>
    <w:rsid w:val="008D43FD"/>
    <w:rsid w:val="008D464A"/>
    <w:rsid w:val="008D4755"/>
    <w:rsid w:val="008D4A0E"/>
    <w:rsid w:val="008D4C3D"/>
    <w:rsid w:val="008D4C5F"/>
    <w:rsid w:val="008D55C9"/>
    <w:rsid w:val="008D6334"/>
    <w:rsid w:val="008D63C8"/>
    <w:rsid w:val="008D6865"/>
    <w:rsid w:val="008D6E5C"/>
    <w:rsid w:val="008D6F80"/>
    <w:rsid w:val="008D71BD"/>
    <w:rsid w:val="008D72B6"/>
    <w:rsid w:val="008D743C"/>
    <w:rsid w:val="008D7D16"/>
    <w:rsid w:val="008D7DB5"/>
    <w:rsid w:val="008E00DA"/>
    <w:rsid w:val="008E0AEE"/>
    <w:rsid w:val="008E0D3C"/>
    <w:rsid w:val="008E1B9E"/>
    <w:rsid w:val="008E2E44"/>
    <w:rsid w:val="008E31F9"/>
    <w:rsid w:val="008E3391"/>
    <w:rsid w:val="008E3691"/>
    <w:rsid w:val="008E3987"/>
    <w:rsid w:val="008E3F6E"/>
    <w:rsid w:val="008E43F7"/>
    <w:rsid w:val="008E45B3"/>
    <w:rsid w:val="008E4B8F"/>
    <w:rsid w:val="008E4C68"/>
    <w:rsid w:val="008E4D26"/>
    <w:rsid w:val="008E5051"/>
    <w:rsid w:val="008E55AB"/>
    <w:rsid w:val="008E5635"/>
    <w:rsid w:val="008E62CB"/>
    <w:rsid w:val="008E6F90"/>
    <w:rsid w:val="008E707B"/>
    <w:rsid w:val="008E70D6"/>
    <w:rsid w:val="008E7219"/>
    <w:rsid w:val="008E7593"/>
    <w:rsid w:val="008E7D66"/>
    <w:rsid w:val="008F0152"/>
    <w:rsid w:val="008F01F3"/>
    <w:rsid w:val="008F020A"/>
    <w:rsid w:val="008F1149"/>
    <w:rsid w:val="008F120A"/>
    <w:rsid w:val="008F15CE"/>
    <w:rsid w:val="008F1ED8"/>
    <w:rsid w:val="008F1F7D"/>
    <w:rsid w:val="008F27E0"/>
    <w:rsid w:val="008F2A77"/>
    <w:rsid w:val="008F357E"/>
    <w:rsid w:val="008F3A89"/>
    <w:rsid w:val="008F3AD4"/>
    <w:rsid w:val="008F3DFD"/>
    <w:rsid w:val="008F4761"/>
    <w:rsid w:val="008F48EB"/>
    <w:rsid w:val="008F4946"/>
    <w:rsid w:val="008F4F0B"/>
    <w:rsid w:val="008F553D"/>
    <w:rsid w:val="008F57B8"/>
    <w:rsid w:val="008F5869"/>
    <w:rsid w:val="008F592A"/>
    <w:rsid w:val="008F6625"/>
    <w:rsid w:val="008F663C"/>
    <w:rsid w:val="008F69FA"/>
    <w:rsid w:val="008F6C90"/>
    <w:rsid w:val="008F7971"/>
    <w:rsid w:val="008F7C95"/>
    <w:rsid w:val="0090066E"/>
    <w:rsid w:val="00900917"/>
    <w:rsid w:val="00901AF3"/>
    <w:rsid w:val="00901C78"/>
    <w:rsid w:val="0090204E"/>
    <w:rsid w:val="00902CB7"/>
    <w:rsid w:val="0090325F"/>
    <w:rsid w:val="009033ED"/>
    <w:rsid w:val="00903428"/>
    <w:rsid w:val="0090387C"/>
    <w:rsid w:val="00903CED"/>
    <w:rsid w:val="00904204"/>
    <w:rsid w:val="009042A8"/>
    <w:rsid w:val="00904673"/>
    <w:rsid w:val="009046C4"/>
    <w:rsid w:val="009061F2"/>
    <w:rsid w:val="009062A5"/>
    <w:rsid w:val="0090635D"/>
    <w:rsid w:val="00906BF4"/>
    <w:rsid w:val="00907699"/>
    <w:rsid w:val="0090772E"/>
    <w:rsid w:val="00907808"/>
    <w:rsid w:val="0090793F"/>
    <w:rsid w:val="009079CB"/>
    <w:rsid w:val="009101F0"/>
    <w:rsid w:val="0091023C"/>
    <w:rsid w:val="00910A7E"/>
    <w:rsid w:val="00910FA7"/>
    <w:rsid w:val="00911252"/>
    <w:rsid w:val="00911272"/>
    <w:rsid w:val="00911339"/>
    <w:rsid w:val="00911CB1"/>
    <w:rsid w:val="009128A8"/>
    <w:rsid w:val="009129F3"/>
    <w:rsid w:val="00912B36"/>
    <w:rsid w:val="0091346D"/>
    <w:rsid w:val="009135D6"/>
    <w:rsid w:val="0091375E"/>
    <w:rsid w:val="00913915"/>
    <w:rsid w:val="00913BF7"/>
    <w:rsid w:val="00913FDC"/>
    <w:rsid w:val="009143E0"/>
    <w:rsid w:val="00914C77"/>
    <w:rsid w:val="00915212"/>
    <w:rsid w:val="00915610"/>
    <w:rsid w:val="009156B5"/>
    <w:rsid w:val="00915DBB"/>
    <w:rsid w:val="009160E9"/>
    <w:rsid w:val="00916466"/>
    <w:rsid w:val="00916501"/>
    <w:rsid w:val="0091654B"/>
    <w:rsid w:val="00916EAB"/>
    <w:rsid w:val="009172C1"/>
    <w:rsid w:val="00917EEE"/>
    <w:rsid w:val="00920EAA"/>
    <w:rsid w:val="009214E3"/>
    <w:rsid w:val="00921ACB"/>
    <w:rsid w:val="00921C81"/>
    <w:rsid w:val="0092225D"/>
    <w:rsid w:val="00922FCB"/>
    <w:rsid w:val="009232AA"/>
    <w:rsid w:val="0092369B"/>
    <w:rsid w:val="00923BE2"/>
    <w:rsid w:val="00923DDF"/>
    <w:rsid w:val="009240D7"/>
    <w:rsid w:val="0092473A"/>
    <w:rsid w:val="009249A7"/>
    <w:rsid w:val="00924ABB"/>
    <w:rsid w:val="00925119"/>
    <w:rsid w:val="0092719B"/>
    <w:rsid w:val="00927EC3"/>
    <w:rsid w:val="009306D5"/>
    <w:rsid w:val="00930A06"/>
    <w:rsid w:val="00930E8C"/>
    <w:rsid w:val="00931292"/>
    <w:rsid w:val="00932345"/>
    <w:rsid w:val="009327A0"/>
    <w:rsid w:val="0093374A"/>
    <w:rsid w:val="00933829"/>
    <w:rsid w:val="00933E36"/>
    <w:rsid w:val="00934988"/>
    <w:rsid w:val="00934BD9"/>
    <w:rsid w:val="00934EC4"/>
    <w:rsid w:val="0093547A"/>
    <w:rsid w:val="0093548C"/>
    <w:rsid w:val="00935D71"/>
    <w:rsid w:val="00937089"/>
    <w:rsid w:val="00937560"/>
    <w:rsid w:val="00937B6A"/>
    <w:rsid w:val="00937BC6"/>
    <w:rsid w:val="0094001A"/>
    <w:rsid w:val="009400D7"/>
    <w:rsid w:val="009409AD"/>
    <w:rsid w:val="00940F42"/>
    <w:rsid w:val="00941077"/>
    <w:rsid w:val="00941275"/>
    <w:rsid w:val="00941697"/>
    <w:rsid w:val="009416AA"/>
    <w:rsid w:val="00941E81"/>
    <w:rsid w:val="00941E8C"/>
    <w:rsid w:val="00942559"/>
    <w:rsid w:val="00942A5E"/>
    <w:rsid w:val="00942D3D"/>
    <w:rsid w:val="00943325"/>
    <w:rsid w:val="00943668"/>
    <w:rsid w:val="00944445"/>
    <w:rsid w:val="009445AB"/>
    <w:rsid w:val="0094479B"/>
    <w:rsid w:val="00944F8A"/>
    <w:rsid w:val="00945241"/>
    <w:rsid w:val="0094545C"/>
    <w:rsid w:val="009456E1"/>
    <w:rsid w:val="00945983"/>
    <w:rsid w:val="009459EB"/>
    <w:rsid w:val="00945C0F"/>
    <w:rsid w:val="00946108"/>
    <w:rsid w:val="009465E7"/>
    <w:rsid w:val="009466AB"/>
    <w:rsid w:val="00946901"/>
    <w:rsid w:val="00946C31"/>
    <w:rsid w:val="00946FE3"/>
    <w:rsid w:val="00947397"/>
    <w:rsid w:val="00947684"/>
    <w:rsid w:val="00947B36"/>
    <w:rsid w:val="00947DA0"/>
    <w:rsid w:val="009502B4"/>
    <w:rsid w:val="00950358"/>
    <w:rsid w:val="009507A3"/>
    <w:rsid w:val="009507E6"/>
    <w:rsid w:val="009508D3"/>
    <w:rsid w:val="00950DAA"/>
    <w:rsid w:val="009510A2"/>
    <w:rsid w:val="009514BE"/>
    <w:rsid w:val="00951627"/>
    <w:rsid w:val="0095180C"/>
    <w:rsid w:val="00951AD4"/>
    <w:rsid w:val="0095200E"/>
    <w:rsid w:val="0095201A"/>
    <w:rsid w:val="00952721"/>
    <w:rsid w:val="00953257"/>
    <w:rsid w:val="0095366A"/>
    <w:rsid w:val="009541CE"/>
    <w:rsid w:val="0095474C"/>
    <w:rsid w:val="00954C03"/>
    <w:rsid w:val="009557F4"/>
    <w:rsid w:val="009558E9"/>
    <w:rsid w:val="00955CED"/>
    <w:rsid w:val="009561FC"/>
    <w:rsid w:val="009564BE"/>
    <w:rsid w:val="00956BFC"/>
    <w:rsid w:val="00956E1A"/>
    <w:rsid w:val="0095739E"/>
    <w:rsid w:val="009574FE"/>
    <w:rsid w:val="00957A7D"/>
    <w:rsid w:val="00957D92"/>
    <w:rsid w:val="00957DD7"/>
    <w:rsid w:val="0096026B"/>
    <w:rsid w:val="00960A6D"/>
    <w:rsid w:val="00960CA8"/>
    <w:rsid w:val="00961A97"/>
    <w:rsid w:val="00962081"/>
    <w:rsid w:val="0096231D"/>
    <w:rsid w:val="009623D7"/>
    <w:rsid w:val="0096252E"/>
    <w:rsid w:val="009625F0"/>
    <w:rsid w:val="009625F6"/>
    <w:rsid w:val="00962CB9"/>
    <w:rsid w:val="00963249"/>
    <w:rsid w:val="0096326A"/>
    <w:rsid w:val="0096370D"/>
    <w:rsid w:val="00963B43"/>
    <w:rsid w:val="00964312"/>
    <w:rsid w:val="0096479B"/>
    <w:rsid w:val="00964D8F"/>
    <w:rsid w:val="009656ED"/>
    <w:rsid w:val="00965AE6"/>
    <w:rsid w:val="00965B8A"/>
    <w:rsid w:val="0096617C"/>
    <w:rsid w:val="00966273"/>
    <w:rsid w:val="00966588"/>
    <w:rsid w:val="009666F9"/>
    <w:rsid w:val="00967012"/>
    <w:rsid w:val="0096703F"/>
    <w:rsid w:val="00967441"/>
    <w:rsid w:val="009675D5"/>
    <w:rsid w:val="009677DB"/>
    <w:rsid w:val="009677F2"/>
    <w:rsid w:val="00967875"/>
    <w:rsid w:val="00967B5D"/>
    <w:rsid w:val="00970065"/>
    <w:rsid w:val="009701CD"/>
    <w:rsid w:val="009706C6"/>
    <w:rsid w:val="0097071F"/>
    <w:rsid w:val="00970A62"/>
    <w:rsid w:val="00970DB6"/>
    <w:rsid w:val="00970FDE"/>
    <w:rsid w:val="0097127D"/>
    <w:rsid w:val="009717AC"/>
    <w:rsid w:val="00972338"/>
    <w:rsid w:val="00972403"/>
    <w:rsid w:val="0097274B"/>
    <w:rsid w:val="00972B51"/>
    <w:rsid w:val="00972E7B"/>
    <w:rsid w:val="009741A6"/>
    <w:rsid w:val="009743E0"/>
    <w:rsid w:val="00974BD6"/>
    <w:rsid w:val="00974EE4"/>
    <w:rsid w:val="009751C1"/>
    <w:rsid w:val="009753A3"/>
    <w:rsid w:val="00975698"/>
    <w:rsid w:val="0097678F"/>
    <w:rsid w:val="00976C50"/>
    <w:rsid w:val="0097704E"/>
    <w:rsid w:val="0097724F"/>
    <w:rsid w:val="0097757F"/>
    <w:rsid w:val="0097795C"/>
    <w:rsid w:val="009779F7"/>
    <w:rsid w:val="00977B90"/>
    <w:rsid w:val="00977F46"/>
    <w:rsid w:val="009803A0"/>
    <w:rsid w:val="0098040C"/>
    <w:rsid w:val="009805EB"/>
    <w:rsid w:val="00980F8D"/>
    <w:rsid w:val="009811F1"/>
    <w:rsid w:val="0098146B"/>
    <w:rsid w:val="0098191E"/>
    <w:rsid w:val="00981B8C"/>
    <w:rsid w:val="00981B8F"/>
    <w:rsid w:val="009822B3"/>
    <w:rsid w:val="0098262F"/>
    <w:rsid w:val="0098293B"/>
    <w:rsid w:val="00983087"/>
    <w:rsid w:val="009831A4"/>
    <w:rsid w:val="009832E9"/>
    <w:rsid w:val="009839B1"/>
    <w:rsid w:val="00983B0B"/>
    <w:rsid w:val="00983E57"/>
    <w:rsid w:val="00984207"/>
    <w:rsid w:val="009845FF"/>
    <w:rsid w:val="00984688"/>
    <w:rsid w:val="00984AC4"/>
    <w:rsid w:val="00984FA4"/>
    <w:rsid w:val="0098519F"/>
    <w:rsid w:val="00985DE2"/>
    <w:rsid w:val="00986043"/>
    <w:rsid w:val="0098624B"/>
    <w:rsid w:val="0098636B"/>
    <w:rsid w:val="0098675D"/>
    <w:rsid w:val="00986FB3"/>
    <w:rsid w:val="009871D6"/>
    <w:rsid w:val="00987AED"/>
    <w:rsid w:val="00987BA4"/>
    <w:rsid w:val="00987CAE"/>
    <w:rsid w:val="00987EA2"/>
    <w:rsid w:val="00987F89"/>
    <w:rsid w:val="0099013B"/>
    <w:rsid w:val="009907C9"/>
    <w:rsid w:val="00990D0D"/>
    <w:rsid w:val="00990DBA"/>
    <w:rsid w:val="00990EBE"/>
    <w:rsid w:val="009919D2"/>
    <w:rsid w:val="00992147"/>
    <w:rsid w:val="009926E0"/>
    <w:rsid w:val="009928CB"/>
    <w:rsid w:val="00992C00"/>
    <w:rsid w:val="00992D4B"/>
    <w:rsid w:val="0099412D"/>
    <w:rsid w:val="00994404"/>
    <w:rsid w:val="00994415"/>
    <w:rsid w:val="0099451E"/>
    <w:rsid w:val="00994B4D"/>
    <w:rsid w:val="00994C47"/>
    <w:rsid w:val="0099527D"/>
    <w:rsid w:val="00995702"/>
    <w:rsid w:val="00995A46"/>
    <w:rsid w:val="0099648A"/>
    <w:rsid w:val="00996959"/>
    <w:rsid w:val="00996B1A"/>
    <w:rsid w:val="00996BA1"/>
    <w:rsid w:val="009977DA"/>
    <w:rsid w:val="009978A7"/>
    <w:rsid w:val="009A0579"/>
    <w:rsid w:val="009A0B9D"/>
    <w:rsid w:val="009A1749"/>
    <w:rsid w:val="009A18F6"/>
    <w:rsid w:val="009A1D7C"/>
    <w:rsid w:val="009A2424"/>
    <w:rsid w:val="009A2870"/>
    <w:rsid w:val="009A2952"/>
    <w:rsid w:val="009A2C33"/>
    <w:rsid w:val="009A2CF9"/>
    <w:rsid w:val="009A2DCC"/>
    <w:rsid w:val="009A317C"/>
    <w:rsid w:val="009A3263"/>
    <w:rsid w:val="009A3269"/>
    <w:rsid w:val="009A32DE"/>
    <w:rsid w:val="009A3302"/>
    <w:rsid w:val="009A4D73"/>
    <w:rsid w:val="009A4E21"/>
    <w:rsid w:val="009A54B5"/>
    <w:rsid w:val="009A56F6"/>
    <w:rsid w:val="009A5ABC"/>
    <w:rsid w:val="009A6A2A"/>
    <w:rsid w:val="009A6C20"/>
    <w:rsid w:val="009A73F1"/>
    <w:rsid w:val="009A7EEB"/>
    <w:rsid w:val="009A7F10"/>
    <w:rsid w:val="009B003C"/>
    <w:rsid w:val="009B099C"/>
    <w:rsid w:val="009B0EE4"/>
    <w:rsid w:val="009B0F1C"/>
    <w:rsid w:val="009B1269"/>
    <w:rsid w:val="009B243E"/>
    <w:rsid w:val="009B26DC"/>
    <w:rsid w:val="009B301D"/>
    <w:rsid w:val="009B363E"/>
    <w:rsid w:val="009B39B1"/>
    <w:rsid w:val="009B3E26"/>
    <w:rsid w:val="009B3E71"/>
    <w:rsid w:val="009B3F5E"/>
    <w:rsid w:val="009B4057"/>
    <w:rsid w:val="009B49DD"/>
    <w:rsid w:val="009B4CAB"/>
    <w:rsid w:val="009B4D0D"/>
    <w:rsid w:val="009B5019"/>
    <w:rsid w:val="009B5328"/>
    <w:rsid w:val="009B53EB"/>
    <w:rsid w:val="009B5A2B"/>
    <w:rsid w:val="009B5B0A"/>
    <w:rsid w:val="009B5D2E"/>
    <w:rsid w:val="009B60B9"/>
    <w:rsid w:val="009B628D"/>
    <w:rsid w:val="009B67B4"/>
    <w:rsid w:val="009B6BCF"/>
    <w:rsid w:val="009B6D96"/>
    <w:rsid w:val="009B6DE7"/>
    <w:rsid w:val="009B7420"/>
    <w:rsid w:val="009C0014"/>
    <w:rsid w:val="009C0376"/>
    <w:rsid w:val="009C0715"/>
    <w:rsid w:val="009C0916"/>
    <w:rsid w:val="009C0ADD"/>
    <w:rsid w:val="009C1271"/>
    <w:rsid w:val="009C1B13"/>
    <w:rsid w:val="009C1C29"/>
    <w:rsid w:val="009C1CC2"/>
    <w:rsid w:val="009C25F4"/>
    <w:rsid w:val="009C3706"/>
    <w:rsid w:val="009C3A3A"/>
    <w:rsid w:val="009C426B"/>
    <w:rsid w:val="009C46E1"/>
    <w:rsid w:val="009C5443"/>
    <w:rsid w:val="009C57A2"/>
    <w:rsid w:val="009C5D86"/>
    <w:rsid w:val="009C6965"/>
    <w:rsid w:val="009C69EB"/>
    <w:rsid w:val="009C6CEA"/>
    <w:rsid w:val="009C6D32"/>
    <w:rsid w:val="009C6D91"/>
    <w:rsid w:val="009C71BD"/>
    <w:rsid w:val="009C73FB"/>
    <w:rsid w:val="009C7824"/>
    <w:rsid w:val="009C7B85"/>
    <w:rsid w:val="009C7C8E"/>
    <w:rsid w:val="009D0254"/>
    <w:rsid w:val="009D0B7C"/>
    <w:rsid w:val="009D0E4A"/>
    <w:rsid w:val="009D0E5D"/>
    <w:rsid w:val="009D163D"/>
    <w:rsid w:val="009D1A64"/>
    <w:rsid w:val="009D1CED"/>
    <w:rsid w:val="009D2404"/>
    <w:rsid w:val="009D2A92"/>
    <w:rsid w:val="009D2C81"/>
    <w:rsid w:val="009D2CDB"/>
    <w:rsid w:val="009D3538"/>
    <w:rsid w:val="009D39DB"/>
    <w:rsid w:val="009D40CA"/>
    <w:rsid w:val="009D448B"/>
    <w:rsid w:val="009D46AB"/>
    <w:rsid w:val="009D46D6"/>
    <w:rsid w:val="009D4B6A"/>
    <w:rsid w:val="009D50F8"/>
    <w:rsid w:val="009D56EA"/>
    <w:rsid w:val="009D585F"/>
    <w:rsid w:val="009D5B91"/>
    <w:rsid w:val="009D70D3"/>
    <w:rsid w:val="009D76BB"/>
    <w:rsid w:val="009D792E"/>
    <w:rsid w:val="009E0163"/>
    <w:rsid w:val="009E0BD9"/>
    <w:rsid w:val="009E0DFE"/>
    <w:rsid w:val="009E1034"/>
    <w:rsid w:val="009E17DC"/>
    <w:rsid w:val="009E1B52"/>
    <w:rsid w:val="009E1EC0"/>
    <w:rsid w:val="009E2839"/>
    <w:rsid w:val="009E2A02"/>
    <w:rsid w:val="009E2BE8"/>
    <w:rsid w:val="009E30E6"/>
    <w:rsid w:val="009E31F6"/>
    <w:rsid w:val="009E366D"/>
    <w:rsid w:val="009E3707"/>
    <w:rsid w:val="009E39FB"/>
    <w:rsid w:val="009E3DFF"/>
    <w:rsid w:val="009E426E"/>
    <w:rsid w:val="009E4620"/>
    <w:rsid w:val="009E4C07"/>
    <w:rsid w:val="009E5432"/>
    <w:rsid w:val="009E5945"/>
    <w:rsid w:val="009E5B38"/>
    <w:rsid w:val="009E6135"/>
    <w:rsid w:val="009E6F65"/>
    <w:rsid w:val="009E6F9E"/>
    <w:rsid w:val="009E7667"/>
    <w:rsid w:val="009E777F"/>
    <w:rsid w:val="009E783D"/>
    <w:rsid w:val="009E7B7E"/>
    <w:rsid w:val="009F0FAA"/>
    <w:rsid w:val="009F1054"/>
    <w:rsid w:val="009F1876"/>
    <w:rsid w:val="009F1894"/>
    <w:rsid w:val="009F1A4B"/>
    <w:rsid w:val="009F20EB"/>
    <w:rsid w:val="009F2332"/>
    <w:rsid w:val="009F2416"/>
    <w:rsid w:val="009F296D"/>
    <w:rsid w:val="009F2C8C"/>
    <w:rsid w:val="009F33D5"/>
    <w:rsid w:val="009F412D"/>
    <w:rsid w:val="009F509C"/>
    <w:rsid w:val="009F5327"/>
    <w:rsid w:val="009F6120"/>
    <w:rsid w:val="009F621D"/>
    <w:rsid w:val="009F66BA"/>
    <w:rsid w:val="009F6895"/>
    <w:rsid w:val="009F6BE4"/>
    <w:rsid w:val="009F76AA"/>
    <w:rsid w:val="009F7E5D"/>
    <w:rsid w:val="00A00306"/>
    <w:rsid w:val="00A005F3"/>
    <w:rsid w:val="00A00AD5"/>
    <w:rsid w:val="00A00D76"/>
    <w:rsid w:val="00A01184"/>
    <w:rsid w:val="00A01449"/>
    <w:rsid w:val="00A02838"/>
    <w:rsid w:val="00A02E61"/>
    <w:rsid w:val="00A036A9"/>
    <w:rsid w:val="00A037C2"/>
    <w:rsid w:val="00A03D43"/>
    <w:rsid w:val="00A03DCE"/>
    <w:rsid w:val="00A03FF0"/>
    <w:rsid w:val="00A04145"/>
    <w:rsid w:val="00A042C9"/>
    <w:rsid w:val="00A04302"/>
    <w:rsid w:val="00A04380"/>
    <w:rsid w:val="00A0460B"/>
    <w:rsid w:val="00A0467E"/>
    <w:rsid w:val="00A04786"/>
    <w:rsid w:val="00A04903"/>
    <w:rsid w:val="00A052CB"/>
    <w:rsid w:val="00A05472"/>
    <w:rsid w:val="00A0564E"/>
    <w:rsid w:val="00A0590C"/>
    <w:rsid w:val="00A05C32"/>
    <w:rsid w:val="00A05E3D"/>
    <w:rsid w:val="00A06321"/>
    <w:rsid w:val="00A06345"/>
    <w:rsid w:val="00A0653F"/>
    <w:rsid w:val="00A07667"/>
    <w:rsid w:val="00A07EA0"/>
    <w:rsid w:val="00A103C9"/>
    <w:rsid w:val="00A105E3"/>
    <w:rsid w:val="00A11104"/>
    <w:rsid w:val="00A1185A"/>
    <w:rsid w:val="00A11CD0"/>
    <w:rsid w:val="00A127E8"/>
    <w:rsid w:val="00A129C5"/>
    <w:rsid w:val="00A131C2"/>
    <w:rsid w:val="00A13948"/>
    <w:rsid w:val="00A13B18"/>
    <w:rsid w:val="00A14631"/>
    <w:rsid w:val="00A1555B"/>
    <w:rsid w:val="00A155C5"/>
    <w:rsid w:val="00A15A03"/>
    <w:rsid w:val="00A15F90"/>
    <w:rsid w:val="00A162CF"/>
    <w:rsid w:val="00A16AD8"/>
    <w:rsid w:val="00A1715C"/>
    <w:rsid w:val="00A173CC"/>
    <w:rsid w:val="00A17603"/>
    <w:rsid w:val="00A17C60"/>
    <w:rsid w:val="00A17E7D"/>
    <w:rsid w:val="00A2021E"/>
    <w:rsid w:val="00A20B47"/>
    <w:rsid w:val="00A20CF1"/>
    <w:rsid w:val="00A20F95"/>
    <w:rsid w:val="00A211D8"/>
    <w:rsid w:val="00A21977"/>
    <w:rsid w:val="00A21985"/>
    <w:rsid w:val="00A21AB4"/>
    <w:rsid w:val="00A21C95"/>
    <w:rsid w:val="00A21CF3"/>
    <w:rsid w:val="00A220E6"/>
    <w:rsid w:val="00A22557"/>
    <w:rsid w:val="00A23C33"/>
    <w:rsid w:val="00A23D0F"/>
    <w:rsid w:val="00A24813"/>
    <w:rsid w:val="00A24EBE"/>
    <w:rsid w:val="00A2509A"/>
    <w:rsid w:val="00A2509F"/>
    <w:rsid w:val="00A262EB"/>
    <w:rsid w:val="00A263E5"/>
    <w:rsid w:val="00A265D4"/>
    <w:rsid w:val="00A26718"/>
    <w:rsid w:val="00A26A12"/>
    <w:rsid w:val="00A26FFC"/>
    <w:rsid w:val="00A2727A"/>
    <w:rsid w:val="00A275B3"/>
    <w:rsid w:val="00A27AEC"/>
    <w:rsid w:val="00A27EFE"/>
    <w:rsid w:val="00A27F11"/>
    <w:rsid w:val="00A30B37"/>
    <w:rsid w:val="00A314CB"/>
    <w:rsid w:val="00A315B4"/>
    <w:rsid w:val="00A31878"/>
    <w:rsid w:val="00A319C0"/>
    <w:rsid w:val="00A320DB"/>
    <w:rsid w:val="00A326C1"/>
    <w:rsid w:val="00A329C3"/>
    <w:rsid w:val="00A33B7E"/>
    <w:rsid w:val="00A33C3C"/>
    <w:rsid w:val="00A3464A"/>
    <w:rsid w:val="00A34DF1"/>
    <w:rsid w:val="00A356DF"/>
    <w:rsid w:val="00A35D16"/>
    <w:rsid w:val="00A36B64"/>
    <w:rsid w:val="00A36D9A"/>
    <w:rsid w:val="00A372B9"/>
    <w:rsid w:val="00A37BCD"/>
    <w:rsid w:val="00A4003A"/>
    <w:rsid w:val="00A40790"/>
    <w:rsid w:val="00A410B0"/>
    <w:rsid w:val="00A41226"/>
    <w:rsid w:val="00A4160A"/>
    <w:rsid w:val="00A41689"/>
    <w:rsid w:val="00A41D4E"/>
    <w:rsid w:val="00A42592"/>
    <w:rsid w:val="00A43C59"/>
    <w:rsid w:val="00A43F37"/>
    <w:rsid w:val="00A440D3"/>
    <w:rsid w:val="00A4477B"/>
    <w:rsid w:val="00A45C32"/>
    <w:rsid w:val="00A45EA5"/>
    <w:rsid w:val="00A46505"/>
    <w:rsid w:val="00A468EB"/>
    <w:rsid w:val="00A46B59"/>
    <w:rsid w:val="00A4714F"/>
    <w:rsid w:val="00A47639"/>
    <w:rsid w:val="00A47B5C"/>
    <w:rsid w:val="00A47CD0"/>
    <w:rsid w:val="00A47FF8"/>
    <w:rsid w:val="00A502EE"/>
    <w:rsid w:val="00A50894"/>
    <w:rsid w:val="00A50ECD"/>
    <w:rsid w:val="00A51588"/>
    <w:rsid w:val="00A5161A"/>
    <w:rsid w:val="00A518F3"/>
    <w:rsid w:val="00A51C91"/>
    <w:rsid w:val="00A51F23"/>
    <w:rsid w:val="00A524F1"/>
    <w:rsid w:val="00A52567"/>
    <w:rsid w:val="00A52729"/>
    <w:rsid w:val="00A5321A"/>
    <w:rsid w:val="00A53675"/>
    <w:rsid w:val="00A53911"/>
    <w:rsid w:val="00A539BF"/>
    <w:rsid w:val="00A53A86"/>
    <w:rsid w:val="00A53F71"/>
    <w:rsid w:val="00A54823"/>
    <w:rsid w:val="00A54DB2"/>
    <w:rsid w:val="00A5512E"/>
    <w:rsid w:val="00A55D8B"/>
    <w:rsid w:val="00A5626F"/>
    <w:rsid w:val="00A564D7"/>
    <w:rsid w:val="00A56657"/>
    <w:rsid w:val="00A566F4"/>
    <w:rsid w:val="00A5690D"/>
    <w:rsid w:val="00A56B6A"/>
    <w:rsid w:val="00A57071"/>
    <w:rsid w:val="00A57690"/>
    <w:rsid w:val="00A578DC"/>
    <w:rsid w:val="00A601A4"/>
    <w:rsid w:val="00A6032C"/>
    <w:rsid w:val="00A614F5"/>
    <w:rsid w:val="00A617B7"/>
    <w:rsid w:val="00A619B4"/>
    <w:rsid w:val="00A61F36"/>
    <w:rsid w:val="00A6211D"/>
    <w:rsid w:val="00A6282D"/>
    <w:rsid w:val="00A62F64"/>
    <w:rsid w:val="00A62F85"/>
    <w:rsid w:val="00A63623"/>
    <w:rsid w:val="00A63670"/>
    <w:rsid w:val="00A63C66"/>
    <w:rsid w:val="00A63FC8"/>
    <w:rsid w:val="00A640E2"/>
    <w:rsid w:val="00A64BD4"/>
    <w:rsid w:val="00A64D65"/>
    <w:rsid w:val="00A64E29"/>
    <w:rsid w:val="00A64E92"/>
    <w:rsid w:val="00A660F8"/>
    <w:rsid w:val="00A66654"/>
    <w:rsid w:val="00A6725B"/>
    <w:rsid w:val="00A6741A"/>
    <w:rsid w:val="00A6785B"/>
    <w:rsid w:val="00A67931"/>
    <w:rsid w:val="00A70519"/>
    <w:rsid w:val="00A70605"/>
    <w:rsid w:val="00A7079A"/>
    <w:rsid w:val="00A71426"/>
    <w:rsid w:val="00A7194C"/>
    <w:rsid w:val="00A72178"/>
    <w:rsid w:val="00A73134"/>
    <w:rsid w:val="00A7342E"/>
    <w:rsid w:val="00A734BF"/>
    <w:rsid w:val="00A735F7"/>
    <w:rsid w:val="00A7365A"/>
    <w:rsid w:val="00A74541"/>
    <w:rsid w:val="00A74C2C"/>
    <w:rsid w:val="00A7503D"/>
    <w:rsid w:val="00A7548B"/>
    <w:rsid w:val="00A7581E"/>
    <w:rsid w:val="00A75CA6"/>
    <w:rsid w:val="00A76001"/>
    <w:rsid w:val="00A76100"/>
    <w:rsid w:val="00A766D0"/>
    <w:rsid w:val="00A773BF"/>
    <w:rsid w:val="00A77775"/>
    <w:rsid w:val="00A777B2"/>
    <w:rsid w:val="00A816F6"/>
    <w:rsid w:val="00A81962"/>
    <w:rsid w:val="00A825D4"/>
    <w:rsid w:val="00A828F6"/>
    <w:rsid w:val="00A82B73"/>
    <w:rsid w:val="00A83A08"/>
    <w:rsid w:val="00A83CC2"/>
    <w:rsid w:val="00A840DB"/>
    <w:rsid w:val="00A848C1"/>
    <w:rsid w:val="00A85304"/>
    <w:rsid w:val="00A8581F"/>
    <w:rsid w:val="00A86037"/>
    <w:rsid w:val="00A860E2"/>
    <w:rsid w:val="00A86E8B"/>
    <w:rsid w:val="00A87164"/>
    <w:rsid w:val="00A871A9"/>
    <w:rsid w:val="00A90DF2"/>
    <w:rsid w:val="00A90F34"/>
    <w:rsid w:val="00A91788"/>
    <w:rsid w:val="00A91BCF"/>
    <w:rsid w:val="00A92664"/>
    <w:rsid w:val="00A93072"/>
    <w:rsid w:val="00A930A8"/>
    <w:rsid w:val="00A93898"/>
    <w:rsid w:val="00A938BD"/>
    <w:rsid w:val="00A93953"/>
    <w:rsid w:val="00A955AA"/>
    <w:rsid w:val="00A9592F"/>
    <w:rsid w:val="00A959D8"/>
    <w:rsid w:val="00A95BA8"/>
    <w:rsid w:val="00A95E02"/>
    <w:rsid w:val="00A96C11"/>
    <w:rsid w:val="00A97713"/>
    <w:rsid w:val="00A97906"/>
    <w:rsid w:val="00A97DBA"/>
    <w:rsid w:val="00AA0390"/>
    <w:rsid w:val="00AA0D2D"/>
    <w:rsid w:val="00AA113D"/>
    <w:rsid w:val="00AA12FE"/>
    <w:rsid w:val="00AA133F"/>
    <w:rsid w:val="00AA1386"/>
    <w:rsid w:val="00AA16D7"/>
    <w:rsid w:val="00AA171C"/>
    <w:rsid w:val="00AA1819"/>
    <w:rsid w:val="00AA1C61"/>
    <w:rsid w:val="00AA1FFF"/>
    <w:rsid w:val="00AA20CB"/>
    <w:rsid w:val="00AA241E"/>
    <w:rsid w:val="00AA2C4A"/>
    <w:rsid w:val="00AA3194"/>
    <w:rsid w:val="00AA31FB"/>
    <w:rsid w:val="00AA3288"/>
    <w:rsid w:val="00AA3971"/>
    <w:rsid w:val="00AA48CA"/>
    <w:rsid w:val="00AA52E4"/>
    <w:rsid w:val="00AA54CB"/>
    <w:rsid w:val="00AA5599"/>
    <w:rsid w:val="00AA63CA"/>
    <w:rsid w:val="00AA63F5"/>
    <w:rsid w:val="00AA659A"/>
    <w:rsid w:val="00AA6BD5"/>
    <w:rsid w:val="00AA6BD8"/>
    <w:rsid w:val="00AA6C7D"/>
    <w:rsid w:val="00AA7567"/>
    <w:rsid w:val="00AA76E9"/>
    <w:rsid w:val="00AA77EA"/>
    <w:rsid w:val="00AA7CE8"/>
    <w:rsid w:val="00AA7DAE"/>
    <w:rsid w:val="00AA7FD6"/>
    <w:rsid w:val="00AB00FE"/>
    <w:rsid w:val="00AB02FA"/>
    <w:rsid w:val="00AB042A"/>
    <w:rsid w:val="00AB11AD"/>
    <w:rsid w:val="00AB1251"/>
    <w:rsid w:val="00AB14A4"/>
    <w:rsid w:val="00AB1646"/>
    <w:rsid w:val="00AB19EF"/>
    <w:rsid w:val="00AB1BF0"/>
    <w:rsid w:val="00AB2495"/>
    <w:rsid w:val="00AB2D34"/>
    <w:rsid w:val="00AB2E17"/>
    <w:rsid w:val="00AB3294"/>
    <w:rsid w:val="00AB3430"/>
    <w:rsid w:val="00AB37B9"/>
    <w:rsid w:val="00AB3847"/>
    <w:rsid w:val="00AB4AD1"/>
    <w:rsid w:val="00AB4CCC"/>
    <w:rsid w:val="00AB5410"/>
    <w:rsid w:val="00AB57B1"/>
    <w:rsid w:val="00AB5E07"/>
    <w:rsid w:val="00AB61FD"/>
    <w:rsid w:val="00AB6962"/>
    <w:rsid w:val="00AB72A0"/>
    <w:rsid w:val="00AB7365"/>
    <w:rsid w:val="00AB74F6"/>
    <w:rsid w:val="00AB7CFA"/>
    <w:rsid w:val="00AB7F95"/>
    <w:rsid w:val="00AC01CB"/>
    <w:rsid w:val="00AC071B"/>
    <w:rsid w:val="00AC0AEC"/>
    <w:rsid w:val="00AC14DF"/>
    <w:rsid w:val="00AC16A1"/>
    <w:rsid w:val="00AC170C"/>
    <w:rsid w:val="00AC1F41"/>
    <w:rsid w:val="00AC2041"/>
    <w:rsid w:val="00AC233A"/>
    <w:rsid w:val="00AC293F"/>
    <w:rsid w:val="00AC3D8C"/>
    <w:rsid w:val="00AC4B47"/>
    <w:rsid w:val="00AC50DE"/>
    <w:rsid w:val="00AC5B42"/>
    <w:rsid w:val="00AC5B48"/>
    <w:rsid w:val="00AC5C3A"/>
    <w:rsid w:val="00AC6202"/>
    <w:rsid w:val="00AC6B78"/>
    <w:rsid w:val="00AC723B"/>
    <w:rsid w:val="00AC73E6"/>
    <w:rsid w:val="00AC7669"/>
    <w:rsid w:val="00AC7EE5"/>
    <w:rsid w:val="00AD01C3"/>
    <w:rsid w:val="00AD0A29"/>
    <w:rsid w:val="00AD0E55"/>
    <w:rsid w:val="00AD1450"/>
    <w:rsid w:val="00AD15E8"/>
    <w:rsid w:val="00AD3090"/>
    <w:rsid w:val="00AD3164"/>
    <w:rsid w:val="00AD32BD"/>
    <w:rsid w:val="00AD356D"/>
    <w:rsid w:val="00AD4803"/>
    <w:rsid w:val="00AD519E"/>
    <w:rsid w:val="00AD5210"/>
    <w:rsid w:val="00AD5CA8"/>
    <w:rsid w:val="00AD6502"/>
    <w:rsid w:val="00AD6B43"/>
    <w:rsid w:val="00AD6B9C"/>
    <w:rsid w:val="00AD7079"/>
    <w:rsid w:val="00AD73F6"/>
    <w:rsid w:val="00AD768D"/>
    <w:rsid w:val="00AD7E8B"/>
    <w:rsid w:val="00AE010D"/>
    <w:rsid w:val="00AE0695"/>
    <w:rsid w:val="00AE1274"/>
    <w:rsid w:val="00AE1305"/>
    <w:rsid w:val="00AE1ECF"/>
    <w:rsid w:val="00AE25AF"/>
    <w:rsid w:val="00AE2A7C"/>
    <w:rsid w:val="00AE3656"/>
    <w:rsid w:val="00AE37E1"/>
    <w:rsid w:val="00AE3E7E"/>
    <w:rsid w:val="00AE476E"/>
    <w:rsid w:val="00AE4786"/>
    <w:rsid w:val="00AE4AE3"/>
    <w:rsid w:val="00AE503B"/>
    <w:rsid w:val="00AE5166"/>
    <w:rsid w:val="00AE60AC"/>
    <w:rsid w:val="00AE667C"/>
    <w:rsid w:val="00AE6BD9"/>
    <w:rsid w:val="00AE6CAF"/>
    <w:rsid w:val="00AE7CF6"/>
    <w:rsid w:val="00AE7E53"/>
    <w:rsid w:val="00AF0397"/>
    <w:rsid w:val="00AF1268"/>
    <w:rsid w:val="00AF12C7"/>
    <w:rsid w:val="00AF1315"/>
    <w:rsid w:val="00AF13AD"/>
    <w:rsid w:val="00AF19BF"/>
    <w:rsid w:val="00AF1B23"/>
    <w:rsid w:val="00AF1BA7"/>
    <w:rsid w:val="00AF211E"/>
    <w:rsid w:val="00AF2141"/>
    <w:rsid w:val="00AF2307"/>
    <w:rsid w:val="00AF2354"/>
    <w:rsid w:val="00AF2859"/>
    <w:rsid w:val="00AF2DC3"/>
    <w:rsid w:val="00AF2FD1"/>
    <w:rsid w:val="00AF378F"/>
    <w:rsid w:val="00AF3953"/>
    <w:rsid w:val="00AF4708"/>
    <w:rsid w:val="00AF51A9"/>
    <w:rsid w:val="00AF538E"/>
    <w:rsid w:val="00AF57B9"/>
    <w:rsid w:val="00AF5B6D"/>
    <w:rsid w:val="00AF6284"/>
    <w:rsid w:val="00AF6BEB"/>
    <w:rsid w:val="00AF6F5D"/>
    <w:rsid w:val="00AF7153"/>
    <w:rsid w:val="00AF76BC"/>
    <w:rsid w:val="00AF7DC7"/>
    <w:rsid w:val="00B012DD"/>
    <w:rsid w:val="00B0161C"/>
    <w:rsid w:val="00B019C5"/>
    <w:rsid w:val="00B01F9F"/>
    <w:rsid w:val="00B02A0B"/>
    <w:rsid w:val="00B033E5"/>
    <w:rsid w:val="00B03862"/>
    <w:rsid w:val="00B03A63"/>
    <w:rsid w:val="00B03DC5"/>
    <w:rsid w:val="00B04504"/>
    <w:rsid w:val="00B046CC"/>
    <w:rsid w:val="00B0570E"/>
    <w:rsid w:val="00B05B88"/>
    <w:rsid w:val="00B05E85"/>
    <w:rsid w:val="00B06382"/>
    <w:rsid w:val="00B107F2"/>
    <w:rsid w:val="00B10CCF"/>
    <w:rsid w:val="00B1117E"/>
    <w:rsid w:val="00B1130E"/>
    <w:rsid w:val="00B11A37"/>
    <w:rsid w:val="00B11C47"/>
    <w:rsid w:val="00B1212D"/>
    <w:rsid w:val="00B122B9"/>
    <w:rsid w:val="00B12415"/>
    <w:rsid w:val="00B126C8"/>
    <w:rsid w:val="00B129A4"/>
    <w:rsid w:val="00B12FD2"/>
    <w:rsid w:val="00B13696"/>
    <w:rsid w:val="00B13841"/>
    <w:rsid w:val="00B140AF"/>
    <w:rsid w:val="00B141AE"/>
    <w:rsid w:val="00B141F2"/>
    <w:rsid w:val="00B1420A"/>
    <w:rsid w:val="00B142F9"/>
    <w:rsid w:val="00B14B67"/>
    <w:rsid w:val="00B15185"/>
    <w:rsid w:val="00B15894"/>
    <w:rsid w:val="00B158CE"/>
    <w:rsid w:val="00B164B6"/>
    <w:rsid w:val="00B17306"/>
    <w:rsid w:val="00B175CC"/>
    <w:rsid w:val="00B178E7"/>
    <w:rsid w:val="00B17E0B"/>
    <w:rsid w:val="00B17E88"/>
    <w:rsid w:val="00B201A4"/>
    <w:rsid w:val="00B201D1"/>
    <w:rsid w:val="00B204B5"/>
    <w:rsid w:val="00B213A6"/>
    <w:rsid w:val="00B21481"/>
    <w:rsid w:val="00B2165E"/>
    <w:rsid w:val="00B21A77"/>
    <w:rsid w:val="00B21C63"/>
    <w:rsid w:val="00B21D33"/>
    <w:rsid w:val="00B2281D"/>
    <w:rsid w:val="00B22BC0"/>
    <w:rsid w:val="00B22EA0"/>
    <w:rsid w:val="00B23480"/>
    <w:rsid w:val="00B235B0"/>
    <w:rsid w:val="00B23A47"/>
    <w:rsid w:val="00B241E9"/>
    <w:rsid w:val="00B24B3B"/>
    <w:rsid w:val="00B24B5F"/>
    <w:rsid w:val="00B24B75"/>
    <w:rsid w:val="00B24DF6"/>
    <w:rsid w:val="00B24E0F"/>
    <w:rsid w:val="00B24F05"/>
    <w:rsid w:val="00B25238"/>
    <w:rsid w:val="00B2541E"/>
    <w:rsid w:val="00B258B7"/>
    <w:rsid w:val="00B258C1"/>
    <w:rsid w:val="00B25DC8"/>
    <w:rsid w:val="00B27008"/>
    <w:rsid w:val="00B274F9"/>
    <w:rsid w:val="00B27783"/>
    <w:rsid w:val="00B27A61"/>
    <w:rsid w:val="00B27D94"/>
    <w:rsid w:val="00B30073"/>
    <w:rsid w:val="00B30578"/>
    <w:rsid w:val="00B310B4"/>
    <w:rsid w:val="00B31B6C"/>
    <w:rsid w:val="00B31B99"/>
    <w:rsid w:val="00B32871"/>
    <w:rsid w:val="00B328DB"/>
    <w:rsid w:val="00B33102"/>
    <w:rsid w:val="00B33192"/>
    <w:rsid w:val="00B334AF"/>
    <w:rsid w:val="00B33DA1"/>
    <w:rsid w:val="00B342F5"/>
    <w:rsid w:val="00B34371"/>
    <w:rsid w:val="00B34CD5"/>
    <w:rsid w:val="00B34F20"/>
    <w:rsid w:val="00B34FE2"/>
    <w:rsid w:val="00B35166"/>
    <w:rsid w:val="00B3523F"/>
    <w:rsid w:val="00B352C9"/>
    <w:rsid w:val="00B357A5"/>
    <w:rsid w:val="00B357D8"/>
    <w:rsid w:val="00B360F4"/>
    <w:rsid w:val="00B3615C"/>
    <w:rsid w:val="00B364DA"/>
    <w:rsid w:val="00B36A00"/>
    <w:rsid w:val="00B37860"/>
    <w:rsid w:val="00B3792B"/>
    <w:rsid w:val="00B37BFC"/>
    <w:rsid w:val="00B40358"/>
    <w:rsid w:val="00B4060D"/>
    <w:rsid w:val="00B40725"/>
    <w:rsid w:val="00B40801"/>
    <w:rsid w:val="00B40D7E"/>
    <w:rsid w:val="00B41298"/>
    <w:rsid w:val="00B413E1"/>
    <w:rsid w:val="00B4158C"/>
    <w:rsid w:val="00B41614"/>
    <w:rsid w:val="00B41940"/>
    <w:rsid w:val="00B41C4B"/>
    <w:rsid w:val="00B41D7C"/>
    <w:rsid w:val="00B42851"/>
    <w:rsid w:val="00B42F80"/>
    <w:rsid w:val="00B435CB"/>
    <w:rsid w:val="00B43B08"/>
    <w:rsid w:val="00B43CB6"/>
    <w:rsid w:val="00B448B5"/>
    <w:rsid w:val="00B4509A"/>
    <w:rsid w:val="00B45816"/>
    <w:rsid w:val="00B45BD2"/>
    <w:rsid w:val="00B45C31"/>
    <w:rsid w:val="00B46407"/>
    <w:rsid w:val="00B465EC"/>
    <w:rsid w:val="00B46666"/>
    <w:rsid w:val="00B46CC2"/>
    <w:rsid w:val="00B46F81"/>
    <w:rsid w:val="00B471AC"/>
    <w:rsid w:val="00B471C6"/>
    <w:rsid w:val="00B477F7"/>
    <w:rsid w:val="00B47D22"/>
    <w:rsid w:val="00B505C8"/>
    <w:rsid w:val="00B509DA"/>
    <w:rsid w:val="00B50DB8"/>
    <w:rsid w:val="00B50F7F"/>
    <w:rsid w:val="00B512FD"/>
    <w:rsid w:val="00B52266"/>
    <w:rsid w:val="00B5314F"/>
    <w:rsid w:val="00B53250"/>
    <w:rsid w:val="00B53654"/>
    <w:rsid w:val="00B53905"/>
    <w:rsid w:val="00B5401D"/>
    <w:rsid w:val="00B5445D"/>
    <w:rsid w:val="00B5459A"/>
    <w:rsid w:val="00B546DB"/>
    <w:rsid w:val="00B548F1"/>
    <w:rsid w:val="00B54B5B"/>
    <w:rsid w:val="00B54BC5"/>
    <w:rsid w:val="00B5562E"/>
    <w:rsid w:val="00B55862"/>
    <w:rsid w:val="00B55D65"/>
    <w:rsid w:val="00B55E15"/>
    <w:rsid w:val="00B56270"/>
    <w:rsid w:val="00B56305"/>
    <w:rsid w:val="00B57000"/>
    <w:rsid w:val="00B5740F"/>
    <w:rsid w:val="00B57932"/>
    <w:rsid w:val="00B603EB"/>
    <w:rsid w:val="00B60583"/>
    <w:rsid w:val="00B605E6"/>
    <w:rsid w:val="00B60939"/>
    <w:rsid w:val="00B60A28"/>
    <w:rsid w:val="00B60AFD"/>
    <w:rsid w:val="00B60ECB"/>
    <w:rsid w:val="00B612B4"/>
    <w:rsid w:val="00B61450"/>
    <w:rsid w:val="00B61540"/>
    <w:rsid w:val="00B617DE"/>
    <w:rsid w:val="00B61D9E"/>
    <w:rsid w:val="00B62715"/>
    <w:rsid w:val="00B63C66"/>
    <w:rsid w:val="00B6413B"/>
    <w:rsid w:val="00B647A9"/>
    <w:rsid w:val="00B64AA7"/>
    <w:rsid w:val="00B64CCB"/>
    <w:rsid w:val="00B65611"/>
    <w:rsid w:val="00B656B5"/>
    <w:rsid w:val="00B659F9"/>
    <w:rsid w:val="00B668FE"/>
    <w:rsid w:val="00B66BBB"/>
    <w:rsid w:val="00B67254"/>
    <w:rsid w:val="00B67484"/>
    <w:rsid w:val="00B70170"/>
    <w:rsid w:val="00B70498"/>
    <w:rsid w:val="00B706C5"/>
    <w:rsid w:val="00B70BE5"/>
    <w:rsid w:val="00B70E8E"/>
    <w:rsid w:val="00B71102"/>
    <w:rsid w:val="00B714D5"/>
    <w:rsid w:val="00B7152F"/>
    <w:rsid w:val="00B71A8C"/>
    <w:rsid w:val="00B7228A"/>
    <w:rsid w:val="00B72443"/>
    <w:rsid w:val="00B72D49"/>
    <w:rsid w:val="00B731E7"/>
    <w:rsid w:val="00B7329A"/>
    <w:rsid w:val="00B73333"/>
    <w:rsid w:val="00B736A4"/>
    <w:rsid w:val="00B738DD"/>
    <w:rsid w:val="00B73EFE"/>
    <w:rsid w:val="00B74139"/>
    <w:rsid w:val="00B742BF"/>
    <w:rsid w:val="00B754A7"/>
    <w:rsid w:val="00B76473"/>
    <w:rsid w:val="00B76C92"/>
    <w:rsid w:val="00B76E26"/>
    <w:rsid w:val="00B77935"/>
    <w:rsid w:val="00B801AF"/>
    <w:rsid w:val="00B80416"/>
    <w:rsid w:val="00B80EFD"/>
    <w:rsid w:val="00B8146C"/>
    <w:rsid w:val="00B818A4"/>
    <w:rsid w:val="00B82210"/>
    <w:rsid w:val="00B82252"/>
    <w:rsid w:val="00B82957"/>
    <w:rsid w:val="00B82DBD"/>
    <w:rsid w:val="00B83239"/>
    <w:rsid w:val="00B83739"/>
    <w:rsid w:val="00B83C9D"/>
    <w:rsid w:val="00B83E79"/>
    <w:rsid w:val="00B84117"/>
    <w:rsid w:val="00B844B8"/>
    <w:rsid w:val="00B845BF"/>
    <w:rsid w:val="00B8477A"/>
    <w:rsid w:val="00B849F2"/>
    <w:rsid w:val="00B850BA"/>
    <w:rsid w:val="00B8518D"/>
    <w:rsid w:val="00B853B2"/>
    <w:rsid w:val="00B85595"/>
    <w:rsid w:val="00B858F0"/>
    <w:rsid w:val="00B85AA2"/>
    <w:rsid w:val="00B85E14"/>
    <w:rsid w:val="00B85EE0"/>
    <w:rsid w:val="00B86066"/>
    <w:rsid w:val="00B860AC"/>
    <w:rsid w:val="00B8649C"/>
    <w:rsid w:val="00B86798"/>
    <w:rsid w:val="00B867AB"/>
    <w:rsid w:val="00B8695D"/>
    <w:rsid w:val="00B87F0A"/>
    <w:rsid w:val="00B906FE"/>
    <w:rsid w:val="00B90CD8"/>
    <w:rsid w:val="00B90CE4"/>
    <w:rsid w:val="00B91217"/>
    <w:rsid w:val="00B92D0B"/>
    <w:rsid w:val="00B9336E"/>
    <w:rsid w:val="00B934F8"/>
    <w:rsid w:val="00B9367E"/>
    <w:rsid w:val="00B93AF8"/>
    <w:rsid w:val="00B94945"/>
    <w:rsid w:val="00B94CE5"/>
    <w:rsid w:val="00B94DD6"/>
    <w:rsid w:val="00B954F4"/>
    <w:rsid w:val="00B97A8F"/>
    <w:rsid w:val="00B97C98"/>
    <w:rsid w:val="00B97CC6"/>
    <w:rsid w:val="00B97E70"/>
    <w:rsid w:val="00BA0274"/>
    <w:rsid w:val="00BA0AEC"/>
    <w:rsid w:val="00BA0EBE"/>
    <w:rsid w:val="00BA1D97"/>
    <w:rsid w:val="00BA1EF9"/>
    <w:rsid w:val="00BA2891"/>
    <w:rsid w:val="00BA3012"/>
    <w:rsid w:val="00BA322D"/>
    <w:rsid w:val="00BA3916"/>
    <w:rsid w:val="00BA3A3E"/>
    <w:rsid w:val="00BA3B5D"/>
    <w:rsid w:val="00BA41B0"/>
    <w:rsid w:val="00BA4DC5"/>
    <w:rsid w:val="00BA53CD"/>
    <w:rsid w:val="00BA5C36"/>
    <w:rsid w:val="00BA5F03"/>
    <w:rsid w:val="00BA63FA"/>
    <w:rsid w:val="00BA645B"/>
    <w:rsid w:val="00BA6638"/>
    <w:rsid w:val="00BA7111"/>
    <w:rsid w:val="00BA71DC"/>
    <w:rsid w:val="00BB00B3"/>
    <w:rsid w:val="00BB0A4F"/>
    <w:rsid w:val="00BB0BDD"/>
    <w:rsid w:val="00BB1145"/>
    <w:rsid w:val="00BB16CD"/>
    <w:rsid w:val="00BB176C"/>
    <w:rsid w:val="00BB189E"/>
    <w:rsid w:val="00BB202C"/>
    <w:rsid w:val="00BB24E6"/>
    <w:rsid w:val="00BB2A73"/>
    <w:rsid w:val="00BB2C92"/>
    <w:rsid w:val="00BB2F2A"/>
    <w:rsid w:val="00BB3341"/>
    <w:rsid w:val="00BB3A45"/>
    <w:rsid w:val="00BB3B36"/>
    <w:rsid w:val="00BB4138"/>
    <w:rsid w:val="00BB4938"/>
    <w:rsid w:val="00BB4ACC"/>
    <w:rsid w:val="00BB4C61"/>
    <w:rsid w:val="00BB59B1"/>
    <w:rsid w:val="00BB5EC7"/>
    <w:rsid w:val="00BB66E2"/>
    <w:rsid w:val="00BB673B"/>
    <w:rsid w:val="00BB676B"/>
    <w:rsid w:val="00BB6A1D"/>
    <w:rsid w:val="00BB703E"/>
    <w:rsid w:val="00BB7049"/>
    <w:rsid w:val="00BB732D"/>
    <w:rsid w:val="00BB7405"/>
    <w:rsid w:val="00BB77F7"/>
    <w:rsid w:val="00BC0559"/>
    <w:rsid w:val="00BC099F"/>
    <w:rsid w:val="00BC12FE"/>
    <w:rsid w:val="00BC1379"/>
    <w:rsid w:val="00BC146B"/>
    <w:rsid w:val="00BC153E"/>
    <w:rsid w:val="00BC24EF"/>
    <w:rsid w:val="00BC35E6"/>
    <w:rsid w:val="00BC3631"/>
    <w:rsid w:val="00BC36E6"/>
    <w:rsid w:val="00BC3758"/>
    <w:rsid w:val="00BC4B22"/>
    <w:rsid w:val="00BC4C2C"/>
    <w:rsid w:val="00BC4FD4"/>
    <w:rsid w:val="00BC591F"/>
    <w:rsid w:val="00BC5CC3"/>
    <w:rsid w:val="00BC5F65"/>
    <w:rsid w:val="00BC60E6"/>
    <w:rsid w:val="00BC7097"/>
    <w:rsid w:val="00BC750B"/>
    <w:rsid w:val="00BC7A12"/>
    <w:rsid w:val="00BC7B69"/>
    <w:rsid w:val="00BC7C31"/>
    <w:rsid w:val="00BC7D6D"/>
    <w:rsid w:val="00BD02A7"/>
    <w:rsid w:val="00BD0CB7"/>
    <w:rsid w:val="00BD1189"/>
    <w:rsid w:val="00BD158E"/>
    <w:rsid w:val="00BD16E6"/>
    <w:rsid w:val="00BD17FB"/>
    <w:rsid w:val="00BD1A5E"/>
    <w:rsid w:val="00BD1BCB"/>
    <w:rsid w:val="00BD2108"/>
    <w:rsid w:val="00BD25D0"/>
    <w:rsid w:val="00BD3770"/>
    <w:rsid w:val="00BD3BCA"/>
    <w:rsid w:val="00BD3C64"/>
    <w:rsid w:val="00BD3E30"/>
    <w:rsid w:val="00BD431F"/>
    <w:rsid w:val="00BD4920"/>
    <w:rsid w:val="00BD4D4B"/>
    <w:rsid w:val="00BD62E8"/>
    <w:rsid w:val="00BD68A3"/>
    <w:rsid w:val="00BD6938"/>
    <w:rsid w:val="00BD6B32"/>
    <w:rsid w:val="00BD6CF3"/>
    <w:rsid w:val="00BD795A"/>
    <w:rsid w:val="00BD7D36"/>
    <w:rsid w:val="00BD7F72"/>
    <w:rsid w:val="00BE0ECA"/>
    <w:rsid w:val="00BE1292"/>
    <w:rsid w:val="00BE2180"/>
    <w:rsid w:val="00BE21F2"/>
    <w:rsid w:val="00BE2364"/>
    <w:rsid w:val="00BE342E"/>
    <w:rsid w:val="00BE3659"/>
    <w:rsid w:val="00BE376E"/>
    <w:rsid w:val="00BE3DAF"/>
    <w:rsid w:val="00BE3E87"/>
    <w:rsid w:val="00BE3F39"/>
    <w:rsid w:val="00BE4275"/>
    <w:rsid w:val="00BE4344"/>
    <w:rsid w:val="00BE4F52"/>
    <w:rsid w:val="00BE524B"/>
    <w:rsid w:val="00BE58E6"/>
    <w:rsid w:val="00BE59B3"/>
    <w:rsid w:val="00BE610B"/>
    <w:rsid w:val="00BE7CE0"/>
    <w:rsid w:val="00BE7CF1"/>
    <w:rsid w:val="00BE7D22"/>
    <w:rsid w:val="00BE7D89"/>
    <w:rsid w:val="00BF01A7"/>
    <w:rsid w:val="00BF06AE"/>
    <w:rsid w:val="00BF0ACF"/>
    <w:rsid w:val="00BF0BE3"/>
    <w:rsid w:val="00BF0F95"/>
    <w:rsid w:val="00BF171A"/>
    <w:rsid w:val="00BF1949"/>
    <w:rsid w:val="00BF2433"/>
    <w:rsid w:val="00BF24A1"/>
    <w:rsid w:val="00BF26C0"/>
    <w:rsid w:val="00BF29CF"/>
    <w:rsid w:val="00BF2AB4"/>
    <w:rsid w:val="00BF2E6E"/>
    <w:rsid w:val="00BF423B"/>
    <w:rsid w:val="00BF44FF"/>
    <w:rsid w:val="00BF4849"/>
    <w:rsid w:val="00BF5878"/>
    <w:rsid w:val="00BF61C9"/>
    <w:rsid w:val="00BF63EB"/>
    <w:rsid w:val="00BF65B4"/>
    <w:rsid w:val="00BF665F"/>
    <w:rsid w:val="00BF6A49"/>
    <w:rsid w:val="00BF6BB4"/>
    <w:rsid w:val="00BF6C94"/>
    <w:rsid w:val="00BF6FD4"/>
    <w:rsid w:val="00BF72C0"/>
    <w:rsid w:val="00BF7874"/>
    <w:rsid w:val="00BF7BDF"/>
    <w:rsid w:val="00C002A9"/>
    <w:rsid w:val="00C00424"/>
    <w:rsid w:val="00C00A2E"/>
    <w:rsid w:val="00C00BB0"/>
    <w:rsid w:val="00C00CCE"/>
    <w:rsid w:val="00C00CED"/>
    <w:rsid w:val="00C00ECC"/>
    <w:rsid w:val="00C0163F"/>
    <w:rsid w:val="00C01E96"/>
    <w:rsid w:val="00C01F3E"/>
    <w:rsid w:val="00C02A80"/>
    <w:rsid w:val="00C02F71"/>
    <w:rsid w:val="00C03212"/>
    <w:rsid w:val="00C03218"/>
    <w:rsid w:val="00C03CE0"/>
    <w:rsid w:val="00C04945"/>
    <w:rsid w:val="00C049CE"/>
    <w:rsid w:val="00C04BA6"/>
    <w:rsid w:val="00C04C06"/>
    <w:rsid w:val="00C05320"/>
    <w:rsid w:val="00C0656D"/>
    <w:rsid w:val="00C10156"/>
    <w:rsid w:val="00C112B9"/>
    <w:rsid w:val="00C112C3"/>
    <w:rsid w:val="00C1153F"/>
    <w:rsid w:val="00C1179F"/>
    <w:rsid w:val="00C118F2"/>
    <w:rsid w:val="00C11D38"/>
    <w:rsid w:val="00C11E3C"/>
    <w:rsid w:val="00C1223D"/>
    <w:rsid w:val="00C127B9"/>
    <w:rsid w:val="00C128FA"/>
    <w:rsid w:val="00C12B35"/>
    <w:rsid w:val="00C12C14"/>
    <w:rsid w:val="00C13161"/>
    <w:rsid w:val="00C13A4A"/>
    <w:rsid w:val="00C13AFC"/>
    <w:rsid w:val="00C13BD6"/>
    <w:rsid w:val="00C13C86"/>
    <w:rsid w:val="00C140FB"/>
    <w:rsid w:val="00C14308"/>
    <w:rsid w:val="00C14AC0"/>
    <w:rsid w:val="00C14E14"/>
    <w:rsid w:val="00C15727"/>
    <w:rsid w:val="00C1581F"/>
    <w:rsid w:val="00C15C60"/>
    <w:rsid w:val="00C15F04"/>
    <w:rsid w:val="00C15F3C"/>
    <w:rsid w:val="00C16151"/>
    <w:rsid w:val="00C163ED"/>
    <w:rsid w:val="00C1675E"/>
    <w:rsid w:val="00C179B3"/>
    <w:rsid w:val="00C17E3F"/>
    <w:rsid w:val="00C17EF6"/>
    <w:rsid w:val="00C17F1A"/>
    <w:rsid w:val="00C200AA"/>
    <w:rsid w:val="00C2037E"/>
    <w:rsid w:val="00C20C1D"/>
    <w:rsid w:val="00C21020"/>
    <w:rsid w:val="00C221DC"/>
    <w:rsid w:val="00C23781"/>
    <w:rsid w:val="00C237ED"/>
    <w:rsid w:val="00C238E8"/>
    <w:rsid w:val="00C23CA5"/>
    <w:rsid w:val="00C23D4B"/>
    <w:rsid w:val="00C2408C"/>
    <w:rsid w:val="00C242C9"/>
    <w:rsid w:val="00C24632"/>
    <w:rsid w:val="00C2463E"/>
    <w:rsid w:val="00C24A50"/>
    <w:rsid w:val="00C24CF0"/>
    <w:rsid w:val="00C2526B"/>
    <w:rsid w:val="00C25418"/>
    <w:rsid w:val="00C257C0"/>
    <w:rsid w:val="00C25D9C"/>
    <w:rsid w:val="00C264C4"/>
    <w:rsid w:val="00C26BB9"/>
    <w:rsid w:val="00C2719C"/>
    <w:rsid w:val="00C27480"/>
    <w:rsid w:val="00C2778B"/>
    <w:rsid w:val="00C2796C"/>
    <w:rsid w:val="00C279A9"/>
    <w:rsid w:val="00C27F3C"/>
    <w:rsid w:val="00C30575"/>
    <w:rsid w:val="00C3070C"/>
    <w:rsid w:val="00C30FC8"/>
    <w:rsid w:val="00C311DB"/>
    <w:rsid w:val="00C31649"/>
    <w:rsid w:val="00C31D38"/>
    <w:rsid w:val="00C340BD"/>
    <w:rsid w:val="00C3411E"/>
    <w:rsid w:val="00C3415E"/>
    <w:rsid w:val="00C3434C"/>
    <w:rsid w:val="00C34DF6"/>
    <w:rsid w:val="00C34F5D"/>
    <w:rsid w:val="00C35190"/>
    <w:rsid w:val="00C35630"/>
    <w:rsid w:val="00C35971"/>
    <w:rsid w:val="00C35C49"/>
    <w:rsid w:val="00C364C5"/>
    <w:rsid w:val="00C36B70"/>
    <w:rsid w:val="00C36E30"/>
    <w:rsid w:val="00C371A7"/>
    <w:rsid w:val="00C4009E"/>
    <w:rsid w:val="00C40385"/>
    <w:rsid w:val="00C40CBB"/>
    <w:rsid w:val="00C40D39"/>
    <w:rsid w:val="00C41768"/>
    <w:rsid w:val="00C41A90"/>
    <w:rsid w:val="00C42175"/>
    <w:rsid w:val="00C42179"/>
    <w:rsid w:val="00C42BB7"/>
    <w:rsid w:val="00C42FD9"/>
    <w:rsid w:val="00C431BD"/>
    <w:rsid w:val="00C4336B"/>
    <w:rsid w:val="00C439A2"/>
    <w:rsid w:val="00C439E0"/>
    <w:rsid w:val="00C43A02"/>
    <w:rsid w:val="00C44445"/>
    <w:rsid w:val="00C44C66"/>
    <w:rsid w:val="00C44DB3"/>
    <w:rsid w:val="00C44FA0"/>
    <w:rsid w:val="00C451B3"/>
    <w:rsid w:val="00C46283"/>
    <w:rsid w:val="00C462DE"/>
    <w:rsid w:val="00C470C0"/>
    <w:rsid w:val="00C472FA"/>
    <w:rsid w:val="00C4745F"/>
    <w:rsid w:val="00C475AA"/>
    <w:rsid w:val="00C4760A"/>
    <w:rsid w:val="00C4797A"/>
    <w:rsid w:val="00C50D06"/>
    <w:rsid w:val="00C514CF"/>
    <w:rsid w:val="00C523E8"/>
    <w:rsid w:val="00C527C7"/>
    <w:rsid w:val="00C52959"/>
    <w:rsid w:val="00C52A8A"/>
    <w:rsid w:val="00C52B1D"/>
    <w:rsid w:val="00C52D23"/>
    <w:rsid w:val="00C52E6E"/>
    <w:rsid w:val="00C539C3"/>
    <w:rsid w:val="00C53C98"/>
    <w:rsid w:val="00C53FE8"/>
    <w:rsid w:val="00C542E3"/>
    <w:rsid w:val="00C54461"/>
    <w:rsid w:val="00C54A43"/>
    <w:rsid w:val="00C55A71"/>
    <w:rsid w:val="00C55E11"/>
    <w:rsid w:val="00C55FA7"/>
    <w:rsid w:val="00C56889"/>
    <w:rsid w:val="00C56E84"/>
    <w:rsid w:val="00C56FCF"/>
    <w:rsid w:val="00C572F6"/>
    <w:rsid w:val="00C57880"/>
    <w:rsid w:val="00C5799F"/>
    <w:rsid w:val="00C57B30"/>
    <w:rsid w:val="00C57B6C"/>
    <w:rsid w:val="00C57BB1"/>
    <w:rsid w:val="00C60191"/>
    <w:rsid w:val="00C603F6"/>
    <w:rsid w:val="00C60A72"/>
    <w:rsid w:val="00C60E4A"/>
    <w:rsid w:val="00C61A59"/>
    <w:rsid w:val="00C61A86"/>
    <w:rsid w:val="00C61ACA"/>
    <w:rsid w:val="00C61F2C"/>
    <w:rsid w:val="00C62667"/>
    <w:rsid w:val="00C628A6"/>
    <w:rsid w:val="00C62A65"/>
    <w:rsid w:val="00C62D03"/>
    <w:rsid w:val="00C62DE7"/>
    <w:rsid w:val="00C63563"/>
    <w:rsid w:val="00C636FA"/>
    <w:rsid w:val="00C637F7"/>
    <w:rsid w:val="00C64344"/>
    <w:rsid w:val="00C646DC"/>
    <w:rsid w:val="00C6470A"/>
    <w:rsid w:val="00C64CC4"/>
    <w:rsid w:val="00C65108"/>
    <w:rsid w:val="00C65576"/>
    <w:rsid w:val="00C66165"/>
    <w:rsid w:val="00C6662F"/>
    <w:rsid w:val="00C666AC"/>
    <w:rsid w:val="00C67282"/>
    <w:rsid w:val="00C67A2B"/>
    <w:rsid w:val="00C67DD0"/>
    <w:rsid w:val="00C70029"/>
    <w:rsid w:val="00C7060A"/>
    <w:rsid w:val="00C70E71"/>
    <w:rsid w:val="00C70F50"/>
    <w:rsid w:val="00C7129E"/>
    <w:rsid w:val="00C7151A"/>
    <w:rsid w:val="00C717E3"/>
    <w:rsid w:val="00C71B81"/>
    <w:rsid w:val="00C71F60"/>
    <w:rsid w:val="00C7219D"/>
    <w:rsid w:val="00C72241"/>
    <w:rsid w:val="00C72401"/>
    <w:rsid w:val="00C72C20"/>
    <w:rsid w:val="00C73D65"/>
    <w:rsid w:val="00C74B28"/>
    <w:rsid w:val="00C750C8"/>
    <w:rsid w:val="00C75570"/>
    <w:rsid w:val="00C7560F"/>
    <w:rsid w:val="00C75C85"/>
    <w:rsid w:val="00C75F07"/>
    <w:rsid w:val="00C7668E"/>
    <w:rsid w:val="00C76ADA"/>
    <w:rsid w:val="00C7728D"/>
    <w:rsid w:val="00C77BA7"/>
    <w:rsid w:val="00C77BCA"/>
    <w:rsid w:val="00C77D9D"/>
    <w:rsid w:val="00C802AA"/>
    <w:rsid w:val="00C809C7"/>
    <w:rsid w:val="00C80A0E"/>
    <w:rsid w:val="00C81278"/>
    <w:rsid w:val="00C8213F"/>
    <w:rsid w:val="00C8297A"/>
    <w:rsid w:val="00C8303F"/>
    <w:rsid w:val="00C84091"/>
    <w:rsid w:val="00C843A0"/>
    <w:rsid w:val="00C85154"/>
    <w:rsid w:val="00C85961"/>
    <w:rsid w:val="00C85A70"/>
    <w:rsid w:val="00C86108"/>
    <w:rsid w:val="00C8614C"/>
    <w:rsid w:val="00C8649A"/>
    <w:rsid w:val="00C8688A"/>
    <w:rsid w:val="00C86AEE"/>
    <w:rsid w:val="00C86C4B"/>
    <w:rsid w:val="00C874E5"/>
    <w:rsid w:val="00C8797A"/>
    <w:rsid w:val="00C87AE9"/>
    <w:rsid w:val="00C900B8"/>
    <w:rsid w:val="00C90197"/>
    <w:rsid w:val="00C90BBA"/>
    <w:rsid w:val="00C90C71"/>
    <w:rsid w:val="00C90D4A"/>
    <w:rsid w:val="00C91759"/>
    <w:rsid w:val="00C91AC0"/>
    <w:rsid w:val="00C91FD1"/>
    <w:rsid w:val="00C92DFE"/>
    <w:rsid w:val="00C931CF"/>
    <w:rsid w:val="00C938CF"/>
    <w:rsid w:val="00C94053"/>
    <w:rsid w:val="00C952AF"/>
    <w:rsid w:val="00C95A7C"/>
    <w:rsid w:val="00C95A9E"/>
    <w:rsid w:val="00C95B58"/>
    <w:rsid w:val="00C95E1E"/>
    <w:rsid w:val="00C95E34"/>
    <w:rsid w:val="00C96103"/>
    <w:rsid w:val="00C9624D"/>
    <w:rsid w:val="00C9627F"/>
    <w:rsid w:val="00C963BE"/>
    <w:rsid w:val="00C965A6"/>
    <w:rsid w:val="00C969DA"/>
    <w:rsid w:val="00C96A71"/>
    <w:rsid w:val="00C96B54"/>
    <w:rsid w:val="00C96D11"/>
    <w:rsid w:val="00C96DF8"/>
    <w:rsid w:val="00C9787D"/>
    <w:rsid w:val="00C978AA"/>
    <w:rsid w:val="00C97C93"/>
    <w:rsid w:val="00CA078F"/>
    <w:rsid w:val="00CA0A27"/>
    <w:rsid w:val="00CA0B22"/>
    <w:rsid w:val="00CA0C05"/>
    <w:rsid w:val="00CA15AB"/>
    <w:rsid w:val="00CA1617"/>
    <w:rsid w:val="00CA174F"/>
    <w:rsid w:val="00CA1C6A"/>
    <w:rsid w:val="00CA1E1F"/>
    <w:rsid w:val="00CA2040"/>
    <w:rsid w:val="00CA21A4"/>
    <w:rsid w:val="00CA22BF"/>
    <w:rsid w:val="00CA2633"/>
    <w:rsid w:val="00CA284B"/>
    <w:rsid w:val="00CA2944"/>
    <w:rsid w:val="00CA2C77"/>
    <w:rsid w:val="00CA35A3"/>
    <w:rsid w:val="00CA3CD0"/>
    <w:rsid w:val="00CA444F"/>
    <w:rsid w:val="00CA45E3"/>
    <w:rsid w:val="00CA4C1A"/>
    <w:rsid w:val="00CA5245"/>
    <w:rsid w:val="00CA55D2"/>
    <w:rsid w:val="00CA5F59"/>
    <w:rsid w:val="00CA6815"/>
    <w:rsid w:val="00CA6F6A"/>
    <w:rsid w:val="00CA71F4"/>
    <w:rsid w:val="00CA723F"/>
    <w:rsid w:val="00CA7B09"/>
    <w:rsid w:val="00CB015B"/>
    <w:rsid w:val="00CB05E9"/>
    <w:rsid w:val="00CB0855"/>
    <w:rsid w:val="00CB1014"/>
    <w:rsid w:val="00CB12A5"/>
    <w:rsid w:val="00CB13D2"/>
    <w:rsid w:val="00CB14FD"/>
    <w:rsid w:val="00CB153F"/>
    <w:rsid w:val="00CB1B29"/>
    <w:rsid w:val="00CB1CAC"/>
    <w:rsid w:val="00CB2558"/>
    <w:rsid w:val="00CB2F2A"/>
    <w:rsid w:val="00CB407C"/>
    <w:rsid w:val="00CB4695"/>
    <w:rsid w:val="00CB4C83"/>
    <w:rsid w:val="00CB4DEB"/>
    <w:rsid w:val="00CB5137"/>
    <w:rsid w:val="00CB5B1A"/>
    <w:rsid w:val="00CB5BCD"/>
    <w:rsid w:val="00CB5D18"/>
    <w:rsid w:val="00CB65C8"/>
    <w:rsid w:val="00CB664E"/>
    <w:rsid w:val="00CB6783"/>
    <w:rsid w:val="00CB6B22"/>
    <w:rsid w:val="00CB6CBC"/>
    <w:rsid w:val="00CB7040"/>
    <w:rsid w:val="00CB76EE"/>
    <w:rsid w:val="00CB7F5F"/>
    <w:rsid w:val="00CC02B6"/>
    <w:rsid w:val="00CC06CA"/>
    <w:rsid w:val="00CC0A18"/>
    <w:rsid w:val="00CC0EA8"/>
    <w:rsid w:val="00CC1203"/>
    <w:rsid w:val="00CC16A6"/>
    <w:rsid w:val="00CC17BF"/>
    <w:rsid w:val="00CC1B39"/>
    <w:rsid w:val="00CC1BFA"/>
    <w:rsid w:val="00CC2703"/>
    <w:rsid w:val="00CC2E48"/>
    <w:rsid w:val="00CC2E9F"/>
    <w:rsid w:val="00CC35EA"/>
    <w:rsid w:val="00CC3806"/>
    <w:rsid w:val="00CC3848"/>
    <w:rsid w:val="00CC3964"/>
    <w:rsid w:val="00CC3AEA"/>
    <w:rsid w:val="00CC3FBF"/>
    <w:rsid w:val="00CC4662"/>
    <w:rsid w:val="00CC4CFD"/>
    <w:rsid w:val="00CC4FE7"/>
    <w:rsid w:val="00CC508E"/>
    <w:rsid w:val="00CC51C6"/>
    <w:rsid w:val="00CC53C6"/>
    <w:rsid w:val="00CC57BC"/>
    <w:rsid w:val="00CC5BB0"/>
    <w:rsid w:val="00CC5F7C"/>
    <w:rsid w:val="00CC6115"/>
    <w:rsid w:val="00CC6499"/>
    <w:rsid w:val="00CC673C"/>
    <w:rsid w:val="00CC6B04"/>
    <w:rsid w:val="00CC6D5E"/>
    <w:rsid w:val="00CC7F98"/>
    <w:rsid w:val="00CD0200"/>
    <w:rsid w:val="00CD0398"/>
    <w:rsid w:val="00CD065B"/>
    <w:rsid w:val="00CD1C2E"/>
    <w:rsid w:val="00CD1C75"/>
    <w:rsid w:val="00CD2636"/>
    <w:rsid w:val="00CD2B2F"/>
    <w:rsid w:val="00CD2E81"/>
    <w:rsid w:val="00CD2FF2"/>
    <w:rsid w:val="00CD3509"/>
    <w:rsid w:val="00CD382F"/>
    <w:rsid w:val="00CD3EF4"/>
    <w:rsid w:val="00CD3F77"/>
    <w:rsid w:val="00CD40FF"/>
    <w:rsid w:val="00CD425D"/>
    <w:rsid w:val="00CD549C"/>
    <w:rsid w:val="00CD54B0"/>
    <w:rsid w:val="00CD5757"/>
    <w:rsid w:val="00CD5FC2"/>
    <w:rsid w:val="00CD698D"/>
    <w:rsid w:val="00CD69C3"/>
    <w:rsid w:val="00CD6ADC"/>
    <w:rsid w:val="00CD6B28"/>
    <w:rsid w:val="00CD7193"/>
    <w:rsid w:val="00CD71E5"/>
    <w:rsid w:val="00CD7744"/>
    <w:rsid w:val="00CD7AD4"/>
    <w:rsid w:val="00CE01DF"/>
    <w:rsid w:val="00CE0487"/>
    <w:rsid w:val="00CE12FC"/>
    <w:rsid w:val="00CE13CC"/>
    <w:rsid w:val="00CE195E"/>
    <w:rsid w:val="00CE19FD"/>
    <w:rsid w:val="00CE1D79"/>
    <w:rsid w:val="00CE24ED"/>
    <w:rsid w:val="00CE26C8"/>
    <w:rsid w:val="00CE289E"/>
    <w:rsid w:val="00CE2AC2"/>
    <w:rsid w:val="00CE2BAA"/>
    <w:rsid w:val="00CE2C52"/>
    <w:rsid w:val="00CE3352"/>
    <w:rsid w:val="00CE38C8"/>
    <w:rsid w:val="00CE41A2"/>
    <w:rsid w:val="00CE438E"/>
    <w:rsid w:val="00CE4853"/>
    <w:rsid w:val="00CE51DA"/>
    <w:rsid w:val="00CE524F"/>
    <w:rsid w:val="00CE58CC"/>
    <w:rsid w:val="00CE6274"/>
    <w:rsid w:val="00CE66F9"/>
    <w:rsid w:val="00CE677C"/>
    <w:rsid w:val="00CE6E0B"/>
    <w:rsid w:val="00CE77B6"/>
    <w:rsid w:val="00CE79A0"/>
    <w:rsid w:val="00CE7D54"/>
    <w:rsid w:val="00CE7D6A"/>
    <w:rsid w:val="00CF0087"/>
    <w:rsid w:val="00CF04E7"/>
    <w:rsid w:val="00CF09E8"/>
    <w:rsid w:val="00CF1B6A"/>
    <w:rsid w:val="00CF1B8E"/>
    <w:rsid w:val="00CF1C2C"/>
    <w:rsid w:val="00CF2B06"/>
    <w:rsid w:val="00CF2B8D"/>
    <w:rsid w:val="00CF2F21"/>
    <w:rsid w:val="00CF2F39"/>
    <w:rsid w:val="00CF36CE"/>
    <w:rsid w:val="00CF381C"/>
    <w:rsid w:val="00CF3A1B"/>
    <w:rsid w:val="00CF3A41"/>
    <w:rsid w:val="00CF3F9E"/>
    <w:rsid w:val="00CF4120"/>
    <w:rsid w:val="00CF4126"/>
    <w:rsid w:val="00CF456B"/>
    <w:rsid w:val="00CF475A"/>
    <w:rsid w:val="00CF4C97"/>
    <w:rsid w:val="00CF4E26"/>
    <w:rsid w:val="00CF511A"/>
    <w:rsid w:val="00CF5316"/>
    <w:rsid w:val="00CF5352"/>
    <w:rsid w:val="00CF543F"/>
    <w:rsid w:val="00CF54EB"/>
    <w:rsid w:val="00CF5A22"/>
    <w:rsid w:val="00CF6566"/>
    <w:rsid w:val="00CF6E6C"/>
    <w:rsid w:val="00CF6F51"/>
    <w:rsid w:val="00CF7242"/>
    <w:rsid w:val="00CF73E9"/>
    <w:rsid w:val="00CF74BE"/>
    <w:rsid w:val="00CF7FDE"/>
    <w:rsid w:val="00D000C2"/>
    <w:rsid w:val="00D008B0"/>
    <w:rsid w:val="00D00A5D"/>
    <w:rsid w:val="00D00D9A"/>
    <w:rsid w:val="00D01E09"/>
    <w:rsid w:val="00D02297"/>
    <w:rsid w:val="00D025F0"/>
    <w:rsid w:val="00D0262E"/>
    <w:rsid w:val="00D02966"/>
    <w:rsid w:val="00D03303"/>
    <w:rsid w:val="00D035CB"/>
    <w:rsid w:val="00D03679"/>
    <w:rsid w:val="00D04722"/>
    <w:rsid w:val="00D04893"/>
    <w:rsid w:val="00D0520B"/>
    <w:rsid w:val="00D05260"/>
    <w:rsid w:val="00D0563E"/>
    <w:rsid w:val="00D05E3D"/>
    <w:rsid w:val="00D06139"/>
    <w:rsid w:val="00D06833"/>
    <w:rsid w:val="00D110BD"/>
    <w:rsid w:val="00D113A5"/>
    <w:rsid w:val="00D11C45"/>
    <w:rsid w:val="00D12301"/>
    <w:rsid w:val="00D12505"/>
    <w:rsid w:val="00D12EC7"/>
    <w:rsid w:val="00D12F67"/>
    <w:rsid w:val="00D1322C"/>
    <w:rsid w:val="00D132CB"/>
    <w:rsid w:val="00D13564"/>
    <w:rsid w:val="00D13675"/>
    <w:rsid w:val="00D13959"/>
    <w:rsid w:val="00D141E1"/>
    <w:rsid w:val="00D14335"/>
    <w:rsid w:val="00D14787"/>
    <w:rsid w:val="00D14FD9"/>
    <w:rsid w:val="00D15010"/>
    <w:rsid w:val="00D15314"/>
    <w:rsid w:val="00D158AA"/>
    <w:rsid w:val="00D15A90"/>
    <w:rsid w:val="00D15B48"/>
    <w:rsid w:val="00D1637E"/>
    <w:rsid w:val="00D173BD"/>
    <w:rsid w:val="00D17D6C"/>
    <w:rsid w:val="00D20B5F"/>
    <w:rsid w:val="00D20C98"/>
    <w:rsid w:val="00D20E9B"/>
    <w:rsid w:val="00D2155B"/>
    <w:rsid w:val="00D21A96"/>
    <w:rsid w:val="00D21C39"/>
    <w:rsid w:val="00D21F4C"/>
    <w:rsid w:val="00D22768"/>
    <w:rsid w:val="00D227BE"/>
    <w:rsid w:val="00D23308"/>
    <w:rsid w:val="00D23D11"/>
    <w:rsid w:val="00D241D8"/>
    <w:rsid w:val="00D244B6"/>
    <w:rsid w:val="00D2496E"/>
    <w:rsid w:val="00D24BE7"/>
    <w:rsid w:val="00D24C19"/>
    <w:rsid w:val="00D253C7"/>
    <w:rsid w:val="00D253F0"/>
    <w:rsid w:val="00D25663"/>
    <w:rsid w:val="00D264B2"/>
    <w:rsid w:val="00D26B81"/>
    <w:rsid w:val="00D26DC8"/>
    <w:rsid w:val="00D2711A"/>
    <w:rsid w:val="00D2754D"/>
    <w:rsid w:val="00D27B27"/>
    <w:rsid w:val="00D30A2D"/>
    <w:rsid w:val="00D30C9D"/>
    <w:rsid w:val="00D30D5B"/>
    <w:rsid w:val="00D3102F"/>
    <w:rsid w:val="00D31074"/>
    <w:rsid w:val="00D313DD"/>
    <w:rsid w:val="00D318FF"/>
    <w:rsid w:val="00D31CBF"/>
    <w:rsid w:val="00D3251C"/>
    <w:rsid w:val="00D325FD"/>
    <w:rsid w:val="00D32A27"/>
    <w:rsid w:val="00D32B0D"/>
    <w:rsid w:val="00D32C0B"/>
    <w:rsid w:val="00D330F8"/>
    <w:rsid w:val="00D334C3"/>
    <w:rsid w:val="00D336A7"/>
    <w:rsid w:val="00D33BE9"/>
    <w:rsid w:val="00D33F93"/>
    <w:rsid w:val="00D33FB7"/>
    <w:rsid w:val="00D34631"/>
    <w:rsid w:val="00D34BA0"/>
    <w:rsid w:val="00D3519E"/>
    <w:rsid w:val="00D352BB"/>
    <w:rsid w:val="00D352FD"/>
    <w:rsid w:val="00D357FF"/>
    <w:rsid w:val="00D35D56"/>
    <w:rsid w:val="00D36257"/>
    <w:rsid w:val="00D36693"/>
    <w:rsid w:val="00D36AAD"/>
    <w:rsid w:val="00D36F92"/>
    <w:rsid w:val="00D370AE"/>
    <w:rsid w:val="00D377D4"/>
    <w:rsid w:val="00D37832"/>
    <w:rsid w:val="00D400C3"/>
    <w:rsid w:val="00D4013A"/>
    <w:rsid w:val="00D40194"/>
    <w:rsid w:val="00D4093B"/>
    <w:rsid w:val="00D41695"/>
    <w:rsid w:val="00D41B3C"/>
    <w:rsid w:val="00D424C7"/>
    <w:rsid w:val="00D42705"/>
    <w:rsid w:val="00D42F6F"/>
    <w:rsid w:val="00D43B2A"/>
    <w:rsid w:val="00D43CF1"/>
    <w:rsid w:val="00D43D83"/>
    <w:rsid w:val="00D441DB"/>
    <w:rsid w:val="00D44692"/>
    <w:rsid w:val="00D4507A"/>
    <w:rsid w:val="00D4522F"/>
    <w:rsid w:val="00D45503"/>
    <w:rsid w:val="00D47575"/>
    <w:rsid w:val="00D4782F"/>
    <w:rsid w:val="00D47CED"/>
    <w:rsid w:val="00D47F6F"/>
    <w:rsid w:val="00D50A45"/>
    <w:rsid w:val="00D50B04"/>
    <w:rsid w:val="00D51069"/>
    <w:rsid w:val="00D5127A"/>
    <w:rsid w:val="00D514E3"/>
    <w:rsid w:val="00D5159B"/>
    <w:rsid w:val="00D51ADC"/>
    <w:rsid w:val="00D52370"/>
    <w:rsid w:val="00D5243B"/>
    <w:rsid w:val="00D52584"/>
    <w:rsid w:val="00D52805"/>
    <w:rsid w:val="00D52CF7"/>
    <w:rsid w:val="00D52F22"/>
    <w:rsid w:val="00D530D2"/>
    <w:rsid w:val="00D533EC"/>
    <w:rsid w:val="00D5341D"/>
    <w:rsid w:val="00D535C4"/>
    <w:rsid w:val="00D539BD"/>
    <w:rsid w:val="00D53C9F"/>
    <w:rsid w:val="00D547FB"/>
    <w:rsid w:val="00D54C0C"/>
    <w:rsid w:val="00D54DF5"/>
    <w:rsid w:val="00D55AD7"/>
    <w:rsid w:val="00D560F2"/>
    <w:rsid w:val="00D56457"/>
    <w:rsid w:val="00D56568"/>
    <w:rsid w:val="00D56A95"/>
    <w:rsid w:val="00D56AF4"/>
    <w:rsid w:val="00D57201"/>
    <w:rsid w:val="00D579EE"/>
    <w:rsid w:val="00D57BAE"/>
    <w:rsid w:val="00D57E3A"/>
    <w:rsid w:val="00D6076E"/>
    <w:rsid w:val="00D60B4F"/>
    <w:rsid w:val="00D60C19"/>
    <w:rsid w:val="00D61355"/>
    <w:rsid w:val="00D616F5"/>
    <w:rsid w:val="00D6174C"/>
    <w:rsid w:val="00D61E0E"/>
    <w:rsid w:val="00D62386"/>
    <w:rsid w:val="00D625B2"/>
    <w:rsid w:val="00D62BD8"/>
    <w:rsid w:val="00D62FA5"/>
    <w:rsid w:val="00D63874"/>
    <w:rsid w:val="00D63A52"/>
    <w:rsid w:val="00D63E8A"/>
    <w:rsid w:val="00D648D3"/>
    <w:rsid w:val="00D6494E"/>
    <w:rsid w:val="00D649EC"/>
    <w:rsid w:val="00D64DBE"/>
    <w:rsid w:val="00D64F68"/>
    <w:rsid w:val="00D652D0"/>
    <w:rsid w:val="00D654BF"/>
    <w:rsid w:val="00D667E8"/>
    <w:rsid w:val="00D66B59"/>
    <w:rsid w:val="00D674AF"/>
    <w:rsid w:val="00D6779C"/>
    <w:rsid w:val="00D67AFB"/>
    <w:rsid w:val="00D701C0"/>
    <w:rsid w:val="00D70720"/>
    <w:rsid w:val="00D70858"/>
    <w:rsid w:val="00D70AFF"/>
    <w:rsid w:val="00D70F16"/>
    <w:rsid w:val="00D70FEA"/>
    <w:rsid w:val="00D717C5"/>
    <w:rsid w:val="00D71850"/>
    <w:rsid w:val="00D71C41"/>
    <w:rsid w:val="00D72617"/>
    <w:rsid w:val="00D72EB3"/>
    <w:rsid w:val="00D72F57"/>
    <w:rsid w:val="00D72FA1"/>
    <w:rsid w:val="00D73A53"/>
    <w:rsid w:val="00D740C1"/>
    <w:rsid w:val="00D7509C"/>
    <w:rsid w:val="00D75154"/>
    <w:rsid w:val="00D7524A"/>
    <w:rsid w:val="00D755F4"/>
    <w:rsid w:val="00D75E05"/>
    <w:rsid w:val="00D75E50"/>
    <w:rsid w:val="00D762DF"/>
    <w:rsid w:val="00D76873"/>
    <w:rsid w:val="00D76A44"/>
    <w:rsid w:val="00D76CBA"/>
    <w:rsid w:val="00D77984"/>
    <w:rsid w:val="00D802C9"/>
    <w:rsid w:val="00D80787"/>
    <w:rsid w:val="00D808CA"/>
    <w:rsid w:val="00D8139A"/>
    <w:rsid w:val="00D815EF"/>
    <w:rsid w:val="00D81949"/>
    <w:rsid w:val="00D819DA"/>
    <w:rsid w:val="00D81CD3"/>
    <w:rsid w:val="00D81F26"/>
    <w:rsid w:val="00D82269"/>
    <w:rsid w:val="00D822E2"/>
    <w:rsid w:val="00D829D3"/>
    <w:rsid w:val="00D82AA9"/>
    <w:rsid w:val="00D82C74"/>
    <w:rsid w:val="00D8336C"/>
    <w:rsid w:val="00D83A7C"/>
    <w:rsid w:val="00D83D4D"/>
    <w:rsid w:val="00D843F2"/>
    <w:rsid w:val="00D84B37"/>
    <w:rsid w:val="00D84C5A"/>
    <w:rsid w:val="00D84CB7"/>
    <w:rsid w:val="00D86231"/>
    <w:rsid w:val="00D86AC4"/>
    <w:rsid w:val="00D900F3"/>
    <w:rsid w:val="00D903BB"/>
    <w:rsid w:val="00D908CB"/>
    <w:rsid w:val="00D90AC6"/>
    <w:rsid w:val="00D91104"/>
    <w:rsid w:val="00D912AB"/>
    <w:rsid w:val="00D914E6"/>
    <w:rsid w:val="00D91923"/>
    <w:rsid w:val="00D91B92"/>
    <w:rsid w:val="00D92281"/>
    <w:rsid w:val="00D929B4"/>
    <w:rsid w:val="00D92B29"/>
    <w:rsid w:val="00D92D9D"/>
    <w:rsid w:val="00D93361"/>
    <w:rsid w:val="00D93594"/>
    <w:rsid w:val="00D93753"/>
    <w:rsid w:val="00D93980"/>
    <w:rsid w:val="00D93EE6"/>
    <w:rsid w:val="00D940E2"/>
    <w:rsid w:val="00D9423F"/>
    <w:rsid w:val="00D94D1A"/>
    <w:rsid w:val="00D975F8"/>
    <w:rsid w:val="00D9779C"/>
    <w:rsid w:val="00D97808"/>
    <w:rsid w:val="00D97A08"/>
    <w:rsid w:val="00D97FE2"/>
    <w:rsid w:val="00DA00C4"/>
    <w:rsid w:val="00DA00F5"/>
    <w:rsid w:val="00DA02F4"/>
    <w:rsid w:val="00DA0662"/>
    <w:rsid w:val="00DA0EAA"/>
    <w:rsid w:val="00DA1192"/>
    <w:rsid w:val="00DA13EC"/>
    <w:rsid w:val="00DA15DC"/>
    <w:rsid w:val="00DA173F"/>
    <w:rsid w:val="00DA21D2"/>
    <w:rsid w:val="00DA2B25"/>
    <w:rsid w:val="00DA3167"/>
    <w:rsid w:val="00DA3169"/>
    <w:rsid w:val="00DA3BEE"/>
    <w:rsid w:val="00DA3F6D"/>
    <w:rsid w:val="00DA42B0"/>
    <w:rsid w:val="00DA4358"/>
    <w:rsid w:val="00DA4867"/>
    <w:rsid w:val="00DA4C11"/>
    <w:rsid w:val="00DA4DC3"/>
    <w:rsid w:val="00DA557C"/>
    <w:rsid w:val="00DA5B03"/>
    <w:rsid w:val="00DA5F0D"/>
    <w:rsid w:val="00DA5F75"/>
    <w:rsid w:val="00DA637B"/>
    <w:rsid w:val="00DA696C"/>
    <w:rsid w:val="00DA6CF0"/>
    <w:rsid w:val="00DA73CC"/>
    <w:rsid w:val="00DA77A5"/>
    <w:rsid w:val="00DA7865"/>
    <w:rsid w:val="00DB0235"/>
    <w:rsid w:val="00DB0C95"/>
    <w:rsid w:val="00DB0E36"/>
    <w:rsid w:val="00DB146B"/>
    <w:rsid w:val="00DB2153"/>
    <w:rsid w:val="00DB2154"/>
    <w:rsid w:val="00DB22BC"/>
    <w:rsid w:val="00DB2723"/>
    <w:rsid w:val="00DB2CA9"/>
    <w:rsid w:val="00DB2CBE"/>
    <w:rsid w:val="00DB32E7"/>
    <w:rsid w:val="00DB3DBF"/>
    <w:rsid w:val="00DB484F"/>
    <w:rsid w:val="00DB4B67"/>
    <w:rsid w:val="00DB4C22"/>
    <w:rsid w:val="00DB4F56"/>
    <w:rsid w:val="00DB55A0"/>
    <w:rsid w:val="00DB56D5"/>
    <w:rsid w:val="00DB5B8B"/>
    <w:rsid w:val="00DB5E96"/>
    <w:rsid w:val="00DB5ED0"/>
    <w:rsid w:val="00DB6349"/>
    <w:rsid w:val="00DB6431"/>
    <w:rsid w:val="00DB646D"/>
    <w:rsid w:val="00DB6715"/>
    <w:rsid w:val="00DB6C4A"/>
    <w:rsid w:val="00DB6DBA"/>
    <w:rsid w:val="00DB6DCA"/>
    <w:rsid w:val="00DB6E0D"/>
    <w:rsid w:val="00DB6E65"/>
    <w:rsid w:val="00DB6F27"/>
    <w:rsid w:val="00DB716B"/>
    <w:rsid w:val="00DB78E5"/>
    <w:rsid w:val="00DB7F95"/>
    <w:rsid w:val="00DB7FF8"/>
    <w:rsid w:val="00DC04F6"/>
    <w:rsid w:val="00DC0690"/>
    <w:rsid w:val="00DC06B5"/>
    <w:rsid w:val="00DC09A3"/>
    <w:rsid w:val="00DC0A32"/>
    <w:rsid w:val="00DC100B"/>
    <w:rsid w:val="00DC115E"/>
    <w:rsid w:val="00DC1493"/>
    <w:rsid w:val="00DC1512"/>
    <w:rsid w:val="00DC1A58"/>
    <w:rsid w:val="00DC1D65"/>
    <w:rsid w:val="00DC28C6"/>
    <w:rsid w:val="00DC30B1"/>
    <w:rsid w:val="00DC3620"/>
    <w:rsid w:val="00DC3BBA"/>
    <w:rsid w:val="00DC3C57"/>
    <w:rsid w:val="00DC47CC"/>
    <w:rsid w:val="00DC503D"/>
    <w:rsid w:val="00DC5281"/>
    <w:rsid w:val="00DC5301"/>
    <w:rsid w:val="00DC5501"/>
    <w:rsid w:val="00DC5731"/>
    <w:rsid w:val="00DC5B8A"/>
    <w:rsid w:val="00DC5DE4"/>
    <w:rsid w:val="00DC6836"/>
    <w:rsid w:val="00DC68E1"/>
    <w:rsid w:val="00DC6EC0"/>
    <w:rsid w:val="00DC7154"/>
    <w:rsid w:val="00DC7CDE"/>
    <w:rsid w:val="00DC7E8A"/>
    <w:rsid w:val="00DC7F9E"/>
    <w:rsid w:val="00DD05D9"/>
    <w:rsid w:val="00DD0CBA"/>
    <w:rsid w:val="00DD0F78"/>
    <w:rsid w:val="00DD118D"/>
    <w:rsid w:val="00DD1393"/>
    <w:rsid w:val="00DD1700"/>
    <w:rsid w:val="00DD1FAD"/>
    <w:rsid w:val="00DD2391"/>
    <w:rsid w:val="00DD273C"/>
    <w:rsid w:val="00DD27A1"/>
    <w:rsid w:val="00DD2957"/>
    <w:rsid w:val="00DD3370"/>
    <w:rsid w:val="00DD3378"/>
    <w:rsid w:val="00DD3838"/>
    <w:rsid w:val="00DD39C0"/>
    <w:rsid w:val="00DD3DA4"/>
    <w:rsid w:val="00DD3E13"/>
    <w:rsid w:val="00DD3F28"/>
    <w:rsid w:val="00DD4446"/>
    <w:rsid w:val="00DD44CF"/>
    <w:rsid w:val="00DD4537"/>
    <w:rsid w:val="00DD4E15"/>
    <w:rsid w:val="00DD55B3"/>
    <w:rsid w:val="00DD569F"/>
    <w:rsid w:val="00DD6A65"/>
    <w:rsid w:val="00DD7F1D"/>
    <w:rsid w:val="00DE0449"/>
    <w:rsid w:val="00DE0AE4"/>
    <w:rsid w:val="00DE1139"/>
    <w:rsid w:val="00DE2273"/>
    <w:rsid w:val="00DE2304"/>
    <w:rsid w:val="00DE24BF"/>
    <w:rsid w:val="00DE29B4"/>
    <w:rsid w:val="00DE3075"/>
    <w:rsid w:val="00DE3138"/>
    <w:rsid w:val="00DE32AE"/>
    <w:rsid w:val="00DE35E9"/>
    <w:rsid w:val="00DE376C"/>
    <w:rsid w:val="00DE37F8"/>
    <w:rsid w:val="00DE3FA7"/>
    <w:rsid w:val="00DE4273"/>
    <w:rsid w:val="00DE4302"/>
    <w:rsid w:val="00DE4FCB"/>
    <w:rsid w:val="00DE5255"/>
    <w:rsid w:val="00DE59B8"/>
    <w:rsid w:val="00DE5D07"/>
    <w:rsid w:val="00DE5F5F"/>
    <w:rsid w:val="00DE6A7D"/>
    <w:rsid w:val="00DE72A7"/>
    <w:rsid w:val="00DE738B"/>
    <w:rsid w:val="00DE7733"/>
    <w:rsid w:val="00DE7832"/>
    <w:rsid w:val="00DE7891"/>
    <w:rsid w:val="00DE7B5B"/>
    <w:rsid w:val="00DF1330"/>
    <w:rsid w:val="00DF18FC"/>
    <w:rsid w:val="00DF23FB"/>
    <w:rsid w:val="00DF2445"/>
    <w:rsid w:val="00DF2836"/>
    <w:rsid w:val="00DF2CAE"/>
    <w:rsid w:val="00DF38AC"/>
    <w:rsid w:val="00DF3BC0"/>
    <w:rsid w:val="00DF3BC6"/>
    <w:rsid w:val="00DF3D2D"/>
    <w:rsid w:val="00DF3EC0"/>
    <w:rsid w:val="00DF4248"/>
    <w:rsid w:val="00DF437C"/>
    <w:rsid w:val="00DF4551"/>
    <w:rsid w:val="00DF50B4"/>
    <w:rsid w:val="00DF5695"/>
    <w:rsid w:val="00DF571D"/>
    <w:rsid w:val="00DF5D2B"/>
    <w:rsid w:val="00DF6341"/>
    <w:rsid w:val="00DF6B9A"/>
    <w:rsid w:val="00DF6C0E"/>
    <w:rsid w:val="00DF781E"/>
    <w:rsid w:val="00DF79E0"/>
    <w:rsid w:val="00DF7A79"/>
    <w:rsid w:val="00E00BB7"/>
    <w:rsid w:val="00E00E8E"/>
    <w:rsid w:val="00E00EF6"/>
    <w:rsid w:val="00E014F5"/>
    <w:rsid w:val="00E01B77"/>
    <w:rsid w:val="00E02363"/>
    <w:rsid w:val="00E02AA2"/>
    <w:rsid w:val="00E02B9B"/>
    <w:rsid w:val="00E03240"/>
    <w:rsid w:val="00E03495"/>
    <w:rsid w:val="00E03A36"/>
    <w:rsid w:val="00E03D22"/>
    <w:rsid w:val="00E04100"/>
    <w:rsid w:val="00E04891"/>
    <w:rsid w:val="00E04ABA"/>
    <w:rsid w:val="00E04B93"/>
    <w:rsid w:val="00E051D8"/>
    <w:rsid w:val="00E05630"/>
    <w:rsid w:val="00E0566A"/>
    <w:rsid w:val="00E059A4"/>
    <w:rsid w:val="00E0632E"/>
    <w:rsid w:val="00E06DBB"/>
    <w:rsid w:val="00E07E02"/>
    <w:rsid w:val="00E10149"/>
    <w:rsid w:val="00E10981"/>
    <w:rsid w:val="00E10C07"/>
    <w:rsid w:val="00E11340"/>
    <w:rsid w:val="00E114B5"/>
    <w:rsid w:val="00E11BBE"/>
    <w:rsid w:val="00E12166"/>
    <w:rsid w:val="00E122A1"/>
    <w:rsid w:val="00E12330"/>
    <w:rsid w:val="00E12411"/>
    <w:rsid w:val="00E126B0"/>
    <w:rsid w:val="00E1324E"/>
    <w:rsid w:val="00E142F3"/>
    <w:rsid w:val="00E1459B"/>
    <w:rsid w:val="00E153D7"/>
    <w:rsid w:val="00E15552"/>
    <w:rsid w:val="00E15889"/>
    <w:rsid w:val="00E16372"/>
    <w:rsid w:val="00E163E9"/>
    <w:rsid w:val="00E168DE"/>
    <w:rsid w:val="00E16A47"/>
    <w:rsid w:val="00E16AD8"/>
    <w:rsid w:val="00E16CCD"/>
    <w:rsid w:val="00E172AF"/>
    <w:rsid w:val="00E17378"/>
    <w:rsid w:val="00E17A54"/>
    <w:rsid w:val="00E17E24"/>
    <w:rsid w:val="00E17FFA"/>
    <w:rsid w:val="00E20839"/>
    <w:rsid w:val="00E20B14"/>
    <w:rsid w:val="00E20B34"/>
    <w:rsid w:val="00E20D1E"/>
    <w:rsid w:val="00E20E4D"/>
    <w:rsid w:val="00E20ED6"/>
    <w:rsid w:val="00E21358"/>
    <w:rsid w:val="00E21773"/>
    <w:rsid w:val="00E21A91"/>
    <w:rsid w:val="00E21CE6"/>
    <w:rsid w:val="00E2249B"/>
    <w:rsid w:val="00E22A0D"/>
    <w:rsid w:val="00E22C00"/>
    <w:rsid w:val="00E237A7"/>
    <w:rsid w:val="00E23C10"/>
    <w:rsid w:val="00E2401D"/>
    <w:rsid w:val="00E243EB"/>
    <w:rsid w:val="00E244F6"/>
    <w:rsid w:val="00E24A8D"/>
    <w:rsid w:val="00E24B0F"/>
    <w:rsid w:val="00E254ED"/>
    <w:rsid w:val="00E2583D"/>
    <w:rsid w:val="00E258DB"/>
    <w:rsid w:val="00E259A9"/>
    <w:rsid w:val="00E25E03"/>
    <w:rsid w:val="00E25E34"/>
    <w:rsid w:val="00E26CF3"/>
    <w:rsid w:val="00E2771E"/>
    <w:rsid w:val="00E27C25"/>
    <w:rsid w:val="00E27DFC"/>
    <w:rsid w:val="00E27F4B"/>
    <w:rsid w:val="00E3044E"/>
    <w:rsid w:val="00E309EE"/>
    <w:rsid w:val="00E30B39"/>
    <w:rsid w:val="00E30B4C"/>
    <w:rsid w:val="00E311EF"/>
    <w:rsid w:val="00E314C9"/>
    <w:rsid w:val="00E31796"/>
    <w:rsid w:val="00E32177"/>
    <w:rsid w:val="00E32180"/>
    <w:rsid w:val="00E32AB5"/>
    <w:rsid w:val="00E32C42"/>
    <w:rsid w:val="00E32C60"/>
    <w:rsid w:val="00E32DA2"/>
    <w:rsid w:val="00E33676"/>
    <w:rsid w:val="00E33D5E"/>
    <w:rsid w:val="00E34098"/>
    <w:rsid w:val="00E341C3"/>
    <w:rsid w:val="00E34948"/>
    <w:rsid w:val="00E34B97"/>
    <w:rsid w:val="00E34CB4"/>
    <w:rsid w:val="00E34DF9"/>
    <w:rsid w:val="00E35073"/>
    <w:rsid w:val="00E3531F"/>
    <w:rsid w:val="00E358DE"/>
    <w:rsid w:val="00E35A41"/>
    <w:rsid w:val="00E35BD6"/>
    <w:rsid w:val="00E35FEB"/>
    <w:rsid w:val="00E36A06"/>
    <w:rsid w:val="00E370AB"/>
    <w:rsid w:val="00E37569"/>
    <w:rsid w:val="00E37FE7"/>
    <w:rsid w:val="00E401B2"/>
    <w:rsid w:val="00E40356"/>
    <w:rsid w:val="00E4064B"/>
    <w:rsid w:val="00E41D89"/>
    <w:rsid w:val="00E41E30"/>
    <w:rsid w:val="00E423A1"/>
    <w:rsid w:val="00E42F73"/>
    <w:rsid w:val="00E43D70"/>
    <w:rsid w:val="00E44204"/>
    <w:rsid w:val="00E44A81"/>
    <w:rsid w:val="00E45458"/>
    <w:rsid w:val="00E4605A"/>
    <w:rsid w:val="00E46276"/>
    <w:rsid w:val="00E462A2"/>
    <w:rsid w:val="00E466F3"/>
    <w:rsid w:val="00E47279"/>
    <w:rsid w:val="00E47B2C"/>
    <w:rsid w:val="00E47C5C"/>
    <w:rsid w:val="00E47D5B"/>
    <w:rsid w:val="00E51205"/>
    <w:rsid w:val="00E51560"/>
    <w:rsid w:val="00E51821"/>
    <w:rsid w:val="00E524C9"/>
    <w:rsid w:val="00E537AF"/>
    <w:rsid w:val="00E53C44"/>
    <w:rsid w:val="00E53FC8"/>
    <w:rsid w:val="00E54347"/>
    <w:rsid w:val="00E5460A"/>
    <w:rsid w:val="00E5478A"/>
    <w:rsid w:val="00E54912"/>
    <w:rsid w:val="00E5494C"/>
    <w:rsid w:val="00E54B02"/>
    <w:rsid w:val="00E55424"/>
    <w:rsid w:val="00E55915"/>
    <w:rsid w:val="00E55BB5"/>
    <w:rsid w:val="00E55D0A"/>
    <w:rsid w:val="00E55FD2"/>
    <w:rsid w:val="00E5607E"/>
    <w:rsid w:val="00E563DC"/>
    <w:rsid w:val="00E570BA"/>
    <w:rsid w:val="00E5784F"/>
    <w:rsid w:val="00E60050"/>
    <w:rsid w:val="00E60108"/>
    <w:rsid w:val="00E60383"/>
    <w:rsid w:val="00E606A7"/>
    <w:rsid w:val="00E60721"/>
    <w:rsid w:val="00E60746"/>
    <w:rsid w:val="00E61110"/>
    <w:rsid w:val="00E611DF"/>
    <w:rsid w:val="00E614C1"/>
    <w:rsid w:val="00E616C9"/>
    <w:rsid w:val="00E61CF7"/>
    <w:rsid w:val="00E61FFD"/>
    <w:rsid w:val="00E6285A"/>
    <w:rsid w:val="00E62A07"/>
    <w:rsid w:val="00E62E35"/>
    <w:rsid w:val="00E62FDC"/>
    <w:rsid w:val="00E63054"/>
    <w:rsid w:val="00E6326F"/>
    <w:rsid w:val="00E63820"/>
    <w:rsid w:val="00E642D5"/>
    <w:rsid w:val="00E6451D"/>
    <w:rsid w:val="00E6509B"/>
    <w:rsid w:val="00E658AC"/>
    <w:rsid w:val="00E65D7F"/>
    <w:rsid w:val="00E65E79"/>
    <w:rsid w:val="00E66BA2"/>
    <w:rsid w:val="00E67408"/>
    <w:rsid w:val="00E67416"/>
    <w:rsid w:val="00E676AB"/>
    <w:rsid w:val="00E6796B"/>
    <w:rsid w:val="00E67BE2"/>
    <w:rsid w:val="00E705FC"/>
    <w:rsid w:val="00E71303"/>
    <w:rsid w:val="00E718B6"/>
    <w:rsid w:val="00E72200"/>
    <w:rsid w:val="00E723BA"/>
    <w:rsid w:val="00E72845"/>
    <w:rsid w:val="00E73089"/>
    <w:rsid w:val="00E73581"/>
    <w:rsid w:val="00E74107"/>
    <w:rsid w:val="00E7473F"/>
    <w:rsid w:val="00E74F32"/>
    <w:rsid w:val="00E7514F"/>
    <w:rsid w:val="00E75B1D"/>
    <w:rsid w:val="00E76092"/>
    <w:rsid w:val="00E763D1"/>
    <w:rsid w:val="00E76FC7"/>
    <w:rsid w:val="00E77375"/>
    <w:rsid w:val="00E773CC"/>
    <w:rsid w:val="00E77E60"/>
    <w:rsid w:val="00E8029F"/>
    <w:rsid w:val="00E802ED"/>
    <w:rsid w:val="00E808DF"/>
    <w:rsid w:val="00E8130B"/>
    <w:rsid w:val="00E8175C"/>
    <w:rsid w:val="00E81DBB"/>
    <w:rsid w:val="00E82074"/>
    <w:rsid w:val="00E8208C"/>
    <w:rsid w:val="00E8212E"/>
    <w:rsid w:val="00E82398"/>
    <w:rsid w:val="00E8266A"/>
    <w:rsid w:val="00E829DF"/>
    <w:rsid w:val="00E82C16"/>
    <w:rsid w:val="00E833F7"/>
    <w:rsid w:val="00E836F2"/>
    <w:rsid w:val="00E83AB8"/>
    <w:rsid w:val="00E83BDF"/>
    <w:rsid w:val="00E84B3F"/>
    <w:rsid w:val="00E84D46"/>
    <w:rsid w:val="00E84DF9"/>
    <w:rsid w:val="00E85389"/>
    <w:rsid w:val="00E8570B"/>
    <w:rsid w:val="00E86778"/>
    <w:rsid w:val="00E86937"/>
    <w:rsid w:val="00E86FCC"/>
    <w:rsid w:val="00E87362"/>
    <w:rsid w:val="00E877C8"/>
    <w:rsid w:val="00E879DB"/>
    <w:rsid w:val="00E87A1D"/>
    <w:rsid w:val="00E87A29"/>
    <w:rsid w:val="00E87EE0"/>
    <w:rsid w:val="00E90064"/>
    <w:rsid w:val="00E9025B"/>
    <w:rsid w:val="00E9094A"/>
    <w:rsid w:val="00E90C9F"/>
    <w:rsid w:val="00E90FBA"/>
    <w:rsid w:val="00E912E1"/>
    <w:rsid w:val="00E913A6"/>
    <w:rsid w:val="00E91A6F"/>
    <w:rsid w:val="00E91D35"/>
    <w:rsid w:val="00E91DF0"/>
    <w:rsid w:val="00E91EB9"/>
    <w:rsid w:val="00E922F5"/>
    <w:rsid w:val="00E925D8"/>
    <w:rsid w:val="00E926A5"/>
    <w:rsid w:val="00E92AEE"/>
    <w:rsid w:val="00E92F7C"/>
    <w:rsid w:val="00E93191"/>
    <w:rsid w:val="00E93656"/>
    <w:rsid w:val="00E940E1"/>
    <w:rsid w:val="00E9477F"/>
    <w:rsid w:val="00E9492E"/>
    <w:rsid w:val="00E955CB"/>
    <w:rsid w:val="00E95DD3"/>
    <w:rsid w:val="00E95E4D"/>
    <w:rsid w:val="00E962CC"/>
    <w:rsid w:val="00E962E9"/>
    <w:rsid w:val="00E965E0"/>
    <w:rsid w:val="00E96693"/>
    <w:rsid w:val="00E96886"/>
    <w:rsid w:val="00E96A44"/>
    <w:rsid w:val="00E96FBF"/>
    <w:rsid w:val="00E9706E"/>
    <w:rsid w:val="00E9718F"/>
    <w:rsid w:val="00E97E1A"/>
    <w:rsid w:val="00EA02B3"/>
    <w:rsid w:val="00EA03B8"/>
    <w:rsid w:val="00EA0ECF"/>
    <w:rsid w:val="00EA1002"/>
    <w:rsid w:val="00EA172E"/>
    <w:rsid w:val="00EA17C3"/>
    <w:rsid w:val="00EA1D0D"/>
    <w:rsid w:val="00EA2CAA"/>
    <w:rsid w:val="00EA2CDA"/>
    <w:rsid w:val="00EA307E"/>
    <w:rsid w:val="00EA3864"/>
    <w:rsid w:val="00EA3A21"/>
    <w:rsid w:val="00EA3A98"/>
    <w:rsid w:val="00EA3C3E"/>
    <w:rsid w:val="00EA40C5"/>
    <w:rsid w:val="00EA4DD8"/>
    <w:rsid w:val="00EA500F"/>
    <w:rsid w:val="00EA65B2"/>
    <w:rsid w:val="00EA66E2"/>
    <w:rsid w:val="00EA746B"/>
    <w:rsid w:val="00EA79E8"/>
    <w:rsid w:val="00EA7F1C"/>
    <w:rsid w:val="00EB00C4"/>
    <w:rsid w:val="00EB0C76"/>
    <w:rsid w:val="00EB12AE"/>
    <w:rsid w:val="00EB15B6"/>
    <w:rsid w:val="00EB1890"/>
    <w:rsid w:val="00EB22F2"/>
    <w:rsid w:val="00EB25E5"/>
    <w:rsid w:val="00EB2A3F"/>
    <w:rsid w:val="00EB2D7B"/>
    <w:rsid w:val="00EB311B"/>
    <w:rsid w:val="00EB3692"/>
    <w:rsid w:val="00EB39A3"/>
    <w:rsid w:val="00EB3D06"/>
    <w:rsid w:val="00EB3DC4"/>
    <w:rsid w:val="00EB4879"/>
    <w:rsid w:val="00EB4916"/>
    <w:rsid w:val="00EB4F9F"/>
    <w:rsid w:val="00EB5298"/>
    <w:rsid w:val="00EB529B"/>
    <w:rsid w:val="00EB5AA1"/>
    <w:rsid w:val="00EB5D6D"/>
    <w:rsid w:val="00EB6654"/>
    <w:rsid w:val="00EB6657"/>
    <w:rsid w:val="00EB6BF7"/>
    <w:rsid w:val="00EB6C1C"/>
    <w:rsid w:val="00EB737A"/>
    <w:rsid w:val="00EB7616"/>
    <w:rsid w:val="00EC00C9"/>
    <w:rsid w:val="00EC04DB"/>
    <w:rsid w:val="00EC064D"/>
    <w:rsid w:val="00EC0DD9"/>
    <w:rsid w:val="00EC1669"/>
    <w:rsid w:val="00EC1CAE"/>
    <w:rsid w:val="00EC2649"/>
    <w:rsid w:val="00EC2A90"/>
    <w:rsid w:val="00EC31ED"/>
    <w:rsid w:val="00EC332C"/>
    <w:rsid w:val="00EC495D"/>
    <w:rsid w:val="00EC5679"/>
    <w:rsid w:val="00EC5836"/>
    <w:rsid w:val="00EC621B"/>
    <w:rsid w:val="00EC688C"/>
    <w:rsid w:val="00EC6B21"/>
    <w:rsid w:val="00EC7060"/>
    <w:rsid w:val="00EC70A4"/>
    <w:rsid w:val="00EC7BB8"/>
    <w:rsid w:val="00EC7DE4"/>
    <w:rsid w:val="00ED04E8"/>
    <w:rsid w:val="00ED064E"/>
    <w:rsid w:val="00ED0788"/>
    <w:rsid w:val="00ED0C0A"/>
    <w:rsid w:val="00ED0CBB"/>
    <w:rsid w:val="00ED12E3"/>
    <w:rsid w:val="00ED148B"/>
    <w:rsid w:val="00ED1D23"/>
    <w:rsid w:val="00ED1E21"/>
    <w:rsid w:val="00ED237C"/>
    <w:rsid w:val="00ED23AF"/>
    <w:rsid w:val="00ED2607"/>
    <w:rsid w:val="00ED294B"/>
    <w:rsid w:val="00ED3012"/>
    <w:rsid w:val="00ED4627"/>
    <w:rsid w:val="00ED4A77"/>
    <w:rsid w:val="00ED4B04"/>
    <w:rsid w:val="00ED5029"/>
    <w:rsid w:val="00ED57EA"/>
    <w:rsid w:val="00ED5ABC"/>
    <w:rsid w:val="00ED5BD4"/>
    <w:rsid w:val="00ED5E4E"/>
    <w:rsid w:val="00ED5F5D"/>
    <w:rsid w:val="00ED6333"/>
    <w:rsid w:val="00ED687F"/>
    <w:rsid w:val="00ED6A5E"/>
    <w:rsid w:val="00ED6C6E"/>
    <w:rsid w:val="00ED6EF7"/>
    <w:rsid w:val="00ED6F1A"/>
    <w:rsid w:val="00ED73F7"/>
    <w:rsid w:val="00ED78DF"/>
    <w:rsid w:val="00EE07D3"/>
    <w:rsid w:val="00EE1935"/>
    <w:rsid w:val="00EE1996"/>
    <w:rsid w:val="00EE1C01"/>
    <w:rsid w:val="00EE1CCF"/>
    <w:rsid w:val="00EE22AF"/>
    <w:rsid w:val="00EE2F6D"/>
    <w:rsid w:val="00EE303B"/>
    <w:rsid w:val="00EE30F3"/>
    <w:rsid w:val="00EE326F"/>
    <w:rsid w:val="00EE365B"/>
    <w:rsid w:val="00EE37E4"/>
    <w:rsid w:val="00EE3C04"/>
    <w:rsid w:val="00EE486E"/>
    <w:rsid w:val="00EE4C6B"/>
    <w:rsid w:val="00EE4EDE"/>
    <w:rsid w:val="00EE54DC"/>
    <w:rsid w:val="00EE5ADB"/>
    <w:rsid w:val="00EE5BAC"/>
    <w:rsid w:val="00EE5C00"/>
    <w:rsid w:val="00EE603D"/>
    <w:rsid w:val="00EE61D0"/>
    <w:rsid w:val="00EE61D2"/>
    <w:rsid w:val="00EE6216"/>
    <w:rsid w:val="00EE6695"/>
    <w:rsid w:val="00EE7488"/>
    <w:rsid w:val="00EE7A42"/>
    <w:rsid w:val="00EE7B3F"/>
    <w:rsid w:val="00EE7D49"/>
    <w:rsid w:val="00EE7D82"/>
    <w:rsid w:val="00EE7EDC"/>
    <w:rsid w:val="00EE7FA7"/>
    <w:rsid w:val="00EF0021"/>
    <w:rsid w:val="00EF0118"/>
    <w:rsid w:val="00EF0171"/>
    <w:rsid w:val="00EF022E"/>
    <w:rsid w:val="00EF0B90"/>
    <w:rsid w:val="00EF0ED8"/>
    <w:rsid w:val="00EF0FAE"/>
    <w:rsid w:val="00EF13DD"/>
    <w:rsid w:val="00EF1B25"/>
    <w:rsid w:val="00EF1DA0"/>
    <w:rsid w:val="00EF37C4"/>
    <w:rsid w:val="00EF4747"/>
    <w:rsid w:val="00EF4BF8"/>
    <w:rsid w:val="00EF52A8"/>
    <w:rsid w:val="00EF5374"/>
    <w:rsid w:val="00EF5441"/>
    <w:rsid w:val="00EF6210"/>
    <w:rsid w:val="00EF62CA"/>
    <w:rsid w:val="00EF6635"/>
    <w:rsid w:val="00EF684B"/>
    <w:rsid w:val="00EF691B"/>
    <w:rsid w:val="00EF6CA6"/>
    <w:rsid w:val="00EF6CEC"/>
    <w:rsid w:val="00EF6E4D"/>
    <w:rsid w:val="00EF79FB"/>
    <w:rsid w:val="00F009F5"/>
    <w:rsid w:val="00F00BA2"/>
    <w:rsid w:val="00F00C07"/>
    <w:rsid w:val="00F011C7"/>
    <w:rsid w:val="00F01C05"/>
    <w:rsid w:val="00F01FD1"/>
    <w:rsid w:val="00F02065"/>
    <w:rsid w:val="00F02253"/>
    <w:rsid w:val="00F02F20"/>
    <w:rsid w:val="00F0346C"/>
    <w:rsid w:val="00F0360D"/>
    <w:rsid w:val="00F03C2E"/>
    <w:rsid w:val="00F03F14"/>
    <w:rsid w:val="00F0414F"/>
    <w:rsid w:val="00F046FB"/>
    <w:rsid w:val="00F04A66"/>
    <w:rsid w:val="00F04A8A"/>
    <w:rsid w:val="00F04B4B"/>
    <w:rsid w:val="00F04F3B"/>
    <w:rsid w:val="00F050CA"/>
    <w:rsid w:val="00F0516C"/>
    <w:rsid w:val="00F0545F"/>
    <w:rsid w:val="00F05728"/>
    <w:rsid w:val="00F06284"/>
    <w:rsid w:val="00F065F9"/>
    <w:rsid w:val="00F067A2"/>
    <w:rsid w:val="00F071DE"/>
    <w:rsid w:val="00F072FE"/>
    <w:rsid w:val="00F073B8"/>
    <w:rsid w:val="00F0762F"/>
    <w:rsid w:val="00F0775D"/>
    <w:rsid w:val="00F07B9E"/>
    <w:rsid w:val="00F10742"/>
    <w:rsid w:val="00F10F5A"/>
    <w:rsid w:val="00F1116F"/>
    <w:rsid w:val="00F114D7"/>
    <w:rsid w:val="00F11978"/>
    <w:rsid w:val="00F122DA"/>
    <w:rsid w:val="00F12402"/>
    <w:rsid w:val="00F1263A"/>
    <w:rsid w:val="00F12D01"/>
    <w:rsid w:val="00F139C5"/>
    <w:rsid w:val="00F13A88"/>
    <w:rsid w:val="00F145A8"/>
    <w:rsid w:val="00F14712"/>
    <w:rsid w:val="00F14BC8"/>
    <w:rsid w:val="00F14FD0"/>
    <w:rsid w:val="00F151CC"/>
    <w:rsid w:val="00F158EC"/>
    <w:rsid w:val="00F15AAF"/>
    <w:rsid w:val="00F15AB4"/>
    <w:rsid w:val="00F15B77"/>
    <w:rsid w:val="00F15BB3"/>
    <w:rsid w:val="00F15D42"/>
    <w:rsid w:val="00F16ABA"/>
    <w:rsid w:val="00F16DA8"/>
    <w:rsid w:val="00F16E48"/>
    <w:rsid w:val="00F170A2"/>
    <w:rsid w:val="00F173F9"/>
    <w:rsid w:val="00F1766C"/>
    <w:rsid w:val="00F17A2E"/>
    <w:rsid w:val="00F17B48"/>
    <w:rsid w:val="00F201F3"/>
    <w:rsid w:val="00F2066E"/>
    <w:rsid w:val="00F20990"/>
    <w:rsid w:val="00F21236"/>
    <w:rsid w:val="00F21374"/>
    <w:rsid w:val="00F21ADF"/>
    <w:rsid w:val="00F2249A"/>
    <w:rsid w:val="00F228F5"/>
    <w:rsid w:val="00F22B2F"/>
    <w:rsid w:val="00F22F4D"/>
    <w:rsid w:val="00F239DF"/>
    <w:rsid w:val="00F241FB"/>
    <w:rsid w:val="00F2482F"/>
    <w:rsid w:val="00F24837"/>
    <w:rsid w:val="00F24DD1"/>
    <w:rsid w:val="00F24E50"/>
    <w:rsid w:val="00F25166"/>
    <w:rsid w:val="00F2575F"/>
    <w:rsid w:val="00F25C3B"/>
    <w:rsid w:val="00F262C8"/>
    <w:rsid w:val="00F26313"/>
    <w:rsid w:val="00F267C6"/>
    <w:rsid w:val="00F26B97"/>
    <w:rsid w:val="00F26D5A"/>
    <w:rsid w:val="00F27565"/>
    <w:rsid w:val="00F30229"/>
    <w:rsid w:val="00F30600"/>
    <w:rsid w:val="00F310BD"/>
    <w:rsid w:val="00F310D4"/>
    <w:rsid w:val="00F31143"/>
    <w:rsid w:val="00F314A4"/>
    <w:rsid w:val="00F31ACB"/>
    <w:rsid w:val="00F31D5A"/>
    <w:rsid w:val="00F323B0"/>
    <w:rsid w:val="00F323BA"/>
    <w:rsid w:val="00F32639"/>
    <w:rsid w:val="00F32995"/>
    <w:rsid w:val="00F32FF1"/>
    <w:rsid w:val="00F3349D"/>
    <w:rsid w:val="00F33538"/>
    <w:rsid w:val="00F3382E"/>
    <w:rsid w:val="00F33942"/>
    <w:rsid w:val="00F33975"/>
    <w:rsid w:val="00F33DE9"/>
    <w:rsid w:val="00F341F3"/>
    <w:rsid w:val="00F3428A"/>
    <w:rsid w:val="00F34DB7"/>
    <w:rsid w:val="00F34FB5"/>
    <w:rsid w:val="00F35979"/>
    <w:rsid w:val="00F35E6D"/>
    <w:rsid w:val="00F3619A"/>
    <w:rsid w:val="00F36900"/>
    <w:rsid w:val="00F369AB"/>
    <w:rsid w:val="00F3716E"/>
    <w:rsid w:val="00F37361"/>
    <w:rsid w:val="00F3798C"/>
    <w:rsid w:val="00F37D5B"/>
    <w:rsid w:val="00F37F9A"/>
    <w:rsid w:val="00F4064D"/>
    <w:rsid w:val="00F40721"/>
    <w:rsid w:val="00F40AAA"/>
    <w:rsid w:val="00F40BA7"/>
    <w:rsid w:val="00F40C91"/>
    <w:rsid w:val="00F40CB3"/>
    <w:rsid w:val="00F40F46"/>
    <w:rsid w:val="00F40F9D"/>
    <w:rsid w:val="00F41243"/>
    <w:rsid w:val="00F41253"/>
    <w:rsid w:val="00F4182A"/>
    <w:rsid w:val="00F41ACD"/>
    <w:rsid w:val="00F4204A"/>
    <w:rsid w:val="00F4221E"/>
    <w:rsid w:val="00F42AC2"/>
    <w:rsid w:val="00F42BEF"/>
    <w:rsid w:val="00F432EE"/>
    <w:rsid w:val="00F43B8D"/>
    <w:rsid w:val="00F43BB5"/>
    <w:rsid w:val="00F43BCE"/>
    <w:rsid w:val="00F43F2A"/>
    <w:rsid w:val="00F43F3D"/>
    <w:rsid w:val="00F44B57"/>
    <w:rsid w:val="00F44E71"/>
    <w:rsid w:val="00F459B8"/>
    <w:rsid w:val="00F4654B"/>
    <w:rsid w:val="00F46CB6"/>
    <w:rsid w:val="00F46CE5"/>
    <w:rsid w:val="00F4722E"/>
    <w:rsid w:val="00F4756D"/>
    <w:rsid w:val="00F476F4"/>
    <w:rsid w:val="00F4774B"/>
    <w:rsid w:val="00F47DE8"/>
    <w:rsid w:val="00F51F48"/>
    <w:rsid w:val="00F52158"/>
    <w:rsid w:val="00F52734"/>
    <w:rsid w:val="00F52865"/>
    <w:rsid w:val="00F52DB7"/>
    <w:rsid w:val="00F52F51"/>
    <w:rsid w:val="00F52FE2"/>
    <w:rsid w:val="00F5355D"/>
    <w:rsid w:val="00F5359E"/>
    <w:rsid w:val="00F53EC3"/>
    <w:rsid w:val="00F542C1"/>
    <w:rsid w:val="00F548AB"/>
    <w:rsid w:val="00F550E3"/>
    <w:rsid w:val="00F55219"/>
    <w:rsid w:val="00F552CA"/>
    <w:rsid w:val="00F5533A"/>
    <w:rsid w:val="00F553DB"/>
    <w:rsid w:val="00F554A8"/>
    <w:rsid w:val="00F55505"/>
    <w:rsid w:val="00F5584E"/>
    <w:rsid w:val="00F5597D"/>
    <w:rsid w:val="00F55AB9"/>
    <w:rsid w:val="00F55B16"/>
    <w:rsid w:val="00F55E73"/>
    <w:rsid w:val="00F55EDA"/>
    <w:rsid w:val="00F562DA"/>
    <w:rsid w:val="00F56787"/>
    <w:rsid w:val="00F569B0"/>
    <w:rsid w:val="00F56C80"/>
    <w:rsid w:val="00F56D4D"/>
    <w:rsid w:val="00F5772F"/>
    <w:rsid w:val="00F57824"/>
    <w:rsid w:val="00F57A51"/>
    <w:rsid w:val="00F57A6A"/>
    <w:rsid w:val="00F57C9A"/>
    <w:rsid w:val="00F57EE7"/>
    <w:rsid w:val="00F60092"/>
    <w:rsid w:val="00F601D5"/>
    <w:rsid w:val="00F60203"/>
    <w:rsid w:val="00F60710"/>
    <w:rsid w:val="00F60F49"/>
    <w:rsid w:val="00F614F1"/>
    <w:rsid w:val="00F61C18"/>
    <w:rsid w:val="00F61D4E"/>
    <w:rsid w:val="00F632E0"/>
    <w:rsid w:val="00F645D3"/>
    <w:rsid w:val="00F6471F"/>
    <w:rsid w:val="00F6486F"/>
    <w:rsid w:val="00F64945"/>
    <w:rsid w:val="00F64E73"/>
    <w:rsid w:val="00F657FE"/>
    <w:rsid w:val="00F65AE1"/>
    <w:rsid w:val="00F65D61"/>
    <w:rsid w:val="00F65F4B"/>
    <w:rsid w:val="00F660A0"/>
    <w:rsid w:val="00F6672D"/>
    <w:rsid w:val="00F66B02"/>
    <w:rsid w:val="00F66B36"/>
    <w:rsid w:val="00F66C28"/>
    <w:rsid w:val="00F66D6B"/>
    <w:rsid w:val="00F67A69"/>
    <w:rsid w:val="00F67BEF"/>
    <w:rsid w:val="00F67F99"/>
    <w:rsid w:val="00F70526"/>
    <w:rsid w:val="00F70BFF"/>
    <w:rsid w:val="00F70C9D"/>
    <w:rsid w:val="00F70CD4"/>
    <w:rsid w:val="00F71056"/>
    <w:rsid w:val="00F710E8"/>
    <w:rsid w:val="00F71683"/>
    <w:rsid w:val="00F716BC"/>
    <w:rsid w:val="00F72345"/>
    <w:rsid w:val="00F72549"/>
    <w:rsid w:val="00F72720"/>
    <w:rsid w:val="00F7292E"/>
    <w:rsid w:val="00F72E17"/>
    <w:rsid w:val="00F733FD"/>
    <w:rsid w:val="00F73747"/>
    <w:rsid w:val="00F73C73"/>
    <w:rsid w:val="00F73E08"/>
    <w:rsid w:val="00F73E29"/>
    <w:rsid w:val="00F74CD9"/>
    <w:rsid w:val="00F74FBE"/>
    <w:rsid w:val="00F7577C"/>
    <w:rsid w:val="00F75B32"/>
    <w:rsid w:val="00F7625D"/>
    <w:rsid w:val="00F77038"/>
    <w:rsid w:val="00F77292"/>
    <w:rsid w:val="00F77718"/>
    <w:rsid w:val="00F77B7F"/>
    <w:rsid w:val="00F80032"/>
    <w:rsid w:val="00F80537"/>
    <w:rsid w:val="00F80A7B"/>
    <w:rsid w:val="00F80E5D"/>
    <w:rsid w:val="00F8111D"/>
    <w:rsid w:val="00F8143E"/>
    <w:rsid w:val="00F81E78"/>
    <w:rsid w:val="00F81F02"/>
    <w:rsid w:val="00F82752"/>
    <w:rsid w:val="00F82CF6"/>
    <w:rsid w:val="00F82D08"/>
    <w:rsid w:val="00F83082"/>
    <w:rsid w:val="00F83143"/>
    <w:rsid w:val="00F83916"/>
    <w:rsid w:val="00F83E44"/>
    <w:rsid w:val="00F841BE"/>
    <w:rsid w:val="00F846F5"/>
    <w:rsid w:val="00F84B8D"/>
    <w:rsid w:val="00F84F58"/>
    <w:rsid w:val="00F85103"/>
    <w:rsid w:val="00F851CE"/>
    <w:rsid w:val="00F86CA9"/>
    <w:rsid w:val="00F87334"/>
    <w:rsid w:val="00F87701"/>
    <w:rsid w:val="00F878B5"/>
    <w:rsid w:val="00F87CA9"/>
    <w:rsid w:val="00F90383"/>
    <w:rsid w:val="00F905E8"/>
    <w:rsid w:val="00F91219"/>
    <w:rsid w:val="00F91223"/>
    <w:rsid w:val="00F9129F"/>
    <w:rsid w:val="00F92444"/>
    <w:rsid w:val="00F9253F"/>
    <w:rsid w:val="00F92AE9"/>
    <w:rsid w:val="00F92F56"/>
    <w:rsid w:val="00F9329E"/>
    <w:rsid w:val="00F9393E"/>
    <w:rsid w:val="00F9418D"/>
    <w:rsid w:val="00F943DA"/>
    <w:rsid w:val="00F9453B"/>
    <w:rsid w:val="00F9490F"/>
    <w:rsid w:val="00F94B6F"/>
    <w:rsid w:val="00F9645B"/>
    <w:rsid w:val="00F965B9"/>
    <w:rsid w:val="00F96EF0"/>
    <w:rsid w:val="00F96FD0"/>
    <w:rsid w:val="00F9722F"/>
    <w:rsid w:val="00F97361"/>
    <w:rsid w:val="00F9751C"/>
    <w:rsid w:val="00F97A00"/>
    <w:rsid w:val="00F97A28"/>
    <w:rsid w:val="00F97A78"/>
    <w:rsid w:val="00F97C2D"/>
    <w:rsid w:val="00F97D33"/>
    <w:rsid w:val="00FA0166"/>
    <w:rsid w:val="00FA065C"/>
    <w:rsid w:val="00FA073C"/>
    <w:rsid w:val="00FA0B20"/>
    <w:rsid w:val="00FA128D"/>
    <w:rsid w:val="00FA184D"/>
    <w:rsid w:val="00FA1B06"/>
    <w:rsid w:val="00FA20D2"/>
    <w:rsid w:val="00FA20EA"/>
    <w:rsid w:val="00FA24E7"/>
    <w:rsid w:val="00FA296A"/>
    <w:rsid w:val="00FA2A88"/>
    <w:rsid w:val="00FA5295"/>
    <w:rsid w:val="00FA5976"/>
    <w:rsid w:val="00FA5EE6"/>
    <w:rsid w:val="00FA6D12"/>
    <w:rsid w:val="00FA7410"/>
    <w:rsid w:val="00FA7941"/>
    <w:rsid w:val="00FA7956"/>
    <w:rsid w:val="00FA7CD6"/>
    <w:rsid w:val="00FA7CFA"/>
    <w:rsid w:val="00FA7E2D"/>
    <w:rsid w:val="00FB0441"/>
    <w:rsid w:val="00FB0824"/>
    <w:rsid w:val="00FB13FB"/>
    <w:rsid w:val="00FB174B"/>
    <w:rsid w:val="00FB19D6"/>
    <w:rsid w:val="00FB1CD4"/>
    <w:rsid w:val="00FB20CB"/>
    <w:rsid w:val="00FB2496"/>
    <w:rsid w:val="00FB24D1"/>
    <w:rsid w:val="00FB2C6D"/>
    <w:rsid w:val="00FB2FCB"/>
    <w:rsid w:val="00FB32A8"/>
    <w:rsid w:val="00FB361F"/>
    <w:rsid w:val="00FB3AB2"/>
    <w:rsid w:val="00FB4559"/>
    <w:rsid w:val="00FB4746"/>
    <w:rsid w:val="00FB4A71"/>
    <w:rsid w:val="00FB4AD9"/>
    <w:rsid w:val="00FB4C9C"/>
    <w:rsid w:val="00FB5290"/>
    <w:rsid w:val="00FB5AE9"/>
    <w:rsid w:val="00FB5F4D"/>
    <w:rsid w:val="00FB603B"/>
    <w:rsid w:val="00FB60E8"/>
    <w:rsid w:val="00FB6A9A"/>
    <w:rsid w:val="00FB6E04"/>
    <w:rsid w:val="00FB6E0C"/>
    <w:rsid w:val="00FB7C55"/>
    <w:rsid w:val="00FB7DB1"/>
    <w:rsid w:val="00FC1074"/>
    <w:rsid w:val="00FC1395"/>
    <w:rsid w:val="00FC15F4"/>
    <w:rsid w:val="00FC1884"/>
    <w:rsid w:val="00FC1A07"/>
    <w:rsid w:val="00FC1E7B"/>
    <w:rsid w:val="00FC21FE"/>
    <w:rsid w:val="00FC22D3"/>
    <w:rsid w:val="00FC2D46"/>
    <w:rsid w:val="00FC371D"/>
    <w:rsid w:val="00FC3852"/>
    <w:rsid w:val="00FC3D3E"/>
    <w:rsid w:val="00FC491E"/>
    <w:rsid w:val="00FC51D4"/>
    <w:rsid w:val="00FC5CBB"/>
    <w:rsid w:val="00FC5DB8"/>
    <w:rsid w:val="00FC5F0B"/>
    <w:rsid w:val="00FC68BE"/>
    <w:rsid w:val="00FC755A"/>
    <w:rsid w:val="00FC79E2"/>
    <w:rsid w:val="00FC7C22"/>
    <w:rsid w:val="00FC7D18"/>
    <w:rsid w:val="00FC7F4C"/>
    <w:rsid w:val="00FD04E8"/>
    <w:rsid w:val="00FD1763"/>
    <w:rsid w:val="00FD202A"/>
    <w:rsid w:val="00FD2100"/>
    <w:rsid w:val="00FD2E1C"/>
    <w:rsid w:val="00FD3412"/>
    <w:rsid w:val="00FD3A0D"/>
    <w:rsid w:val="00FD41F2"/>
    <w:rsid w:val="00FD436C"/>
    <w:rsid w:val="00FD446D"/>
    <w:rsid w:val="00FD47E5"/>
    <w:rsid w:val="00FD4A52"/>
    <w:rsid w:val="00FD4DE7"/>
    <w:rsid w:val="00FD4F2C"/>
    <w:rsid w:val="00FD5856"/>
    <w:rsid w:val="00FD588E"/>
    <w:rsid w:val="00FD6394"/>
    <w:rsid w:val="00FD7E01"/>
    <w:rsid w:val="00FE0257"/>
    <w:rsid w:val="00FE053F"/>
    <w:rsid w:val="00FE0966"/>
    <w:rsid w:val="00FE0A5D"/>
    <w:rsid w:val="00FE0E6C"/>
    <w:rsid w:val="00FE132C"/>
    <w:rsid w:val="00FE1765"/>
    <w:rsid w:val="00FE1CDC"/>
    <w:rsid w:val="00FE1DB0"/>
    <w:rsid w:val="00FE1FA7"/>
    <w:rsid w:val="00FE2219"/>
    <w:rsid w:val="00FE232A"/>
    <w:rsid w:val="00FE264A"/>
    <w:rsid w:val="00FE2B5A"/>
    <w:rsid w:val="00FE36AA"/>
    <w:rsid w:val="00FE3E73"/>
    <w:rsid w:val="00FE3F7E"/>
    <w:rsid w:val="00FE429C"/>
    <w:rsid w:val="00FE44A3"/>
    <w:rsid w:val="00FE4597"/>
    <w:rsid w:val="00FE48FA"/>
    <w:rsid w:val="00FE4F2C"/>
    <w:rsid w:val="00FE548C"/>
    <w:rsid w:val="00FE55E0"/>
    <w:rsid w:val="00FE5787"/>
    <w:rsid w:val="00FE5A5B"/>
    <w:rsid w:val="00FE6761"/>
    <w:rsid w:val="00FE67CF"/>
    <w:rsid w:val="00FE70C3"/>
    <w:rsid w:val="00FE76FD"/>
    <w:rsid w:val="00FE784C"/>
    <w:rsid w:val="00FE7ACF"/>
    <w:rsid w:val="00FE7D37"/>
    <w:rsid w:val="00FE7EC4"/>
    <w:rsid w:val="00FF0329"/>
    <w:rsid w:val="00FF08DA"/>
    <w:rsid w:val="00FF1A8B"/>
    <w:rsid w:val="00FF1A94"/>
    <w:rsid w:val="00FF2277"/>
    <w:rsid w:val="00FF2AD9"/>
    <w:rsid w:val="00FF2AF6"/>
    <w:rsid w:val="00FF2CB1"/>
    <w:rsid w:val="00FF359F"/>
    <w:rsid w:val="00FF374B"/>
    <w:rsid w:val="00FF3949"/>
    <w:rsid w:val="00FF3DCF"/>
    <w:rsid w:val="00FF3ECD"/>
    <w:rsid w:val="00FF492C"/>
    <w:rsid w:val="00FF4A21"/>
    <w:rsid w:val="00FF51A7"/>
    <w:rsid w:val="00FF5590"/>
    <w:rsid w:val="00FF564B"/>
    <w:rsid w:val="00FF56F4"/>
    <w:rsid w:val="00FF5AA3"/>
    <w:rsid w:val="00FF5AD8"/>
    <w:rsid w:val="00FF5B98"/>
    <w:rsid w:val="00FF5E25"/>
    <w:rsid w:val="00FF6D17"/>
    <w:rsid w:val="00FF6DF4"/>
    <w:rsid w:val="00FF78B4"/>
    <w:rsid w:val="0902D2DA"/>
    <w:rsid w:val="0DAB8E07"/>
    <w:rsid w:val="180142BD"/>
    <w:rsid w:val="18AD3FA6"/>
    <w:rsid w:val="22647C06"/>
    <w:rsid w:val="22EF74F6"/>
    <w:rsid w:val="295B8DB0"/>
    <w:rsid w:val="2ABFE006"/>
    <w:rsid w:val="3268FDBB"/>
    <w:rsid w:val="37E226ED"/>
    <w:rsid w:val="399FC5CA"/>
    <w:rsid w:val="3BF87FCF"/>
    <w:rsid w:val="3E30D2EC"/>
    <w:rsid w:val="41873803"/>
    <w:rsid w:val="41D37A58"/>
    <w:rsid w:val="45359364"/>
    <w:rsid w:val="464E48C7"/>
    <w:rsid w:val="5669A5A1"/>
    <w:rsid w:val="5B429567"/>
    <w:rsid w:val="5E80E52A"/>
    <w:rsid w:val="6BB7952B"/>
    <w:rsid w:val="6DC5CADB"/>
    <w:rsid w:val="74E84963"/>
    <w:rsid w:val="78882673"/>
    <w:rsid w:val="7888E295"/>
    <w:rsid w:val="7FB99A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qFormat/>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basedOn w:val="Normal"/>
    <w:link w:val="HeaderChar"/>
    <w:qFormat/>
    <w:rsid w:val="00A51C91"/>
    <w:pPr>
      <w:keepNext/>
      <w:tabs>
        <w:tab w:val="center" w:pos="4513"/>
        <w:tab w:val="right" w:pos="9026"/>
      </w:tabs>
      <w:jc w:val="center"/>
    </w:pPr>
    <w:rPr>
      <w:i/>
      <w:iCs/>
    </w:rPr>
  </w:style>
  <w:style w:type="character" w:customStyle="1" w:styleId="HeaderChar">
    <w:name w:val="Header Char"/>
    <w:basedOn w:val="DefaultParagraphFont"/>
    <w:link w:val="Header"/>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link w:val="COMH2-numberedChar"/>
    <w:qFormat/>
    <w:rsid w:val="001C002E"/>
  </w:style>
  <w:style w:type="table" w:styleId="TableGrid">
    <w:name w:val="Table Grid"/>
    <w:aliases w:val="Summary box,Table Gridbeth,CMA Table Template,ASD Table,PBAC table,new style,MSD Table Grid,Lash Style Table,Dossier table,Section 3- footnotes,Summary Table,HTAtableplain,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autoRedefine/>
    <w:qFormat/>
    <w:rsid w:val="00ED04E8"/>
    <w:pPr>
      <w:keepNext/>
      <w:keepLines/>
      <w:widowControl w:val="0"/>
    </w:pPr>
    <w:rPr>
      <w:rFonts w:ascii="Arial Narrow" w:eastAsiaTheme="majorEastAsia" w:hAnsi="Arial Narrow" w:cstheme="majorBidi"/>
      <w:bCs/>
      <w:i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4"/>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CD2FF2"/>
    <w:pPr>
      <w:numPr>
        <w:ilvl w:val="1"/>
        <w:numId w:val="4"/>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CD2FF2"/>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ED04E8"/>
    <w:rPr>
      <w:rFonts w:ascii="Arial Narrow" w:eastAsiaTheme="majorEastAsia" w:hAnsi="Arial Narrow" w:cstheme="majorBidi"/>
      <w:bCs/>
      <w:i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5"/>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6"/>
      </w:numPr>
      <w:spacing w:after="120"/>
      <w:ind w:left="1134"/>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7"/>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Heading3"/>
    <w:next w:val="Normal"/>
    <w:link w:val="COMH3Char"/>
    <w:qFormat/>
    <w:rsid w:val="00E22C00"/>
    <w:pPr>
      <w:keepNext/>
      <w:spacing w:after="120"/>
    </w:pPr>
    <w:rPr>
      <w:b/>
      <w:iCs/>
      <w:sz w:val="28"/>
      <w:u w:val="none"/>
    </w:rPr>
  </w:style>
  <w:style w:type="character" w:customStyle="1" w:styleId="COMH3Char">
    <w:name w:val="COM H3 Char"/>
    <w:basedOn w:val="DefaultParagraphFont"/>
    <w:link w:val="COMH3"/>
    <w:rsid w:val="00E22C00"/>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253D3B"/>
    <w:pPr>
      <w:keepNext/>
      <w:jc w:val="both"/>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F80032"/>
    <w:pPr>
      <w:keepNext/>
      <w:jc w:val="both"/>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F80032"/>
    <w:rPr>
      <w:rFonts w:ascii="Arial Narrow" w:eastAsiaTheme="majorEastAsia" w:hAnsi="Arial Narrow" w:cstheme="majorBidi"/>
      <w:b/>
      <w:bCs/>
      <w:szCs w:val="24"/>
    </w:rPr>
  </w:style>
  <w:style w:type="character" w:styleId="CommentReference">
    <w:name w:val="annotation reference"/>
    <w:aliases w:val="Table Title,References"/>
    <w:basedOn w:val="DefaultParagraphFont"/>
    <w:uiPriority w:val="99"/>
    <w:unhideWhenUsed/>
    <w:qFormat/>
    <w:rsid w:val="0031513C"/>
    <w:rPr>
      <w:sz w:val="16"/>
      <w:szCs w:val="16"/>
    </w:rPr>
  </w:style>
  <w:style w:type="paragraph" w:styleId="CommentText">
    <w:name w:val="annotation text"/>
    <w:basedOn w:val="Normal"/>
    <w:link w:val="CommentTextChar"/>
    <w:uiPriority w:val="99"/>
    <w:unhideWhenUsed/>
    <w:rsid w:val="0031513C"/>
    <w:rPr>
      <w:sz w:val="20"/>
      <w:szCs w:val="20"/>
    </w:rPr>
  </w:style>
  <w:style w:type="character" w:customStyle="1" w:styleId="CommentTextChar">
    <w:name w:val="Comment Text Char"/>
    <w:basedOn w:val="DefaultParagraphFont"/>
    <w:link w:val="CommentText"/>
    <w:uiPriority w:val="99"/>
    <w:rsid w:val="0031513C"/>
    <w:rPr>
      <w:rFonts w:ascii="Calibri" w:hAnsi="Calibri" w:cs="Arial"/>
    </w:rPr>
  </w:style>
  <w:style w:type="paragraph" w:styleId="CommentSubject">
    <w:name w:val="annotation subject"/>
    <w:basedOn w:val="CommentText"/>
    <w:next w:val="CommentText"/>
    <w:link w:val="CommentSubjectChar"/>
    <w:semiHidden/>
    <w:unhideWhenUsed/>
    <w:rsid w:val="0031513C"/>
    <w:rPr>
      <w:b/>
      <w:bCs/>
    </w:rPr>
  </w:style>
  <w:style w:type="character" w:customStyle="1" w:styleId="CommentSubjectChar">
    <w:name w:val="Comment Subject Char"/>
    <w:basedOn w:val="CommentTextChar"/>
    <w:link w:val="CommentSubject"/>
    <w:semiHidden/>
    <w:rsid w:val="0031513C"/>
    <w:rPr>
      <w:rFonts w:ascii="Calibri" w:hAnsi="Calibri" w:cs="Arial"/>
      <w:b/>
      <w:bCs/>
    </w:rPr>
  </w:style>
  <w:style w:type="character" w:styleId="UnresolvedMention">
    <w:name w:val="Unresolved Mention"/>
    <w:basedOn w:val="DefaultParagraphFont"/>
    <w:uiPriority w:val="99"/>
    <w:semiHidden/>
    <w:unhideWhenUsed/>
    <w:rsid w:val="0048298F"/>
    <w:rPr>
      <w:color w:val="605E5C"/>
      <w:shd w:val="clear" w:color="auto" w:fill="E1DFDD"/>
    </w:rPr>
  </w:style>
  <w:style w:type="paragraph" w:styleId="TOC6">
    <w:name w:val="toc 6"/>
    <w:basedOn w:val="Normal"/>
    <w:next w:val="Normal"/>
    <w:autoRedefine/>
    <w:uiPriority w:val="39"/>
    <w:unhideWhenUsed/>
    <w:rsid w:val="00DD1393"/>
    <w:pPr>
      <w:spacing w:after="100"/>
      <w:ind w:left="1200"/>
    </w:pPr>
  </w:style>
  <w:style w:type="paragraph" w:styleId="ListParagraph">
    <w:name w:val="List Paragraph"/>
    <w:aliases w:val="Numbered para,BulletPoints,Body Text Bullet Points,List Paragraph1,Bullet point,List Paragraph11,Recommendation,Section heading,Footnote,ES Paragraph,PBAC ES Paragraph,PBAC normal points,Bullet List,Figure_name,Numbered Indented Text,lp1"/>
    <w:basedOn w:val="Normal"/>
    <w:link w:val="ListParagraphChar"/>
    <w:uiPriority w:val="34"/>
    <w:qFormat/>
    <w:rsid w:val="006A4FE9"/>
    <w:pPr>
      <w:ind w:left="720"/>
      <w:contextualSpacing/>
    </w:pPr>
  </w:style>
  <w:style w:type="paragraph" w:customStyle="1" w:styleId="Default">
    <w:name w:val="Default"/>
    <w:rsid w:val="00D3102F"/>
    <w:pPr>
      <w:autoSpaceDE w:val="0"/>
      <w:autoSpaceDN w:val="0"/>
      <w:adjustRightInd w:val="0"/>
    </w:pPr>
    <w:rPr>
      <w:rFonts w:ascii="Arial" w:hAnsi="Arial" w:cs="Arial"/>
      <w:color w:val="000000"/>
      <w:sz w:val="24"/>
      <w:szCs w:val="24"/>
    </w:rPr>
  </w:style>
  <w:style w:type="paragraph" w:customStyle="1" w:styleId="Tabletext0">
    <w:name w:val="Table text"/>
    <w:basedOn w:val="Normal"/>
    <w:link w:val="TabletextChar0"/>
    <w:uiPriority w:val="99"/>
    <w:qFormat/>
    <w:rsid w:val="005E2009"/>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5E2009"/>
    <w:rPr>
      <w:rFonts w:ascii="Arial Narrow" w:hAnsi="Arial Narrow"/>
      <w:szCs w:val="22"/>
      <w:lang w:eastAsia="en-US"/>
    </w:rPr>
  </w:style>
  <w:style w:type="character" w:customStyle="1" w:styleId="ListParagraphChar">
    <w:name w:val="List Paragraph Char"/>
    <w:aliases w:val="Numbered para Char,BulletPoints Char,Body Text Bullet Points Char,List Paragraph1 Char,Bullet point Char,List Paragraph11 Char,Recommendation Char,Section heading Char,Footnote Char,ES Paragraph Char,PBAC ES Paragraph Char,lp1 Char"/>
    <w:basedOn w:val="DefaultParagraphFont"/>
    <w:link w:val="ListParagraph"/>
    <w:uiPriority w:val="34"/>
    <w:qFormat/>
    <w:locked/>
    <w:rsid w:val="00350318"/>
    <w:rPr>
      <w:rFonts w:ascii="Calibri" w:hAnsi="Calibri" w:cs="Arial"/>
      <w:sz w:val="24"/>
      <w:szCs w:val="24"/>
    </w:rPr>
  </w:style>
  <w:style w:type="paragraph" w:customStyle="1" w:styleId="TableFigureFooter">
    <w:name w:val="Table/Figure Footer"/>
    <w:basedOn w:val="Normal"/>
    <w:link w:val="TableFigureFooterChar"/>
    <w:qFormat/>
    <w:rsid w:val="0073320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733206"/>
    <w:rPr>
      <w:rFonts w:ascii="Arial Narrow" w:hAnsi="Arial Narrow" w:cs="Arial"/>
      <w:snapToGrid w:val="0"/>
      <w:sz w:val="18"/>
      <w:szCs w:val="22"/>
    </w:rPr>
  </w:style>
  <w:style w:type="paragraph" w:styleId="Caption">
    <w:name w:val="caption"/>
    <w:aliases w:val="Caption SYNEVi,Caption PRIMA,Bayer Caption,IB Caption,Medical Caption,Bayer,Bayer Caption1,IB Caption1,Medical Caption1,Bayer Caption2,IB Caption2,Medical Caption2,Bayer Caption3,IB Caption3,Medical Caption3,Bayer Caption4,IB Caption4,Bayer1,c"/>
    <w:basedOn w:val="Normal"/>
    <w:next w:val="Normal"/>
    <w:link w:val="CaptionChar"/>
    <w:unhideWhenUsed/>
    <w:qFormat/>
    <w:rsid w:val="007A6AEE"/>
    <w:pPr>
      <w:keepNext/>
      <w:jc w:val="left"/>
    </w:pPr>
    <w:rPr>
      <w:rFonts w:ascii="Arial Narrow" w:eastAsiaTheme="majorEastAsia" w:hAnsi="Arial Narrow" w:cstheme="majorBidi"/>
      <w:b/>
      <w:bCs/>
      <w:sz w:val="20"/>
    </w:rPr>
  </w:style>
  <w:style w:type="paragraph" w:customStyle="1" w:styleId="COMH1numbered">
    <w:name w:val="COM H1 numbered"/>
    <w:next w:val="Normal"/>
    <w:link w:val="COMH1numberedChar"/>
    <w:qFormat/>
    <w:rsid w:val="006721B2"/>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6721B2"/>
    <w:pPr>
      <w:spacing w:after="120"/>
      <w:ind w:hanging="720"/>
      <w:contextualSpacing w:val="0"/>
    </w:pPr>
    <w:rPr>
      <w:rFonts w:asciiTheme="minorHAnsi" w:hAnsiTheme="minorHAnsi"/>
      <w:snapToGrid w:val="0"/>
    </w:rPr>
  </w:style>
  <w:style w:type="character" w:customStyle="1" w:styleId="COMexecsumnumberedparaChar">
    <w:name w:val="COM exec sum numbered para Char"/>
    <w:basedOn w:val="DefaultParagraphFont"/>
    <w:link w:val="COMexecsumnumberedpara"/>
    <w:rsid w:val="006721B2"/>
    <w:rPr>
      <w:rFonts w:asciiTheme="minorHAnsi" w:hAnsiTheme="minorHAnsi" w:cs="Arial"/>
      <w:snapToGrid w:val="0"/>
      <w:sz w:val="24"/>
      <w:szCs w:val="24"/>
    </w:rPr>
  </w:style>
  <w:style w:type="paragraph" w:styleId="Footer">
    <w:name w:val="footer"/>
    <w:basedOn w:val="Normal"/>
    <w:link w:val="FooterChar"/>
    <w:uiPriority w:val="99"/>
    <w:unhideWhenUsed/>
    <w:rsid w:val="00F0545F"/>
    <w:pPr>
      <w:tabs>
        <w:tab w:val="center" w:pos="4513"/>
        <w:tab w:val="right" w:pos="9026"/>
      </w:tabs>
    </w:pPr>
  </w:style>
  <w:style w:type="character" w:customStyle="1" w:styleId="FooterChar">
    <w:name w:val="Footer Char"/>
    <w:basedOn w:val="DefaultParagraphFont"/>
    <w:link w:val="Footer"/>
    <w:uiPriority w:val="99"/>
    <w:rsid w:val="00F0545F"/>
    <w:rPr>
      <w:rFonts w:ascii="Calibri" w:hAnsi="Calibri" w:cs="Arial"/>
      <w:sz w:val="24"/>
      <w:szCs w:val="24"/>
    </w:rPr>
  </w:style>
  <w:style w:type="character" w:styleId="PlaceholderText">
    <w:name w:val="Placeholder Text"/>
    <w:basedOn w:val="DefaultParagraphFont"/>
    <w:uiPriority w:val="99"/>
    <w:semiHidden/>
    <w:rsid w:val="00047058"/>
    <w:rPr>
      <w:color w:val="666666"/>
    </w:rPr>
  </w:style>
  <w:style w:type="paragraph" w:styleId="ListBullet">
    <w:name w:val="List Bullet"/>
    <w:aliases w:val="zz List Bullet"/>
    <w:basedOn w:val="Normal"/>
    <w:link w:val="ListBulletChar"/>
    <w:unhideWhenUsed/>
    <w:rsid w:val="00047058"/>
    <w:pPr>
      <w:tabs>
        <w:tab w:val="num" w:pos="360"/>
      </w:tabs>
      <w:ind w:left="360" w:hanging="360"/>
      <w:contextualSpacing/>
    </w:pPr>
    <w:rPr>
      <w:rFonts w:eastAsia="SimSun"/>
    </w:rPr>
  </w:style>
  <w:style w:type="paragraph" w:styleId="FootnoteText">
    <w:name w:val="footnote text"/>
    <w:basedOn w:val="Normal"/>
    <w:link w:val="FootnoteTextChar"/>
    <w:unhideWhenUsed/>
    <w:rsid w:val="00047058"/>
    <w:rPr>
      <w:rFonts w:eastAsia="SimSun"/>
      <w:sz w:val="20"/>
      <w:szCs w:val="20"/>
    </w:rPr>
  </w:style>
  <w:style w:type="character" w:customStyle="1" w:styleId="FootnoteTextChar">
    <w:name w:val="Footnote Text Char"/>
    <w:basedOn w:val="DefaultParagraphFont"/>
    <w:link w:val="FootnoteText"/>
    <w:rsid w:val="00047058"/>
    <w:rPr>
      <w:rFonts w:ascii="Calibri" w:eastAsia="SimSun" w:hAnsi="Calibri" w:cs="Arial"/>
    </w:rPr>
  </w:style>
  <w:style w:type="character" w:styleId="FootnoteReference">
    <w:name w:val="footnote reference"/>
    <w:basedOn w:val="DefaultParagraphFont"/>
    <w:semiHidden/>
    <w:unhideWhenUsed/>
    <w:rsid w:val="00047058"/>
    <w:rPr>
      <w:vertAlign w:val="superscript"/>
    </w:rPr>
  </w:style>
  <w:style w:type="paragraph" w:styleId="EndnoteText">
    <w:name w:val="endnote text"/>
    <w:basedOn w:val="Normal"/>
    <w:link w:val="EndnoteTextChar"/>
    <w:uiPriority w:val="99"/>
    <w:semiHidden/>
    <w:unhideWhenUsed/>
    <w:rsid w:val="00047058"/>
    <w:rPr>
      <w:rFonts w:eastAsia="SimSun"/>
      <w:sz w:val="20"/>
      <w:szCs w:val="20"/>
    </w:rPr>
  </w:style>
  <w:style w:type="character" w:customStyle="1" w:styleId="EndnoteTextChar">
    <w:name w:val="Endnote Text Char"/>
    <w:basedOn w:val="DefaultParagraphFont"/>
    <w:link w:val="EndnoteText"/>
    <w:uiPriority w:val="99"/>
    <w:semiHidden/>
    <w:rsid w:val="00047058"/>
    <w:rPr>
      <w:rFonts w:ascii="Calibri" w:eastAsia="SimSun" w:hAnsi="Calibri" w:cs="Arial"/>
    </w:rPr>
  </w:style>
  <w:style w:type="character" w:styleId="EndnoteReference">
    <w:name w:val="endnote reference"/>
    <w:basedOn w:val="DefaultParagraphFont"/>
    <w:uiPriority w:val="99"/>
    <w:semiHidden/>
    <w:unhideWhenUsed/>
    <w:rsid w:val="00047058"/>
    <w:rPr>
      <w:vertAlign w:val="superscript"/>
    </w:rPr>
  </w:style>
  <w:style w:type="paragraph" w:customStyle="1" w:styleId="Tableheading">
    <w:name w:val="Table heading"/>
    <w:basedOn w:val="Normal"/>
    <w:qFormat/>
    <w:rsid w:val="00047058"/>
    <w:pPr>
      <w:keepNext/>
      <w:spacing w:line="276" w:lineRule="auto"/>
      <w:jc w:val="center"/>
    </w:pPr>
    <w:rPr>
      <w:rFonts w:eastAsiaTheme="minorHAnsi" w:cstheme="minorBidi"/>
      <w:b/>
      <w:bCs/>
      <w:sz w:val="20"/>
      <w:szCs w:val="20"/>
      <w:lang w:eastAsia="en-US"/>
    </w:rPr>
  </w:style>
  <w:style w:type="paragraph" w:customStyle="1" w:styleId="Tablecentre">
    <w:name w:val="Table centre"/>
    <w:basedOn w:val="Tabletext0"/>
    <w:qFormat/>
    <w:rsid w:val="00047058"/>
    <w:pPr>
      <w:spacing w:line="276" w:lineRule="auto"/>
      <w:jc w:val="center"/>
    </w:pPr>
    <w:rPr>
      <w:rFonts w:ascii="Calibri" w:eastAsiaTheme="minorHAnsi" w:hAnsi="Calibri" w:cstheme="minorBidi"/>
      <w:szCs w:val="20"/>
    </w:rPr>
  </w:style>
  <w:style w:type="paragraph" w:customStyle="1" w:styleId="Tablebold">
    <w:name w:val="Table bold"/>
    <w:basedOn w:val="Tabletext0"/>
    <w:qFormat/>
    <w:rsid w:val="00047058"/>
    <w:pPr>
      <w:keepNext/>
      <w:tabs>
        <w:tab w:val="left" w:pos="416"/>
        <w:tab w:val="left" w:pos="582"/>
      </w:tabs>
      <w:spacing w:line="276" w:lineRule="auto"/>
      <w:jc w:val="both"/>
    </w:pPr>
    <w:rPr>
      <w:rFonts w:ascii="Calibri" w:eastAsia="SimSun" w:hAnsi="Calibri"/>
      <w:b/>
      <w:bCs/>
      <w:szCs w:val="20"/>
      <w:lang w:eastAsia="en-AU"/>
    </w:rPr>
  </w:style>
  <w:style w:type="paragraph" w:customStyle="1" w:styleId="SyneviNormal">
    <w:name w:val="Synevi Normal"/>
    <w:basedOn w:val="Normal"/>
    <w:link w:val="SyneviNormalChar"/>
    <w:qFormat/>
    <w:rsid w:val="00047058"/>
    <w:pPr>
      <w:spacing w:line="360" w:lineRule="auto"/>
    </w:pPr>
    <w:rPr>
      <w:rFonts w:asciiTheme="minorHAnsi" w:eastAsia="SimSun" w:hAnsiTheme="minorHAnsi" w:cs="Times New Roman"/>
      <w:sz w:val="22"/>
      <w:szCs w:val="20"/>
      <w:lang w:val="en-US" w:eastAsia="en-US"/>
    </w:rPr>
  </w:style>
  <w:style w:type="character" w:customStyle="1" w:styleId="SyneviNormalChar">
    <w:name w:val="Synevi Normal Char"/>
    <w:basedOn w:val="DefaultParagraphFont"/>
    <w:link w:val="SyneviNormal"/>
    <w:rsid w:val="00047058"/>
    <w:rPr>
      <w:rFonts w:asciiTheme="minorHAnsi" w:eastAsia="SimSun" w:hAnsiTheme="minorHAnsi"/>
      <w:sz w:val="22"/>
      <w:lang w:val="en-US" w:eastAsia="en-US"/>
    </w:rPr>
  </w:style>
  <w:style w:type="paragraph" w:customStyle="1" w:styleId="zzBulletpoints">
    <w:name w:val="zz Bullet points"/>
    <w:basedOn w:val="ListParagraph"/>
    <w:rsid w:val="00047058"/>
    <w:pPr>
      <w:spacing w:after="120"/>
      <w:ind w:hanging="360"/>
    </w:pPr>
    <w:rPr>
      <w:rFonts w:asciiTheme="minorHAnsi" w:hAnsiTheme="minorHAnsi"/>
      <w:snapToGrid w:val="0"/>
    </w:rPr>
  </w:style>
  <w:style w:type="character" w:styleId="Emphasis">
    <w:name w:val="Emphasis"/>
    <w:basedOn w:val="DefaultParagraphFont"/>
    <w:uiPriority w:val="20"/>
    <w:qFormat/>
    <w:rsid w:val="00047058"/>
    <w:rPr>
      <w:i/>
      <w:iCs/>
    </w:rPr>
  </w:style>
  <w:style w:type="paragraph" w:customStyle="1" w:styleId="3-BodyText">
    <w:name w:val="3-Body Text"/>
    <w:basedOn w:val="ListParagraph"/>
    <w:link w:val="3-BodyTextChar"/>
    <w:qFormat/>
    <w:rsid w:val="00047058"/>
    <w:pPr>
      <w:spacing w:after="120"/>
      <w:ind w:left="0"/>
      <w:contextualSpacing w:val="0"/>
    </w:pPr>
    <w:rPr>
      <w:rFonts w:asciiTheme="minorHAnsi" w:hAnsiTheme="minorHAnsi"/>
      <w:snapToGrid w:val="0"/>
    </w:rPr>
  </w:style>
  <w:style w:type="character" w:customStyle="1" w:styleId="3-BodyTextChar">
    <w:name w:val="3-Body Text Char"/>
    <w:basedOn w:val="DefaultParagraphFont"/>
    <w:link w:val="3-BodyText"/>
    <w:rsid w:val="00047058"/>
    <w:rPr>
      <w:rFonts w:asciiTheme="minorHAnsi" w:hAnsiTheme="minorHAnsi" w:cs="Arial"/>
      <w:snapToGrid w:val="0"/>
      <w:sz w:val="24"/>
      <w:szCs w:val="24"/>
    </w:rPr>
  </w:style>
  <w:style w:type="numbering" w:customStyle="1" w:styleId="NoList1">
    <w:name w:val="No List1"/>
    <w:next w:val="NoList"/>
    <w:uiPriority w:val="99"/>
    <w:semiHidden/>
    <w:unhideWhenUsed/>
    <w:rsid w:val="00047058"/>
  </w:style>
  <w:style w:type="character" w:customStyle="1" w:styleId="Heading1Char">
    <w:name w:val="Heading 1 Char"/>
    <w:basedOn w:val="DefaultParagraphFont"/>
    <w:link w:val="Heading1"/>
    <w:uiPriority w:val="9"/>
    <w:rsid w:val="00047058"/>
    <w:rPr>
      <w:rFonts w:ascii="Calibri" w:hAnsi="Calibri" w:cs="Arial"/>
      <w:b/>
      <w:caps/>
      <w:sz w:val="32"/>
      <w:szCs w:val="24"/>
    </w:rPr>
  </w:style>
  <w:style w:type="paragraph" w:customStyle="1" w:styleId="2-SectionHeading">
    <w:name w:val="2-Section Heading"/>
    <w:qFormat/>
    <w:rsid w:val="00047058"/>
    <w:pPr>
      <w:keepNext/>
      <w:spacing w:before="240" w:after="120"/>
      <w:outlineLvl w:val="0"/>
    </w:pPr>
    <w:rPr>
      <w:rFonts w:ascii="Calibri" w:eastAsia="SimSun" w:hAnsi="Calibri" w:cs="Arial"/>
      <w:b/>
      <w:snapToGrid w:val="0"/>
      <w:sz w:val="32"/>
      <w:szCs w:val="32"/>
    </w:rPr>
  </w:style>
  <w:style w:type="table" w:customStyle="1" w:styleId="TableGridbeth2">
    <w:name w:val="Table Gridbeth2"/>
    <w:basedOn w:val="TableNormal"/>
    <w:next w:val="TableGrid"/>
    <w:uiPriority w:val="39"/>
    <w:rsid w:val="0004705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7058"/>
    <w:rPr>
      <w:rFonts w:eastAsia="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
    <w:name w:val="Table bullet 1"/>
    <w:basedOn w:val="Default"/>
    <w:qFormat/>
    <w:rsid w:val="00047058"/>
    <w:pPr>
      <w:numPr>
        <w:numId w:val="8"/>
      </w:numPr>
      <w:spacing w:line="276" w:lineRule="auto"/>
      <w:ind w:left="360"/>
      <w:jc w:val="both"/>
    </w:pPr>
    <w:rPr>
      <w:rFonts w:ascii="Calibri" w:eastAsiaTheme="minorHAnsi" w:hAnsi="Calibri" w:cs="Calibri"/>
      <w:iCs/>
      <w:sz w:val="20"/>
      <w:szCs w:val="20"/>
      <w:lang w:eastAsia="en-US"/>
    </w:rPr>
  </w:style>
  <w:style w:type="paragraph" w:customStyle="1" w:styleId="Tablebullet2">
    <w:name w:val="Table bullet 2"/>
    <w:basedOn w:val="Tablebullet1"/>
    <w:qFormat/>
    <w:rsid w:val="00047058"/>
    <w:pPr>
      <w:numPr>
        <w:ilvl w:val="1"/>
      </w:numPr>
      <w:ind w:left="723"/>
    </w:pPr>
  </w:style>
  <w:style w:type="numbering" w:customStyle="1" w:styleId="Style12">
    <w:name w:val="Style12"/>
    <w:uiPriority w:val="99"/>
    <w:rsid w:val="00047058"/>
  </w:style>
  <w:style w:type="numbering" w:customStyle="1" w:styleId="SectionBii">
    <w:name w:val="Section Bii"/>
    <w:uiPriority w:val="99"/>
    <w:rsid w:val="00047058"/>
    <w:pPr>
      <w:numPr>
        <w:numId w:val="9"/>
      </w:numPr>
    </w:pPr>
  </w:style>
  <w:style w:type="paragraph" w:customStyle="1" w:styleId="Tablefooter">
    <w:name w:val="Table footer"/>
    <w:basedOn w:val="Normal"/>
    <w:qFormat/>
    <w:rsid w:val="00047058"/>
    <w:pPr>
      <w:spacing w:line="276" w:lineRule="auto"/>
    </w:pPr>
    <w:rPr>
      <w:rFonts w:eastAsiaTheme="minorHAnsi" w:cstheme="minorBidi"/>
      <w:sz w:val="18"/>
      <w:szCs w:val="18"/>
      <w:lang w:eastAsia="en-US"/>
    </w:rPr>
  </w:style>
  <w:style w:type="paragraph" w:styleId="ListNumber">
    <w:name w:val="List Number"/>
    <w:basedOn w:val="Normal"/>
    <w:uiPriority w:val="99"/>
    <w:unhideWhenUsed/>
    <w:rsid w:val="00047058"/>
    <w:pPr>
      <w:numPr>
        <w:numId w:val="10"/>
      </w:numPr>
      <w:contextualSpacing/>
      <w:jc w:val="left"/>
    </w:pPr>
    <w:rPr>
      <w:rFonts w:ascii="Arial" w:hAnsi="Arial" w:cs="Times New Roman"/>
      <w:sz w:val="22"/>
      <w:szCs w:val="22"/>
      <w:lang w:eastAsia="en-GB"/>
    </w:rPr>
  </w:style>
  <w:style w:type="numbering" w:customStyle="1" w:styleId="SectionBi2">
    <w:name w:val="Section Bi2"/>
    <w:uiPriority w:val="99"/>
    <w:rsid w:val="00047058"/>
  </w:style>
  <w:style w:type="table" w:customStyle="1" w:styleId="Summarybox6">
    <w:name w:val="Summary box6"/>
    <w:basedOn w:val="TableNormal"/>
    <w:next w:val="TableGrid"/>
    <w:uiPriority w:val="59"/>
    <w:rsid w:val="00047058"/>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tionBii2">
    <w:name w:val="Section Bii2"/>
    <w:uiPriority w:val="99"/>
    <w:rsid w:val="00047058"/>
    <w:pPr>
      <w:numPr>
        <w:numId w:val="11"/>
      </w:numPr>
    </w:pPr>
  </w:style>
  <w:style w:type="table" w:customStyle="1" w:styleId="Summarybox1">
    <w:name w:val="Summary box1"/>
    <w:basedOn w:val="TableNormal"/>
    <w:uiPriority w:val="59"/>
    <w:rsid w:val="00047058"/>
    <w:pPr>
      <w:jc w:val="both"/>
    </w:pPr>
    <w:rPr>
      <w:rFonts w:ascii="Calibri" w:eastAsia="MS Mincho" w:hAnsi="Calibri"/>
      <w:lang w:eastAsia="zh-CN"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Caption"/>
    <w:next w:val="Normal"/>
    <w:qFormat/>
    <w:rsid w:val="00047058"/>
    <w:pPr>
      <w:spacing w:line="276" w:lineRule="auto"/>
      <w:jc w:val="both"/>
    </w:pPr>
    <w:rPr>
      <w:rFonts w:ascii="Calibri" w:eastAsia="SimSun" w:hAnsi="Calibri" w:cstheme="minorBidi"/>
      <w:szCs w:val="20"/>
      <w:lang w:eastAsia="en-US"/>
    </w:rPr>
  </w:style>
  <w:style w:type="paragraph" w:customStyle="1" w:styleId="Summaryboxbullet">
    <w:name w:val="Summary box bullet"/>
    <w:basedOn w:val="ListParagraph"/>
    <w:qFormat/>
    <w:rsid w:val="00047058"/>
    <w:pPr>
      <w:numPr>
        <w:numId w:val="12"/>
      </w:numPr>
      <w:spacing w:line="276" w:lineRule="auto"/>
      <w:ind w:left="360"/>
    </w:pPr>
    <w:rPr>
      <w:rFonts w:eastAsia="SimSun" w:cstheme="minorBidi"/>
      <w:sz w:val="20"/>
      <w:szCs w:val="20"/>
      <w:lang w:eastAsia="en-US"/>
    </w:rPr>
  </w:style>
  <w:style w:type="paragraph" w:customStyle="1" w:styleId="BPRISMA">
    <w:name w:val="B PRISMA"/>
    <w:basedOn w:val="NormalWeb"/>
    <w:qFormat/>
    <w:rsid w:val="00047058"/>
    <w:pPr>
      <w:jc w:val="left"/>
    </w:pPr>
    <w:rPr>
      <w:rFonts w:asciiTheme="minorHAnsi" w:eastAsiaTheme="minorEastAsia" w:hAnsi="Calibri" w:cstheme="minorBidi"/>
      <w:b/>
      <w:bCs/>
      <w:color w:val="000000" w:themeColor="text1"/>
      <w:kern w:val="24"/>
      <w:sz w:val="20"/>
      <w:szCs w:val="20"/>
    </w:rPr>
  </w:style>
  <w:style w:type="paragraph" w:styleId="NormalWeb">
    <w:name w:val="Normal (Web)"/>
    <w:basedOn w:val="Normal"/>
    <w:uiPriority w:val="99"/>
    <w:semiHidden/>
    <w:unhideWhenUsed/>
    <w:rsid w:val="00047058"/>
    <w:rPr>
      <w:rFonts w:ascii="Times New Roman" w:eastAsia="SimSun" w:hAnsi="Times New Roman" w:cs="Times New Roman"/>
    </w:rPr>
  </w:style>
  <w:style w:type="numbering" w:customStyle="1" w:styleId="NoList2">
    <w:name w:val="No List2"/>
    <w:next w:val="NoList"/>
    <w:uiPriority w:val="99"/>
    <w:semiHidden/>
    <w:unhideWhenUsed/>
    <w:rsid w:val="00047058"/>
  </w:style>
  <w:style w:type="paragraph" w:customStyle="1" w:styleId="HPRISMA">
    <w:name w:val="H PRISMA"/>
    <w:basedOn w:val="NormalWeb"/>
    <w:qFormat/>
    <w:rsid w:val="00047058"/>
    <w:pPr>
      <w:jc w:val="center"/>
    </w:pPr>
    <w:rPr>
      <w:rFonts w:asciiTheme="minorHAnsi" w:eastAsiaTheme="minorEastAsia" w:hAnsi="Calibri" w:cstheme="minorBidi"/>
      <w:b/>
      <w:bCs/>
      <w:color w:val="000000" w:themeColor="text1"/>
      <w:kern w:val="24"/>
      <w:sz w:val="20"/>
      <w:szCs w:val="20"/>
    </w:rPr>
  </w:style>
  <w:style w:type="paragraph" w:customStyle="1" w:styleId="N2PRISMA">
    <w:name w:val="N2 PRISMA"/>
    <w:basedOn w:val="Normal"/>
    <w:qFormat/>
    <w:rsid w:val="00047058"/>
    <w:pPr>
      <w:numPr>
        <w:numId w:val="13"/>
      </w:numPr>
      <w:ind w:left="360"/>
      <w:contextualSpacing/>
      <w:jc w:val="left"/>
    </w:pPr>
    <w:rPr>
      <w:rFonts w:asciiTheme="minorHAnsi" w:eastAsiaTheme="minorHAnsi" w:cstheme="minorBidi"/>
      <w:color w:val="000000" w:themeColor="text1"/>
      <w:kern w:val="24"/>
      <w:sz w:val="18"/>
      <w:szCs w:val="18"/>
      <w:lang w:eastAsia="en-US"/>
    </w:rPr>
  </w:style>
  <w:style w:type="character" w:customStyle="1" w:styleId="normaltextrun">
    <w:name w:val="normaltextrun"/>
    <w:basedOn w:val="DefaultParagraphFont"/>
    <w:rsid w:val="00047058"/>
  </w:style>
  <w:style w:type="character" w:customStyle="1" w:styleId="eop">
    <w:name w:val="eop"/>
    <w:basedOn w:val="DefaultParagraphFont"/>
    <w:rsid w:val="00047058"/>
  </w:style>
  <w:style w:type="paragraph" w:customStyle="1" w:styleId="Briefing">
    <w:name w:val="Briefing"/>
    <w:basedOn w:val="Normal"/>
    <w:link w:val="BriefingChar"/>
    <w:qFormat/>
    <w:rsid w:val="00047058"/>
    <w:pPr>
      <w:spacing w:line="360" w:lineRule="auto"/>
    </w:pPr>
    <w:rPr>
      <w:rFonts w:asciiTheme="minorHAnsi" w:eastAsiaTheme="minorHAnsi" w:hAnsiTheme="minorHAnsi" w:cstheme="minorHAnsi"/>
      <w:bCs/>
      <w:sz w:val="22"/>
      <w:szCs w:val="22"/>
      <w:lang w:eastAsia="en-US"/>
    </w:rPr>
  </w:style>
  <w:style w:type="character" w:customStyle="1" w:styleId="BriefingChar">
    <w:name w:val="Briefing Char"/>
    <w:basedOn w:val="DefaultParagraphFont"/>
    <w:link w:val="Briefing"/>
    <w:rsid w:val="00047058"/>
    <w:rPr>
      <w:rFonts w:asciiTheme="minorHAnsi" w:eastAsiaTheme="minorHAnsi" w:hAnsiTheme="minorHAnsi" w:cstheme="minorHAnsi"/>
      <w:bCs/>
      <w:sz w:val="22"/>
      <w:szCs w:val="22"/>
      <w:lang w:eastAsia="en-US"/>
    </w:rPr>
  </w:style>
  <w:style w:type="character" w:customStyle="1" w:styleId="cf01">
    <w:name w:val="cf01"/>
    <w:basedOn w:val="DefaultParagraphFont"/>
    <w:rsid w:val="00047058"/>
    <w:rPr>
      <w:rFonts w:ascii="Segoe UI" w:hAnsi="Segoe UI" w:cs="Segoe UI" w:hint="default"/>
      <w:sz w:val="18"/>
      <w:szCs w:val="18"/>
    </w:rPr>
  </w:style>
  <w:style w:type="paragraph" w:customStyle="1" w:styleId="Normalbullet1">
    <w:name w:val="Normal bullet 1"/>
    <w:basedOn w:val="ListParagraph"/>
    <w:qFormat/>
    <w:rsid w:val="00047058"/>
    <w:pPr>
      <w:numPr>
        <w:numId w:val="14"/>
      </w:numPr>
      <w:spacing w:line="360" w:lineRule="auto"/>
      <w:ind w:left="360"/>
    </w:pPr>
    <w:rPr>
      <w:rFonts w:eastAsiaTheme="minorHAnsi" w:cstheme="minorBidi"/>
      <w:sz w:val="22"/>
      <w:szCs w:val="22"/>
      <w:lang w:eastAsia="en-US"/>
    </w:rPr>
  </w:style>
  <w:style w:type="paragraph" w:customStyle="1" w:styleId="Commentitalics">
    <w:name w:val="Comment (italics)"/>
    <w:basedOn w:val="Normal"/>
    <w:next w:val="Normal"/>
    <w:qFormat/>
    <w:rsid w:val="00047058"/>
    <w:rPr>
      <w:i/>
    </w:rPr>
  </w:style>
  <w:style w:type="paragraph" w:customStyle="1" w:styleId="TableHeading0">
    <w:name w:val="Table Heading"/>
    <w:basedOn w:val="Normal"/>
    <w:link w:val="TableHeadingChar"/>
    <w:qFormat/>
    <w:rsid w:val="00047058"/>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0"/>
    <w:rsid w:val="00047058"/>
    <w:rPr>
      <w:rFonts w:ascii="Arial Narrow" w:eastAsiaTheme="minorHAnsi" w:hAnsi="Arial Narrow" w:cstheme="minorBidi"/>
      <w:b/>
      <w:szCs w:val="22"/>
      <w:lang w:eastAsia="en-US"/>
    </w:rPr>
  </w:style>
  <w:style w:type="character" w:customStyle="1" w:styleId="COMH2-numberedChar">
    <w:name w:val="COM H2 - numbered Char"/>
    <w:basedOn w:val="Heading2Char"/>
    <w:link w:val="COMH2-numbered"/>
    <w:rsid w:val="00047058"/>
    <w:rPr>
      <w:rFonts w:ascii="Calibri" w:hAnsi="Calibri" w:cs="Arial"/>
      <w:b/>
      <w:i/>
      <w:sz w:val="28"/>
      <w:szCs w:val="24"/>
    </w:rPr>
  </w:style>
  <w:style w:type="character" w:customStyle="1" w:styleId="ListBulletChar">
    <w:name w:val="List Bullet Char"/>
    <w:aliases w:val="zz List Bullet Char"/>
    <w:basedOn w:val="DefaultParagraphFont"/>
    <w:link w:val="ListBullet"/>
    <w:rsid w:val="00047058"/>
    <w:rPr>
      <w:rFonts w:ascii="Calibri" w:eastAsia="SimSun" w:hAnsi="Calibri" w:cs="Arial"/>
      <w:sz w:val="24"/>
      <w:szCs w:val="24"/>
    </w:rPr>
  </w:style>
  <w:style w:type="character" w:customStyle="1" w:styleId="COMH1numberedChar">
    <w:name w:val="COM H1 numbered Char"/>
    <w:basedOn w:val="DefaultParagraphFont"/>
    <w:link w:val="COMH1numbered"/>
    <w:rsid w:val="00047058"/>
    <w:rPr>
      <w:rFonts w:asciiTheme="minorHAnsi" w:hAnsiTheme="minorHAnsi" w:cs="Arial"/>
      <w:b/>
      <w:snapToGrid w:val="0"/>
      <w:sz w:val="32"/>
      <w:szCs w:val="32"/>
    </w:rPr>
  </w:style>
  <w:style w:type="paragraph" w:styleId="TOC4">
    <w:name w:val="toc 4"/>
    <w:basedOn w:val="Normal"/>
    <w:next w:val="Normal"/>
    <w:autoRedefine/>
    <w:uiPriority w:val="39"/>
    <w:unhideWhenUsed/>
    <w:rsid w:val="00047058"/>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47058"/>
    <w:pPr>
      <w:spacing w:after="100" w:line="259" w:lineRule="auto"/>
      <w:ind w:left="88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47058"/>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47058"/>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47058"/>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047058"/>
    <w:rPr>
      <w:color w:val="605E5C"/>
      <w:shd w:val="clear" w:color="auto" w:fill="E1DFDD"/>
    </w:rPr>
  </w:style>
  <w:style w:type="paragraph" w:customStyle="1" w:styleId="V50Instructions">
    <w:name w:val="V5.0 Instructions"/>
    <w:basedOn w:val="Normal"/>
    <w:link w:val="V50InstructionsChar"/>
    <w:qFormat/>
    <w:rsid w:val="00047058"/>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047058"/>
    <w:rPr>
      <w:rFonts w:asciiTheme="minorHAnsi" w:eastAsiaTheme="minorHAnsi" w:hAnsiTheme="minorHAnsi" w:cstheme="minorBidi"/>
      <w:color w:val="4BACC6" w:themeColor="accent5"/>
      <w:sz w:val="24"/>
      <w:szCs w:val="22"/>
      <w:lang w:eastAsia="en-US"/>
    </w:rPr>
  </w:style>
  <w:style w:type="paragraph" w:customStyle="1" w:styleId="Tableheadingrow">
    <w:name w:val="Table heading row"/>
    <w:qFormat/>
    <w:rsid w:val="00047058"/>
    <w:pPr>
      <w:keepNext/>
    </w:pPr>
    <w:rPr>
      <w:rFonts w:ascii="Arial Narrow" w:eastAsiaTheme="majorEastAsia" w:hAnsi="Arial Narrow"/>
      <w:b/>
      <w:szCs w:val="24"/>
      <w:lang w:val="en-US"/>
    </w:rPr>
  </w:style>
  <w:style w:type="paragraph" w:customStyle="1" w:styleId="5-SubSubSubHead">
    <w:name w:val="5-Sub Sub Sub Head"/>
    <w:basedOn w:val="Heading4"/>
    <w:qFormat/>
    <w:rsid w:val="00047058"/>
  </w:style>
  <w:style w:type="character" w:customStyle="1" w:styleId="COMBodyChar0">
    <w:name w:val="COMBody Char"/>
    <w:basedOn w:val="DefaultParagraphFont"/>
    <w:link w:val="COMBody0"/>
    <w:locked/>
    <w:rsid w:val="00047058"/>
    <w:rPr>
      <w:rFonts w:ascii="Calibri" w:hAnsi="Calibri" w:cs="Arial"/>
      <w:sz w:val="24"/>
    </w:rPr>
  </w:style>
  <w:style w:type="paragraph" w:customStyle="1" w:styleId="COMBody0">
    <w:name w:val="COMBody"/>
    <w:basedOn w:val="Normal"/>
    <w:link w:val="COMBodyChar0"/>
    <w:qFormat/>
    <w:rsid w:val="00047058"/>
    <w:pPr>
      <w:widowControl w:val="0"/>
      <w:snapToGrid w:val="0"/>
    </w:pPr>
    <w:rPr>
      <w:szCs w:val="20"/>
    </w:rPr>
  </w:style>
  <w:style w:type="paragraph" w:customStyle="1" w:styleId="TableFooter0">
    <w:name w:val="Table Footer"/>
    <w:basedOn w:val="Normal"/>
    <w:link w:val="TableFooterChar"/>
    <w:qFormat/>
    <w:rsid w:val="00047058"/>
    <w:pPr>
      <w:widowControl w:val="0"/>
    </w:pPr>
    <w:rPr>
      <w:rFonts w:ascii="Arial Narrow" w:hAnsi="Arial Narrow"/>
      <w:snapToGrid w:val="0"/>
      <w:sz w:val="18"/>
      <w:szCs w:val="22"/>
      <w:lang w:eastAsia="en-US"/>
    </w:rPr>
  </w:style>
  <w:style w:type="character" w:customStyle="1" w:styleId="TableFooterChar">
    <w:name w:val="Table Footer Char"/>
    <w:link w:val="TableFooter0"/>
    <w:rsid w:val="00047058"/>
    <w:rPr>
      <w:rFonts w:ascii="Arial Narrow" w:hAnsi="Arial Narrow" w:cs="Arial"/>
      <w:snapToGrid w:val="0"/>
      <w:sz w:val="18"/>
      <w:szCs w:val="22"/>
      <w:lang w:eastAsia="en-US"/>
    </w:rPr>
  </w:style>
  <w:style w:type="table" w:customStyle="1" w:styleId="Submissionstandard">
    <w:name w:val="Submission standard"/>
    <w:uiPriority w:val="99"/>
    <w:qFormat/>
    <w:rsid w:val="00047058"/>
    <w:rPr>
      <w:rFonts w:ascii="Arial Narrow" w:hAnsi="Arial Narrow"/>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PlantinStd" w:hAnsi="PlantinStd" w:cs="Times New Roman"/>
        <w:b/>
        <w:sz w:val="20"/>
      </w:rPr>
      <w:tblPr/>
      <w:tcPr>
        <w:shd w:val="clear" w:color="auto" w:fill="BFBFBF"/>
      </w:tcPr>
    </w:tblStylePr>
  </w:style>
  <w:style w:type="paragraph" w:customStyle="1" w:styleId="TableFigureCaption">
    <w:name w:val="Table/Figure Caption"/>
    <w:next w:val="Tableheadingrow"/>
    <w:link w:val="TableFigureCaptionChar"/>
    <w:qFormat/>
    <w:rsid w:val="00047058"/>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047058"/>
    <w:rPr>
      <w:rFonts w:ascii="Arial Narrow" w:eastAsiaTheme="majorEastAsia" w:hAnsi="Arial Narrow" w:cstheme="majorBidi"/>
      <w:b/>
      <w:bCs/>
      <w:szCs w:val="24"/>
    </w:rPr>
  </w:style>
  <w:style w:type="paragraph" w:customStyle="1" w:styleId="5-SubsectionSubheading">
    <w:name w:val="5-Subsection Subheading"/>
    <w:basedOn w:val="Heading3"/>
    <w:next w:val="Normal"/>
    <w:link w:val="5-SubsectionSubheadingChar"/>
    <w:qFormat/>
    <w:rsid w:val="00047058"/>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047058"/>
    <w:rPr>
      <w:rFonts w:asciiTheme="minorHAnsi" w:eastAsiaTheme="majorEastAsia" w:hAnsiTheme="minorHAnsi" w:cstheme="majorBidi"/>
      <w:b/>
      <w:color w:val="000000" w:themeColor="text1"/>
      <w:sz w:val="24"/>
      <w:szCs w:val="24"/>
    </w:rPr>
  </w:style>
  <w:style w:type="character" w:customStyle="1" w:styleId="UnresolvedMention2">
    <w:name w:val="Unresolved Mention2"/>
    <w:basedOn w:val="DefaultParagraphFont"/>
    <w:uiPriority w:val="99"/>
    <w:semiHidden/>
    <w:unhideWhenUsed/>
    <w:rsid w:val="00047058"/>
    <w:rPr>
      <w:color w:val="605E5C"/>
      <w:shd w:val="clear" w:color="auto" w:fill="E1DFDD"/>
    </w:rPr>
  </w:style>
  <w:style w:type="character" w:customStyle="1" w:styleId="Heading4Char">
    <w:name w:val="Heading 4 Char"/>
    <w:basedOn w:val="DefaultParagraphFont"/>
    <w:link w:val="Heading4"/>
    <w:rsid w:val="00047058"/>
    <w:rPr>
      <w:rFonts w:ascii="Calibri" w:hAnsi="Calibri" w:cs="Arial"/>
      <w:b/>
      <w:bCs/>
      <w:i/>
      <w:sz w:val="26"/>
      <w:szCs w:val="28"/>
    </w:rPr>
  </w:style>
  <w:style w:type="character" w:customStyle="1" w:styleId="CaptionChar">
    <w:name w:val="Caption Char"/>
    <w:aliases w:val="Caption SYNEVi Char,Caption PRIMA Char,Bayer Caption Char,IB Caption Char,Medical Caption Char,Bayer Char,Bayer Caption1 Char,IB Caption1 Char,Medical Caption1 Char,Bayer Caption2 Char,IB Caption2 Char,Medical Caption2 Char,IB Caption3 Char"/>
    <w:basedOn w:val="DefaultParagraphFont"/>
    <w:link w:val="Caption"/>
    <w:rsid w:val="00047058"/>
    <w:rPr>
      <w:rFonts w:ascii="Arial Narrow" w:eastAsiaTheme="majorEastAsia" w:hAnsi="Arial Narrow" w:cstheme="majorBidi"/>
      <w:b/>
      <w:bCs/>
      <w:szCs w:val="24"/>
    </w:rPr>
  </w:style>
  <w:style w:type="paragraph" w:customStyle="1" w:styleId="pf0">
    <w:name w:val="pf0"/>
    <w:basedOn w:val="Normal"/>
    <w:rsid w:val="00047058"/>
    <w:pPr>
      <w:spacing w:before="100" w:beforeAutospacing="1" w:after="100" w:afterAutospacing="1"/>
      <w:jc w:val="left"/>
    </w:pPr>
    <w:rPr>
      <w:rFonts w:ascii="Times New Roman" w:hAnsi="Times New Roman" w:cs="Times New Roman"/>
      <w:lang w:eastAsia="zh-CN"/>
    </w:rPr>
  </w:style>
  <w:style w:type="paragraph" w:customStyle="1" w:styleId="PBACTableText">
    <w:name w:val="PBAC Table Text"/>
    <w:basedOn w:val="Normal"/>
    <w:link w:val="PBACTableTextChar"/>
    <w:qFormat/>
    <w:rsid w:val="00047058"/>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047058"/>
    <w:rPr>
      <w:rFonts w:ascii="Arial Narrow" w:hAnsi="Arial Narrow"/>
      <w:lang w:eastAsia="en-US"/>
    </w:rPr>
  </w:style>
  <w:style w:type="numbering" w:customStyle="1" w:styleId="NoList3">
    <w:name w:val="No List3"/>
    <w:next w:val="NoList"/>
    <w:uiPriority w:val="99"/>
    <w:semiHidden/>
    <w:unhideWhenUsed/>
    <w:rsid w:val="00387CE7"/>
  </w:style>
  <w:style w:type="table" w:customStyle="1" w:styleId="Tabellengitternetz9pt1">
    <w:name w:val="Tabellengitternetz 9pt1"/>
    <w:basedOn w:val="TableNormal"/>
    <w:next w:val="TableGrid"/>
    <w:uiPriority w:val="59"/>
    <w:rsid w:val="00387CE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87CE7"/>
  </w:style>
  <w:style w:type="numbering" w:customStyle="1" w:styleId="Style121">
    <w:name w:val="Style121"/>
    <w:uiPriority w:val="99"/>
    <w:rsid w:val="00387CE7"/>
  </w:style>
  <w:style w:type="numbering" w:customStyle="1" w:styleId="SectionBii1">
    <w:name w:val="Section Bii1"/>
    <w:uiPriority w:val="99"/>
    <w:rsid w:val="00387CE7"/>
    <w:pPr>
      <w:numPr>
        <w:numId w:val="1"/>
      </w:numPr>
    </w:pPr>
  </w:style>
  <w:style w:type="numbering" w:customStyle="1" w:styleId="SectionBi21">
    <w:name w:val="Section Bi21"/>
    <w:uiPriority w:val="99"/>
    <w:rsid w:val="00387CE7"/>
  </w:style>
  <w:style w:type="numbering" w:customStyle="1" w:styleId="SectionBii21">
    <w:name w:val="Section Bii21"/>
    <w:uiPriority w:val="99"/>
    <w:rsid w:val="00387CE7"/>
    <w:pPr>
      <w:numPr>
        <w:numId w:val="3"/>
      </w:numPr>
    </w:pPr>
  </w:style>
  <w:style w:type="numbering" w:customStyle="1" w:styleId="NoList21">
    <w:name w:val="No List21"/>
    <w:next w:val="NoList"/>
    <w:uiPriority w:val="99"/>
    <w:semiHidden/>
    <w:unhideWhenUsed/>
    <w:rsid w:val="00387CE7"/>
  </w:style>
  <w:style w:type="table" w:customStyle="1" w:styleId="TableGrid2">
    <w:name w:val="Table Grid2"/>
    <w:basedOn w:val="TableNormal"/>
    <w:next w:val="TableGrid"/>
    <w:uiPriority w:val="39"/>
    <w:rsid w:val="00AC4B47"/>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6563"/>
    <w:rPr>
      <w:rFonts w:eastAsia="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057E65"/>
    <w:pPr>
      <w:ind w:left="720" w:hanging="720"/>
      <w:outlineLvl w:val="0"/>
    </w:pPr>
    <w:rPr>
      <w:rFonts w:ascii="Calibri" w:hAnsi="Calibri" w:cs="Calibri"/>
      <w:b/>
      <w:snapToGrid w:val="0"/>
      <w:sz w:val="32"/>
      <w:szCs w:val="32"/>
      <w:lang w:eastAsia="en-US"/>
    </w:rPr>
  </w:style>
  <w:style w:type="paragraph" w:customStyle="1" w:styleId="3-SubsectionHeading">
    <w:name w:val="3-Subsection Heading"/>
    <w:basedOn w:val="Heading2"/>
    <w:next w:val="Normal"/>
    <w:link w:val="3-SubsectionHeadingChar"/>
    <w:qFormat/>
    <w:rsid w:val="00FC3D3E"/>
    <w:pPr>
      <w:spacing w:before="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FC3D3E"/>
    <w:rPr>
      <w:rFonts w:asciiTheme="minorHAnsi" w:eastAsiaTheme="majorEastAsia" w:hAnsiTheme="minorHAnsi" w:cstheme="majorBidi"/>
      <w:b/>
      <w:i/>
      <w:color w:val="365F91" w:themeColor="accent1" w:themeShade="BF"/>
      <w:spacing w:val="5"/>
      <w:kern w:val="28"/>
      <w:sz w:val="28"/>
      <w:szCs w:val="36"/>
      <w:lang w:eastAsia="en-US"/>
    </w:rPr>
  </w:style>
  <w:style w:type="character" w:styleId="Mention">
    <w:name w:val="Mention"/>
    <w:basedOn w:val="DefaultParagraphFont"/>
    <w:uiPriority w:val="99"/>
    <w:unhideWhenUsed/>
    <w:rsid w:val="00194E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8894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875780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1538236">
      <w:bodyDiv w:val="1"/>
      <w:marLeft w:val="0"/>
      <w:marRight w:val="0"/>
      <w:marTop w:val="0"/>
      <w:marBottom w:val="0"/>
      <w:divBdr>
        <w:top w:val="none" w:sz="0" w:space="0" w:color="auto"/>
        <w:left w:val="none" w:sz="0" w:space="0" w:color="auto"/>
        <w:bottom w:val="none" w:sz="0" w:space="0" w:color="auto"/>
        <w:right w:val="none" w:sz="0" w:space="0" w:color="auto"/>
      </w:divBdr>
    </w:div>
    <w:div w:id="418412007">
      <w:bodyDiv w:val="1"/>
      <w:marLeft w:val="0"/>
      <w:marRight w:val="0"/>
      <w:marTop w:val="0"/>
      <w:marBottom w:val="0"/>
      <w:divBdr>
        <w:top w:val="none" w:sz="0" w:space="0" w:color="auto"/>
        <w:left w:val="none" w:sz="0" w:space="0" w:color="auto"/>
        <w:bottom w:val="none" w:sz="0" w:space="0" w:color="auto"/>
        <w:right w:val="none" w:sz="0" w:space="0" w:color="auto"/>
      </w:divBdr>
    </w:div>
    <w:div w:id="447505572">
      <w:bodyDiv w:val="1"/>
      <w:marLeft w:val="0"/>
      <w:marRight w:val="0"/>
      <w:marTop w:val="0"/>
      <w:marBottom w:val="0"/>
      <w:divBdr>
        <w:top w:val="none" w:sz="0" w:space="0" w:color="auto"/>
        <w:left w:val="none" w:sz="0" w:space="0" w:color="auto"/>
        <w:bottom w:val="none" w:sz="0" w:space="0" w:color="auto"/>
        <w:right w:val="none" w:sz="0" w:space="0" w:color="auto"/>
      </w:divBdr>
    </w:div>
    <w:div w:id="488599458">
      <w:bodyDiv w:val="1"/>
      <w:marLeft w:val="0"/>
      <w:marRight w:val="0"/>
      <w:marTop w:val="0"/>
      <w:marBottom w:val="0"/>
      <w:divBdr>
        <w:top w:val="none" w:sz="0" w:space="0" w:color="auto"/>
        <w:left w:val="none" w:sz="0" w:space="0" w:color="auto"/>
        <w:bottom w:val="none" w:sz="0" w:space="0" w:color="auto"/>
        <w:right w:val="none" w:sz="0" w:space="0" w:color="auto"/>
      </w:divBdr>
    </w:div>
    <w:div w:id="544947328">
      <w:bodyDiv w:val="1"/>
      <w:marLeft w:val="0"/>
      <w:marRight w:val="0"/>
      <w:marTop w:val="0"/>
      <w:marBottom w:val="0"/>
      <w:divBdr>
        <w:top w:val="none" w:sz="0" w:space="0" w:color="auto"/>
        <w:left w:val="none" w:sz="0" w:space="0" w:color="auto"/>
        <w:bottom w:val="none" w:sz="0" w:space="0" w:color="auto"/>
        <w:right w:val="none" w:sz="0" w:space="0" w:color="auto"/>
      </w:divBdr>
      <w:divsChild>
        <w:div w:id="322466188">
          <w:marLeft w:val="1800"/>
          <w:marRight w:val="0"/>
          <w:marTop w:val="100"/>
          <w:marBottom w:val="0"/>
          <w:divBdr>
            <w:top w:val="none" w:sz="0" w:space="0" w:color="auto"/>
            <w:left w:val="none" w:sz="0" w:space="0" w:color="auto"/>
            <w:bottom w:val="none" w:sz="0" w:space="0" w:color="auto"/>
            <w:right w:val="none" w:sz="0" w:space="0" w:color="auto"/>
          </w:divBdr>
        </w:div>
        <w:div w:id="622154640">
          <w:marLeft w:val="1800"/>
          <w:marRight w:val="0"/>
          <w:marTop w:val="100"/>
          <w:marBottom w:val="0"/>
          <w:divBdr>
            <w:top w:val="none" w:sz="0" w:space="0" w:color="auto"/>
            <w:left w:val="none" w:sz="0" w:space="0" w:color="auto"/>
            <w:bottom w:val="none" w:sz="0" w:space="0" w:color="auto"/>
            <w:right w:val="none" w:sz="0" w:space="0" w:color="auto"/>
          </w:divBdr>
        </w:div>
        <w:div w:id="814101944">
          <w:marLeft w:val="2520"/>
          <w:marRight w:val="0"/>
          <w:marTop w:val="100"/>
          <w:marBottom w:val="0"/>
          <w:divBdr>
            <w:top w:val="none" w:sz="0" w:space="0" w:color="auto"/>
            <w:left w:val="none" w:sz="0" w:space="0" w:color="auto"/>
            <w:bottom w:val="none" w:sz="0" w:space="0" w:color="auto"/>
            <w:right w:val="none" w:sz="0" w:space="0" w:color="auto"/>
          </w:divBdr>
        </w:div>
        <w:div w:id="1397321126">
          <w:marLeft w:val="2520"/>
          <w:marRight w:val="0"/>
          <w:marTop w:val="100"/>
          <w:marBottom w:val="0"/>
          <w:divBdr>
            <w:top w:val="none" w:sz="0" w:space="0" w:color="auto"/>
            <w:left w:val="none" w:sz="0" w:space="0" w:color="auto"/>
            <w:bottom w:val="none" w:sz="0" w:space="0" w:color="auto"/>
            <w:right w:val="none" w:sz="0" w:space="0" w:color="auto"/>
          </w:divBdr>
        </w:div>
        <w:div w:id="1543399178">
          <w:marLeft w:val="1800"/>
          <w:marRight w:val="0"/>
          <w:marTop w:val="100"/>
          <w:marBottom w:val="0"/>
          <w:divBdr>
            <w:top w:val="none" w:sz="0" w:space="0" w:color="auto"/>
            <w:left w:val="none" w:sz="0" w:space="0" w:color="auto"/>
            <w:bottom w:val="none" w:sz="0" w:space="0" w:color="auto"/>
            <w:right w:val="none" w:sz="0" w:space="0" w:color="auto"/>
          </w:divBdr>
        </w:div>
      </w:divsChild>
    </w:div>
    <w:div w:id="555044522">
      <w:bodyDiv w:val="1"/>
      <w:marLeft w:val="0"/>
      <w:marRight w:val="0"/>
      <w:marTop w:val="0"/>
      <w:marBottom w:val="0"/>
      <w:divBdr>
        <w:top w:val="none" w:sz="0" w:space="0" w:color="auto"/>
        <w:left w:val="none" w:sz="0" w:space="0" w:color="auto"/>
        <w:bottom w:val="none" w:sz="0" w:space="0" w:color="auto"/>
        <w:right w:val="none" w:sz="0" w:space="0" w:color="auto"/>
      </w:divBdr>
    </w:div>
    <w:div w:id="559439529">
      <w:bodyDiv w:val="1"/>
      <w:marLeft w:val="0"/>
      <w:marRight w:val="0"/>
      <w:marTop w:val="0"/>
      <w:marBottom w:val="0"/>
      <w:divBdr>
        <w:top w:val="none" w:sz="0" w:space="0" w:color="auto"/>
        <w:left w:val="none" w:sz="0" w:space="0" w:color="auto"/>
        <w:bottom w:val="none" w:sz="0" w:space="0" w:color="auto"/>
        <w:right w:val="none" w:sz="0" w:space="0" w:color="auto"/>
      </w:divBdr>
    </w:div>
    <w:div w:id="570506939">
      <w:bodyDiv w:val="1"/>
      <w:marLeft w:val="0"/>
      <w:marRight w:val="0"/>
      <w:marTop w:val="0"/>
      <w:marBottom w:val="0"/>
      <w:divBdr>
        <w:top w:val="none" w:sz="0" w:space="0" w:color="auto"/>
        <w:left w:val="none" w:sz="0" w:space="0" w:color="auto"/>
        <w:bottom w:val="none" w:sz="0" w:space="0" w:color="auto"/>
        <w:right w:val="none" w:sz="0" w:space="0" w:color="auto"/>
      </w:divBdr>
    </w:div>
    <w:div w:id="576940357">
      <w:bodyDiv w:val="1"/>
      <w:marLeft w:val="0"/>
      <w:marRight w:val="0"/>
      <w:marTop w:val="0"/>
      <w:marBottom w:val="0"/>
      <w:divBdr>
        <w:top w:val="none" w:sz="0" w:space="0" w:color="auto"/>
        <w:left w:val="none" w:sz="0" w:space="0" w:color="auto"/>
        <w:bottom w:val="none" w:sz="0" w:space="0" w:color="auto"/>
        <w:right w:val="none" w:sz="0" w:space="0" w:color="auto"/>
      </w:divBdr>
    </w:div>
    <w:div w:id="787818694">
      <w:bodyDiv w:val="1"/>
      <w:marLeft w:val="0"/>
      <w:marRight w:val="0"/>
      <w:marTop w:val="0"/>
      <w:marBottom w:val="0"/>
      <w:divBdr>
        <w:top w:val="none" w:sz="0" w:space="0" w:color="auto"/>
        <w:left w:val="none" w:sz="0" w:space="0" w:color="auto"/>
        <w:bottom w:val="none" w:sz="0" w:space="0" w:color="auto"/>
        <w:right w:val="none" w:sz="0" w:space="0" w:color="auto"/>
      </w:divBdr>
    </w:div>
    <w:div w:id="82524199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86797810">
      <w:bodyDiv w:val="1"/>
      <w:marLeft w:val="0"/>
      <w:marRight w:val="0"/>
      <w:marTop w:val="0"/>
      <w:marBottom w:val="0"/>
      <w:divBdr>
        <w:top w:val="none" w:sz="0" w:space="0" w:color="auto"/>
        <w:left w:val="none" w:sz="0" w:space="0" w:color="auto"/>
        <w:bottom w:val="none" w:sz="0" w:space="0" w:color="auto"/>
        <w:right w:val="none" w:sz="0" w:space="0" w:color="auto"/>
      </w:divBdr>
    </w:div>
    <w:div w:id="936209948">
      <w:bodyDiv w:val="1"/>
      <w:marLeft w:val="0"/>
      <w:marRight w:val="0"/>
      <w:marTop w:val="0"/>
      <w:marBottom w:val="0"/>
      <w:divBdr>
        <w:top w:val="none" w:sz="0" w:space="0" w:color="auto"/>
        <w:left w:val="none" w:sz="0" w:space="0" w:color="auto"/>
        <w:bottom w:val="none" w:sz="0" w:space="0" w:color="auto"/>
        <w:right w:val="none" w:sz="0" w:space="0" w:color="auto"/>
      </w:divBdr>
    </w:div>
    <w:div w:id="988174890">
      <w:bodyDiv w:val="1"/>
      <w:marLeft w:val="0"/>
      <w:marRight w:val="0"/>
      <w:marTop w:val="0"/>
      <w:marBottom w:val="0"/>
      <w:divBdr>
        <w:top w:val="none" w:sz="0" w:space="0" w:color="auto"/>
        <w:left w:val="none" w:sz="0" w:space="0" w:color="auto"/>
        <w:bottom w:val="none" w:sz="0" w:space="0" w:color="auto"/>
        <w:right w:val="none" w:sz="0" w:space="0" w:color="auto"/>
      </w:divBdr>
    </w:div>
    <w:div w:id="104032178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3013">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0898199">
      <w:bodyDiv w:val="1"/>
      <w:marLeft w:val="0"/>
      <w:marRight w:val="0"/>
      <w:marTop w:val="0"/>
      <w:marBottom w:val="0"/>
      <w:divBdr>
        <w:top w:val="none" w:sz="0" w:space="0" w:color="auto"/>
        <w:left w:val="none" w:sz="0" w:space="0" w:color="auto"/>
        <w:bottom w:val="none" w:sz="0" w:space="0" w:color="auto"/>
        <w:right w:val="none" w:sz="0" w:space="0" w:color="auto"/>
      </w:divBdr>
    </w:div>
    <w:div w:id="1213495995">
      <w:bodyDiv w:val="1"/>
      <w:marLeft w:val="0"/>
      <w:marRight w:val="0"/>
      <w:marTop w:val="0"/>
      <w:marBottom w:val="0"/>
      <w:divBdr>
        <w:top w:val="none" w:sz="0" w:space="0" w:color="auto"/>
        <w:left w:val="none" w:sz="0" w:space="0" w:color="auto"/>
        <w:bottom w:val="none" w:sz="0" w:space="0" w:color="auto"/>
        <w:right w:val="none" w:sz="0" w:space="0" w:color="auto"/>
      </w:divBdr>
      <w:divsChild>
        <w:div w:id="738862227">
          <w:marLeft w:val="360"/>
          <w:marRight w:val="0"/>
          <w:marTop w:val="200"/>
          <w:marBottom w:val="0"/>
          <w:divBdr>
            <w:top w:val="none" w:sz="0" w:space="0" w:color="auto"/>
            <w:left w:val="none" w:sz="0" w:space="0" w:color="auto"/>
            <w:bottom w:val="none" w:sz="0" w:space="0" w:color="auto"/>
            <w:right w:val="none" w:sz="0" w:space="0" w:color="auto"/>
          </w:divBdr>
        </w:div>
        <w:div w:id="1273364979">
          <w:marLeft w:val="360"/>
          <w:marRight w:val="0"/>
          <w:marTop w:val="200"/>
          <w:marBottom w:val="0"/>
          <w:divBdr>
            <w:top w:val="none" w:sz="0" w:space="0" w:color="auto"/>
            <w:left w:val="none" w:sz="0" w:space="0" w:color="auto"/>
            <w:bottom w:val="none" w:sz="0" w:space="0" w:color="auto"/>
            <w:right w:val="none" w:sz="0" w:space="0" w:color="auto"/>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9696026">
      <w:bodyDiv w:val="1"/>
      <w:marLeft w:val="0"/>
      <w:marRight w:val="0"/>
      <w:marTop w:val="0"/>
      <w:marBottom w:val="0"/>
      <w:divBdr>
        <w:top w:val="none" w:sz="0" w:space="0" w:color="auto"/>
        <w:left w:val="none" w:sz="0" w:space="0" w:color="auto"/>
        <w:bottom w:val="none" w:sz="0" w:space="0" w:color="auto"/>
        <w:right w:val="none" w:sz="0" w:space="0" w:color="auto"/>
      </w:divBdr>
    </w:div>
    <w:div w:id="1398434741">
      <w:bodyDiv w:val="1"/>
      <w:marLeft w:val="0"/>
      <w:marRight w:val="0"/>
      <w:marTop w:val="0"/>
      <w:marBottom w:val="0"/>
      <w:divBdr>
        <w:top w:val="none" w:sz="0" w:space="0" w:color="auto"/>
        <w:left w:val="none" w:sz="0" w:space="0" w:color="auto"/>
        <w:bottom w:val="none" w:sz="0" w:space="0" w:color="auto"/>
        <w:right w:val="none" w:sz="0" w:space="0" w:color="auto"/>
      </w:divBdr>
    </w:div>
    <w:div w:id="1400514239">
      <w:bodyDiv w:val="1"/>
      <w:marLeft w:val="0"/>
      <w:marRight w:val="0"/>
      <w:marTop w:val="0"/>
      <w:marBottom w:val="0"/>
      <w:divBdr>
        <w:top w:val="none" w:sz="0" w:space="0" w:color="auto"/>
        <w:left w:val="none" w:sz="0" w:space="0" w:color="auto"/>
        <w:bottom w:val="none" w:sz="0" w:space="0" w:color="auto"/>
        <w:right w:val="none" w:sz="0" w:space="0" w:color="auto"/>
      </w:divBdr>
    </w:div>
    <w:div w:id="1649894484">
      <w:bodyDiv w:val="1"/>
      <w:marLeft w:val="0"/>
      <w:marRight w:val="0"/>
      <w:marTop w:val="0"/>
      <w:marBottom w:val="0"/>
      <w:divBdr>
        <w:top w:val="none" w:sz="0" w:space="0" w:color="auto"/>
        <w:left w:val="none" w:sz="0" w:space="0" w:color="auto"/>
        <w:bottom w:val="none" w:sz="0" w:space="0" w:color="auto"/>
        <w:right w:val="none" w:sz="0" w:space="0" w:color="auto"/>
      </w:divBdr>
    </w:div>
    <w:div w:id="1696081962">
      <w:bodyDiv w:val="1"/>
      <w:marLeft w:val="0"/>
      <w:marRight w:val="0"/>
      <w:marTop w:val="0"/>
      <w:marBottom w:val="0"/>
      <w:divBdr>
        <w:top w:val="none" w:sz="0" w:space="0" w:color="auto"/>
        <w:left w:val="none" w:sz="0" w:space="0" w:color="auto"/>
        <w:bottom w:val="none" w:sz="0" w:space="0" w:color="auto"/>
        <w:right w:val="none" w:sz="0" w:space="0" w:color="auto"/>
      </w:divBdr>
    </w:div>
    <w:div w:id="1759477052">
      <w:bodyDiv w:val="1"/>
      <w:marLeft w:val="0"/>
      <w:marRight w:val="0"/>
      <w:marTop w:val="0"/>
      <w:marBottom w:val="0"/>
      <w:divBdr>
        <w:top w:val="none" w:sz="0" w:space="0" w:color="auto"/>
        <w:left w:val="none" w:sz="0" w:space="0" w:color="auto"/>
        <w:bottom w:val="none" w:sz="0" w:space="0" w:color="auto"/>
        <w:right w:val="none" w:sz="0" w:space="0" w:color="auto"/>
      </w:divBdr>
    </w:div>
    <w:div w:id="1850018163">
      <w:bodyDiv w:val="1"/>
      <w:marLeft w:val="0"/>
      <w:marRight w:val="0"/>
      <w:marTop w:val="0"/>
      <w:marBottom w:val="0"/>
      <w:divBdr>
        <w:top w:val="none" w:sz="0" w:space="0" w:color="auto"/>
        <w:left w:val="none" w:sz="0" w:space="0" w:color="auto"/>
        <w:bottom w:val="none" w:sz="0" w:space="0" w:color="auto"/>
        <w:right w:val="none" w:sz="0" w:space="0" w:color="auto"/>
      </w:divBdr>
    </w:div>
    <w:div w:id="1922324875">
      <w:bodyDiv w:val="1"/>
      <w:marLeft w:val="0"/>
      <w:marRight w:val="0"/>
      <w:marTop w:val="0"/>
      <w:marBottom w:val="0"/>
      <w:divBdr>
        <w:top w:val="none" w:sz="0" w:space="0" w:color="auto"/>
        <w:left w:val="none" w:sz="0" w:space="0" w:color="auto"/>
        <w:bottom w:val="none" w:sz="0" w:space="0" w:color="auto"/>
        <w:right w:val="none" w:sz="0" w:space="0" w:color="auto"/>
      </w:divBdr>
      <w:divsChild>
        <w:div w:id="269972475">
          <w:marLeft w:val="1080"/>
          <w:marRight w:val="0"/>
          <w:marTop w:val="100"/>
          <w:marBottom w:val="0"/>
          <w:divBdr>
            <w:top w:val="none" w:sz="0" w:space="0" w:color="auto"/>
            <w:left w:val="none" w:sz="0" w:space="0" w:color="auto"/>
            <w:bottom w:val="none" w:sz="0" w:space="0" w:color="auto"/>
            <w:right w:val="none" w:sz="0" w:space="0" w:color="auto"/>
          </w:divBdr>
        </w:div>
        <w:div w:id="383720590">
          <w:marLeft w:val="360"/>
          <w:marRight w:val="0"/>
          <w:marTop w:val="200"/>
          <w:marBottom w:val="0"/>
          <w:divBdr>
            <w:top w:val="none" w:sz="0" w:space="0" w:color="auto"/>
            <w:left w:val="none" w:sz="0" w:space="0" w:color="auto"/>
            <w:bottom w:val="none" w:sz="0" w:space="0" w:color="auto"/>
            <w:right w:val="none" w:sz="0" w:space="0" w:color="auto"/>
          </w:divBdr>
        </w:div>
        <w:div w:id="717050325">
          <w:marLeft w:val="360"/>
          <w:marRight w:val="0"/>
          <w:marTop w:val="200"/>
          <w:marBottom w:val="0"/>
          <w:divBdr>
            <w:top w:val="none" w:sz="0" w:space="0" w:color="auto"/>
            <w:left w:val="none" w:sz="0" w:space="0" w:color="auto"/>
            <w:bottom w:val="none" w:sz="0" w:space="0" w:color="auto"/>
            <w:right w:val="none" w:sz="0" w:space="0" w:color="auto"/>
          </w:divBdr>
        </w:div>
        <w:div w:id="857963365">
          <w:marLeft w:val="1080"/>
          <w:marRight w:val="0"/>
          <w:marTop w:val="100"/>
          <w:marBottom w:val="0"/>
          <w:divBdr>
            <w:top w:val="none" w:sz="0" w:space="0" w:color="auto"/>
            <w:left w:val="none" w:sz="0" w:space="0" w:color="auto"/>
            <w:bottom w:val="none" w:sz="0" w:space="0" w:color="auto"/>
            <w:right w:val="none" w:sz="0" w:space="0" w:color="auto"/>
          </w:divBdr>
        </w:div>
        <w:div w:id="1073620788">
          <w:marLeft w:val="1080"/>
          <w:marRight w:val="0"/>
          <w:marTop w:val="100"/>
          <w:marBottom w:val="0"/>
          <w:divBdr>
            <w:top w:val="none" w:sz="0" w:space="0" w:color="auto"/>
            <w:left w:val="none" w:sz="0" w:space="0" w:color="auto"/>
            <w:bottom w:val="none" w:sz="0" w:space="0" w:color="auto"/>
            <w:right w:val="none" w:sz="0" w:space="0" w:color="auto"/>
          </w:divBdr>
        </w:div>
        <w:div w:id="1137449727">
          <w:marLeft w:val="360"/>
          <w:marRight w:val="0"/>
          <w:marTop w:val="200"/>
          <w:marBottom w:val="0"/>
          <w:divBdr>
            <w:top w:val="none" w:sz="0" w:space="0" w:color="auto"/>
            <w:left w:val="none" w:sz="0" w:space="0" w:color="auto"/>
            <w:bottom w:val="none" w:sz="0" w:space="0" w:color="auto"/>
            <w:right w:val="none" w:sz="0" w:space="0" w:color="auto"/>
          </w:divBdr>
        </w:div>
        <w:div w:id="1150748729">
          <w:marLeft w:val="1080"/>
          <w:marRight w:val="0"/>
          <w:marTop w:val="100"/>
          <w:marBottom w:val="0"/>
          <w:divBdr>
            <w:top w:val="none" w:sz="0" w:space="0" w:color="auto"/>
            <w:left w:val="none" w:sz="0" w:space="0" w:color="auto"/>
            <w:bottom w:val="none" w:sz="0" w:space="0" w:color="auto"/>
            <w:right w:val="none" w:sz="0" w:space="0" w:color="auto"/>
          </w:divBdr>
        </w:div>
        <w:div w:id="1164975472">
          <w:marLeft w:val="1080"/>
          <w:marRight w:val="0"/>
          <w:marTop w:val="100"/>
          <w:marBottom w:val="0"/>
          <w:divBdr>
            <w:top w:val="none" w:sz="0" w:space="0" w:color="auto"/>
            <w:left w:val="none" w:sz="0" w:space="0" w:color="auto"/>
            <w:bottom w:val="none" w:sz="0" w:space="0" w:color="auto"/>
            <w:right w:val="none" w:sz="0" w:space="0" w:color="auto"/>
          </w:divBdr>
        </w:div>
        <w:div w:id="1669552473">
          <w:marLeft w:val="360"/>
          <w:marRight w:val="0"/>
          <w:marTop w:val="200"/>
          <w:marBottom w:val="0"/>
          <w:divBdr>
            <w:top w:val="none" w:sz="0" w:space="0" w:color="auto"/>
            <w:left w:val="none" w:sz="0" w:space="0" w:color="auto"/>
            <w:bottom w:val="none" w:sz="0" w:space="0" w:color="auto"/>
            <w:right w:val="none" w:sz="0" w:space="0" w:color="auto"/>
          </w:divBdr>
        </w:div>
        <w:div w:id="1886410808">
          <w:marLeft w:val="1080"/>
          <w:marRight w:val="0"/>
          <w:marTop w:val="100"/>
          <w:marBottom w:val="0"/>
          <w:divBdr>
            <w:top w:val="none" w:sz="0" w:space="0" w:color="auto"/>
            <w:left w:val="none" w:sz="0" w:space="0" w:color="auto"/>
            <w:bottom w:val="none" w:sz="0" w:space="0" w:color="auto"/>
            <w:right w:val="none" w:sz="0" w:space="0" w:color="auto"/>
          </w:divBdr>
        </w:div>
        <w:div w:id="2090226598">
          <w:marLeft w:val="360"/>
          <w:marRight w:val="0"/>
          <w:marTop w:val="200"/>
          <w:marBottom w:val="0"/>
          <w:divBdr>
            <w:top w:val="none" w:sz="0" w:space="0" w:color="auto"/>
            <w:left w:val="none" w:sz="0" w:space="0" w:color="auto"/>
            <w:bottom w:val="none" w:sz="0" w:space="0" w:color="auto"/>
            <w:right w:val="none" w:sz="0" w:space="0" w:color="auto"/>
          </w:divBdr>
        </w:div>
      </w:divsChild>
    </w:div>
    <w:div w:id="194707575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4117029">
      <w:bodyDiv w:val="1"/>
      <w:marLeft w:val="0"/>
      <w:marRight w:val="0"/>
      <w:marTop w:val="0"/>
      <w:marBottom w:val="0"/>
      <w:divBdr>
        <w:top w:val="none" w:sz="0" w:space="0" w:color="auto"/>
        <w:left w:val="none" w:sz="0" w:space="0" w:color="auto"/>
        <w:bottom w:val="none" w:sz="0" w:space="0" w:color="auto"/>
        <w:right w:val="none" w:sz="0" w:space="0" w:color="auto"/>
      </w:divBdr>
    </w:div>
    <w:div w:id="19984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ood.gov.au/report-issue-and-use-immunoglobul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bs.tga.gov.au/ebs/picmi/picmirepository.nsf/pdf?OpenAgent=&amp;id=CP-2020-PI-01935-1&amp;d=20250321172310101" TargetMode="External"/><Relationship Id="rId1" Type="http://schemas.openxmlformats.org/officeDocument/2006/relationships/hyperlink" Target="https://doi.org/10.1002/mus.2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587AF4E6-B484-4561-BE70-431ED70CBF93}">
  <ds:schemaRefs>
    <ds:schemaRef ds:uri="http://schemas.microsoft.com/sharepoint/v3/contenttype/forms"/>
  </ds:schemaRefs>
</ds:datastoreItem>
</file>

<file path=customXml/itemProps2.xml><?xml version="1.0" encoding="utf-8"?>
<ds:datastoreItem xmlns:ds="http://schemas.openxmlformats.org/officeDocument/2006/customXml" ds:itemID="{2B0E85F1-3B6D-4D9A-9621-2D431FF26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2DFB5C5A-AAB6-471A-B533-CB42BC9B1B94}">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27158</Words>
  <Characters>154803</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181598</CharactersWithSpaces>
  <SharedDoc>false</SharedDoc>
  <HLinks>
    <vt:vector size="30" baseType="variant">
      <vt:variant>
        <vt:i4>4259868</vt:i4>
      </vt:variant>
      <vt:variant>
        <vt:i4>177</vt:i4>
      </vt:variant>
      <vt:variant>
        <vt:i4>0</vt:i4>
      </vt:variant>
      <vt:variant>
        <vt:i4>5</vt:i4>
      </vt:variant>
      <vt:variant>
        <vt:lpwstr>https://www.blood.gov.au/report-issue-and-use-immunoglobulin</vt:lpwstr>
      </vt:variant>
      <vt:variant>
        <vt:lpwstr/>
      </vt:variant>
      <vt:variant>
        <vt:i4>327713</vt:i4>
      </vt:variant>
      <vt:variant>
        <vt:i4>78</vt:i4>
      </vt:variant>
      <vt:variant>
        <vt:i4>0</vt:i4>
      </vt:variant>
      <vt:variant>
        <vt:i4>5</vt:i4>
      </vt:variant>
      <vt:variant>
        <vt:lpwstr/>
      </vt:variant>
      <vt:variant>
        <vt:lpwstr>Drug_cost</vt:lpwstr>
      </vt:variant>
      <vt:variant>
        <vt:i4>327713</vt:i4>
      </vt:variant>
      <vt:variant>
        <vt:i4>9</vt:i4>
      </vt:variant>
      <vt:variant>
        <vt:i4>0</vt:i4>
      </vt:variant>
      <vt:variant>
        <vt:i4>5</vt:i4>
      </vt:variant>
      <vt:variant>
        <vt:lpwstr/>
      </vt:variant>
      <vt:variant>
        <vt:lpwstr>Drug_cost</vt:lpwstr>
      </vt:variant>
      <vt:variant>
        <vt:i4>1572866</vt:i4>
      </vt:variant>
      <vt:variant>
        <vt:i4>3</vt:i4>
      </vt:variant>
      <vt:variant>
        <vt:i4>0</vt:i4>
      </vt:variant>
      <vt:variant>
        <vt:i4>5</vt:i4>
      </vt:variant>
      <vt:variant>
        <vt:lpwstr>https://www.ebs.tga.gov.au/ebs/picmi/picmirepository.nsf/pdf?OpenAgent=&amp;id=CP-2020-PI-01935-1&amp;d=20250321172310101</vt:lpwstr>
      </vt:variant>
      <vt:variant>
        <vt:lpwstr/>
      </vt:variant>
      <vt:variant>
        <vt:i4>5046338</vt:i4>
      </vt:variant>
      <vt:variant>
        <vt:i4>0</vt:i4>
      </vt:variant>
      <vt:variant>
        <vt:i4>0</vt:i4>
      </vt:variant>
      <vt:variant>
        <vt:i4>5</vt:i4>
      </vt:variant>
      <vt:variant>
        <vt:lpwstr>https://doi.org/10.1002/mus.21640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2025-06-25T01:26:00Z</dcterms:created>
  <dcterms:modified xsi:type="dcterms:W3CDTF">2025-09-02T02:20:00Z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lassificationContentMarkingHeaderShapeIds">
    <vt:lpwstr>69867625,77f957e6,592f1a8d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6c634f6,314b5449,7869e778</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2025-08-28T02:09:56Z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550dba4c-6c72-4b1a-8b60-f414d2ff3e71</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