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B5E0951" w:rsidR="00B60939" w:rsidRPr="00704B78" w:rsidRDefault="00BC3ED0" w:rsidP="006E2A77">
      <w:pPr>
        <w:pStyle w:val="COMexecsummheadings"/>
      </w:pPr>
      <w:r w:rsidRPr="00704B78">
        <w:t>7.09</w:t>
      </w:r>
      <w:r w:rsidRPr="00704B78">
        <w:tab/>
      </w:r>
      <w:r w:rsidR="000D394B" w:rsidRPr="00704B78">
        <w:t>RAVULIZUMAB</w:t>
      </w:r>
      <w:r w:rsidR="00163F66" w:rsidRPr="00704B78">
        <w:t>,</w:t>
      </w:r>
      <w:r w:rsidRPr="00704B78">
        <w:br/>
      </w:r>
      <w:r w:rsidR="000D394B" w:rsidRPr="00704B78">
        <w:t>Solution concentrate for I.V. infusion 300 mg in 3 mL</w:t>
      </w:r>
      <w:r w:rsidR="00163F66" w:rsidRPr="00704B78">
        <w:t>,</w:t>
      </w:r>
      <w:r w:rsidRPr="00704B78">
        <w:br/>
      </w:r>
      <w:r w:rsidR="000D394B" w:rsidRPr="00704B78">
        <w:t>Solution concentrate for I.V. infusion 1,100 mg in 11</w:t>
      </w:r>
      <w:r w:rsidR="00613733">
        <w:t> </w:t>
      </w:r>
      <w:r w:rsidR="000D394B" w:rsidRPr="00704B78">
        <w:t>mL</w:t>
      </w:r>
      <w:r w:rsidR="00163F66" w:rsidRPr="00704B78">
        <w:t>,</w:t>
      </w:r>
      <w:r w:rsidRPr="00704B78">
        <w:br/>
      </w:r>
      <w:proofErr w:type="spellStart"/>
      <w:r w:rsidR="000D394B" w:rsidRPr="00704B78">
        <w:t>Ultomiris</w:t>
      </w:r>
      <w:proofErr w:type="spellEnd"/>
      <w:r w:rsidR="00B60939" w:rsidRPr="00704B78">
        <w:rPr>
          <w:vertAlign w:val="superscript"/>
        </w:rPr>
        <w:t>®</w:t>
      </w:r>
      <w:r w:rsidR="004A6040" w:rsidRPr="00704B78">
        <w:t>,</w:t>
      </w:r>
      <w:r w:rsidRPr="00704B78">
        <w:br/>
      </w:r>
      <w:r w:rsidR="000D394B" w:rsidRPr="00704B78">
        <w:t>ALEXION PHARMACEUTICALS AUSTRALASIA PTY LTD</w:t>
      </w:r>
      <w:r w:rsidR="00F73E08" w:rsidRPr="00704B78">
        <w:t xml:space="preserve"> </w:t>
      </w:r>
    </w:p>
    <w:p w14:paraId="11C00795" w14:textId="3DFB6D23" w:rsidR="00B50DB8" w:rsidRPr="00704B78" w:rsidRDefault="00B50DB8" w:rsidP="006E2A77">
      <w:pPr>
        <w:pStyle w:val="COMH1-numbered"/>
        <w:numPr>
          <w:ilvl w:val="0"/>
          <w:numId w:val="1"/>
        </w:numPr>
      </w:pPr>
      <w:bookmarkStart w:id="0" w:name="_Toc188350818"/>
      <w:r w:rsidRPr="00704B78">
        <w:t xml:space="preserve">Purpose of </w:t>
      </w:r>
      <w:r w:rsidR="00CD7193" w:rsidRPr="00704B78">
        <w:t>s</w:t>
      </w:r>
      <w:r w:rsidR="00BB3A45" w:rsidRPr="00704B78">
        <w:t>ubmission</w:t>
      </w:r>
      <w:bookmarkEnd w:id="0"/>
    </w:p>
    <w:p w14:paraId="4B7F9AFE" w14:textId="4E5A008F" w:rsidR="000D394B" w:rsidRPr="00704B78" w:rsidRDefault="000D394B" w:rsidP="006E2A77">
      <w:pPr>
        <w:pStyle w:val="COMexecsummnumbered"/>
      </w:pPr>
      <w:r w:rsidRPr="00704B78">
        <w:t>The standard re-entry resubmission requested a Section 100 (Highly Specialised Drugs Program) Authority Required (Written) listing for the treatment of newly diagnosed and treatment refractory patients with generalised myasthenia gravis who are anti-acetylcholine receptor (AChR) antibody positive.</w:t>
      </w:r>
    </w:p>
    <w:p w14:paraId="2F7AA60D" w14:textId="66D017A6" w:rsidR="000D394B" w:rsidRPr="00704B78" w:rsidRDefault="000D394B" w:rsidP="006E2A77">
      <w:pPr>
        <w:pStyle w:val="COMexecsummnumbered"/>
      </w:pPr>
      <w:r w:rsidRPr="00704B78">
        <w:t xml:space="preserve">The resubmission claimed that there is an unmet clinical need in newly diagnosed patients for treatments which have a rapid onset of action so that patients can achieve minimal symptoms quickly and reduce the prolonged time and negative impacts of cycling through therapies until symptom control is established. </w:t>
      </w:r>
    </w:p>
    <w:p w14:paraId="4A003F43" w14:textId="0F411AB7" w:rsidR="000D394B" w:rsidRPr="00704B78" w:rsidRDefault="000D394B" w:rsidP="006E2A77">
      <w:pPr>
        <w:pStyle w:val="COMexecsummnumbered"/>
      </w:pPr>
      <w:r w:rsidRPr="00704B78">
        <w:t>The resubmission claimed that there is an unmet clinical need for alternative treatment options in treatment refractory patients who remain symptomatic despite the use of optimised existing therapies.</w:t>
      </w:r>
    </w:p>
    <w:p w14:paraId="12D717FF" w14:textId="01E9B056" w:rsidR="000D394B" w:rsidRPr="00704B78" w:rsidRDefault="000D394B" w:rsidP="006E2A77">
      <w:pPr>
        <w:pStyle w:val="COMexecsummnumbered"/>
      </w:pPr>
      <w:r w:rsidRPr="00704B78">
        <w:t xml:space="preserve">Listing was requested </w:t>
      </w:r>
      <w:proofErr w:type="gramStart"/>
      <w:r w:rsidRPr="00704B78">
        <w:t>on the basis of</w:t>
      </w:r>
      <w:proofErr w:type="gramEnd"/>
      <w:r w:rsidRPr="00704B78">
        <w:t xml:space="preserve"> a cost-effectiveness analysis versus placebo. </w:t>
      </w:r>
    </w:p>
    <w:p w14:paraId="5B23FBEA" w14:textId="02D97E33" w:rsidR="000D394B" w:rsidRPr="00704B78" w:rsidRDefault="00204615" w:rsidP="006E2A77">
      <w:pPr>
        <w:pStyle w:val="COMtablefigcaption"/>
        <w:keepLines/>
      </w:pPr>
      <w:r w:rsidRPr="00704B78">
        <w:lastRenderedPageBreak/>
        <w:t xml:space="preserve">Table </w:t>
      </w:r>
      <w:r w:rsidRPr="00704B78">
        <w:fldChar w:fldCharType="begin"/>
      </w:r>
      <w:r w:rsidRPr="00704B78">
        <w:instrText>SEQ Table \* ARABIC</w:instrText>
      </w:r>
      <w:r w:rsidRPr="00704B78">
        <w:fldChar w:fldCharType="separate"/>
      </w:r>
      <w:r w:rsidR="00875704">
        <w:rPr>
          <w:noProof/>
        </w:rPr>
        <w:t>1</w:t>
      </w:r>
      <w:r w:rsidRPr="00704B78">
        <w:fldChar w:fldCharType="end"/>
      </w:r>
      <w:r w:rsidR="000D394B" w:rsidRPr="00704B78">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129"/>
        <w:gridCol w:w="8027"/>
      </w:tblGrid>
      <w:tr w:rsidR="000D394B" w:rsidRPr="00704B78" w14:paraId="5781F38C" w14:textId="77777777" w:rsidTr="00613733">
        <w:tc>
          <w:tcPr>
            <w:tcW w:w="1129" w:type="dxa"/>
            <w:vAlign w:val="center"/>
          </w:tcPr>
          <w:p w14:paraId="0E84392C" w14:textId="77777777" w:rsidR="000D394B" w:rsidRPr="00704B78" w:rsidRDefault="000D394B" w:rsidP="006E2A77">
            <w:pPr>
              <w:pStyle w:val="COMTableheadingrow"/>
              <w:keepLines/>
              <w:rPr>
                <w:lang w:val="en-AU"/>
              </w:rPr>
            </w:pPr>
            <w:r w:rsidRPr="00704B78">
              <w:rPr>
                <w:lang w:val="en-AU"/>
              </w:rPr>
              <w:t>Component</w:t>
            </w:r>
          </w:p>
        </w:tc>
        <w:tc>
          <w:tcPr>
            <w:tcW w:w="8027" w:type="dxa"/>
            <w:vAlign w:val="center"/>
          </w:tcPr>
          <w:p w14:paraId="0191F573" w14:textId="77777777" w:rsidR="000D394B" w:rsidRPr="00704B78" w:rsidRDefault="000D394B" w:rsidP="006E2A77">
            <w:pPr>
              <w:pStyle w:val="COMTableheadingrow"/>
              <w:keepLines/>
              <w:rPr>
                <w:lang w:val="en-AU"/>
              </w:rPr>
            </w:pPr>
            <w:r w:rsidRPr="00704B78">
              <w:rPr>
                <w:lang w:val="en-AU"/>
              </w:rPr>
              <w:t>Description</w:t>
            </w:r>
          </w:p>
        </w:tc>
      </w:tr>
      <w:tr w:rsidR="000D394B" w:rsidRPr="00704B78" w14:paraId="256DE859" w14:textId="77777777" w:rsidTr="00613733">
        <w:tc>
          <w:tcPr>
            <w:tcW w:w="1129" w:type="dxa"/>
            <w:vAlign w:val="center"/>
          </w:tcPr>
          <w:p w14:paraId="2F693999" w14:textId="77777777" w:rsidR="000D394B" w:rsidRPr="00704B78" w:rsidRDefault="000D394B" w:rsidP="006E2A77">
            <w:pPr>
              <w:pStyle w:val="COMTabletext"/>
              <w:keepLines/>
            </w:pPr>
            <w:r w:rsidRPr="00704B78">
              <w:t>Population</w:t>
            </w:r>
          </w:p>
        </w:tc>
        <w:tc>
          <w:tcPr>
            <w:tcW w:w="8027" w:type="dxa"/>
            <w:vAlign w:val="center"/>
          </w:tcPr>
          <w:p w14:paraId="72D36B8F" w14:textId="77777777" w:rsidR="000D394B" w:rsidRPr="00704B78" w:rsidRDefault="000D394B" w:rsidP="006E2A77">
            <w:pPr>
              <w:pStyle w:val="COMTabletext"/>
              <w:keepLines/>
              <w:numPr>
                <w:ilvl w:val="0"/>
                <w:numId w:val="6"/>
              </w:numPr>
              <w:ind w:left="113" w:hanging="113"/>
            </w:pPr>
            <w:r w:rsidRPr="00704B78">
              <w:t>Adult patients within 2 years of a diagnosis of AChR+ myasthenia gravis who have developed generalised symptoms and who remain symptomatic (MG-ADL ≥ 6) despite stable doses of corticosteroids and/or non-steroidal immunosuppressants and who have failed prior treatment with IVIg/PLEX (unable to access, intolerant or inadequate response).</w:t>
            </w:r>
          </w:p>
          <w:p w14:paraId="33D24A01" w14:textId="77777777" w:rsidR="000D394B" w:rsidRPr="00704B78" w:rsidRDefault="000D394B" w:rsidP="006E2A77">
            <w:pPr>
              <w:pStyle w:val="COMTabletext"/>
              <w:keepLines/>
              <w:numPr>
                <w:ilvl w:val="0"/>
                <w:numId w:val="6"/>
              </w:numPr>
              <w:ind w:left="113" w:hanging="113"/>
            </w:pPr>
            <w:r w:rsidRPr="00704B78">
              <w:t>Adult patients with AChR+ generalised myasthenia gravis who remain symptomatic (MG-ADL score ≥ 6) despite at least 24 months of treatment with corticosteroids and/or non-steroidal immunosuppressants and who have failed prior treatment with IVIg/PLEX (unable to access, intolerant or inadequate response).</w:t>
            </w:r>
          </w:p>
        </w:tc>
      </w:tr>
      <w:tr w:rsidR="000D394B" w:rsidRPr="00704B78" w14:paraId="5958F73E" w14:textId="77777777" w:rsidTr="00613733">
        <w:tc>
          <w:tcPr>
            <w:tcW w:w="1129" w:type="dxa"/>
            <w:vAlign w:val="center"/>
          </w:tcPr>
          <w:p w14:paraId="04776BF6" w14:textId="77777777" w:rsidR="000D394B" w:rsidRPr="00704B78" w:rsidRDefault="000D394B" w:rsidP="006E2A77">
            <w:pPr>
              <w:pStyle w:val="COMTabletext"/>
              <w:keepLines/>
            </w:pPr>
            <w:r w:rsidRPr="00704B78">
              <w:t>Intervention</w:t>
            </w:r>
          </w:p>
        </w:tc>
        <w:tc>
          <w:tcPr>
            <w:tcW w:w="8027" w:type="dxa"/>
            <w:vAlign w:val="center"/>
          </w:tcPr>
          <w:p w14:paraId="747576BC" w14:textId="77777777" w:rsidR="000D394B" w:rsidRPr="00704B78" w:rsidRDefault="000D394B" w:rsidP="006E2A77">
            <w:pPr>
              <w:pStyle w:val="COMTabletext"/>
              <w:keepLines/>
            </w:pPr>
            <w:r w:rsidRPr="00704B78">
              <w:t>Ravulizumab intravenous infusion on Day 1 (weight-based dosing 2,400-3,000 mg) followed by a second dose on Day 15 and then every 8 weeks (weight-based dosing 3,000-3,600 mg). In combination with standard therapy (including anticholinesterases, corticosteroids and other immunosuppressive agents such as mycophenolate mofetil, azathioprine, methotrexate, tacrolimus, ciclosporin).</w:t>
            </w:r>
          </w:p>
        </w:tc>
      </w:tr>
      <w:tr w:rsidR="000D394B" w:rsidRPr="00704B78" w14:paraId="598EBFC5" w14:textId="77777777" w:rsidTr="00613733">
        <w:tc>
          <w:tcPr>
            <w:tcW w:w="1129" w:type="dxa"/>
            <w:vAlign w:val="center"/>
          </w:tcPr>
          <w:p w14:paraId="4511E38F" w14:textId="77777777" w:rsidR="000D394B" w:rsidRPr="00704B78" w:rsidRDefault="000D394B" w:rsidP="006E2A77">
            <w:pPr>
              <w:pStyle w:val="COMTabletext"/>
              <w:keepLines/>
            </w:pPr>
            <w:r w:rsidRPr="00704B78">
              <w:t>Comparator</w:t>
            </w:r>
          </w:p>
        </w:tc>
        <w:tc>
          <w:tcPr>
            <w:tcW w:w="8027" w:type="dxa"/>
            <w:vAlign w:val="center"/>
          </w:tcPr>
          <w:p w14:paraId="5A53BD37" w14:textId="77777777" w:rsidR="000D394B" w:rsidRPr="00704B78" w:rsidRDefault="000D394B" w:rsidP="006E2A77">
            <w:pPr>
              <w:pStyle w:val="COMTabletext"/>
              <w:keepLines/>
            </w:pPr>
            <w:r w:rsidRPr="00704B78">
              <w:t>Placebo in combination with standard therapy (including anticholinesterases, corticosteroids and other immunosuppressive agents such as mycophenolate mofetil, azathioprine, methotrexate, tacrolimus, ciclosporin).</w:t>
            </w:r>
          </w:p>
        </w:tc>
      </w:tr>
      <w:tr w:rsidR="000D394B" w:rsidRPr="00704B78" w14:paraId="3384ACDD" w14:textId="77777777" w:rsidTr="00613733">
        <w:tc>
          <w:tcPr>
            <w:tcW w:w="1129" w:type="dxa"/>
            <w:vAlign w:val="center"/>
          </w:tcPr>
          <w:p w14:paraId="545FCBC5" w14:textId="77777777" w:rsidR="000D394B" w:rsidRPr="00704B78" w:rsidRDefault="000D394B" w:rsidP="006E2A77">
            <w:pPr>
              <w:pStyle w:val="COMTabletext"/>
              <w:keepLines/>
            </w:pPr>
            <w:r w:rsidRPr="00704B78">
              <w:t>Outcomes</w:t>
            </w:r>
          </w:p>
        </w:tc>
        <w:tc>
          <w:tcPr>
            <w:tcW w:w="8027" w:type="dxa"/>
            <w:vAlign w:val="center"/>
          </w:tcPr>
          <w:p w14:paraId="7A193149" w14:textId="77777777" w:rsidR="000D394B" w:rsidRPr="00704B78" w:rsidRDefault="000D394B" w:rsidP="006E2A77">
            <w:pPr>
              <w:pStyle w:val="COMTabletext"/>
              <w:keepLines/>
            </w:pPr>
            <w:r w:rsidRPr="00704B78">
              <w:t>Reduction in functional impairments, reduction in clinical exacerbations and myasthenic crisis events, improvements in quality of life.</w:t>
            </w:r>
          </w:p>
        </w:tc>
      </w:tr>
      <w:tr w:rsidR="000D394B" w:rsidRPr="00704B78" w14:paraId="0DF2CE60" w14:textId="77777777" w:rsidTr="00613733">
        <w:tc>
          <w:tcPr>
            <w:tcW w:w="1129" w:type="dxa"/>
            <w:vAlign w:val="center"/>
          </w:tcPr>
          <w:p w14:paraId="03E87122" w14:textId="77777777" w:rsidR="000D394B" w:rsidRPr="00704B78" w:rsidRDefault="000D394B" w:rsidP="006E2A77">
            <w:pPr>
              <w:pStyle w:val="COMTabletext"/>
              <w:keepLines/>
            </w:pPr>
            <w:r w:rsidRPr="00704B78">
              <w:t>Clinical claim</w:t>
            </w:r>
          </w:p>
        </w:tc>
        <w:tc>
          <w:tcPr>
            <w:tcW w:w="8027" w:type="dxa"/>
            <w:vAlign w:val="center"/>
          </w:tcPr>
          <w:p w14:paraId="0748C679" w14:textId="77777777" w:rsidR="000D394B" w:rsidRPr="00704B78" w:rsidRDefault="000D394B" w:rsidP="006E2A77">
            <w:pPr>
              <w:pStyle w:val="COMTabletext"/>
              <w:keepLines/>
            </w:pPr>
            <w:r w:rsidRPr="00704B78">
              <w:t>Ravulizumab in combination with standard therapy is superior in terms of efficacy and inferior in terms of safety compared to placebo in combination with standard therapy.</w:t>
            </w:r>
          </w:p>
        </w:tc>
      </w:tr>
    </w:tbl>
    <w:p w14:paraId="36E3F81E" w14:textId="77777777" w:rsidR="000D394B" w:rsidRPr="00704B78" w:rsidRDefault="000D394B" w:rsidP="006E2A77">
      <w:pPr>
        <w:pStyle w:val="COMTablefooter"/>
        <w:keepNext/>
        <w:keepLines/>
      </w:pPr>
      <w:r w:rsidRPr="00704B78">
        <w:t>Source: Table 1-1, p5 of the resubmission</w:t>
      </w:r>
    </w:p>
    <w:p w14:paraId="444391C2" w14:textId="24ABF77E" w:rsidR="00553F78" w:rsidRPr="00704B78" w:rsidRDefault="00553F78" w:rsidP="006E2A77">
      <w:pPr>
        <w:pStyle w:val="COMTablefooter"/>
        <w:keepNext/>
        <w:keepLines/>
      </w:pPr>
      <w:r w:rsidRPr="00704B78">
        <w:t xml:space="preserve">Abbreviations: AChR+, acetylcholine receptor antibody positive; IVIg, intravenous immunoglobulin; </w:t>
      </w:r>
      <w:r w:rsidR="00586A5C" w:rsidRPr="00704B78">
        <w:t>MG-ADL, Myasthenia Gravis Activities of Daily Living Scale</w:t>
      </w:r>
      <w:r w:rsidR="00586A5C">
        <w:t>;</w:t>
      </w:r>
      <w:r w:rsidR="00586A5C" w:rsidRPr="00704B78">
        <w:t xml:space="preserve"> </w:t>
      </w:r>
      <w:r w:rsidRPr="00704B78">
        <w:t>PLEX, plasma exchange</w:t>
      </w:r>
    </w:p>
    <w:p w14:paraId="6B4AB6C2" w14:textId="7F01D731" w:rsidR="005C25FF" w:rsidRPr="00704B78" w:rsidRDefault="005C25FF" w:rsidP="006E2A77">
      <w:pPr>
        <w:pStyle w:val="COMH1-numbered"/>
        <w:numPr>
          <w:ilvl w:val="0"/>
          <w:numId w:val="1"/>
        </w:numPr>
      </w:pPr>
      <w:bookmarkStart w:id="1" w:name="_Toc188350819"/>
      <w:r w:rsidRPr="00704B78">
        <w:t>Background</w:t>
      </w:r>
      <w:bookmarkEnd w:id="1"/>
    </w:p>
    <w:p w14:paraId="2C521D6D" w14:textId="78CF03EE" w:rsidR="005C25FF" w:rsidRPr="00704B78" w:rsidRDefault="005C25FF" w:rsidP="006E2A77">
      <w:pPr>
        <w:pStyle w:val="COMH2-non-numbered"/>
        <w:rPr>
          <w:i w:val="0"/>
        </w:rPr>
      </w:pPr>
      <w:bookmarkStart w:id="2" w:name="_Toc22897638"/>
      <w:bookmarkStart w:id="3" w:name="_Toc188350820"/>
      <w:r w:rsidRPr="00704B78">
        <w:rPr>
          <w:i w:val="0"/>
        </w:rPr>
        <w:t>Registration status</w:t>
      </w:r>
      <w:bookmarkEnd w:id="2"/>
      <w:bookmarkEnd w:id="3"/>
    </w:p>
    <w:p w14:paraId="1B27F6A9" w14:textId="77777777" w:rsidR="003835C1" w:rsidRPr="00704B78" w:rsidRDefault="003835C1" w:rsidP="006E2A77">
      <w:pPr>
        <w:pStyle w:val="COMexecsummnumbered"/>
      </w:pPr>
      <w:r w:rsidRPr="00704B78">
        <w:t>Ravulizumab was approved by the TGA on 22 May 2023 'as an add-on to standard therapy for the treatment of adult patients with generalised myasthenia gravis (gMG) who are anti-acetylcholine receptor (AChR) antibody-positive'.</w:t>
      </w:r>
    </w:p>
    <w:p w14:paraId="6C7DC438" w14:textId="71B98F5D" w:rsidR="003835C1" w:rsidRPr="00704B78" w:rsidRDefault="003835C1" w:rsidP="006E2A77">
      <w:pPr>
        <w:pStyle w:val="COMexecsummnumbered"/>
      </w:pPr>
      <w:r w:rsidRPr="00704B78">
        <w:t>Ravulizumab is also currently TGA approved for the treatment of paroxysmal nocturnal haemoglobinuria, atypical haemolytic uraemic syndrome and neuromyelitis optica spectrum disorders.</w:t>
      </w:r>
    </w:p>
    <w:p w14:paraId="3E2A6EAB" w14:textId="469C8C0C" w:rsidR="005C25FF" w:rsidRPr="00704B78" w:rsidRDefault="005C25FF" w:rsidP="006E2A77">
      <w:pPr>
        <w:pStyle w:val="COMH2-non-numbered"/>
        <w:rPr>
          <w:i w:val="0"/>
        </w:rPr>
      </w:pPr>
      <w:bookmarkStart w:id="4" w:name="_Toc22897639"/>
      <w:bookmarkStart w:id="5" w:name="_Toc188350821"/>
      <w:r w:rsidRPr="00704B78">
        <w:rPr>
          <w:i w:val="0"/>
        </w:rPr>
        <w:t>Previous PBAC consideration</w:t>
      </w:r>
      <w:bookmarkEnd w:id="4"/>
      <w:bookmarkEnd w:id="5"/>
    </w:p>
    <w:p w14:paraId="6A703166" w14:textId="584FE19C" w:rsidR="001A7CC5" w:rsidRPr="00704B78" w:rsidRDefault="001A7CC5" w:rsidP="006E2A77">
      <w:pPr>
        <w:pStyle w:val="COMexecsummnumbered"/>
      </w:pPr>
      <w:r w:rsidRPr="00704B78">
        <w:t>Ravulizumab is currently listed on the PBS for the treatment of paroxysmal nocturnal haemoglobinuria and atypical haemolytic uraemic syndrome and received a positive recommendation for the treatment of neuromyelitis optica spectrum disorders at the November 2024 PBAC meeting.</w:t>
      </w:r>
    </w:p>
    <w:p w14:paraId="2C2B31D3" w14:textId="77777777" w:rsidR="001A7CC5" w:rsidRPr="00704B78" w:rsidRDefault="001A7CC5" w:rsidP="006E2A77">
      <w:pPr>
        <w:pStyle w:val="COMexecsummnumbered"/>
      </w:pPr>
      <w:r w:rsidRPr="00704B78">
        <w:t xml:space="preserve">The sponsor presented a Category 2 submission to the March 2024 PBAC meeting (which was held over to the July 2024 PBAC meeting) requesting a Section 100 (Highly Specialised Drugs Program) Authority Required (Written) listing for ravulizumab as a treatment for adult patients with generalised myasthenia gravis who are AChR-positive and remain symptomatic despite standard therapy. </w:t>
      </w:r>
    </w:p>
    <w:p w14:paraId="31A9E16A" w14:textId="3DA2264F" w:rsidR="001A7CC5" w:rsidRPr="00704B78" w:rsidRDefault="00B7386D" w:rsidP="006E2A77">
      <w:pPr>
        <w:pStyle w:val="COMexecsummnumbered"/>
      </w:pPr>
      <w:r>
        <w:t>At its July 2024 consideration, t</w:t>
      </w:r>
      <w:r w:rsidR="001A7CC5" w:rsidRPr="00704B78">
        <w:t xml:space="preserve">he PBAC did not recommend ravulizumab for the requested listing with the primary reason being the limitations of the comparative clinical evidence. The PBAC noted that the broad requested listing in the submission </w:t>
      </w:r>
      <w:r w:rsidR="001A7CC5" w:rsidRPr="00704B78">
        <w:lastRenderedPageBreak/>
        <w:t>was consistent with clinician and patient feedback but considered that the incremental benefit shown in the trial was modest and that it was difficult to determine whether the incremental benefit would be clinically meaningful in the broad population requested for listing given that the existing therapies may be effective for many patients. Further, the PBAC considered the incremental cost-effectiveness ratio (ICER) presented in the submission was very high and likely to have been underestimated, and the proposed price was very high (para 7.1-7.3, ravulizumab Public Summary Document, July 2024 PBAC meeting).</w:t>
      </w:r>
    </w:p>
    <w:p w14:paraId="01E25243" w14:textId="67C5D256" w:rsidR="001A7CC5" w:rsidRPr="00704B78" w:rsidRDefault="001A7CC5" w:rsidP="006E2A77">
      <w:pPr>
        <w:pStyle w:val="COMexecsummnumbered"/>
      </w:pPr>
      <w:r w:rsidRPr="00704B78">
        <w:t xml:space="preserve">The key matters of concern from the November 2024 PBAC meeting are summarised in </w:t>
      </w:r>
      <w:r w:rsidR="00204615" w:rsidRPr="00704B78">
        <w:fldChar w:fldCharType="begin"/>
      </w:r>
      <w:r w:rsidR="00204615" w:rsidRPr="00704B78">
        <w:instrText xml:space="preserve"> REF _Ref187651687 \h </w:instrText>
      </w:r>
      <w:r w:rsidR="00704B78" w:rsidRPr="00704B78">
        <w:instrText xml:space="preserve"> \* MERGEFORMAT </w:instrText>
      </w:r>
      <w:r w:rsidR="00204615" w:rsidRPr="00704B78">
        <w:fldChar w:fldCharType="separate"/>
      </w:r>
      <w:r w:rsidR="00875704" w:rsidRPr="00704B78">
        <w:t xml:space="preserve">Table </w:t>
      </w:r>
      <w:r w:rsidR="00875704">
        <w:rPr>
          <w:noProof/>
        </w:rPr>
        <w:t>2</w:t>
      </w:r>
      <w:r w:rsidR="00204615" w:rsidRPr="00704B78">
        <w:fldChar w:fldCharType="end"/>
      </w:r>
      <w:r w:rsidRPr="00704B78">
        <w:t xml:space="preserve">. </w:t>
      </w:r>
    </w:p>
    <w:p w14:paraId="2A23A49F" w14:textId="658401EF" w:rsidR="005C25FF" w:rsidRPr="00704B78" w:rsidRDefault="00204615" w:rsidP="006E2A77">
      <w:pPr>
        <w:pStyle w:val="COMtablefigcaption"/>
      </w:pPr>
      <w:bookmarkStart w:id="6" w:name="_Ref187651687"/>
      <w:r w:rsidRPr="00704B78">
        <w:t xml:space="preserve">Table </w:t>
      </w:r>
      <w:r w:rsidRPr="00704B78">
        <w:fldChar w:fldCharType="begin"/>
      </w:r>
      <w:r w:rsidRPr="00704B78">
        <w:instrText>SEQ Table \* ARABIC</w:instrText>
      </w:r>
      <w:r w:rsidRPr="00704B78">
        <w:fldChar w:fldCharType="separate"/>
      </w:r>
      <w:r w:rsidR="00875704">
        <w:rPr>
          <w:noProof/>
        </w:rPr>
        <w:t>2</w:t>
      </w:r>
      <w:r w:rsidRPr="00704B78">
        <w:fldChar w:fldCharType="end"/>
      </w:r>
      <w:bookmarkEnd w:id="6"/>
      <w:r w:rsidR="00696EF9" w:rsidRPr="00704B78">
        <w:t>:</w:t>
      </w:r>
      <w:r w:rsidR="005C25FF" w:rsidRPr="00704B78">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w:tblPr>
      <w:tblGrid>
        <w:gridCol w:w="1576"/>
        <w:gridCol w:w="4411"/>
        <w:gridCol w:w="3030"/>
      </w:tblGrid>
      <w:tr w:rsidR="005C25FF" w:rsidRPr="00704B78" w14:paraId="6747F8E1" w14:textId="77777777" w:rsidTr="3517B442">
        <w:trPr>
          <w:cantSplit/>
          <w:tblHeader/>
        </w:trPr>
        <w:tc>
          <w:tcPr>
            <w:tcW w:w="874" w:type="pct"/>
            <w:vAlign w:val="center"/>
          </w:tcPr>
          <w:p w14:paraId="346F438D" w14:textId="77777777" w:rsidR="005C25FF" w:rsidRPr="00704B78" w:rsidRDefault="005C25FF" w:rsidP="006E2A77">
            <w:pPr>
              <w:pStyle w:val="COMTableheadingrow"/>
              <w:keepNext w:val="0"/>
            </w:pPr>
            <w:r w:rsidRPr="00704B78">
              <w:t>Component</w:t>
            </w:r>
          </w:p>
        </w:tc>
        <w:tc>
          <w:tcPr>
            <w:tcW w:w="2446" w:type="pct"/>
            <w:vAlign w:val="center"/>
          </w:tcPr>
          <w:p w14:paraId="2B7F3F42" w14:textId="77777777" w:rsidR="005C25FF" w:rsidRPr="00704B78" w:rsidRDefault="005C25FF" w:rsidP="006E2A77">
            <w:pPr>
              <w:pStyle w:val="COMTableheadingrow"/>
              <w:keepNext w:val="0"/>
            </w:pPr>
            <w:r w:rsidRPr="00704B78">
              <w:t>Matter of concern</w:t>
            </w:r>
          </w:p>
        </w:tc>
        <w:tc>
          <w:tcPr>
            <w:tcW w:w="1680" w:type="pct"/>
            <w:vAlign w:val="center"/>
          </w:tcPr>
          <w:p w14:paraId="4BAA81F2" w14:textId="77777777" w:rsidR="005C25FF" w:rsidRPr="00704B78" w:rsidRDefault="005C25FF" w:rsidP="006E2A77">
            <w:pPr>
              <w:pStyle w:val="COMTableheadingrow"/>
              <w:keepNext w:val="0"/>
            </w:pPr>
            <w:r w:rsidRPr="00704B78">
              <w:t>How the resubmission addresses it</w:t>
            </w:r>
          </w:p>
        </w:tc>
      </w:tr>
      <w:tr w:rsidR="005C25FF" w:rsidRPr="00704B78" w14:paraId="228F2BA8" w14:textId="77777777" w:rsidTr="3517B442">
        <w:trPr>
          <w:cantSplit/>
        </w:trPr>
        <w:tc>
          <w:tcPr>
            <w:tcW w:w="874" w:type="pct"/>
            <w:vAlign w:val="center"/>
          </w:tcPr>
          <w:p w14:paraId="5ABE3EF1" w14:textId="50DBED04" w:rsidR="005C25FF" w:rsidRPr="00704B78" w:rsidRDefault="00125762" w:rsidP="006E2A77">
            <w:pPr>
              <w:pStyle w:val="COMTabletext"/>
              <w:keepNext w:val="0"/>
            </w:pPr>
            <w:r w:rsidRPr="00704B78">
              <w:t>Place in therapy</w:t>
            </w:r>
          </w:p>
        </w:tc>
        <w:tc>
          <w:tcPr>
            <w:tcW w:w="2446" w:type="pct"/>
          </w:tcPr>
          <w:p w14:paraId="4F817F43" w14:textId="4A97F8E6" w:rsidR="005C25FF" w:rsidRPr="00704B78" w:rsidRDefault="00125762" w:rsidP="006E2A77">
            <w:pPr>
              <w:pStyle w:val="COMTabletext"/>
            </w:pPr>
            <w:r w:rsidRPr="00704B78">
              <w:rPr>
                <w:snapToGrid w:val="0"/>
              </w:rPr>
              <w:t xml:space="preserve">The PBAC </w:t>
            </w:r>
            <w:r w:rsidR="005E5223" w:rsidRPr="00704B78">
              <w:t xml:space="preserve">expressed a preference for listing the new therapies in a broad patient </w:t>
            </w:r>
            <w:proofErr w:type="gramStart"/>
            <w:r w:rsidR="005E5223" w:rsidRPr="00704B78">
              <w:t>population, but</w:t>
            </w:r>
            <w:proofErr w:type="gramEnd"/>
            <w:r w:rsidR="005E5223" w:rsidRPr="00704B78">
              <w:t xml:space="preserve"> also </w:t>
            </w:r>
            <w:r w:rsidRPr="00704B78">
              <w:rPr>
                <w:snapToGrid w:val="0"/>
              </w:rPr>
              <w:t>considered that the highest unmet clinical need was in patients who would otherwise be treated with chronic IVIg or PLEX (noting access to these therapies can be difficult) (para 7.5).</w:t>
            </w:r>
            <w:r w:rsidR="00D61CA6">
              <w:rPr>
                <w:snapToGrid w:val="0"/>
              </w:rPr>
              <w:t xml:space="preserve"> </w:t>
            </w:r>
          </w:p>
        </w:tc>
        <w:tc>
          <w:tcPr>
            <w:tcW w:w="1680" w:type="pct"/>
          </w:tcPr>
          <w:p w14:paraId="35FC13C5" w14:textId="0151C5A3" w:rsidR="005C25FF" w:rsidRPr="00704B78" w:rsidRDefault="00125762" w:rsidP="006E2A77">
            <w:pPr>
              <w:pStyle w:val="COMTabletext"/>
              <w:keepNext w:val="0"/>
            </w:pPr>
            <w:r w:rsidRPr="00704B78">
              <w:rPr>
                <w:snapToGrid w:val="0"/>
              </w:rPr>
              <w:t>The resubmission positioned ravulizumab as a treatment option after prior failure of IVIg/PLEX in newly diagnosed and treatment refractory patients</w:t>
            </w:r>
            <w:r w:rsidR="00EE36E1">
              <w:rPr>
                <w:snapToGrid w:val="0"/>
              </w:rPr>
              <w:t>.</w:t>
            </w:r>
          </w:p>
        </w:tc>
      </w:tr>
      <w:tr w:rsidR="00125762" w:rsidRPr="00704B78" w14:paraId="6346348E" w14:textId="77777777" w:rsidTr="3517B442">
        <w:trPr>
          <w:cantSplit/>
        </w:trPr>
        <w:tc>
          <w:tcPr>
            <w:tcW w:w="874" w:type="pct"/>
            <w:vAlign w:val="center"/>
          </w:tcPr>
          <w:p w14:paraId="0DF0F7DF" w14:textId="1A9DD6E0" w:rsidR="00125762" w:rsidRPr="00704B78" w:rsidRDefault="00125762" w:rsidP="006E2A77">
            <w:pPr>
              <w:pStyle w:val="COMTabletext"/>
              <w:keepNext w:val="0"/>
            </w:pPr>
            <w:r w:rsidRPr="00704B78">
              <w:t>Proposed restriction</w:t>
            </w:r>
          </w:p>
        </w:tc>
        <w:tc>
          <w:tcPr>
            <w:tcW w:w="2446" w:type="pct"/>
          </w:tcPr>
          <w:p w14:paraId="7061ED1E" w14:textId="21CFCCC5" w:rsidR="00125762" w:rsidRPr="00704B78" w:rsidRDefault="00125762" w:rsidP="006E2A77">
            <w:pPr>
              <w:pStyle w:val="COMTabletext"/>
              <w:keepNext w:val="0"/>
            </w:pPr>
            <w:r w:rsidRPr="00704B78">
              <w:rPr>
                <w:snapToGrid w:val="0"/>
              </w:rPr>
              <w:t>The PBAC noted that the proposed clinical criteria needed further refinement regarding prior therapies, continuation criteria and stopping rules and should be broken up into separate restrictions for non-refractory and refractory populations (para 7.6-7.9).</w:t>
            </w:r>
          </w:p>
        </w:tc>
        <w:tc>
          <w:tcPr>
            <w:tcW w:w="1680" w:type="pct"/>
          </w:tcPr>
          <w:p w14:paraId="7AAAEB36" w14:textId="4A5C83BC" w:rsidR="00125762" w:rsidRPr="00704B78" w:rsidRDefault="00125762" w:rsidP="006E2A77">
            <w:pPr>
              <w:pStyle w:val="COMTabletext"/>
              <w:keepNext w:val="0"/>
              <w:spacing w:after="120"/>
              <w:rPr>
                <w:snapToGrid w:val="0"/>
              </w:rPr>
            </w:pPr>
            <w:r w:rsidRPr="00704B78">
              <w:rPr>
                <w:snapToGrid w:val="0"/>
              </w:rPr>
              <w:t>The resubmission provided separate PBS listings for newly diagnosed and treatment refractory</w:t>
            </w:r>
            <w:r w:rsidR="00B67DDF" w:rsidRPr="00704B78">
              <w:rPr>
                <w:snapToGrid w:val="0"/>
              </w:rPr>
              <w:t xml:space="preserve"> patients</w:t>
            </w:r>
            <w:r w:rsidRPr="00704B78">
              <w:rPr>
                <w:snapToGrid w:val="0"/>
              </w:rPr>
              <w:t xml:space="preserve">. </w:t>
            </w:r>
          </w:p>
          <w:p w14:paraId="58C56F6F" w14:textId="2D10298E" w:rsidR="00125762" w:rsidRPr="00704B78" w:rsidRDefault="00125762" w:rsidP="006E2A77">
            <w:pPr>
              <w:pStyle w:val="COMTabletext"/>
              <w:keepNext w:val="0"/>
              <w:spacing w:after="120"/>
            </w:pPr>
            <w:r w:rsidRPr="00704B78">
              <w:rPr>
                <w:snapToGrid w:val="0"/>
              </w:rPr>
              <w:t>The clinical criteria now require patients to have previous treatment with immunosuppressive therap</w:t>
            </w:r>
            <w:r w:rsidR="00450497" w:rsidRPr="00704B78">
              <w:rPr>
                <w:snapToGrid w:val="0"/>
              </w:rPr>
              <w:t>ies</w:t>
            </w:r>
            <w:r w:rsidRPr="00704B78">
              <w:rPr>
                <w:snapToGrid w:val="0"/>
              </w:rPr>
              <w:t xml:space="preserve"> and IVIg/PLEX.</w:t>
            </w:r>
          </w:p>
          <w:p w14:paraId="16CB8121" w14:textId="46C7ECC7" w:rsidR="00125762" w:rsidRPr="00704B78" w:rsidRDefault="00125762" w:rsidP="006E2A77">
            <w:pPr>
              <w:pStyle w:val="COMTabletext"/>
              <w:keepNext w:val="0"/>
              <w:spacing w:after="120"/>
              <w:rPr>
                <w:snapToGrid w:val="0"/>
              </w:rPr>
            </w:pPr>
            <w:r w:rsidRPr="00704B78">
              <w:rPr>
                <w:snapToGrid w:val="0"/>
              </w:rPr>
              <w:t>The clinical criteria now define response as a 3-point reduction in MG-ADL score at 12 weeks rather than a 2-point reduction at 26 weeks.</w:t>
            </w:r>
          </w:p>
          <w:p w14:paraId="77D28BB2" w14:textId="39526DC0" w:rsidR="00125762" w:rsidRPr="00704B78" w:rsidRDefault="00125762" w:rsidP="006E2A77">
            <w:pPr>
              <w:pStyle w:val="COMTabletext"/>
              <w:keepNext w:val="0"/>
              <w:rPr>
                <w:snapToGrid w:val="0"/>
              </w:rPr>
            </w:pPr>
            <w:r w:rsidRPr="00704B78">
              <w:rPr>
                <w:snapToGrid w:val="0"/>
              </w:rPr>
              <w:t xml:space="preserve">The newly diagnosed </w:t>
            </w:r>
            <w:r w:rsidR="002C3955" w:rsidRPr="00704B78">
              <w:rPr>
                <w:snapToGrid w:val="0"/>
              </w:rPr>
              <w:t xml:space="preserve">population </w:t>
            </w:r>
            <w:r w:rsidRPr="00704B78">
              <w:rPr>
                <w:snapToGrid w:val="0"/>
              </w:rPr>
              <w:t xml:space="preserve">listing includes a </w:t>
            </w:r>
            <w:r w:rsidR="00450497" w:rsidRPr="00704B78">
              <w:rPr>
                <w:snapToGrid w:val="0"/>
              </w:rPr>
              <w:t xml:space="preserve">stoppling rule limiting treatment to a </w:t>
            </w:r>
            <w:r w:rsidRPr="00704B78">
              <w:rPr>
                <w:snapToGrid w:val="0"/>
              </w:rPr>
              <w:t>maximum of 2 years</w:t>
            </w:r>
          </w:p>
        </w:tc>
      </w:tr>
      <w:tr w:rsidR="005C25FF" w:rsidRPr="00704B78" w14:paraId="7F544ADE" w14:textId="77777777" w:rsidTr="3517B442">
        <w:trPr>
          <w:cantSplit/>
        </w:trPr>
        <w:tc>
          <w:tcPr>
            <w:tcW w:w="874" w:type="pct"/>
            <w:vAlign w:val="center"/>
          </w:tcPr>
          <w:p w14:paraId="698AA39F" w14:textId="79802062" w:rsidR="005C25FF" w:rsidRPr="00704B78" w:rsidRDefault="00450497" w:rsidP="006E2A77">
            <w:pPr>
              <w:pStyle w:val="COMTabletext"/>
              <w:keepNext w:val="0"/>
            </w:pPr>
            <w:r w:rsidRPr="00704B78">
              <w:t>Comparator</w:t>
            </w:r>
          </w:p>
        </w:tc>
        <w:tc>
          <w:tcPr>
            <w:tcW w:w="2446" w:type="pct"/>
          </w:tcPr>
          <w:p w14:paraId="06B3F191" w14:textId="6B8C6B67" w:rsidR="005C25FF" w:rsidRPr="00704B78" w:rsidRDefault="00450497" w:rsidP="006E2A77">
            <w:pPr>
              <w:pStyle w:val="COMTabletext"/>
              <w:keepNext w:val="0"/>
            </w:pPr>
            <w:r w:rsidRPr="00704B78">
              <w:rPr>
                <w:snapToGrid w:val="0"/>
              </w:rPr>
              <w:t>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ravulizumab in the refractory setting (para 7.10).</w:t>
            </w:r>
          </w:p>
        </w:tc>
        <w:tc>
          <w:tcPr>
            <w:tcW w:w="1680" w:type="pct"/>
          </w:tcPr>
          <w:p w14:paraId="4047033E" w14:textId="21D2046B" w:rsidR="005C25FF" w:rsidRPr="00704B78" w:rsidRDefault="00450497" w:rsidP="006E2A77">
            <w:pPr>
              <w:pStyle w:val="COMTabletext"/>
              <w:keepNext w:val="0"/>
            </w:pPr>
            <w:r w:rsidRPr="00704B78">
              <w:rPr>
                <w:snapToGrid w:val="0"/>
              </w:rPr>
              <w:t>The resubmission nominated placebo as the main comparator in patient</w:t>
            </w:r>
            <w:r w:rsidR="00A00733">
              <w:rPr>
                <w:snapToGrid w:val="0"/>
              </w:rPr>
              <w:t>s</w:t>
            </w:r>
            <w:r w:rsidRPr="00704B78">
              <w:rPr>
                <w:snapToGrid w:val="0"/>
              </w:rPr>
              <w:t xml:space="preserve"> who have failed previous IVIg/PLEX treatment</w:t>
            </w:r>
            <w:r w:rsidR="00A00733">
              <w:rPr>
                <w:snapToGrid w:val="0"/>
              </w:rPr>
              <w:t>.</w:t>
            </w:r>
          </w:p>
        </w:tc>
      </w:tr>
      <w:tr w:rsidR="00E37A09" w:rsidRPr="00704B78" w14:paraId="41AE7B3E" w14:textId="77777777" w:rsidTr="3517B442">
        <w:trPr>
          <w:cantSplit/>
        </w:trPr>
        <w:tc>
          <w:tcPr>
            <w:tcW w:w="874" w:type="pct"/>
            <w:vAlign w:val="center"/>
          </w:tcPr>
          <w:p w14:paraId="31B28DCD" w14:textId="7D4A8279" w:rsidR="00E37A09" w:rsidRPr="00704B78" w:rsidRDefault="00E37A09" w:rsidP="006E2A77">
            <w:pPr>
              <w:pStyle w:val="COMTabletext"/>
              <w:keepNext w:val="0"/>
            </w:pPr>
            <w:r w:rsidRPr="00704B78">
              <w:t>Clinical evidence</w:t>
            </w:r>
          </w:p>
        </w:tc>
        <w:tc>
          <w:tcPr>
            <w:tcW w:w="2446" w:type="pct"/>
          </w:tcPr>
          <w:p w14:paraId="29F6BD3A" w14:textId="1EF1A756" w:rsidR="00E37A09" w:rsidRPr="00704B78" w:rsidRDefault="00E37A09" w:rsidP="006E2A77">
            <w:pPr>
              <w:pStyle w:val="COMTabletext"/>
              <w:keepNext w:val="0"/>
            </w:pPr>
            <w:r w:rsidRPr="00704B78">
              <w:rPr>
                <w:snapToGrid w:val="0"/>
              </w:rPr>
              <w:t>The PBAC considered that the incremental benefit shown in the trial was modest and that it was difficult to determine whether the incremental benefit would be clinically meaningful in the broad population requested for listing given that the existing therapies may be effective for many patients</w:t>
            </w:r>
            <w:r w:rsidR="000D6BBA" w:rsidRPr="00704B78">
              <w:rPr>
                <w:snapToGrid w:val="0"/>
              </w:rPr>
              <w:t xml:space="preserve"> (para 7.1-7.3)</w:t>
            </w:r>
            <w:r w:rsidRPr="00704B78">
              <w:rPr>
                <w:snapToGrid w:val="0"/>
              </w:rPr>
              <w:t>.</w:t>
            </w:r>
          </w:p>
        </w:tc>
        <w:tc>
          <w:tcPr>
            <w:tcW w:w="1680" w:type="pct"/>
          </w:tcPr>
          <w:p w14:paraId="79C6260B" w14:textId="17F53D9F" w:rsidR="00E37A09" w:rsidRPr="00704B78" w:rsidRDefault="00E37A09" w:rsidP="006E2A77">
            <w:pPr>
              <w:pStyle w:val="COMTabletext"/>
              <w:keepNext w:val="0"/>
              <w:rPr>
                <w:snapToGrid w:val="0"/>
              </w:rPr>
            </w:pPr>
            <w:r w:rsidRPr="00704B78">
              <w:rPr>
                <w:snapToGrid w:val="0"/>
              </w:rPr>
              <w:t>The resubmission provided separate subgroup analyses for patients with newly diagnosed disease and treatment refractory disease.</w:t>
            </w:r>
          </w:p>
        </w:tc>
      </w:tr>
      <w:tr w:rsidR="00450497" w:rsidRPr="00704B78" w14:paraId="27CDE722" w14:textId="77777777" w:rsidTr="3517B442">
        <w:trPr>
          <w:cantSplit/>
        </w:trPr>
        <w:tc>
          <w:tcPr>
            <w:tcW w:w="874" w:type="pct"/>
            <w:vAlign w:val="center"/>
          </w:tcPr>
          <w:p w14:paraId="1C8487F7" w14:textId="48223956" w:rsidR="00450497" w:rsidRPr="00704B78" w:rsidRDefault="00450497" w:rsidP="006E2A77">
            <w:pPr>
              <w:pStyle w:val="COMTabletext"/>
              <w:keepNext w:val="0"/>
            </w:pPr>
            <w:r w:rsidRPr="00704B78">
              <w:lastRenderedPageBreak/>
              <w:t>Economic model</w:t>
            </w:r>
          </w:p>
        </w:tc>
        <w:tc>
          <w:tcPr>
            <w:tcW w:w="2446" w:type="pct"/>
          </w:tcPr>
          <w:p w14:paraId="27C84060" w14:textId="0051A57A" w:rsidR="00450497" w:rsidRPr="00704B78" w:rsidRDefault="00450497" w:rsidP="006E2A77">
            <w:pPr>
              <w:pStyle w:val="COMTabletext"/>
              <w:keepNext w:val="0"/>
            </w:pPr>
            <w:r w:rsidRPr="00704B78">
              <w:rPr>
                <w:snapToGrid w:val="0"/>
              </w:rPr>
              <w:t>The PBAC noted that the economic model only estimated the cost-effectiveness of ravulizumab when used as a new line of therapy immediately prior to the classification of patients as having treatment-refractory disease and did not assess the use of ravulizumab in other clinical roles covered by the proposed PBS listing</w:t>
            </w:r>
            <w:r w:rsidR="000D6BBA" w:rsidRPr="00704B78">
              <w:rPr>
                <w:snapToGrid w:val="0"/>
              </w:rPr>
              <w:t>.</w:t>
            </w:r>
          </w:p>
          <w:p w14:paraId="51CBD012" w14:textId="7EFFC1E4" w:rsidR="00450497" w:rsidRPr="00704B78" w:rsidRDefault="00450497" w:rsidP="006E2A77">
            <w:pPr>
              <w:pStyle w:val="COMTabletext"/>
              <w:keepNext w:val="0"/>
              <w:rPr>
                <w:snapToGrid w:val="0"/>
              </w:rPr>
            </w:pPr>
            <w:r w:rsidRPr="00704B78">
              <w:rPr>
                <w:snapToGrid w:val="0"/>
              </w:rPr>
              <w:t>The PBAC agreed with ESC that the base case ICER was highly likely to have been underestimated and was implausible due to the assumptions that:</w:t>
            </w:r>
          </w:p>
          <w:p w14:paraId="12FA194F" w14:textId="4F7699F0" w:rsidR="00450497" w:rsidRPr="00704B78" w:rsidRDefault="00450497" w:rsidP="006E2A77">
            <w:pPr>
              <w:pStyle w:val="COMTabletext"/>
              <w:keepNext w:val="0"/>
              <w:numPr>
                <w:ilvl w:val="0"/>
                <w:numId w:val="12"/>
              </w:numPr>
              <w:ind w:left="113" w:hanging="113"/>
            </w:pPr>
            <w:r w:rsidRPr="00704B78">
              <w:rPr>
                <w:snapToGrid w:val="0"/>
              </w:rPr>
              <w:t>All patients who respond and remain on ravulizumab for 2 years, cease ravulizumab, achieve disease remission and gradually relapse over the modelled time horizon of 15 years; while all placebo patients lose treatment response within 1 year and can never achieve disease remission.</w:t>
            </w:r>
            <w:r w:rsidR="00D61CA6">
              <w:rPr>
                <w:snapToGrid w:val="0"/>
              </w:rPr>
              <w:t xml:space="preserve"> </w:t>
            </w:r>
          </w:p>
          <w:p w14:paraId="2360CAAD" w14:textId="5BBA68A1" w:rsidR="00450497" w:rsidRPr="00704B78" w:rsidRDefault="00450497" w:rsidP="006E2A77">
            <w:pPr>
              <w:pStyle w:val="COMTabletext"/>
              <w:keepNext w:val="0"/>
              <w:numPr>
                <w:ilvl w:val="0"/>
                <w:numId w:val="12"/>
              </w:numPr>
              <w:ind w:left="113" w:hanging="113"/>
            </w:pPr>
            <w:r w:rsidRPr="00704B78">
              <w:rPr>
                <w:snapToGrid w:val="0"/>
              </w:rPr>
              <w:t xml:space="preserve">Patients with non-response to second/third-line treatments would have the same disutility as severe myasthenia gravis despite </w:t>
            </w:r>
            <w:proofErr w:type="gramStart"/>
            <w:r w:rsidRPr="00704B78">
              <w:rPr>
                <w:snapToGrid w:val="0"/>
              </w:rPr>
              <w:t>the vast majority of</w:t>
            </w:r>
            <w:proofErr w:type="gramEnd"/>
            <w:r w:rsidRPr="00704B78">
              <w:rPr>
                <w:snapToGrid w:val="0"/>
              </w:rPr>
              <w:t xml:space="preserve"> modelled patients having mild to moderate disease</w:t>
            </w:r>
            <w:r w:rsidR="008C248A" w:rsidRPr="00704B78">
              <w:rPr>
                <w:snapToGrid w:val="0"/>
              </w:rPr>
              <w:t xml:space="preserve"> </w:t>
            </w:r>
            <w:r w:rsidRPr="00704B78">
              <w:rPr>
                <w:snapToGrid w:val="0"/>
              </w:rPr>
              <w:t>(para 7.15-7.16).</w:t>
            </w:r>
          </w:p>
        </w:tc>
        <w:tc>
          <w:tcPr>
            <w:tcW w:w="1680" w:type="pct"/>
          </w:tcPr>
          <w:p w14:paraId="684F0D79" w14:textId="53D7F87C" w:rsidR="00450497" w:rsidRPr="00704B78" w:rsidRDefault="00450497" w:rsidP="006E2A77">
            <w:pPr>
              <w:pStyle w:val="COMTabletext"/>
              <w:keepNext w:val="0"/>
              <w:rPr>
                <w:snapToGrid w:val="0"/>
              </w:rPr>
            </w:pPr>
            <w:r w:rsidRPr="00704B78">
              <w:rPr>
                <w:snapToGrid w:val="0"/>
              </w:rPr>
              <w:t>The resubmission provided two separate economic models for patients with newly diagnosed and treatment refractory disease.</w:t>
            </w:r>
          </w:p>
          <w:p w14:paraId="73941A17" w14:textId="75918252" w:rsidR="00B67DDF" w:rsidRPr="00704B78" w:rsidRDefault="00450497" w:rsidP="006E2A77">
            <w:pPr>
              <w:pStyle w:val="COMTabletext"/>
              <w:keepNext w:val="0"/>
              <w:rPr>
                <w:snapToGrid w:val="0"/>
              </w:rPr>
            </w:pPr>
            <w:r w:rsidRPr="00704B78">
              <w:rPr>
                <w:snapToGrid w:val="0"/>
              </w:rPr>
              <w:t xml:space="preserve">Transition probabilities for treatment response, treatment discontinuation and loss of response were extensively revised in the resubmission. Patients in the placebo arm in the newly diagnosed model can now achieve a </w:t>
            </w:r>
            <w:r w:rsidR="00DE4282" w:rsidRPr="00704B78">
              <w:rPr>
                <w:snapToGrid w:val="0"/>
              </w:rPr>
              <w:t>pharmacological remission</w:t>
            </w:r>
            <w:r w:rsidR="00B67DDF" w:rsidRPr="00704B78">
              <w:rPr>
                <w:snapToGrid w:val="0"/>
              </w:rPr>
              <w:t>.</w:t>
            </w:r>
          </w:p>
          <w:p w14:paraId="534C0E50" w14:textId="3A4F4B5A" w:rsidR="00B67DDF" w:rsidRPr="00704B78" w:rsidRDefault="00B67DDF" w:rsidP="006E2A77">
            <w:pPr>
              <w:pStyle w:val="COMTabletext"/>
              <w:keepNext w:val="0"/>
            </w:pPr>
            <w:r w:rsidRPr="00704B78">
              <w:rPr>
                <w:snapToGrid w:val="0"/>
              </w:rPr>
              <w:t>The resubmission revised utility values for subsequent therapies based on the assumption that newly diagnosed non-responders have the same utility value as patients with moderate disease while treatment refractory non-responders have the same utility value as patients with moderate-to-severe disease.</w:t>
            </w:r>
          </w:p>
        </w:tc>
      </w:tr>
      <w:tr w:rsidR="007D7AC1" w:rsidRPr="00704B78" w14:paraId="2372341E" w14:textId="77777777" w:rsidTr="3517B442">
        <w:trPr>
          <w:cantSplit/>
        </w:trPr>
        <w:tc>
          <w:tcPr>
            <w:tcW w:w="874" w:type="pct"/>
            <w:vAlign w:val="center"/>
          </w:tcPr>
          <w:p w14:paraId="123E64B2" w14:textId="4FE3E322" w:rsidR="007D7AC1" w:rsidRPr="00704B78" w:rsidRDefault="007D7AC1" w:rsidP="006E2A77">
            <w:pPr>
              <w:pStyle w:val="COMTabletext"/>
              <w:keepNext w:val="0"/>
            </w:pPr>
            <w:r w:rsidRPr="00704B78">
              <w:t>Cost effectiveness estimate</w:t>
            </w:r>
          </w:p>
        </w:tc>
        <w:tc>
          <w:tcPr>
            <w:tcW w:w="2446" w:type="pct"/>
          </w:tcPr>
          <w:p w14:paraId="7EA9CD9D" w14:textId="1B084472" w:rsidR="007D7AC1" w:rsidRPr="00704B78" w:rsidRDefault="007D7AC1" w:rsidP="006E2A77">
            <w:pPr>
              <w:pStyle w:val="COMTabletext"/>
              <w:keepNext w:val="0"/>
            </w:pPr>
            <w:r w:rsidRPr="00704B78">
              <w:rPr>
                <w:snapToGrid w:val="0"/>
              </w:rPr>
              <w:t xml:space="preserve">The PBAC considered the </w:t>
            </w:r>
            <w:r w:rsidR="000D6BBA" w:rsidRPr="00704B78">
              <w:rPr>
                <w:snapToGrid w:val="0"/>
              </w:rPr>
              <w:t xml:space="preserve">ICER </w:t>
            </w:r>
            <w:r w:rsidRPr="00704B78">
              <w:rPr>
                <w:snapToGrid w:val="0"/>
              </w:rPr>
              <w:t>presented in the submission was very high and likely to have been underestimated, and the proposed price was very high (para 7.1-7.3).</w:t>
            </w:r>
          </w:p>
        </w:tc>
        <w:tc>
          <w:tcPr>
            <w:tcW w:w="1680" w:type="pct"/>
          </w:tcPr>
          <w:p w14:paraId="5341EEC7" w14:textId="746505FC" w:rsidR="007D7AC1" w:rsidRPr="00704B78" w:rsidRDefault="007D7AC1" w:rsidP="006E2A77">
            <w:pPr>
              <w:pStyle w:val="COMTabletext"/>
              <w:keepNext w:val="0"/>
              <w:rPr>
                <w:snapToGrid w:val="0"/>
              </w:rPr>
            </w:pPr>
            <w:r w:rsidRPr="00704B78">
              <w:rPr>
                <w:snapToGrid w:val="0"/>
              </w:rPr>
              <w:t xml:space="preserve">The resubmission proposed a </w:t>
            </w:r>
            <w:r w:rsidR="00F555BD" w:rsidRPr="00F555BD">
              <w:rPr>
                <w:snapToGrid w:val="0"/>
                <w:color w:val="000000"/>
                <w:spacing w:val="50"/>
                <w:w w:val="94"/>
                <w:shd w:val="solid" w:color="000000" w:fill="000000"/>
                <w:fitText w:val="326" w:id="-691350016"/>
                <w14:textFill>
                  <w14:solidFill>
                    <w14:srgbClr w14:val="000000">
                      <w14:alpha w14:val="100000"/>
                    </w14:srgbClr>
                  </w14:solidFill>
                </w14:textFill>
              </w:rPr>
              <w:t>|||</w:t>
            </w:r>
            <w:r w:rsidR="00F555BD" w:rsidRPr="00F555BD">
              <w:rPr>
                <w:snapToGrid w:val="0"/>
                <w:color w:val="000000"/>
                <w:spacing w:val="25"/>
                <w:w w:val="94"/>
                <w:shd w:val="solid" w:color="000000" w:fill="000000"/>
                <w:fitText w:val="326" w:id="-691350016"/>
                <w14:textFill>
                  <w14:solidFill>
                    <w14:srgbClr w14:val="000000">
                      <w14:alpha w14:val="100000"/>
                    </w14:srgbClr>
                  </w14:solidFill>
                </w14:textFill>
              </w:rPr>
              <w:t>|</w:t>
            </w:r>
            <w:r w:rsidRPr="00704B78">
              <w:rPr>
                <w:snapToGrid w:val="0"/>
              </w:rPr>
              <w:t>% reduction in the effective price of ravulizumab</w:t>
            </w:r>
            <w:r w:rsidR="007074F7" w:rsidRPr="00704B78">
              <w:rPr>
                <w:snapToGrid w:val="0"/>
              </w:rPr>
              <w:t>.</w:t>
            </w:r>
          </w:p>
        </w:tc>
      </w:tr>
      <w:tr w:rsidR="007D7AC1" w:rsidRPr="00704B78" w14:paraId="65044439" w14:textId="77777777" w:rsidTr="3517B442">
        <w:trPr>
          <w:cantSplit/>
        </w:trPr>
        <w:tc>
          <w:tcPr>
            <w:tcW w:w="874" w:type="pct"/>
            <w:vAlign w:val="center"/>
          </w:tcPr>
          <w:p w14:paraId="0FD6AEE1" w14:textId="7EA3DFCA" w:rsidR="007D7AC1" w:rsidRPr="00704B78" w:rsidRDefault="007D7AC1" w:rsidP="006E2A77">
            <w:pPr>
              <w:pStyle w:val="COMTabletext"/>
              <w:keepNext w:val="0"/>
            </w:pPr>
            <w:r w:rsidRPr="00704B78">
              <w:t>Budget impact</w:t>
            </w:r>
          </w:p>
        </w:tc>
        <w:tc>
          <w:tcPr>
            <w:tcW w:w="2446" w:type="pct"/>
          </w:tcPr>
          <w:p w14:paraId="39FF9A3F" w14:textId="5C7CC99C" w:rsidR="007D7AC1" w:rsidRPr="00704B78" w:rsidRDefault="007D7AC1" w:rsidP="006E2A77">
            <w:pPr>
              <w:pStyle w:val="COMTabletext"/>
              <w:keepNext w:val="0"/>
            </w:pPr>
            <w:r w:rsidRPr="00704B78">
              <w:rPr>
                <w:snapToGrid w:val="0"/>
              </w:rPr>
              <w:t>The PBAC agreed with DUSC regarding the significant uncertainties regarding the prevalence of myasthenia gravis (potentially underestimated), the proportion of patients with generalised symptoms; the proportion of patients with MG-ADL ≥ 6 (likely underestimated); the expected uptake of ravulizumab (potentially underestimated); and the likely duration of ravulizumab treatment (para 7.17).</w:t>
            </w:r>
          </w:p>
        </w:tc>
        <w:tc>
          <w:tcPr>
            <w:tcW w:w="1680" w:type="pct"/>
          </w:tcPr>
          <w:p w14:paraId="0041D565" w14:textId="285626A8" w:rsidR="007D7AC1" w:rsidRPr="00704B78" w:rsidRDefault="007D7AC1" w:rsidP="006E2A77">
            <w:pPr>
              <w:pStyle w:val="COMTabletext"/>
              <w:keepNext w:val="0"/>
              <w:spacing w:after="120"/>
              <w:rPr>
                <w:snapToGrid w:val="0"/>
              </w:rPr>
            </w:pPr>
            <w:r w:rsidRPr="00704B78">
              <w:rPr>
                <w:snapToGrid w:val="0"/>
              </w:rPr>
              <w:t>The resubmission used the same sources for epidemiology data but now includes growth over time.</w:t>
            </w:r>
          </w:p>
          <w:p w14:paraId="7D679808" w14:textId="31609868" w:rsidR="007D7AC1" w:rsidRPr="00704B78" w:rsidRDefault="007D7AC1" w:rsidP="006E2A77">
            <w:pPr>
              <w:pStyle w:val="COMTabletext"/>
              <w:keepNext w:val="0"/>
              <w:spacing w:after="120"/>
            </w:pPr>
            <w:r w:rsidRPr="00704B78">
              <w:rPr>
                <w:snapToGrid w:val="0"/>
              </w:rPr>
              <w:t>The proportion of patients with generalised symptoms and MG-ADL ≥ 6 have remained the same.</w:t>
            </w:r>
          </w:p>
          <w:p w14:paraId="192F0031" w14:textId="1CC6A5D7" w:rsidR="007D7AC1" w:rsidRPr="00704B78" w:rsidRDefault="007D7AC1" w:rsidP="006E2A77">
            <w:pPr>
              <w:pStyle w:val="COMTabletext"/>
              <w:keepNext w:val="0"/>
              <w:spacing w:after="120"/>
            </w:pPr>
            <w:r w:rsidRPr="00704B78">
              <w:rPr>
                <w:snapToGrid w:val="0"/>
              </w:rPr>
              <w:t>The assumed uptake rate of ravulizumab was substantially increased.</w:t>
            </w:r>
          </w:p>
          <w:p w14:paraId="1DCD38AF" w14:textId="502E2ED0" w:rsidR="007D7AC1" w:rsidRPr="00704B78" w:rsidRDefault="007D7AC1" w:rsidP="006E2A77">
            <w:pPr>
              <w:pStyle w:val="COMTabletext"/>
              <w:keepNext w:val="0"/>
              <w:rPr>
                <w:snapToGrid w:val="0"/>
              </w:rPr>
            </w:pPr>
            <w:r w:rsidRPr="00704B78">
              <w:rPr>
                <w:snapToGrid w:val="0"/>
              </w:rPr>
              <w:t>The likely duration of treatment was better defined for newly diagnosed patients with a maximum treatment limit of 2 years</w:t>
            </w:r>
            <w:r w:rsidR="007074F7" w:rsidRPr="00704B78">
              <w:rPr>
                <w:snapToGrid w:val="0"/>
              </w:rPr>
              <w:t>.</w:t>
            </w:r>
          </w:p>
        </w:tc>
      </w:tr>
    </w:tbl>
    <w:p w14:paraId="451D7156" w14:textId="06C7A12F" w:rsidR="005C25FF" w:rsidRPr="00704B78" w:rsidRDefault="005C25FF" w:rsidP="006E2A77">
      <w:pPr>
        <w:pStyle w:val="COMTablefooter"/>
      </w:pPr>
      <w:r w:rsidRPr="00704B78">
        <w:t xml:space="preserve">Source: </w:t>
      </w:r>
      <w:r w:rsidR="007D7AC1" w:rsidRPr="00704B78">
        <w:t>Table ES-1, pp XVII-XVIII of the resubmission</w:t>
      </w:r>
    </w:p>
    <w:p w14:paraId="3E9B2C64" w14:textId="58C3B448" w:rsidR="007074F7" w:rsidRPr="00704B78" w:rsidRDefault="007074F7" w:rsidP="006E2A77">
      <w:pPr>
        <w:pStyle w:val="COMTablefooter"/>
      </w:pPr>
      <w:bookmarkStart w:id="7" w:name="_Toc107902078"/>
      <w:bookmarkEnd w:id="7"/>
      <w:r w:rsidRPr="00704B78">
        <w:t xml:space="preserve">Abbreviations: DUSC, Drug Utilisation Sub-Committee; ESC, Economic Sub-Committee; IVIg, intravenous immunoglobulin; MG-ADL, Myasthenia Gravis Activities of Daily Living Scale; PBAC, Pharmaceutical Benefits Advisory Committee; PLEX, plasma exchange; PSD, Public Summary Document </w:t>
      </w:r>
    </w:p>
    <w:p w14:paraId="265904B5" w14:textId="1194BD37" w:rsidR="001E3484" w:rsidRPr="00704B78" w:rsidRDefault="00B50DB8" w:rsidP="006E2A77">
      <w:pPr>
        <w:pStyle w:val="COMH1-numbered"/>
        <w:numPr>
          <w:ilvl w:val="0"/>
          <w:numId w:val="1"/>
        </w:numPr>
      </w:pPr>
      <w:bookmarkStart w:id="8" w:name="_Toc188350822"/>
      <w:r w:rsidRPr="00704B78">
        <w:lastRenderedPageBreak/>
        <w:t>Requested listing</w:t>
      </w:r>
      <w:bookmarkEnd w:id="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249"/>
        <w:gridCol w:w="1547"/>
        <w:gridCol w:w="1548"/>
        <w:gridCol w:w="891"/>
        <w:gridCol w:w="892"/>
        <w:gridCol w:w="892"/>
        <w:gridCol w:w="998"/>
      </w:tblGrid>
      <w:tr w:rsidR="001E3484" w:rsidRPr="00704B78" w14:paraId="615CBE1F" w14:textId="77777777" w:rsidTr="3517B442">
        <w:trPr>
          <w:cantSplit/>
          <w:trHeight w:val="20"/>
        </w:trPr>
        <w:tc>
          <w:tcPr>
            <w:tcW w:w="2268" w:type="dxa"/>
            <w:vMerge w:val="restart"/>
            <w:vAlign w:val="center"/>
          </w:tcPr>
          <w:p w14:paraId="4016588A" w14:textId="77777777" w:rsidR="001E3484" w:rsidRPr="00704B78" w:rsidRDefault="001E3484" w:rsidP="006E2A77">
            <w:pPr>
              <w:keepNext/>
              <w:keepLines/>
              <w:rPr>
                <w:rFonts w:ascii="Arial Narrow" w:hAnsi="Arial Narrow"/>
                <w:b/>
                <w:bCs/>
                <w:sz w:val="20"/>
                <w:szCs w:val="20"/>
              </w:rPr>
            </w:pPr>
            <w:r w:rsidRPr="00704B78">
              <w:rPr>
                <w:rFonts w:ascii="Arial Narrow" w:hAnsi="Arial Narrow"/>
                <w:b/>
                <w:bCs/>
                <w:sz w:val="20"/>
                <w:szCs w:val="20"/>
              </w:rPr>
              <w:t>MEDICINAL PRODUCT</w:t>
            </w:r>
          </w:p>
          <w:p w14:paraId="344F763B" w14:textId="77777777" w:rsidR="001E3484" w:rsidRPr="00704B78" w:rsidRDefault="001E3484" w:rsidP="006E2A77">
            <w:pPr>
              <w:keepNext/>
              <w:keepLines/>
              <w:rPr>
                <w:rFonts w:ascii="Arial Narrow" w:hAnsi="Arial Narrow"/>
                <w:b/>
                <w:bCs/>
                <w:sz w:val="20"/>
                <w:szCs w:val="20"/>
              </w:rPr>
            </w:pPr>
            <w:r w:rsidRPr="00704B78">
              <w:rPr>
                <w:rFonts w:ascii="Arial Narrow" w:hAnsi="Arial Narrow"/>
                <w:b/>
                <w:bCs/>
                <w:sz w:val="20"/>
                <w:szCs w:val="20"/>
              </w:rPr>
              <w:t>medicinal product pack</w:t>
            </w:r>
          </w:p>
        </w:tc>
        <w:tc>
          <w:tcPr>
            <w:tcW w:w="3119" w:type="dxa"/>
            <w:gridSpan w:val="2"/>
            <w:vAlign w:val="center"/>
          </w:tcPr>
          <w:p w14:paraId="677795F0" w14:textId="77777777" w:rsidR="001E3484" w:rsidRPr="00704B78" w:rsidRDefault="001E3484" w:rsidP="006E2A77">
            <w:pPr>
              <w:pStyle w:val="COMTabletext"/>
              <w:keepLines/>
              <w:jc w:val="center"/>
              <w:rPr>
                <w:b/>
                <w:bCs w:val="0"/>
                <w:snapToGrid w:val="0"/>
              </w:rPr>
            </w:pPr>
            <w:r w:rsidRPr="00704B78">
              <w:rPr>
                <w:b/>
              </w:rPr>
              <w:t>Dispensed price for Max. qty</w:t>
            </w:r>
          </w:p>
        </w:tc>
        <w:tc>
          <w:tcPr>
            <w:tcW w:w="897" w:type="dxa"/>
            <w:vMerge w:val="restart"/>
            <w:vAlign w:val="center"/>
          </w:tcPr>
          <w:p w14:paraId="71C01697" w14:textId="77777777" w:rsidR="001E3484" w:rsidRPr="00704B78" w:rsidRDefault="001E3484" w:rsidP="006E2A77">
            <w:pPr>
              <w:keepNext/>
              <w:keepLines/>
              <w:jc w:val="center"/>
              <w:rPr>
                <w:rFonts w:ascii="Arial Narrow" w:hAnsi="Arial Narrow"/>
                <w:b/>
                <w:sz w:val="20"/>
                <w:szCs w:val="20"/>
              </w:rPr>
            </w:pPr>
            <w:r w:rsidRPr="00704B78">
              <w:rPr>
                <w:rFonts w:ascii="Arial Narrow" w:hAnsi="Arial Narrow"/>
                <w:b/>
                <w:sz w:val="20"/>
                <w:szCs w:val="20"/>
              </w:rPr>
              <w:t>Max. qty packs</w:t>
            </w:r>
          </w:p>
        </w:tc>
        <w:tc>
          <w:tcPr>
            <w:tcW w:w="898" w:type="dxa"/>
            <w:vMerge w:val="restart"/>
            <w:vAlign w:val="center"/>
          </w:tcPr>
          <w:p w14:paraId="712F891A" w14:textId="77777777" w:rsidR="001E3484" w:rsidRPr="00704B78" w:rsidRDefault="001E3484" w:rsidP="006E2A77">
            <w:pPr>
              <w:keepNext/>
              <w:keepLines/>
              <w:jc w:val="center"/>
              <w:rPr>
                <w:rFonts w:ascii="Arial Narrow" w:hAnsi="Arial Narrow"/>
                <w:b/>
                <w:sz w:val="20"/>
                <w:szCs w:val="20"/>
              </w:rPr>
            </w:pPr>
            <w:r w:rsidRPr="00704B78">
              <w:rPr>
                <w:rFonts w:ascii="Arial Narrow" w:hAnsi="Arial Narrow"/>
                <w:b/>
                <w:sz w:val="20"/>
                <w:szCs w:val="20"/>
              </w:rPr>
              <w:t>Max. qty units</w:t>
            </w:r>
          </w:p>
        </w:tc>
        <w:tc>
          <w:tcPr>
            <w:tcW w:w="898" w:type="dxa"/>
            <w:vMerge w:val="restart"/>
            <w:vAlign w:val="center"/>
          </w:tcPr>
          <w:p w14:paraId="47AB9A2A" w14:textId="77777777" w:rsidR="001E3484" w:rsidRPr="00704B78" w:rsidRDefault="001E3484" w:rsidP="006E2A77">
            <w:pPr>
              <w:keepNext/>
              <w:keepLines/>
              <w:jc w:val="center"/>
              <w:rPr>
                <w:rFonts w:ascii="Arial Narrow" w:hAnsi="Arial Narrow"/>
                <w:b/>
                <w:bCs/>
                <w:sz w:val="20"/>
                <w:szCs w:val="20"/>
              </w:rPr>
            </w:pPr>
            <w:r w:rsidRPr="00704B78">
              <w:rPr>
                <w:rFonts w:ascii="Arial Narrow" w:hAnsi="Arial Narrow"/>
                <w:b/>
                <w:bCs/>
                <w:sz w:val="20"/>
                <w:szCs w:val="20"/>
              </w:rPr>
              <w:t>№.of</w:t>
            </w:r>
          </w:p>
          <w:p w14:paraId="1D461081" w14:textId="77777777" w:rsidR="001E3484" w:rsidRPr="00704B78" w:rsidRDefault="001E3484" w:rsidP="006E2A77">
            <w:pPr>
              <w:keepNext/>
              <w:keepLines/>
              <w:jc w:val="center"/>
              <w:rPr>
                <w:rFonts w:ascii="Arial Narrow" w:hAnsi="Arial Narrow"/>
                <w:b/>
                <w:bCs/>
                <w:sz w:val="20"/>
                <w:szCs w:val="20"/>
              </w:rPr>
            </w:pPr>
            <w:r w:rsidRPr="00704B78">
              <w:rPr>
                <w:rFonts w:ascii="Arial Narrow" w:hAnsi="Arial Narrow"/>
                <w:b/>
                <w:bCs/>
                <w:sz w:val="20"/>
                <w:szCs w:val="20"/>
              </w:rPr>
              <w:t>Rpts</w:t>
            </w:r>
          </w:p>
        </w:tc>
        <w:tc>
          <w:tcPr>
            <w:tcW w:w="1005" w:type="dxa"/>
            <w:vMerge w:val="restart"/>
            <w:vAlign w:val="center"/>
          </w:tcPr>
          <w:p w14:paraId="23F3F723" w14:textId="77777777" w:rsidR="001E3484" w:rsidRPr="00704B78" w:rsidRDefault="001E3484" w:rsidP="006E2A77">
            <w:pPr>
              <w:keepNext/>
              <w:keepLines/>
              <w:jc w:val="center"/>
              <w:rPr>
                <w:rFonts w:ascii="Arial Narrow" w:hAnsi="Arial Narrow"/>
                <w:b/>
                <w:sz w:val="20"/>
                <w:szCs w:val="20"/>
              </w:rPr>
            </w:pPr>
            <w:r w:rsidRPr="00704B78">
              <w:rPr>
                <w:rFonts w:ascii="Arial Narrow" w:hAnsi="Arial Narrow"/>
                <w:b/>
                <w:sz w:val="20"/>
                <w:szCs w:val="20"/>
              </w:rPr>
              <w:t>Available brands</w:t>
            </w:r>
          </w:p>
        </w:tc>
      </w:tr>
      <w:tr w:rsidR="001E3484" w:rsidRPr="00704B78" w14:paraId="0280E68E" w14:textId="77777777" w:rsidTr="3517B442">
        <w:trPr>
          <w:cantSplit/>
          <w:trHeight w:val="20"/>
        </w:trPr>
        <w:tc>
          <w:tcPr>
            <w:tcW w:w="2268" w:type="dxa"/>
            <w:vMerge/>
            <w:vAlign w:val="center"/>
          </w:tcPr>
          <w:p w14:paraId="3DF6A53F" w14:textId="77777777" w:rsidR="001E3484" w:rsidRPr="00704B78" w:rsidRDefault="001E3484" w:rsidP="006E2A77">
            <w:pPr>
              <w:keepNext/>
              <w:keepLines/>
              <w:rPr>
                <w:rFonts w:ascii="Arial Narrow" w:hAnsi="Arial Narrow"/>
                <w:b/>
                <w:sz w:val="20"/>
                <w:szCs w:val="20"/>
              </w:rPr>
            </w:pPr>
          </w:p>
        </w:tc>
        <w:tc>
          <w:tcPr>
            <w:tcW w:w="1559" w:type="dxa"/>
            <w:vAlign w:val="center"/>
          </w:tcPr>
          <w:p w14:paraId="3A2E30A3" w14:textId="77777777" w:rsidR="001E3484" w:rsidRPr="00704B78" w:rsidRDefault="001E3484" w:rsidP="006E2A77">
            <w:pPr>
              <w:pStyle w:val="COMTabletext"/>
              <w:keepLines/>
              <w:jc w:val="center"/>
              <w:rPr>
                <w:b/>
                <w:bCs w:val="0"/>
                <w:szCs w:val="20"/>
              </w:rPr>
            </w:pPr>
            <w:r w:rsidRPr="00704B78">
              <w:rPr>
                <w:b/>
              </w:rPr>
              <w:t>Published</w:t>
            </w:r>
          </w:p>
        </w:tc>
        <w:tc>
          <w:tcPr>
            <w:tcW w:w="1560" w:type="dxa"/>
            <w:vAlign w:val="center"/>
          </w:tcPr>
          <w:p w14:paraId="190CB363" w14:textId="77777777" w:rsidR="001E3484" w:rsidRPr="00704B78" w:rsidRDefault="001E3484" w:rsidP="006E2A77">
            <w:pPr>
              <w:pStyle w:val="COMTabletext"/>
              <w:keepLines/>
              <w:jc w:val="center"/>
              <w:rPr>
                <w:b/>
                <w:bCs w:val="0"/>
                <w:szCs w:val="20"/>
              </w:rPr>
            </w:pPr>
            <w:r w:rsidRPr="00704B78">
              <w:rPr>
                <w:b/>
              </w:rPr>
              <w:t>Effective</w:t>
            </w:r>
          </w:p>
        </w:tc>
        <w:tc>
          <w:tcPr>
            <w:tcW w:w="897" w:type="dxa"/>
            <w:vMerge/>
            <w:vAlign w:val="center"/>
          </w:tcPr>
          <w:p w14:paraId="174A8C19" w14:textId="77777777" w:rsidR="001E3484" w:rsidRPr="00704B78" w:rsidRDefault="001E3484" w:rsidP="006E2A77">
            <w:pPr>
              <w:keepNext/>
              <w:keepLines/>
              <w:jc w:val="center"/>
              <w:rPr>
                <w:rFonts w:ascii="Arial Narrow" w:hAnsi="Arial Narrow"/>
                <w:b/>
                <w:sz w:val="20"/>
                <w:szCs w:val="20"/>
              </w:rPr>
            </w:pPr>
          </w:p>
        </w:tc>
        <w:tc>
          <w:tcPr>
            <w:tcW w:w="898" w:type="dxa"/>
            <w:vMerge/>
            <w:vAlign w:val="center"/>
          </w:tcPr>
          <w:p w14:paraId="21ED583A" w14:textId="77777777" w:rsidR="001E3484" w:rsidRPr="00704B78" w:rsidRDefault="001E3484" w:rsidP="006E2A77">
            <w:pPr>
              <w:keepNext/>
              <w:keepLines/>
              <w:jc w:val="center"/>
              <w:rPr>
                <w:rFonts w:ascii="Arial Narrow" w:hAnsi="Arial Narrow"/>
                <w:b/>
                <w:sz w:val="20"/>
                <w:szCs w:val="20"/>
              </w:rPr>
            </w:pPr>
          </w:p>
        </w:tc>
        <w:tc>
          <w:tcPr>
            <w:tcW w:w="898" w:type="dxa"/>
            <w:vMerge/>
            <w:vAlign w:val="center"/>
          </w:tcPr>
          <w:p w14:paraId="295E64F1" w14:textId="77777777" w:rsidR="001E3484" w:rsidRPr="00704B78" w:rsidRDefault="001E3484" w:rsidP="006E2A77">
            <w:pPr>
              <w:keepNext/>
              <w:keepLines/>
              <w:jc w:val="center"/>
              <w:rPr>
                <w:rFonts w:ascii="Arial Narrow" w:hAnsi="Arial Narrow"/>
                <w:b/>
                <w:sz w:val="20"/>
                <w:szCs w:val="20"/>
              </w:rPr>
            </w:pPr>
          </w:p>
        </w:tc>
        <w:tc>
          <w:tcPr>
            <w:tcW w:w="1005" w:type="dxa"/>
            <w:vMerge/>
            <w:vAlign w:val="center"/>
          </w:tcPr>
          <w:p w14:paraId="25532A0C" w14:textId="77777777" w:rsidR="001E3484" w:rsidRPr="00704B78" w:rsidRDefault="001E3484" w:rsidP="006E2A77">
            <w:pPr>
              <w:keepNext/>
              <w:keepLines/>
              <w:rPr>
                <w:rFonts w:ascii="Arial Narrow" w:hAnsi="Arial Narrow"/>
                <w:b/>
                <w:sz w:val="20"/>
                <w:szCs w:val="20"/>
              </w:rPr>
            </w:pPr>
          </w:p>
        </w:tc>
      </w:tr>
      <w:tr w:rsidR="001E3484" w:rsidRPr="00704B78" w14:paraId="3B786A53" w14:textId="77777777" w:rsidTr="3517B442">
        <w:trPr>
          <w:cantSplit/>
          <w:trHeight w:val="20"/>
        </w:trPr>
        <w:tc>
          <w:tcPr>
            <w:tcW w:w="9085" w:type="dxa"/>
            <w:gridSpan w:val="7"/>
            <w:vAlign w:val="center"/>
          </w:tcPr>
          <w:p w14:paraId="2619810C" w14:textId="77777777" w:rsidR="001E3484" w:rsidRPr="00704B78" w:rsidRDefault="001E3484" w:rsidP="006E2A77">
            <w:pPr>
              <w:pStyle w:val="COMTabletext"/>
              <w:keepLines/>
              <w:rPr>
                <w:rFonts w:cs="Arial"/>
                <w:szCs w:val="20"/>
              </w:rPr>
            </w:pPr>
            <w:r w:rsidRPr="00704B78">
              <w:rPr>
                <w:smallCaps/>
              </w:rPr>
              <w:t>Ravulizumab</w:t>
            </w:r>
            <w:r w:rsidRPr="00704B78">
              <w:rPr>
                <w:rFonts w:cs="Arial"/>
                <w:color w:val="0066FF"/>
                <w:szCs w:val="20"/>
              </w:rPr>
              <w:t xml:space="preserve"> </w:t>
            </w:r>
          </w:p>
        </w:tc>
      </w:tr>
      <w:tr w:rsidR="001E3484" w:rsidRPr="00704B78" w14:paraId="627E5B83" w14:textId="77777777" w:rsidTr="3517B442">
        <w:trPr>
          <w:cantSplit/>
          <w:trHeight w:val="20"/>
        </w:trPr>
        <w:tc>
          <w:tcPr>
            <w:tcW w:w="9085" w:type="dxa"/>
            <w:gridSpan w:val="7"/>
            <w:vAlign w:val="center"/>
          </w:tcPr>
          <w:p w14:paraId="1593CF24" w14:textId="77777777" w:rsidR="001E3484" w:rsidRPr="00704B78" w:rsidRDefault="001E3484" w:rsidP="006E2A77">
            <w:pPr>
              <w:pStyle w:val="COMTabletext"/>
              <w:keepLines/>
            </w:pPr>
            <w:r w:rsidRPr="00704B78">
              <w:t>Initial treatment</w:t>
            </w:r>
          </w:p>
        </w:tc>
      </w:tr>
      <w:tr w:rsidR="001E3484" w:rsidRPr="00704B78" w14:paraId="79F1A596" w14:textId="77777777" w:rsidTr="3517B442">
        <w:trPr>
          <w:cantSplit/>
          <w:trHeight w:val="20"/>
        </w:trPr>
        <w:tc>
          <w:tcPr>
            <w:tcW w:w="2268" w:type="dxa"/>
            <w:vAlign w:val="center"/>
          </w:tcPr>
          <w:p w14:paraId="24899CB7" w14:textId="77777777" w:rsidR="001E3484" w:rsidRPr="00704B78" w:rsidRDefault="001E3484" w:rsidP="006E2A77">
            <w:pPr>
              <w:keepNext/>
              <w:keepLines/>
              <w:rPr>
                <w:rFonts w:ascii="Arial Narrow" w:hAnsi="Arial Narrow"/>
                <w:sz w:val="20"/>
                <w:szCs w:val="20"/>
              </w:rPr>
            </w:pPr>
            <w:r w:rsidRPr="00704B78">
              <w:rPr>
                <w:rFonts w:ascii="Arial Narrow" w:hAnsi="Arial Narrow"/>
                <w:sz w:val="20"/>
                <w:szCs w:val="20"/>
              </w:rPr>
              <w:t xml:space="preserve">Ravulizumab, </w:t>
            </w:r>
          </w:p>
          <w:p w14:paraId="4E4DD014" w14:textId="77777777" w:rsidR="001E3484" w:rsidRPr="00704B78" w:rsidRDefault="001E3484" w:rsidP="006E2A77">
            <w:pPr>
              <w:keepNext/>
              <w:keepLines/>
              <w:rPr>
                <w:rFonts w:ascii="Arial Narrow" w:hAnsi="Arial Narrow"/>
                <w:sz w:val="20"/>
                <w:szCs w:val="20"/>
              </w:rPr>
            </w:pPr>
            <w:r w:rsidRPr="00704B78">
              <w:rPr>
                <w:rFonts w:ascii="Arial Narrow" w:hAnsi="Arial Narrow"/>
                <w:sz w:val="20"/>
                <w:szCs w:val="20"/>
              </w:rPr>
              <w:t>300 mg/3 mL IV infusion</w:t>
            </w:r>
          </w:p>
        </w:tc>
        <w:tc>
          <w:tcPr>
            <w:tcW w:w="1559" w:type="dxa"/>
            <w:vAlign w:val="center"/>
          </w:tcPr>
          <w:p w14:paraId="1A346091" w14:textId="77777777" w:rsidR="001E3484" w:rsidRPr="00704B78" w:rsidRDefault="001E3484" w:rsidP="006E2A77">
            <w:pPr>
              <w:pStyle w:val="Tabletext0"/>
              <w:keepNext/>
              <w:jc w:val="center"/>
            </w:pPr>
            <w:r w:rsidRPr="00704B78">
              <w:t>$6,574.12</w:t>
            </w:r>
          </w:p>
          <w:p w14:paraId="66695139" w14:textId="77777777" w:rsidR="001E3484" w:rsidRPr="00704B78" w:rsidRDefault="001E3484" w:rsidP="006E2A77">
            <w:pPr>
              <w:pStyle w:val="Tabletext0"/>
              <w:keepNext/>
              <w:jc w:val="center"/>
            </w:pPr>
            <w:r w:rsidRPr="00704B78">
              <w:t>(Public hospital)</w:t>
            </w:r>
          </w:p>
          <w:p w14:paraId="715DDA89" w14:textId="77777777" w:rsidR="001E3484" w:rsidRPr="00704B78" w:rsidRDefault="001E3484" w:rsidP="006E2A77">
            <w:pPr>
              <w:pStyle w:val="Tabletext0"/>
              <w:keepNext/>
              <w:jc w:val="center"/>
            </w:pPr>
            <w:r w:rsidRPr="00704B78">
              <w:t>$6,622.49</w:t>
            </w:r>
          </w:p>
          <w:p w14:paraId="3895AA03" w14:textId="77777777" w:rsidR="001E3484" w:rsidRPr="00704B78" w:rsidRDefault="001E3484" w:rsidP="006E2A77">
            <w:pPr>
              <w:pStyle w:val="COMTabletext"/>
              <w:keepLines/>
              <w:jc w:val="center"/>
            </w:pPr>
            <w:r w:rsidRPr="00704B78">
              <w:t>(Private hospital)</w:t>
            </w:r>
          </w:p>
        </w:tc>
        <w:tc>
          <w:tcPr>
            <w:tcW w:w="1560" w:type="dxa"/>
            <w:vAlign w:val="center"/>
          </w:tcPr>
          <w:p w14:paraId="60A812D3" w14:textId="2D265978"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p>
          <w:p w14:paraId="2AE70B69" w14:textId="77777777" w:rsidR="001E3484" w:rsidRPr="00704B78" w:rsidRDefault="001E3484" w:rsidP="006E2A77">
            <w:pPr>
              <w:pStyle w:val="Tabletext0"/>
              <w:keepNext/>
              <w:jc w:val="center"/>
            </w:pPr>
            <w:r w:rsidRPr="00704B78">
              <w:t>(Public hospital)</w:t>
            </w:r>
          </w:p>
          <w:p w14:paraId="7CAD7E0D" w14:textId="67951511"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p>
          <w:p w14:paraId="26C9C0CB" w14:textId="77777777" w:rsidR="001E3484" w:rsidRPr="00704B78" w:rsidRDefault="001E3484" w:rsidP="006E2A77">
            <w:pPr>
              <w:pStyle w:val="COMTabletext"/>
              <w:keepLines/>
              <w:jc w:val="center"/>
              <w:rPr>
                <w:szCs w:val="20"/>
              </w:rPr>
            </w:pPr>
            <w:r w:rsidRPr="00704B78">
              <w:t>(Private hospital)</w:t>
            </w:r>
          </w:p>
        </w:tc>
        <w:tc>
          <w:tcPr>
            <w:tcW w:w="897" w:type="dxa"/>
            <w:vAlign w:val="center"/>
          </w:tcPr>
          <w:p w14:paraId="24F60031"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rPr>
              <w:t>1</w:t>
            </w:r>
          </w:p>
        </w:tc>
        <w:tc>
          <w:tcPr>
            <w:tcW w:w="898" w:type="dxa"/>
            <w:vAlign w:val="center"/>
          </w:tcPr>
          <w:p w14:paraId="0C72267B"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rPr>
              <w:t>1</w:t>
            </w:r>
          </w:p>
        </w:tc>
        <w:tc>
          <w:tcPr>
            <w:tcW w:w="898" w:type="dxa"/>
            <w:vAlign w:val="center"/>
          </w:tcPr>
          <w:p w14:paraId="123AE586"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rPr>
              <w:t>2</w:t>
            </w:r>
          </w:p>
        </w:tc>
        <w:tc>
          <w:tcPr>
            <w:tcW w:w="1005" w:type="dxa"/>
            <w:vMerge w:val="restart"/>
            <w:vAlign w:val="center"/>
          </w:tcPr>
          <w:p w14:paraId="7883F8ED" w14:textId="77777777" w:rsidR="001E3484" w:rsidRPr="00704B78" w:rsidRDefault="001E3484" w:rsidP="006E2A77">
            <w:pPr>
              <w:keepNext/>
              <w:keepLines/>
              <w:jc w:val="center"/>
              <w:rPr>
                <w:rFonts w:ascii="Arial Narrow" w:hAnsi="Arial Narrow"/>
                <w:color w:val="0066FF"/>
                <w:sz w:val="20"/>
                <w:szCs w:val="20"/>
              </w:rPr>
            </w:pPr>
            <w:proofErr w:type="spellStart"/>
            <w:r w:rsidRPr="00704B78">
              <w:rPr>
                <w:rFonts w:ascii="Arial Narrow" w:hAnsi="Arial Narrow"/>
                <w:sz w:val="20"/>
                <w:szCs w:val="20"/>
              </w:rPr>
              <w:t>Ultomiris</w:t>
            </w:r>
            <w:proofErr w:type="spellEnd"/>
          </w:p>
        </w:tc>
      </w:tr>
      <w:tr w:rsidR="001E3484" w:rsidRPr="00704B78" w14:paraId="2929BC54" w14:textId="77777777" w:rsidTr="3517B442">
        <w:trPr>
          <w:cantSplit/>
          <w:trHeight w:val="20"/>
        </w:trPr>
        <w:tc>
          <w:tcPr>
            <w:tcW w:w="2268" w:type="dxa"/>
            <w:vAlign w:val="center"/>
          </w:tcPr>
          <w:p w14:paraId="466A77AF" w14:textId="77777777" w:rsidR="001E3484" w:rsidRPr="00704B78" w:rsidRDefault="001E3484" w:rsidP="006E2A77">
            <w:pPr>
              <w:keepNext/>
              <w:keepLines/>
              <w:rPr>
                <w:rFonts w:ascii="Arial Narrow" w:hAnsi="Arial Narrow"/>
                <w:sz w:val="20"/>
                <w:szCs w:val="20"/>
              </w:rPr>
            </w:pPr>
            <w:r w:rsidRPr="00704B78">
              <w:rPr>
                <w:rFonts w:ascii="Arial Narrow" w:hAnsi="Arial Narrow"/>
                <w:sz w:val="20"/>
                <w:szCs w:val="20"/>
              </w:rPr>
              <w:t xml:space="preserve">Ravulizumab, </w:t>
            </w:r>
          </w:p>
          <w:p w14:paraId="7D7E48B7" w14:textId="77777777" w:rsidR="001E3484" w:rsidRPr="00704B78" w:rsidRDefault="001E3484" w:rsidP="006E2A77">
            <w:pPr>
              <w:keepNext/>
              <w:keepLines/>
              <w:rPr>
                <w:rFonts w:ascii="Arial Narrow" w:hAnsi="Arial Narrow"/>
                <w:color w:val="0066FF"/>
                <w:sz w:val="20"/>
                <w:szCs w:val="20"/>
              </w:rPr>
            </w:pPr>
            <w:r w:rsidRPr="00704B78">
              <w:rPr>
                <w:rFonts w:ascii="Arial Narrow" w:hAnsi="Arial Narrow"/>
                <w:sz w:val="20"/>
                <w:szCs w:val="20"/>
              </w:rPr>
              <w:t>1,100 mg/11 mL IV infusion</w:t>
            </w:r>
          </w:p>
        </w:tc>
        <w:tc>
          <w:tcPr>
            <w:tcW w:w="1559" w:type="dxa"/>
            <w:vAlign w:val="center"/>
          </w:tcPr>
          <w:p w14:paraId="70B89401" w14:textId="77777777" w:rsidR="001E3484" w:rsidRPr="00704B78" w:rsidRDefault="001E3484" w:rsidP="006E2A77">
            <w:pPr>
              <w:pStyle w:val="Tabletext0"/>
              <w:keepNext/>
              <w:jc w:val="center"/>
            </w:pPr>
            <w:r w:rsidRPr="00704B78">
              <w:t xml:space="preserve">$24,105.11 </w:t>
            </w:r>
          </w:p>
          <w:p w14:paraId="7412F08F" w14:textId="77777777" w:rsidR="001E3484" w:rsidRPr="00704B78" w:rsidRDefault="001E3484" w:rsidP="006E2A77">
            <w:pPr>
              <w:pStyle w:val="Tabletext0"/>
              <w:keepNext/>
              <w:jc w:val="center"/>
            </w:pPr>
            <w:r w:rsidRPr="00704B78">
              <w:t>(Public hospital)</w:t>
            </w:r>
          </w:p>
          <w:p w14:paraId="15A38414" w14:textId="77777777" w:rsidR="001E3484" w:rsidRPr="00704B78" w:rsidRDefault="001E3484" w:rsidP="006E2A77">
            <w:pPr>
              <w:pStyle w:val="Tabletext0"/>
              <w:keepNext/>
              <w:jc w:val="center"/>
            </w:pPr>
            <w:r w:rsidRPr="00704B78">
              <w:t>$24,153.48</w:t>
            </w:r>
          </w:p>
          <w:p w14:paraId="3D0EBCEC" w14:textId="77777777" w:rsidR="001E3484" w:rsidRPr="00704B78" w:rsidRDefault="001E3484" w:rsidP="006E2A77">
            <w:pPr>
              <w:pStyle w:val="COMTabletext"/>
              <w:keepLines/>
              <w:jc w:val="center"/>
            </w:pPr>
            <w:r w:rsidRPr="00704B78">
              <w:t>(Private hospital)</w:t>
            </w:r>
          </w:p>
        </w:tc>
        <w:tc>
          <w:tcPr>
            <w:tcW w:w="1560" w:type="dxa"/>
            <w:vAlign w:val="center"/>
          </w:tcPr>
          <w:p w14:paraId="79727269" w14:textId="03D1865B"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p>
          <w:p w14:paraId="369C2DB1" w14:textId="77777777" w:rsidR="001E3484" w:rsidRPr="00704B78" w:rsidRDefault="001E3484" w:rsidP="006E2A77">
            <w:pPr>
              <w:pStyle w:val="Tabletext0"/>
              <w:keepNext/>
              <w:jc w:val="center"/>
            </w:pPr>
            <w:r w:rsidRPr="00704B78">
              <w:t>(Public hospital)</w:t>
            </w:r>
          </w:p>
          <w:p w14:paraId="2091A968" w14:textId="543953D8"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r w:rsidR="00D61CA6">
              <w:t xml:space="preserve"> </w:t>
            </w:r>
          </w:p>
          <w:p w14:paraId="0F1CC6E9" w14:textId="77777777" w:rsidR="001E3484" w:rsidRPr="00704B78" w:rsidRDefault="001E3484" w:rsidP="006E2A77">
            <w:pPr>
              <w:pStyle w:val="COMTabletext"/>
              <w:keepLines/>
              <w:jc w:val="center"/>
              <w:rPr>
                <w:szCs w:val="20"/>
              </w:rPr>
            </w:pPr>
            <w:r w:rsidRPr="00704B78">
              <w:t>(Private hospital)</w:t>
            </w:r>
          </w:p>
        </w:tc>
        <w:tc>
          <w:tcPr>
            <w:tcW w:w="897" w:type="dxa"/>
            <w:vAlign w:val="center"/>
          </w:tcPr>
          <w:p w14:paraId="5E07A119"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rPr>
              <w:t>1</w:t>
            </w:r>
          </w:p>
        </w:tc>
        <w:tc>
          <w:tcPr>
            <w:tcW w:w="898" w:type="dxa"/>
            <w:vAlign w:val="center"/>
          </w:tcPr>
          <w:p w14:paraId="65BC2EB8"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rPr>
              <w:t>1</w:t>
            </w:r>
          </w:p>
        </w:tc>
        <w:tc>
          <w:tcPr>
            <w:tcW w:w="898" w:type="dxa"/>
            <w:vAlign w:val="center"/>
          </w:tcPr>
          <w:p w14:paraId="7F594599"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rPr>
              <w:t>2</w:t>
            </w:r>
          </w:p>
        </w:tc>
        <w:tc>
          <w:tcPr>
            <w:tcW w:w="1005" w:type="dxa"/>
            <w:vMerge/>
            <w:vAlign w:val="center"/>
          </w:tcPr>
          <w:p w14:paraId="1ECFE8FC" w14:textId="77777777" w:rsidR="001E3484" w:rsidRPr="00704B78" w:rsidRDefault="001E3484" w:rsidP="006E2A77">
            <w:pPr>
              <w:keepNext/>
              <w:keepLines/>
              <w:rPr>
                <w:rFonts w:ascii="Arial Narrow" w:hAnsi="Arial Narrow"/>
                <w:color w:val="0066FF"/>
                <w:sz w:val="20"/>
                <w:szCs w:val="20"/>
              </w:rPr>
            </w:pPr>
          </w:p>
        </w:tc>
      </w:tr>
      <w:tr w:rsidR="001E3484" w:rsidRPr="00704B78" w14:paraId="1B361286" w14:textId="77777777" w:rsidTr="3517B442">
        <w:trPr>
          <w:cantSplit/>
          <w:trHeight w:val="20"/>
        </w:trPr>
        <w:tc>
          <w:tcPr>
            <w:tcW w:w="9085" w:type="dxa"/>
            <w:gridSpan w:val="7"/>
            <w:vAlign w:val="center"/>
          </w:tcPr>
          <w:p w14:paraId="412A9F82" w14:textId="77777777" w:rsidR="001E3484" w:rsidRPr="00704B78" w:rsidRDefault="001E3484" w:rsidP="006E2A77">
            <w:pPr>
              <w:keepNext/>
              <w:keepLines/>
              <w:jc w:val="left"/>
              <w:rPr>
                <w:rFonts w:ascii="Arial Narrow" w:hAnsi="Arial Narrow"/>
                <w:sz w:val="20"/>
                <w:szCs w:val="20"/>
              </w:rPr>
            </w:pPr>
            <w:r w:rsidRPr="00704B78">
              <w:rPr>
                <w:rFonts w:ascii="Arial Narrow" w:hAnsi="Arial Narrow"/>
                <w:sz w:val="20"/>
                <w:szCs w:val="20"/>
              </w:rPr>
              <w:t>Continuing treatment</w:t>
            </w:r>
          </w:p>
        </w:tc>
      </w:tr>
      <w:tr w:rsidR="001E3484" w:rsidRPr="00704B78" w14:paraId="7966A29B" w14:textId="77777777" w:rsidTr="3517B442">
        <w:trPr>
          <w:cantSplit/>
          <w:trHeight w:val="20"/>
        </w:trPr>
        <w:tc>
          <w:tcPr>
            <w:tcW w:w="2268" w:type="dxa"/>
            <w:vAlign w:val="center"/>
          </w:tcPr>
          <w:p w14:paraId="04715F6C" w14:textId="77777777" w:rsidR="001E3484" w:rsidRPr="00704B78" w:rsidRDefault="001E3484" w:rsidP="006E2A77">
            <w:pPr>
              <w:keepNext/>
              <w:keepLines/>
              <w:rPr>
                <w:rFonts w:ascii="Arial Narrow" w:hAnsi="Arial Narrow"/>
                <w:sz w:val="20"/>
                <w:szCs w:val="20"/>
              </w:rPr>
            </w:pPr>
            <w:r w:rsidRPr="00704B78">
              <w:rPr>
                <w:rFonts w:ascii="Arial Narrow" w:hAnsi="Arial Narrow"/>
                <w:sz w:val="20"/>
                <w:szCs w:val="20"/>
              </w:rPr>
              <w:t xml:space="preserve">Ravulizumab, </w:t>
            </w:r>
          </w:p>
          <w:p w14:paraId="0C666351" w14:textId="77777777" w:rsidR="001E3484" w:rsidRPr="00704B78" w:rsidRDefault="001E3484" w:rsidP="006E2A77">
            <w:pPr>
              <w:keepNext/>
              <w:keepLines/>
              <w:tabs>
                <w:tab w:val="left" w:pos="1077"/>
              </w:tabs>
              <w:rPr>
                <w:rFonts w:ascii="Arial Narrow" w:hAnsi="Arial Narrow"/>
                <w:color w:val="0066FF"/>
                <w:sz w:val="20"/>
                <w:szCs w:val="20"/>
              </w:rPr>
            </w:pPr>
            <w:r w:rsidRPr="00704B78">
              <w:rPr>
                <w:rFonts w:ascii="Arial Narrow" w:hAnsi="Arial Narrow"/>
                <w:sz w:val="20"/>
                <w:szCs w:val="20"/>
              </w:rPr>
              <w:t>300 mg/3 mL IV infusion</w:t>
            </w:r>
          </w:p>
        </w:tc>
        <w:tc>
          <w:tcPr>
            <w:tcW w:w="1559" w:type="dxa"/>
            <w:vAlign w:val="center"/>
          </w:tcPr>
          <w:p w14:paraId="4EFCCCED" w14:textId="77777777" w:rsidR="001E3484" w:rsidRPr="00704B78" w:rsidRDefault="001E3484" w:rsidP="006E2A77">
            <w:pPr>
              <w:pStyle w:val="Tabletext0"/>
              <w:keepNext/>
              <w:jc w:val="center"/>
            </w:pPr>
            <w:r w:rsidRPr="00704B78">
              <w:t>$6,574.12</w:t>
            </w:r>
          </w:p>
          <w:p w14:paraId="534E8A45" w14:textId="77777777" w:rsidR="001E3484" w:rsidRPr="00704B78" w:rsidRDefault="001E3484" w:rsidP="006E2A77">
            <w:pPr>
              <w:pStyle w:val="Tabletext0"/>
              <w:keepNext/>
              <w:jc w:val="center"/>
            </w:pPr>
            <w:r w:rsidRPr="00704B78">
              <w:t>(Public hospital)</w:t>
            </w:r>
          </w:p>
          <w:p w14:paraId="071B61AC" w14:textId="77777777" w:rsidR="001E3484" w:rsidRPr="00704B78" w:rsidRDefault="001E3484" w:rsidP="006E2A77">
            <w:pPr>
              <w:pStyle w:val="Tabletext0"/>
              <w:keepNext/>
              <w:jc w:val="center"/>
            </w:pPr>
            <w:r w:rsidRPr="00704B78">
              <w:t>$6,622.49</w:t>
            </w:r>
          </w:p>
          <w:p w14:paraId="407EA67A" w14:textId="77777777" w:rsidR="001E3484" w:rsidRPr="00704B78" w:rsidRDefault="001E3484" w:rsidP="006E2A77">
            <w:pPr>
              <w:pStyle w:val="Tabletext0"/>
              <w:jc w:val="center"/>
              <w:rPr>
                <w:szCs w:val="20"/>
              </w:rPr>
            </w:pPr>
            <w:r w:rsidRPr="00704B78">
              <w:t>(Private hospital)</w:t>
            </w:r>
          </w:p>
        </w:tc>
        <w:tc>
          <w:tcPr>
            <w:tcW w:w="1560" w:type="dxa"/>
            <w:vAlign w:val="center"/>
          </w:tcPr>
          <w:p w14:paraId="55C5697D" w14:textId="62446303"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p>
          <w:p w14:paraId="116CD214" w14:textId="77777777" w:rsidR="001E3484" w:rsidRPr="00704B78" w:rsidRDefault="001E3484" w:rsidP="006E2A77">
            <w:pPr>
              <w:pStyle w:val="Tabletext0"/>
              <w:keepNext/>
              <w:jc w:val="center"/>
            </w:pPr>
            <w:r w:rsidRPr="00704B78">
              <w:t>(Public hospital)</w:t>
            </w:r>
          </w:p>
          <w:p w14:paraId="16C411CD" w14:textId="647EC572"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p>
          <w:p w14:paraId="7AEB925A" w14:textId="77777777" w:rsidR="001E3484" w:rsidRPr="00704B78" w:rsidRDefault="001E3484" w:rsidP="006E2A77">
            <w:pPr>
              <w:pStyle w:val="Tabletext0"/>
              <w:jc w:val="center"/>
              <w:rPr>
                <w:szCs w:val="20"/>
              </w:rPr>
            </w:pPr>
            <w:r w:rsidRPr="00704B78">
              <w:t>(Private hospital)</w:t>
            </w:r>
          </w:p>
        </w:tc>
        <w:tc>
          <w:tcPr>
            <w:tcW w:w="897" w:type="dxa"/>
            <w:vAlign w:val="center"/>
          </w:tcPr>
          <w:p w14:paraId="3A5A7F55"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szCs w:val="20"/>
              </w:rPr>
              <w:t>1</w:t>
            </w:r>
          </w:p>
        </w:tc>
        <w:tc>
          <w:tcPr>
            <w:tcW w:w="898" w:type="dxa"/>
            <w:vAlign w:val="center"/>
          </w:tcPr>
          <w:p w14:paraId="3CD3A470"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szCs w:val="20"/>
              </w:rPr>
              <w:t>1</w:t>
            </w:r>
          </w:p>
        </w:tc>
        <w:tc>
          <w:tcPr>
            <w:tcW w:w="898" w:type="dxa"/>
            <w:vAlign w:val="center"/>
          </w:tcPr>
          <w:p w14:paraId="1E583E3F"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szCs w:val="20"/>
              </w:rPr>
              <w:t>2</w:t>
            </w:r>
          </w:p>
        </w:tc>
        <w:tc>
          <w:tcPr>
            <w:tcW w:w="1005" w:type="dxa"/>
            <w:vMerge w:val="restart"/>
            <w:vAlign w:val="center"/>
          </w:tcPr>
          <w:p w14:paraId="3A58BD65" w14:textId="77777777" w:rsidR="001E3484" w:rsidRPr="00704B78" w:rsidRDefault="001E3484" w:rsidP="006E2A77">
            <w:pPr>
              <w:keepNext/>
              <w:keepLines/>
              <w:jc w:val="center"/>
              <w:rPr>
                <w:rFonts w:ascii="Arial Narrow" w:hAnsi="Arial Narrow"/>
                <w:sz w:val="20"/>
                <w:szCs w:val="20"/>
              </w:rPr>
            </w:pPr>
            <w:proofErr w:type="spellStart"/>
            <w:r w:rsidRPr="00704B78">
              <w:rPr>
                <w:rFonts w:ascii="Arial Narrow" w:hAnsi="Arial Narrow"/>
                <w:sz w:val="20"/>
                <w:szCs w:val="20"/>
              </w:rPr>
              <w:t>Ultomiris</w:t>
            </w:r>
            <w:proofErr w:type="spellEnd"/>
          </w:p>
        </w:tc>
      </w:tr>
      <w:tr w:rsidR="001E3484" w:rsidRPr="00704B78" w14:paraId="70AC0B82" w14:textId="77777777" w:rsidTr="3517B442">
        <w:trPr>
          <w:cantSplit/>
          <w:trHeight w:val="20"/>
        </w:trPr>
        <w:tc>
          <w:tcPr>
            <w:tcW w:w="2268" w:type="dxa"/>
            <w:vAlign w:val="center"/>
          </w:tcPr>
          <w:p w14:paraId="7179091E" w14:textId="77777777" w:rsidR="001E3484" w:rsidRPr="00704B78" w:rsidRDefault="001E3484" w:rsidP="006E2A77">
            <w:pPr>
              <w:keepNext/>
              <w:keepLines/>
              <w:rPr>
                <w:rFonts w:ascii="Arial Narrow" w:hAnsi="Arial Narrow"/>
                <w:sz w:val="20"/>
                <w:szCs w:val="20"/>
              </w:rPr>
            </w:pPr>
            <w:r w:rsidRPr="00704B78">
              <w:rPr>
                <w:rFonts w:ascii="Arial Narrow" w:hAnsi="Arial Narrow"/>
                <w:sz w:val="20"/>
                <w:szCs w:val="20"/>
              </w:rPr>
              <w:t xml:space="preserve">Ravulizumab, </w:t>
            </w:r>
          </w:p>
          <w:p w14:paraId="4B5FCAFE" w14:textId="77777777" w:rsidR="001E3484" w:rsidRPr="00704B78" w:rsidRDefault="001E3484" w:rsidP="006E2A77">
            <w:pPr>
              <w:keepNext/>
              <w:keepLines/>
              <w:tabs>
                <w:tab w:val="left" w:pos="1077"/>
              </w:tabs>
              <w:rPr>
                <w:rFonts w:ascii="Arial Narrow" w:hAnsi="Arial Narrow"/>
                <w:color w:val="0066FF"/>
                <w:sz w:val="20"/>
                <w:szCs w:val="20"/>
              </w:rPr>
            </w:pPr>
            <w:r w:rsidRPr="00704B78">
              <w:rPr>
                <w:rFonts w:ascii="Arial Narrow" w:hAnsi="Arial Narrow"/>
                <w:sz w:val="20"/>
                <w:szCs w:val="20"/>
              </w:rPr>
              <w:t>1,100 mg/11 mL IV infusion</w:t>
            </w:r>
          </w:p>
        </w:tc>
        <w:tc>
          <w:tcPr>
            <w:tcW w:w="1559" w:type="dxa"/>
            <w:vAlign w:val="center"/>
          </w:tcPr>
          <w:p w14:paraId="34FB5F4C" w14:textId="77777777" w:rsidR="001E3484" w:rsidRPr="00704B78" w:rsidRDefault="001E3484" w:rsidP="006E2A77">
            <w:pPr>
              <w:pStyle w:val="Tabletext0"/>
              <w:keepNext/>
              <w:jc w:val="center"/>
            </w:pPr>
            <w:r w:rsidRPr="00704B78">
              <w:t xml:space="preserve">$24,105.11 </w:t>
            </w:r>
          </w:p>
          <w:p w14:paraId="2A83A51A" w14:textId="77777777" w:rsidR="001E3484" w:rsidRPr="00704B78" w:rsidRDefault="001E3484" w:rsidP="006E2A77">
            <w:pPr>
              <w:pStyle w:val="Tabletext0"/>
              <w:keepNext/>
              <w:jc w:val="center"/>
            </w:pPr>
            <w:r w:rsidRPr="00704B78">
              <w:t>(Public hospital)</w:t>
            </w:r>
          </w:p>
          <w:p w14:paraId="17619CA8" w14:textId="77777777" w:rsidR="001E3484" w:rsidRPr="00704B78" w:rsidRDefault="001E3484" w:rsidP="006E2A77">
            <w:pPr>
              <w:pStyle w:val="Tabletext0"/>
              <w:keepNext/>
              <w:jc w:val="center"/>
            </w:pPr>
            <w:r w:rsidRPr="00704B78">
              <w:t>$24,153.48</w:t>
            </w:r>
          </w:p>
          <w:p w14:paraId="16C39414" w14:textId="77777777" w:rsidR="001E3484" w:rsidRPr="00704B78" w:rsidRDefault="001E3484" w:rsidP="006E2A77">
            <w:pPr>
              <w:pStyle w:val="Tabletext0"/>
              <w:jc w:val="center"/>
              <w:rPr>
                <w:szCs w:val="20"/>
              </w:rPr>
            </w:pPr>
            <w:r w:rsidRPr="00704B78">
              <w:t>(Private hospital)</w:t>
            </w:r>
          </w:p>
        </w:tc>
        <w:tc>
          <w:tcPr>
            <w:tcW w:w="1560" w:type="dxa"/>
            <w:vAlign w:val="center"/>
          </w:tcPr>
          <w:p w14:paraId="68147BD6" w14:textId="793B69F7"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p>
          <w:p w14:paraId="74DF9FE6" w14:textId="77777777" w:rsidR="001E3484" w:rsidRPr="00704B78" w:rsidRDefault="001E3484" w:rsidP="006E2A77">
            <w:pPr>
              <w:pStyle w:val="Tabletext0"/>
              <w:keepNext/>
              <w:jc w:val="center"/>
            </w:pPr>
            <w:r w:rsidRPr="00704B78">
              <w:t>(Public hospital)</w:t>
            </w:r>
          </w:p>
          <w:p w14:paraId="42062E9E" w14:textId="12FF35C7" w:rsidR="001E3484" w:rsidRPr="00704B78" w:rsidRDefault="001E3484" w:rsidP="006E2A77">
            <w:pPr>
              <w:pStyle w:val="Tabletext0"/>
              <w:keepNext/>
              <w:jc w:val="center"/>
            </w:pPr>
            <w:r w:rsidRPr="00704B78">
              <w:t>$</w:t>
            </w:r>
            <w:r w:rsidR="00F555BD" w:rsidRPr="00F555BD">
              <w:rPr>
                <w:color w:val="000000"/>
                <w:shd w:val="solid" w:color="000000" w:fill="000000"/>
                <w14:textFill>
                  <w14:solidFill>
                    <w14:srgbClr w14:val="000000">
                      <w14:alpha w14:val="100000"/>
                    </w14:srgbClr>
                  </w14:solidFill>
                </w14:textFill>
              </w:rPr>
              <w:t>|</w:t>
            </w:r>
            <w:r w:rsidR="00D61CA6">
              <w:t xml:space="preserve"> </w:t>
            </w:r>
          </w:p>
          <w:p w14:paraId="02374B2E" w14:textId="77777777" w:rsidR="001E3484" w:rsidRPr="00704B78" w:rsidRDefault="001E3484" w:rsidP="006E2A77">
            <w:pPr>
              <w:pStyle w:val="Tabletext0"/>
              <w:jc w:val="center"/>
              <w:rPr>
                <w:szCs w:val="20"/>
              </w:rPr>
            </w:pPr>
            <w:r w:rsidRPr="00704B78">
              <w:t>(Private hospital)</w:t>
            </w:r>
          </w:p>
        </w:tc>
        <w:tc>
          <w:tcPr>
            <w:tcW w:w="897" w:type="dxa"/>
            <w:vAlign w:val="center"/>
          </w:tcPr>
          <w:p w14:paraId="1E4BC6C8"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szCs w:val="20"/>
              </w:rPr>
              <w:t>1</w:t>
            </w:r>
          </w:p>
        </w:tc>
        <w:tc>
          <w:tcPr>
            <w:tcW w:w="898" w:type="dxa"/>
            <w:vAlign w:val="center"/>
          </w:tcPr>
          <w:p w14:paraId="5C159A6F"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szCs w:val="20"/>
              </w:rPr>
              <w:t>1</w:t>
            </w:r>
          </w:p>
        </w:tc>
        <w:tc>
          <w:tcPr>
            <w:tcW w:w="898" w:type="dxa"/>
            <w:vAlign w:val="center"/>
          </w:tcPr>
          <w:p w14:paraId="43D27282" w14:textId="77777777" w:rsidR="001E3484" w:rsidRPr="00704B78" w:rsidRDefault="001E3484" w:rsidP="006E2A77">
            <w:pPr>
              <w:keepNext/>
              <w:keepLines/>
              <w:jc w:val="center"/>
              <w:rPr>
                <w:rFonts w:ascii="Arial Narrow" w:hAnsi="Arial Narrow"/>
                <w:sz w:val="20"/>
                <w:szCs w:val="20"/>
              </w:rPr>
            </w:pPr>
            <w:r w:rsidRPr="00704B78">
              <w:rPr>
                <w:rFonts w:ascii="Arial Narrow" w:hAnsi="Arial Narrow"/>
                <w:sz w:val="20"/>
                <w:szCs w:val="20"/>
              </w:rPr>
              <w:t>2</w:t>
            </w:r>
          </w:p>
        </w:tc>
        <w:tc>
          <w:tcPr>
            <w:tcW w:w="1005" w:type="dxa"/>
            <w:vMerge/>
            <w:vAlign w:val="center"/>
          </w:tcPr>
          <w:p w14:paraId="7B7FCB6D" w14:textId="77777777" w:rsidR="001E3484" w:rsidRPr="00704B78" w:rsidRDefault="001E3484" w:rsidP="006E2A77">
            <w:pPr>
              <w:keepNext/>
              <w:keepLines/>
              <w:jc w:val="center"/>
              <w:rPr>
                <w:rFonts w:ascii="Arial Narrow" w:hAnsi="Arial Narrow"/>
                <w:sz w:val="20"/>
                <w:szCs w:val="20"/>
              </w:rPr>
            </w:pPr>
          </w:p>
        </w:tc>
      </w:tr>
    </w:tbl>
    <w:tbl>
      <w:tblPr>
        <w:tblStyle w:val="TableGrid"/>
        <w:tblW w:w="5000" w:type="pct"/>
        <w:jc w:val="center"/>
        <w:tblLayout w:type="fixed"/>
        <w:tblCellMar>
          <w:top w:w="17" w:type="dxa"/>
          <w:left w:w="28" w:type="dxa"/>
          <w:bottom w:w="17" w:type="dxa"/>
          <w:right w:w="28" w:type="dxa"/>
        </w:tblCellMar>
        <w:tblLook w:val="04A0" w:firstRow="1" w:lastRow="0" w:firstColumn="1" w:lastColumn="0" w:noHBand="0" w:noVBand="1"/>
        <w:tblCaption w:val="Requested listing"/>
      </w:tblPr>
      <w:tblGrid>
        <w:gridCol w:w="1555"/>
        <w:gridCol w:w="7462"/>
      </w:tblGrid>
      <w:tr w:rsidR="00755983" w:rsidRPr="00704B78" w14:paraId="47F4E65C" w14:textId="77777777" w:rsidTr="3517B442">
        <w:trPr>
          <w:jc w:val="center"/>
        </w:trPr>
        <w:tc>
          <w:tcPr>
            <w:tcW w:w="1555" w:type="dxa"/>
          </w:tcPr>
          <w:p w14:paraId="1B8A9FC2" w14:textId="2E65660A" w:rsidR="001E3484" w:rsidRPr="00704B78" w:rsidRDefault="001E3484" w:rsidP="006E2A77">
            <w:pPr>
              <w:jc w:val="left"/>
              <w:rPr>
                <w:rFonts w:ascii="Arial Narrow" w:hAnsi="Arial Narrow"/>
                <w:b/>
                <w:bCs/>
                <w:sz w:val="20"/>
                <w:szCs w:val="20"/>
              </w:rPr>
            </w:pPr>
            <w:r w:rsidRPr="00704B78">
              <w:rPr>
                <w:rFonts w:ascii="Arial Narrow" w:hAnsi="Arial Narrow"/>
                <w:b/>
                <w:bCs/>
                <w:sz w:val="20"/>
                <w:szCs w:val="20"/>
              </w:rPr>
              <w:t>Category/Program:</w:t>
            </w:r>
          </w:p>
        </w:tc>
        <w:tc>
          <w:tcPr>
            <w:tcW w:w="7462" w:type="dxa"/>
          </w:tcPr>
          <w:p w14:paraId="301F9DC9"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Section 100 – Highly Specialised Drugs Program</w:t>
            </w:r>
          </w:p>
        </w:tc>
      </w:tr>
      <w:tr w:rsidR="00755983" w:rsidRPr="00704B78" w14:paraId="45572A7B" w14:textId="77777777" w:rsidTr="3517B442">
        <w:trPr>
          <w:jc w:val="center"/>
        </w:trPr>
        <w:tc>
          <w:tcPr>
            <w:tcW w:w="1555" w:type="dxa"/>
          </w:tcPr>
          <w:p w14:paraId="1936360F"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Prescriber type:</w:t>
            </w:r>
          </w:p>
        </w:tc>
        <w:tc>
          <w:tcPr>
            <w:tcW w:w="7462" w:type="dxa"/>
          </w:tcPr>
          <w:p w14:paraId="4FC4A0BC" w14:textId="017918BE"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sz w:val="20"/>
                <w:szCs w:val="20"/>
              </w:rPr>
              <w:t>Medical Practitioners</w:t>
            </w:r>
          </w:p>
        </w:tc>
      </w:tr>
      <w:tr w:rsidR="00755983" w:rsidRPr="00704B78" w14:paraId="18CF7E0C" w14:textId="77777777" w:rsidTr="3517B442">
        <w:trPr>
          <w:jc w:val="center"/>
        </w:trPr>
        <w:tc>
          <w:tcPr>
            <w:tcW w:w="1555" w:type="dxa"/>
          </w:tcPr>
          <w:p w14:paraId="3C0596E3"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Restriction Type:</w:t>
            </w:r>
          </w:p>
        </w:tc>
        <w:tc>
          <w:tcPr>
            <w:tcW w:w="7462" w:type="dxa"/>
          </w:tcPr>
          <w:p w14:paraId="3D7A5303" w14:textId="1DB6E540"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Authority Required (in writing only via post/HPOS upload)</w:t>
            </w:r>
          </w:p>
        </w:tc>
      </w:tr>
      <w:tr w:rsidR="00DD786B" w:rsidRPr="00704B78" w14:paraId="67B0C96E" w14:textId="77777777" w:rsidTr="3517B442">
        <w:trPr>
          <w:jc w:val="center"/>
        </w:trPr>
        <w:tc>
          <w:tcPr>
            <w:tcW w:w="1555" w:type="dxa"/>
          </w:tcPr>
          <w:p w14:paraId="349DB287" w14:textId="2DC51F77" w:rsidR="00DD786B" w:rsidRPr="00DD786B" w:rsidRDefault="00DD786B" w:rsidP="006E2A77">
            <w:pPr>
              <w:rPr>
                <w:rFonts w:ascii="Arial Narrow" w:hAnsi="Arial Narrow"/>
                <w:b/>
                <w:bCs/>
                <w:sz w:val="20"/>
                <w:szCs w:val="20"/>
              </w:rPr>
            </w:pPr>
            <w:r w:rsidRPr="00DD786B">
              <w:rPr>
                <w:rFonts w:ascii="Arial Narrow" w:hAnsi="Arial Narrow" w:cs="Times New Roman"/>
                <w:b/>
                <w:bCs/>
                <w:sz w:val="20"/>
                <w:szCs w:val="20"/>
                <w:lang w:eastAsia="en-US" w:bidi="en-US"/>
              </w:rPr>
              <w:t>Authority type</w:t>
            </w:r>
            <w:r>
              <w:rPr>
                <w:rFonts w:ascii="Arial Narrow" w:hAnsi="Arial Narrow" w:cs="Times New Roman"/>
                <w:b/>
                <w:bCs/>
                <w:sz w:val="20"/>
                <w:szCs w:val="20"/>
                <w:lang w:eastAsia="en-US" w:bidi="en-US"/>
              </w:rPr>
              <w:t>:</w:t>
            </w:r>
          </w:p>
        </w:tc>
        <w:tc>
          <w:tcPr>
            <w:tcW w:w="7462" w:type="dxa"/>
          </w:tcPr>
          <w:p w14:paraId="20D6B37F" w14:textId="6A933E2C" w:rsidR="00DD786B" w:rsidRPr="00704B78" w:rsidRDefault="00DD786B" w:rsidP="006E2A77">
            <w:pPr>
              <w:jc w:val="left"/>
              <w:rPr>
                <w:rFonts w:ascii="Arial Narrow" w:hAnsi="Arial Narrow" w:cs="Times New Roman"/>
                <w:sz w:val="20"/>
                <w:szCs w:val="20"/>
                <w:lang w:eastAsia="en-US" w:bidi="en-US"/>
              </w:rPr>
            </w:pPr>
            <w:r w:rsidRPr="00DD786B">
              <w:rPr>
                <w:rFonts w:ascii="Arial Narrow" w:hAnsi="Arial Narrow" w:cs="Times New Roman"/>
                <w:sz w:val="20"/>
                <w:szCs w:val="20"/>
                <w:lang w:eastAsia="en-US" w:bidi="en-US"/>
              </w:rPr>
              <w:t>: Complex Authority Required (CAR</w:t>
            </w:r>
            <w:r>
              <w:rPr>
                <w:rFonts w:ascii="Arial Narrow" w:hAnsi="Arial Narrow" w:cs="Times New Roman"/>
                <w:sz w:val="20"/>
                <w:szCs w:val="20"/>
                <w:lang w:eastAsia="en-US" w:bidi="en-US"/>
              </w:rPr>
              <w:t>)</w:t>
            </w:r>
          </w:p>
        </w:tc>
      </w:tr>
      <w:tr w:rsidR="00755983" w:rsidRPr="00704B78" w14:paraId="5734BA9F" w14:textId="77777777" w:rsidTr="3517B442">
        <w:trPr>
          <w:jc w:val="center"/>
        </w:trPr>
        <w:tc>
          <w:tcPr>
            <w:tcW w:w="1555" w:type="dxa"/>
          </w:tcPr>
          <w:p w14:paraId="6B2351AC"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Condition:</w:t>
            </w:r>
          </w:p>
        </w:tc>
        <w:tc>
          <w:tcPr>
            <w:tcW w:w="7462" w:type="dxa"/>
          </w:tcPr>
          <w:p w14:paraId="45011FFB" w14:textId="77777777" w:rsidR="001E3484" w:rsidRPr="00704B78" w:rsidRDefault="001E3484" w:rsidP="006E2A77">
            <w:pPr>
              <w:jc w:val="left"/>
              <w:rPr>
                <w:rFonts w:ascii="Arial Narrow" w:hAnsi="Arial Narrow"/>
                <w:sz w:val="20"/>
                <w:szCs w:val="20"/>
              </w:rPr>
            </w:pPr>
            <w:r w:rsidRPr="00704B78">
              <w:rPr>
                <w:rFonts w:ascii="Arial Narrow" w:hAnsi="Arial Narrow" w:cs="Times New Roman"/>
                <w:sz w:val="20"/>
                <w:szCs w:val="20"/>
                <w:lang w:eastAsia="en-US" w:bidi="en-US"/>
              </w:rPr>
              <w:t>Generalised myasthenia gravis (gMG)</w:t>
            </w:r>
          </w:p>
        </w:tc>
      </w:tr>
      <w:tr w:rsidR="00755983" w:rsidRPr="00704B78" w14:paraId="70DE0F56" w14:textId="77777777" w:rsidTr="3517B442">
        <w:trPr>
          <w:jc w:val="center"/>
        </w:trPr>
        <w:tc>
          <w:tcPr>
            <w:tcW w:w="1555" w:type="dxa"/>
          </w:tcPr>
          <w:p w14:paraId="1CE848D2"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Indication:</w:t>
            </w:r>
          </w:p>
        </w:tc>
        <w:tc>
          <w:tcPr>
            <w:tcW w:w="7462" w:type="dxa"/>
            <w:hideMark/>
          </w:tcPr>
          <w:p w14:paraId="163E58B7"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Generalised myasthenia gravis (gMG)</w:t>
            </w:r>
          </w:p>
        </w:tc>
      </w:tr>
      <w:tr w:rsidR="00755983" w:rsidRPr="00704B78" w14:paraId="4CE4F3F0" w14:textId="77777777" w:rsidTr="3517B442">
        <w:trPr>
          <w:jc w:val="center"/>
        </w:trPr>
        <w:tc>
          <w:tcPr>
            <w:tcW w:w="1555" w:type="dxa"/>
            <w:tcBorders>
              <w:bottom w:val="single" w:sz="4" w:space="0" w:color="auto"/>
            </w:tcBorders>
          </w:tcPr>
          <w:p w14:paraId="11FF528D"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Treatment Phase:</w:t>
            </w:r>
          </w:p>
        </w:tc>
        <w:tc>
          <w:tcPr>
            <w:tcW w:w="7462" w:type="dxa"/>
            <w:tcBorders>
              <w:bottom w:val="single" w:sz="4" w:space="0" w:color="auto"/>
            </w:tcBorders>
            <w:hideMark/>
          </w:tcPr>
          <w:p w14:paraId="0B0EABE4"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 xml:space="preserve">Initial treatment – newly diagnosed patient population – loading doses </w:t>
            </w:r>
          </w:p>
        </w:tc>
      </w:tr>
      <w:tr w:rsidR="00755983" w:rsidRPr="00704B78" w14:paraId="0F91F4C8" w14:textId="77777777" w:rsidTr="3517B442">
        <w:trPr>
          <w:jc w:val="center"/>
        </w:trPr>
        <w:tc>
          <w:tcPr>
            <w:tcW w:w="1555" w:type="dxa"/>
            <w:vMerge w:val="restart"/>
          </w:tcPr>
          <w:p w14:paraId="066F1B2D"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Clinical criteria:</w:t>
            </w:r>
          </w:p>
        </w:tc>
        <w:tc>
          <w:tcPr>
            <w:tcW w:w="7462" w:type="dxa"/>
          </w:tcPr>
          <w:p w14:paraId="6F7250C8"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 must have a diagnosis of generalised myasthenia gravis that is not pure ocular myasthenia gravis, AND</w:t>
            </w:r>
          </w:p>
        </w:tc>
      </w:tr>
      <w:tr w:rsidR="00755983" w:rsidRPr="00704B78" w14:paraId="52A9BB98" w14:textId="77777777" w:rsidTr="3517B442">
        <w:trPr>
          <w:jc w:val="center"/>
        </w:trPr>
        <w:tc>
          <w:tcPr>
            <w:tcW w:w="1555" w:type="dxa"/>
            <w:vMerge/>
          </w:tcPr>
          <w:p w14:paraId="6D685453" w14:textId="77777777" w:rsidR="001E3484" w:rsidRPr="00704B78" w:rsidRDefault="001E3484" w:rsidP="006E2A77">
            <w:pPr>
              <w:rPr>
                <w:rFonts w:ascii="Arial Narrow" w:hAnsi="Arial Narrow"/>
                <w:b/>
                <w:bCs/>
                <w:sz w:val="20"/>
                <w:szCs w:val="20"/>
              </w:rPr>
            </w:pPr>
          </w:p>
        </w:tc>
        <w:tc>
          <w:tcPr>
            <w:tcW w:w="7462" w:type="dxa"/>
          </w:tcPr>
          <w:p w14:paraId="5677F2C8"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 must have been diagnosed with MG within the past 2 years prior to starting treatment with this therapy, AND</w:t>
            </w:r>
          </w:p>
        </w:tc>
      </w:tr>
      <w:tr w:rsidR="00755983" w:rsidRPr="00704B78" w14:paraId="37DA5FA6" w14:textId="77777777" w:rsidTr="3517B442">
        <w:trPr>
          <w:jc w:val="center"/>
        </w:trPr>
        <w:tc>
          <w:tcPr>
            <w:tcW w:w="1555" w:type="dxa"/>
            <w:vMerge/>
          </w:tcPr>
          <w:p w14:paraId="548EA75C" w14:textId="77777777" w:rsidR="001E3484" w:rsidRPr="00704B78" w:rsidRDefault="001E3484" w:rsidP="006E2A77">
            <w:pPr>
              <w:rPr>
                <w:rFonts w:ascii="Arial Narrow" w:hAnsi="Arial Narrow"/>
                <w:b/>
                <w:bCs/>
                <w:sz w:val="20"/>
                <w:szCs w:val="20"/>
              </w:rPr>
            </w:pPr>
          </w:p>
        </w:tc>
        <w:tc>
          <w:tcPr>
            <w:tcW w:w="7462" w:type="dxa"/>
          </w:tcPr>
          <w:p w14:paraId="7FB758E6"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 must have been confirmed positive by serologic testing for anti-acetylcholine receptor antibodies (anti-AChR antibodies), AND</w:t>
            </w:r>
          </w:p>
        </w:tc>
      </w:tr>
      <w:tr w:rsidR="00755983" w:rsidRPr="00704B78" w14:paraId="048F9ECC" w14:textId="77777777" w:rsidTr="3517B442">
        <w:trPr>
          <w:jc w:val="center"/>
        </w:trPr>
        <w:tc>
          <w:tcPr>
            <w:tcW w:w="1555" w:type="dxa"/>
            <w:vMerge/>
          </w:tcPr>
          <w:p w14:paraId="4F9432F4" w14:textId="77777777" w:rsidR="001E3484" w:rsidRPr="00704B78" w:rsidRDefault="001E3484" w:rsidP="006E2A77">
            <w:pPr>
              <w:rPr>
                <w:rFonts w:ascii="Arial Narrow" w:hAnsi="Arial Narrow"/>
                <w:b/>
                <w:bCs/>
                <w:sz w:val="20"/>
                <w:szCs w:val="20"/>
              </w:rPr>
            </w:pPr>
          </w:p>
        </w:tc>
        <w:tc>
          <w:tcPr>
            <w:tcW w:w="7462" w:type="dxa"/>
          </w:tcPr>
          <w:p w14:paraId="037397B5"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 must not be experiencing a myasthenic crisis, AND</w:t>
            </w:r>
          </w:p>
        </w:tc>
      </w:tr>
      <w:tr w:rsidR="00755983" w:rsidRPr="00704B78" w14:paraId="645230FB" w14:textId="77777777" w:rsidTr="3517B442">
        <w:trPr>
          <w:jc w:val="center"/>
        </w:trPr>
        <w:tc>
          <w:tcPr>
            <w:tcW w:w="1555" w:type="dxa"/>
            <w:vMerge/>
          </w:tcPr>
          <w:p w14:paraId="14CBB9C0" w14:textId="77777777" w:rsidR="001E3484" w:rsidRPr="00704B78" w:rsidRDefault="001E3484" w:rsidP="006E2A77">
            <w:pPr>
              <w:rPr>
                <w:rFonts w:ascii="Arial Narrow" w:hAnsi="Arial Narrow"/>
                <w:b/>
                <w:bCs/>
                <w:sz w:val="20"/>
                <w:szCs w:val="20"/>
              </w:rPr>
            </w:pPr>
          </w:p>
        </w:tc>
        <w:tc>
          <w:tcPr>
            <w:tcW w:w="7462" w:type="dxa"/>
          </w:tcPr>
          <w:p w14:paraId="66A1B2B8"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 xml:space="preserve">The treatment must be added on to at least one immunosuppressive therapy, AND </w:t>
            </w:r>
          </w:p>
        </w:tc>
      </w:tr>
      <w:tr w:rsidR="00755983" w:rsidRPr="00704B78" w14:paraId="595F5C30" w14:textId="77777777" w:rsidTr="3517B442">
        <w:trPr>
          <w:jc w:val="center"/>
        </w:trPr>
        <w:tc>
          <w:tcPr>
            <w:tcW w:w="1555" w:type="dxa"/>
            <w:vMerge/>
          </w:tcPr>
          <w:p w14:paraId="402DFBDA" w14:textId="77777777" w:rsidR="001E3484" w:rsidRPr="00704B78" w:rsidRDefault="001E3484" w:rsidP="006E2A77">
            <w:pPr>
              <w:rPr>
                <w:rFonts w:ascii="Arial Narrow" w:hAnsi="Arial Narrow"/>
                <w:b/>
                <w:bCs/>
                <w:sz w:val="20"/>
                <w:szCs w:val="20"/>
              </w:rPr>
            </w:pPr>
          </w:p>
        </w:tc>
        <w:tc>
          <w:tcPr>
            <w:tcW w:w="7462" w:type="dxa"/>
          </w:tcPr>
          <w:p w14:paraId="3F23BEE6"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 xml:space="preserve">Patient must be experiencing symptoms consistent with a Myasthenia Gravis-Activities of Daily Living (MG-ADL) profile of at least 6 points despite treatment with standard therapy prior to initiation of ravulizumab, AND </w:t>
            </w:r>
          </w:p>
        </w:tc>
      </w:tr>
      <w:tr w:rsidR="00755983" w:rsidRPr="00704B78" w14:paraId="28A3E58D" w14:textId="77777777" w:rsidTr="3517B442">
        <w:trPr>
          <w:jc w:val="center"/>
        </w:trPr>
        <w:tc>
          <w:tcPr>
            <w:tcW w:w="1555" w:type="dxa"/>
            <w:vMerge/>
          </w:tcPr>
          <w:p w14:paraId="3A608716" w14:textId="77777777" w:rsidR="001E3484" w:rsidRPr="00704B78" w:rsidRDefault="001E3484" w:rsidP="006E2A77">
            <w:pPr>
              <w:rPr>
                <w:rFonts w:ascii="Arial Narrow" w:hAnsi="Arial Narrow"/>
                <w:b/>
                <w:bCs/>
                <w:sz w:val="20"/>
                <w:szCs w:val="20"/>
              </w:rPr>
            </w:pPr>
          </w:p>
        </w:tc>
        <w:tc>
          <w:tcPr>
            <w:tcW w:w="7462" w:type="dxa"/>
          </w:tcPr>
          <w:p w14:paraId="242B352E"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 must have failed to achieve adequate response despite treatment with either (i) stable dose of oral steroids for a minimum of 1 month; or (ii) stable doses of non-steroidal immunosuppressive therapies for a minimum of 3 months, AND</w:t>
            </w:r>
          </w:p>
        </w:tc>
      </w:tr>
      <w:tr w:rsidR="00755983" w:rsidRPr="00704B78" w14:paraId="05CDAAFF" w14:textId="77777777" w:rsidTr="3517B442">
        <w:trPr>
          <w:jc w:val="center"/>
        </w:trPr>
        <w:tc>
          <w:tcPr>
            <w:tcW w:w="1555" w:type="dxa"/>
            <w:vMerge/>
          </w:tcPr>
          <w:p w14:paraId="32AA22C6" w14:textId="77777777" w:rsidR="001E3484" w:rsidRPr="00704B78" w:rsidRDefault="001E3484" w:rsidP="006E2A77">
            <w:pPr>
              <w:rPr>
                <w:rFonts w:ascii="Arial Narrow" w:hAnsi="Arial Narrow"/>
                <w:b/>
                <w:bCs/>
                <w:sz w:val="20"/>
                <w:szCs w:val="20"/>
              </w:rPr>
            </w:pPr>
          </w:p>
        </w:tc>
        <w:tc>
          <w:tcPr>
            <w:tcW w:w="7462" w:type="dxa"/>
          </w:tcPr>
          <w:p w14:paraId="4404C385"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 must have failed to achieve adequate response despite treatment with either at least one of (i) plasma exchange therapy for a minimum of 1 month; or (ii) intravenous immunoglobulins for a minimum of 4 months, if patient was able to receive and is tolerant to these therapies</w:t>
            </w:r>
          </w:p>
        </w:tc>
      </w:tr>
      <w:tr w:rsidR="00755983" w:rsidRPr="00704B78" w14:paraId="2E9A176B" w14:textId="77777777" w:rsidTr="3517B442">
        <w:trPr>
          <w:jc w:val="center"/>
        </w:trPr>
        <w:tc>
          <w:tcPr>
            <w:tcW w:w="1555" w:type="dxa"/>
          </w:tcPr>
          <w:p w14:paraId="3E25BEC5"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Treatment criteria:</w:t>
            </w:r>
          </w:p>
        </w:tc>
        <w:tc>
          <w:tcPr>
            <w:tcW w:w="7462" w:type="dxa"/>
            <w:hideMark/>
          </w:tcPr>
          <w:p w14:paraId="49146601"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Must be treated by a neurologist or must be treated by a medical practitioner who has consulted a neurologist, with agreement reached that the patient should be treated with this pharmaceutical benefit on this occasion</w:t>
            </w:r>
          </w:p>
        </w:tc>
      </w:tr>
      <w:tr w:rsidR="00755983" w:rsidRPr="00704B78" w14:paraId="54CEAB8E" w14:textId="77777777" w:rsidTr="3517B442">
        <w:trPr>
          <w:jc w:val="center"/>
        </w:trPr>
        <w:tc>
          <w:tcPr>
            <w:tcW w:w="1555" w:type="dxa"/>
          </w:tcPr>
          <w:p w14:paraId="688142A7"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t>Population criteria:</w:t>
            </w:r>
          </w:p>
        </w:tc>
        <w:tc>
          <w:tcPr>
            <w:tcW w:w="7462" w:type="dxa"/>
            <w:hideMark/>
          </w:tcPr>
          <w:p w14:paraId="41E6F841"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Patients must be aged 18 years or older</w:t>
            </w:r>
          </w:p>
        </w:tc>
      </w:tr>
      <w:tr w:rsidR="00755983" w:rsidRPr="00704B78" w14:paraId="357D7937" w14:textId="77777777" w:rsidTr="3517B442">
        <w:trPr>
          <w:jc w:val="center"/>
        </w:trPr>
        <w:tc>
          <w:tcPr>
            <w:tcW w:w="1555" w:type="dxa"/>
            <w:vMerge w:val="restart"/>
          </w:tcPr>
          <w:p w14:paraId="17984D8A" w14:textId="77777777" w:rsidR="001E3484" w:rsidRPr="00704B78" w:rsidRDefault="001E3484" w:rsidP="006E2A77">
            <w:pPr>
              <w:rPr>
                <w:rFonts w:ascii="Arial Narrow" w:hAnsi="Arial Narrow"/>
                <w:b/>
                <w:bCs/>
                <w:sz w:val="20"/>
                <w:szCs w:val="20"/>
              </w:rPr>
            </w:pPr>
            <w:r w:rsidRPr="00704B78">
              <w:rPr>
                <w:rFonts w:ascii="Arial Narrow" w:hAnsi="Arial Narrow"/>
                <w:b/>
                <w:bCs/>
                <w:sz w:val="20"/>
                <w:szCs w:val="20"/>
              </w:rPr>
              <w:lastRenderedPageBreak/>
              <w:t>Prescribing Instructions:</w:t>
            </w:r>
          </w:p>
        </w:tc>
        <w:tc>
          <w:tcPr>
            <w:tcW w:w="7462" w:type="dxa"/>
          </w:tcPr>
          <w:p w14:paraId="48E370A3"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Where treatment with plasma exchange or intravenous immunoglobulin is not possible, details must be provided at the time of application.</w:t>
            </w:r>
          </w:p>
          <w:p w14:paraId="5864FE52"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 xml:space="preserve">Where intolerance to treatment with oral steroids, plasma exchange or intravenous immunoglobulin develops during the relevant treatment period (of severity to necessitate treatment withdrawal), details must be provided at the time of application. </w:t>
            </w:r>
          </w:p>
        </w:tc>
      </w:tr>
      <w:tr w:rsidR="00755983" w:rsidRPr="00704B78" w14:paraId="7B8D5797" w14:textId="77777777" w:rsidTr="3517B442">
        <w:trPr>
          <w:jc w:val="center"/>
        </w:trPr>
        <w:tc>
          <w:tcPr>
            <w:tcW w:w="1555" w:type="dxa"/>
            <w:vMerge/>
          </w:tcPr>
          <w:p w14:paraId="299FFC43" w14:textId="77777777" w:rsidR="001E3484" w:rsidRPr="00704B78" w:rsidRDefault="001E3484" w:rsidP="006E2A77">
            <w:pPr>
              <w:rPr>
                <w:sz w:val="20"/>
                <w:szCs w:val="20"/>
              </w:rPr>
            </w:pPr>
          </w:p>
        </w:tc>
        <w:tc>
          <w:tcPr>
            <w:tcW w:w="7462" w:type="dxa"/>
            <w:hideMark/>
          </w:tcPr>
          <w:p w14:paraId="799D628A"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At the time of authority application, medical practitioners must request the appropriate number of vials to provide sufficient drug for 2 weeks of treatment, according to the specified dosage in the approved Product Information (PI).</w:t>
            </w:r>
          </w:p>
          <w:p w14:paraId="25DA3DEC"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An appropriate amount of drug (maximum quantity in units) may require prescribing both strengths. Consider strengths and combinations that minimise drug wastage. A separate authority prescription form must be completed for each strength requested.</w:t>
            </w:r>
          </w:p>
          <w:p w14:paraId="40864EE4"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Applications for treatment with this drug where the dose and dosing frequency exceeds that specified in the approved PI will not be approved.</w:t>
            </w:r>
          </w:p>
        </w:tc>
      </w:tr>
      <w:tr w:rsidR="00755983" w:rsidRPr="00704B78" w14:paraId="6680A092" w14:textId="77777777" w:rsidTr="3517B442">
        <w:trPr>
          <w:jc w:val="center"/>
        </w:trPr>
        <w:tc>
          <w:tcPr>
            <w:tcW w:w="1555" w:type="dxa"/>
            <w:vMerge/>
          </w:tcPr>
          <w:p w14:paraId="78664918" w14:textId="77777777" w:rsidR="001E3484" w:rsidRPr="00704B78" w:rsidRDefault="001E3484" w:rsidP="006E2A77">
            <w:pPr>
              <w:rPr>
                <w:sz w:val="20"/>
                <w:szCs w:val="20"/>
              </w:rPr>
            </w:pPr>
          </w:p>
        </w:tc>
        <w:tc>
          <w:tcPr>
            <w:tcW w:w="7462" w:type="dxa"/>
            <w:hideMark/>
          </w:tcPr>
          <w:p w14:paraId="070F06B2"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Two authority prescription forms will be required to cover for the 12 weeks of initial therapy with ravulizumab, one for the loading dose and one for the 10 weeks balance which can be sought under the Balance of Supply.</w:t>
            </w:r>
          </w:p>
        </w:tc>
      </w:tr>
      <w:tr w:rsidR="00755983" w:rsidRPr="00704B78" w14:paraId="621589D9" w14:textId="77777777" w:rsidTr="3517B442">
        <w:trPr>
          <w:jc w:val="center"/>
        </w:trPr>
        <w:tc>
          <w:tcPr>
            <w:tcW w:w="1555" w:type="dxa"/>
            <w:vMerge/>
          </w:tcPr>
          <w:p w14:paraId="6F9CECEF" w14:textId="77777777" w:rsidR="001E3484" w:rsidRPr="00704B78" w:rsidRDefault="001E3484" w:rsidP="006E2A77">
            <w:pPr>
              <w:rPr>
                <w:sz w:val="20"/>
                <w:szCs w:val="20"/>
              </w:rPr>
            </w:pPr>
          </w:p>
        </w:tc>
        <w:tc>
          <w:tcPr>
            <w:tcW w:w="7462" w:type="dxa"/>
          </w:tcPr>
          <w:p w14:paraId="723A7C3D"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The authority application must be in writing and must include all the following:</w:t>
            </w:r>
          </w:p>
          <w:p w14:paraId="48BD3442"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(1) A completed authority prescription form(s).</w:t>
            </w:r>
          </w:p>
          <w:p w14:paraId="1D8AAACF"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(2) A completed authority application form relevant to the indication and treatment phase (the latest version is located on the website specified in the Administrative Advice).</w:t>
            </w:r>
          </w:p>
          <w:p w14:paraId="6BC79113"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(3) The baseline MG-ADL profile score</w:t>
            </w:r>
          </w:p>
        </w:tc>
      </w:tr>
      <w:tr w:rsidR="00D52E49" w:rsidRPr="00704B78" w14:paraId="70CD0627" w14:textId="77777777" w:rsidTr="00611348">
        <w:trPr>
          <w:trHeight w:val="397"/>
          <w:jc w:val="center"/>
        </w:trPr>
        <w:tc>
          <w:tcPr>
            <w:tcW w:w="1555" w:type="dxa"/>
          </w:tcPr>
          <w:p w14:paraId="6F564516" w14:textId="77777777" w:rsidR="00D52E49" w:rsidRPr="00704B78" w:rsidRDefault="00D52E49" w:rsidP="006E2A77">
            <w:pPr>
              <w:rPr>
                <w:sz w:val="20"/>
                <w:szCs w:val="20"/>
              </w:rPr>
            </w:pPr>
            <w:r w:rsidRPr="00704B78">
              <w:rPr>
                <w:rFonts w:ascii="Arial Narrow" w:hAnsi="Arial Narrow"/>
                <w:b/>
                <w:bCs/>
                <w:sz w:val="20"/>
                <w:szCs w:val="20"/>
              </w:rPr>
              <w:t>Administrative Advice</w:t>
            </w:r>
            <w:r w:rsidRPr="00704B78">
              <w:rPr>
                <w:sz w:val="20"/>
                <w:szCs w:val="20"/>
              </w:rPr>
              <w:t>:</w:t>
            </w:r>
          </w:p>
        </w:tc>
        <w:tc>
          <w:tcPr>
            <w:tcW w:w="7462" w:type="dxa"/>
          </w:tcPr>
          <w:p w14:paraId="5BA5557A" w14:textId="5220B809" w:rsidR="00D52E49" w:rsidRPr="00704B78" w:rsidRDefault="00D52E49"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No increase in the maximum number of repeats may be authorised</w:t>
            </w:r>
          </w:p>
        </w:tc>
      </w:tr>
      <w:tr w:rsidR="00AB7DC3" w:rsidRPr="00704B78" w14:paraId="75ADB99D" w14:textId="77777777" w:rsidTr="3517B442">
        <w:trPr>
          <w:jc w:val="center"/>
        </w:trPr>
        <w:tc>
          <w:tcPr>
            <w:tcW w:w="1555" w:type="dxa"/>
            <w:tcBorders>
              <w:bottom w:val="single" w:sz="4" w:space="0" w:color="auto"/>
            </w:tcBorders>
          </w:tcPr>
          <w:p w14:paraId="5BDBE1A9" w14:textId="77777777" w:rsidR="001E3484" w:rsidRPr="00704B78" w:rsidRDefault="001E3484" w:rsidP="006E2A77">
            <w:pPr>
              <w:rPr>
                <w:rFonts w:ascii="Arial Narrow" w:hAnsi="Arial Narrow"/>
                <w:b/>
                <w:bCs/>
                <w:sz w:val="20"/>
                <w:szCs w:val="20"/>
              </w:rPr>
            </w:pPr>
            <w:r w:rsidRPr="00704B78">
              <w:rPr>
                <w:rFonts w:ascii="Arial Narrow" w:hAnsi="Arial Narrow" w:cs="Times New Roman"/>
                <w:b/>
                <w:bCs/>
                <w:sz w:val="20"/>
                <w:szCs w:val="20"/>
                <w:lang w:eastAsia="en-US" w:bidi="en-US"/>
              </w:rPr>
              <w:t>Note:</w:t>
            </w:r>
          </w:p>
        </w:tc>
        <w:tc>
          <w:tcPr>
            <w:tcW w:w="7462" w:type="dxa"/>
            <w:tcBorders>
              <w:bottom w:val="single" w:sz="4" w:space="0" w:color="auto"/>
            </w:tcBorders>
          </w:tcPr>
          <w:p w14:paraId="1D6CE584" w14:textId="0DA02774"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 xml:space="preserve">The MG-ADL profile score is available at: </w:t>
            </w:r>
            <w:hyperlink r:id="rId11" w:history="1">
              <w:r w:rsidRPr="00704B78">
                <w:rPr>
                  <w:rStyle w:val="Hyperlink"/>
                  <w:rFonts w:ascii="Arial Narrow" w:hAnsi="Arial Narrow" w:cs="Times New Roman"/>
                  <w:sz w:val="20"/>
                  <w:szCs w:val="20"/>
                  <w:lang w:eastAsia="en-US" w:bidi="en-US"/>
                </w:rPr>
                <w:t>https://ultomiris.com/-/media/Ultomiris_gMG/pdf/gMG-ULTOMIRIS-ADL-Tool.ashx</w:t>
              </w:r>
            </w:hyperlink>
          </w:p>
        </w:tc>
      </w:tr>
      <w:tr w:rsidR="00AB7DC3" w:rsidRPr="00704B78" w14:paraId="135F3B3B" w14:textId="77777777" w:rsidTr="3517B442">
        <w:trPr>
          <w:jc w:val="center"/>
        </w:trPr>
        <w:tc>
          <w:tcPr>
            <w:tcW w:w="1555" w:type="dxa"/>
            <w:tcBorders>
              <w:bottom w:val="double" w:sz="4" w:space="0" w:color="auto"/>
            </w:tcBorders>
          </w:tcPr>
          <w:p w14:paraId="24B6B2E0" w14:textId="77777777" w:rsidR="001E3484" w:rsidRPr="00704B78" w:rsidRDefault="001E3484" w:rsidP="006E2A77">
            <w:pPr>
              <w:rPr>
                <w:rFonts w:ascii="Arial Narrow" w:hAnsi="Arial Narrow"/>
                <w:b/>
                <w:bCs/>
                <w:sz w:val="20"/>
                <w:szCs w:val="20"/>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0FF8F227"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5C6E6D2D" w14:textId="77777777" w:rsidR="001E3484" w:rsidRPr="00704B78" w:rsidRDefault="001E34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Consult the approved PI for information about vaccination against meningococcal infection.</w:t>
            </w:r>
          </w:p>
        </w:tc>
      </w:tr>
      <w:tr w:rsidR="00EA3D84" w:rsidRPr="00704B78" w14:paraId="512CF3C1" w14:textId="77777777" w:rsidTr="3517B442">
        <w:tblPrEx>
          <w:jc w:val="left"/>
        </w:tblPrEx>
        <w:tc>
          <w:tcPr>
            <w:tcW w:w="1555" w:type="dxa"/>
            <w:tcBorders>
              <w:top w:val="double" w:sz="4" w:space="0" w:color="auto"/>
            </w:tcBorders>
          </w:tcPr>
          <w:p w14:paraId="2EB1C452" w14:textId="6F933BD1" w:rsidR="00EA3D84" w:rsidRPr="00704B78" w:rsidRDefault="00EA3D84" w:rsidP="006E2A77">
            <w:pPr>
              <w:rPr>
                <w:rFonts w:ascii="Arial Narrow" w:hAnsi="Arial Narrow" w:cs="Times New Roman"/>
                <w:b/>
                <w:sz w:val="20"/>
                <w:szCs w:val="20"/>
                <w:lang w:eastAsia="en-US" w:bidi="en-US"/>
              </w:rPr>
            </w:pPr>
            <w:r w:rsidRPr="00704B78">
              <w:rPr>
                <w:rFonts w:ascii="Arial Narrow" w:hAnsi="Arial Narrow" w:cs="Times New Roman"/>
                <w:b/>
                <w:sz w:val="20"/>
                <w:szCs w:val="20"/>
                <w:lang w:eastAsia="en-US" w:bidi="en-US"/>
              </w:rPr>
              <w:t>Category/Program:</w:t>
            </w:r>
          </w:p>
        </w:tc>
        <w:tc>
          <w:tcPr>
            <w:tcW w:w="7462" w:type="dxa"/>
            <w:tcBorders>
              <w:top w:val="double" w:sz="4" w:space="0" w:color="auto"/>
            </w:tcBorders>
          </w:tcPr>
          <w:p w14:paraId="74C553CE" w14:textId="77777777" w:rsidR="00EA3D84" w:rsidRPr="00704B78" w:rsidRDefault="00EA3D84" w:rsidP="006E2A77">
            <w:pPr>
              <w:jc w:val="left"/>
              <w:rPr>
                <w:rFonts w:ascii="Arial Narrow" w:hAnsi="Arial Narrow" w:cs="Times New Roman"/>
                <w:b/>
                <w:sz w:val="20"/>
                <w:szCs w:val="20"/>
                <w:lang w:eastAsia="en-US" w:bidi="en-US"/>
              </w:rPr>
            </w:pPr>
            <w:r w:rsidRPr="00704B78">
              <w:rPr>
                <w:rFonts w:ascii="Arial Narrow" w:hAnsi="Arial Narrow" w:cs="Times New Roman"/>
                <w:b/>
                <w:sz w:val="20"/>
                <w:szCs w:val="20"/>
                <w:lang w:eastAsia="en-US" w:bidi="en-US"/>
              </w:rPr>
              <w:t>Section 100 – Highly Specialised Drugs Program</w:t>
            </w:r>
          </w:p>
        </w:tc>
      </w:tr>
      <w:tr w:rsidR="00EA3D84" w:rsidRPr="00704B78" w14:paraId="548E2236" w14:textId="77777777" w:rsidTr="3517B442">
        <w:tblPrEx>
          <w:jc w:val="left"/>
        </w:tblPrEx>
        <w:tc>
          <w:tcPr>
            <w:tcW w:w="1555" w:type="dxa"/>
          </w:tcPr>
          <w:p w14:paraId="44901EEF" w14:textId="77777777" w:rsidR="00EA3D84" w:rsidRPr="00704B78" w:rsidRDefault="00EA3D84" w:rsidP="006E2A77">
            <w:pPr>
              <w:rPr>
                <w:rFonts w:ascii="Arial Narrow" w:hAnsi="Arial Narrow" w:cs="Times New Roman"/>
                <w:b/>
                <w:sz w:val="20"/>
                <w:szCs w:val="20"/>
                <w:lang w:eastAsia="en-US" w:bidi="en-US"/>
              </w:rPr>
            </w:pPr>
            <w:r w:rsidRPr="00704B78">
              <w:rPr>
                <w:rFonts w:ascii="Arial Narrow" w:hAnsi="Arial Narrow" w:cs="Times New Roman"/>
                <w:b/>
                <w:sz w:val="20"/>
                <w:szCs w:val="20"/>
                <w:lang w:eastAsia="en-US" w:bidi="en-US"/>
              </w:rPr>
              <w:t>Prescriber type:</w:t>
            </w:r>
          </w:p>
        </w:tc>
        <w:tc>
          <w:tcPr>
            <w:tcW w:w="7462" w:type="dxa"/>
          </w:tcPr>
          <w:p w14:paraId="67FF9F46" w14:textId="0A8D9326" w:rsidR="00EA3D84" w:rsidRPr="00704B78" w:rsidRDefault="00EA3D84" w:rsidP="006E2A77">
            <w:pPr>
              <w:jc w:val="left"/>
              <w:rPr>
                <w:rFonts w:ascii="Arial Narrow" w:hAnsi="Arial Narrow" w:cs="Times New Roman"/>
                <w:b/>
                <w:sz w:val="20"/>
                <w:szCs w:val="20"/>
                <w:lang w:eastAsia="en-US" w:bidi="en-US"/>
              </w:rPr>
            </w:pPr>
            <w:r w:rsidRPr="00704B78">
              <w:rPr>
                <w:rFonts w:ascii="Arial Narrow" w:hAnsi="Arial Narrow"/>
                <w:sz w:val="20"/>
                <w:szCs w:val="20"/>
              </w:rPr>
              <w:t>Medical Practitioners</w:t>
            </w:r>
          </w:p>
        </w:tc>
      </w:tr>
      <w:tr w:rsidR="00EA3D84" w:rsidRPr="00704B78" w14:paraId="41F1DC84" w14:textId="77777777" w:rsidTr="3517B442">
        <w:tblPrEx>
          <w:jc w:val="left"/>
        </w:tblPrEx>
        <w:tc>
          <w:tcPr>
            <w:tcW w:w="1555" w:type="dxa"/>
          </w:tcPr>
          <w:p w14:paraId="6BC34D07" w14:textId="77777777" w:rsidR="00EA3D84" w:rsidRPr="00704B78" w:rsidRDefault="00EA3D84" w:rsidP="006E2A77">
            <w:pPr>
              <w:rPr>
                <w:rFonts w:ascii="Arial Narrow" w:hAnsi="Arial Narrow" w:cs="Times New Roman"/>
                <w:b/>
                <w:sz w:val="20"/>
                <w:szCs w:val="20"/>
                <w:lang w:eastAsia="en-US" w:bidi="en-US"/>
              </w:rPr>
            </w:pPr>
            <w:r w:rsidRPr="00704B78">
              <w:rPr>
                <w:rFonts w:ascii="Arial Narrow" w:hAnsi="Arial Narrow" w:cs="Times New Roman"/>
                <w:b/>
                <w:sz w:val="20"/>
                <w:szCs w:val="20"/>
                <w:lang w:eastAsia="en-US" w:bidi="en-US"/>
              </w:rPr>
              <w:t>Restriction Type:</w:t>
            </w:r>
          </w:p>
        </w:tc>
        <w:tc>
          <w:tcPr>
            <w:tcW w:w="7462" w:type="dxa"/>
          </w:tcPr>
          <w:p w14:paraId="3E6EF676" w14:textId="7452C935"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Authority Required (in writing only via post/HPOS upload)</w:t>
            </w:r>
          </w:p>
        </w:tc>
      </w:tr>
      <w:tr w:rsidR="00EA3D84" w:rsidRPr="00704B78" w14:paraId="7EC889A1" w14:textId="77777777" w:rsidTr="3517B442">
        <w:tblPrEx>
          <w:jc w:val="left"/>
        </w:tblPrEx>
        <w:tc>
          <w:tcPr>
            <w:tcW w:w="1555" w:type="dxa"/>
          </w:tcPr>
          <w:p w14:paraId="76A59103" w14:textId="77777777" w:rsidR="00EA3D84" w:rsidRPr="00704B78" w:rsidRDefault="00EA3D84" w:rsidP="006E2A77">
            <w:pPr>
              <w:rPr>
                <w:rFonts w:ascii="Arial Narrow" w:hAnsi="Arial Narrow" w:cs="Times New Roman"/>
                <w:b/>
                <w:sz w:val="20"/>
                <w:szCs w:val="20"/>
                <w:lang w:eastAsia="en-US" w:bidi="en-US"/>
              </w:rPr>
            </w:pPr>
            <w:r w:rsidRPr="00704B78">
              <w:rPr>
                <w:rFonts w:ascii="Arial Narrow" w:hAnsi="Arial Narrow" w:cs="Times New Roman"/>
                <w:b/>
                <w:sz w:val="20"/>
                <w:szCs w:val="20"/>
                <w:lang w:eastAsia="en-US" w:bidi="en-US"/>
              </w:rPr>
              <w:t>Condition:</w:t>
            </w:r>
          </w:p>
        </w:tc>
        <w:tc>
          <w:tcPr>
            <w:tcW w:w="7462" w:type="dxa"/>
          </w:tcPr>
          <w:p w14:paraId="48B910DB" w14:textId="77777777" w:rsidR="00EA3D84" w:rsidRPr="00704B78" w:rsidRDefault="00EA3D84" w:rsidP="006E2A77">
            <w:pPr>
              <w:jc w:val="left"/>
              <w:rPr>
                <w:rFonts w:ascii="Arial Narrow" w:hAnsi="Arial Narrow"/>
                <w:sz w:val="20"/>
                <w:szCs w:val="20"/>
              </w:rPr>
            </w:pPr>
            <w:r w:rsidRPr="00704B78">
              <w:rPr>
                <w:rFonts w:ascii="Arial Narrow" w:hAnsi="Arial Narrow" w:cs="Times New Roman"/>
                <w:bCs/>
                <w:sz w:val="20"/>
                <w:szCs w:val="20"/>
                <w:lang w:eastAsia="en-US" w:bidi="en-US"/>
              </w:rPr>
              <w:t>Generalised myasthenia gravis (gMG)</w:t>
            </w:r>
          </w:p>
        </w:tc>
      </w:tr>
      <w:tr w:rsidR="00EA3D84" w:rsidRPr="00704B78" w14:paraId="6034DB31" w14:textId="77777777" w:rsidTr="3517B442">
        <w:tblPrEx>
          <w:jc w:val="left"/>
        </w:tblPrEx>
        <w:tc>
          <w:tcPr>
            <w:tcW w:w="1555" w:type="dxa"/>
          </w:tcPr>
          <w:p w14:paraId="6E54F127" w14:textId="77777777" w:rsidR="00EA3D84" w:rsidRPr="00704B78" w:rsidRDefault="00EA3D84" w:rsidP="006E2A77">
            <w:pPr>
              <w:rPr>
                <w:rFonts w:ascii="Arial Narrow" w:hAnsi="Arial Narrow" w:cs="Times New Roman"/>
                <w:b/>
                <w:bCs/>
                <w:sz w:val="20"/>
                <w:szCs w:val="20"/>
                <w:lang w:eastAsia="en-US" w:bidi="en-US"/>
              </w:rPr>
            </w:pPr>
            <w:r w:rsidRPr="00704B78">
              <w:rPr>
                <w:rFonts w:ascii="Arial Narrow" w:hAnsi="Arial Narrow" w:cs="Times New Roman"/>
                <w:b/>
                <w:bCs/>
                <w:sz w:val="20"/>
                <w:szCs w:val="20"/>
                <w:lang w:eastAsia="en-US" w:bidi="en-US"/>
              </w:rPr>
              <w:t>Indication:</w:t>
            </w:r>
          </w:p>
        </w:tc>
        <w:tc>
          <w:tcPr>
            <w:tcW w:w="7462" w:type="dxa"/>
          </w:tcPr>
          <w:p w14:paraId="4BB4552F" w14:textId="77777777" w:rsidR="00EA3D84" w:rsidRPr="00704B78" w:rsidRDefault="00EA3D84" w:rsidP="006E2A77">
            <w:pPr>
              <w:jc w:val="left"/>
              <w:rPr>
                <w:rFonts w:ascii="Arial Narrow" w:hAnsi="Arial Narrow" w:cs="Times New Roman"/>
                <w:b/>
                <w:bCs/>
                <w:sz w:val="20"/>
                <w:szCs w:val="20"/>
                <w:lang w:eastAsia="en-US" w:bidi="en-US"/>
              </w:rPr>
            </w:pPr>
            <w:r w:rsidRPr="00704B78">
              <w:rPr>
                <w:rFonts w:ascii="Arial Narrow" w:hAnsi="Arial Narrow" w:cs="Times New Roman"/>
                <w:bCs/>
                <w:sz w:val="20"/>
                <w:szCs w:val="20"/>
                <w:lang w:eastAsia="en-US" w:bidi="en-US"/>
              </w:rPr>
              <w:t>Generalised myasthenia gravis (gMG)</w:t>
            </w:r>
          </w:p>
        </w:tc>
      </w:tr>
      <w:tr w:rsidR="00EA3D84" w:rsidRPr="00704B78" w14:paraId="325AE2C2" w14:textId="77777777" w:rsidTr="3517B442">
        <w:tblPrEx>
          <w:jc w:val="left"/>
        </w:tblPrEx>
        <w:tc>
          <w:tcPr>
            <w:tcW w:w="1555" w:type="dxa"/>
          </w:tcPr>
          <w:p w14:paraId="66C9CEF3" w14:textId="77777777" w:rsidR="00EA3D84" w:rsidRPr="00704B78" w:rsidRDefault="00EA3D84" w:rsidP="006E2A77">
            <w:pPr>
              <w:rPr>
                <w:rFonts w:ascii="Arial Narrow" w:hAnsi="Arial Narrow" w:cs="Times New Roman"/>
                <w:b/>
                <w:bCs/>
                <w:sz w:val="20"/>
                <w:szCs w:val="20"/>
                <w:lang w:eastAsia="en-US" w:bidi="en-US"/>
              </w:rPr>
            </w:pPr>
            <w:r w:rsidRPr="00704B78">
              <w:rPr>
                <w:rFonts w:ascii="Arial Narrow" w:hAnsi="Arial Narrow" w:cs="Times New Roman"/>
                <w:b/>
                <w:bCs/>
                <w:sz w:val="20"/>
                <w:szCs w:val="20"/>
                <w:lang w:eastAsia="en-US" w:bidi="en-US"/>
              </w:rPr>
              <w:t>Treatment Phase:</w:t>
            </w:r>
          </w:p>
        </w:tc>
        <w:tc>
          <w:tcPr>
            <w:tcW w:w="7462" w:type="dxa"/>
            <w:hideMark/>
          </w:tcPr>
          <w:p w14:paraId="67152C8C"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Balance of supply–maintenance doses - newly diagnosed patient population</w:t>
            </w:r>
          </w:p>
        </w:tc>
      </w:tr>
      <w:tr w:rsidR="00EA3D84" w:rsidRPr="00704B78" w14:paraId="475FA7F6" w14:textId="77777777" w:rsidTr="3517B442">
        <w:tblPrEx>
          <w:jc w:val="left"/>
        </w:tblPrEx>
        <w:tc>
          <w:tcPr>
            <w:tcW w:w="1555" w:type="dxa"/>
            <w:vMerge w:val="restart"/>
          </w:tcPr>
          <w:p w14:paraId="63B9F588" w14:textId="77777777" w:rsidR="00EA3D84" w:rsidRPr="00704B78" w:rsidRDefault="00EA3D84" w:rsidP="006E2A77">
            <w:pPr>
              <w:rPr>
                <w:rFonts w:ascii="Arial Narrow" w:hAnsi="Arial Narrow" w:cs="Times New Roman"/>
                <w:bCs/>
                <w:sz w:val="20"/>
                <w:szCs w:val="20"/>
                <w:lang w:eastAsia="en-US" w:bidi="en-US"/>
              </w:rPr>
            </w:pPr>
            <w:r w:rsidRPr="00704B78">
              <w:rPr>
                <w:rFonts w:ascii="Arial Narrow" w:hAnsi="Arial Narrow" w:cs="Times New Roman"/>
                <w:b/>
                <w:bCs/>
                <w:sz w:val="20"/>
                <w:szCs w:val="20"/>
                <w:lang w:eastAsia="en-US" w:bidi="en-US"/>
              </w:rPr>
              <w:t>Clinical criteria:</w:t>
            </w:r>
          </w:p>
        </w:tc>
        <w:tc>
          <w:tcPr>
            <w:tcW w:w="7462" w:type="dxa"/>
            <w:hideMark/>
          </w:tcPr>
          <w:p w14:paraId="700D4010"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bCs/>
                <w:sz w:val="20"/>
                <w:szCs w:val="20"/>
                <w:lang w:eastAsia="en-US" w:bidi="en-US"/>
              </w:rPr>
              <w:t xml:space="preserve">Patient must have received PBS-subsidised loading dose of ravulizumab for this condition, </w:t>
            </w:r>
            <w:r w:rsidRPr="00704B78">
              <w:rPr>
                <w:rFonts w:ascii="Arial Narrow" w:hAnsi="Arial Narrow" w:cs="Times New Roman"/>
                <w:sz w:val="20"/>
                <w:szCs w:val="20"/>
                <w:lang w:eastAsia="en-US" w:bidi="en-US"/>
              </w:rPr>
              <w:t>AND</w:t>
            </w:r>
          </w:p>
        </w:tc>
      </w:tr>
      <w:tr w:rsidR="00EA3D84" w:rsidRPr="00704B78" w14:paraId="3E1128D7" w14:textId="77777777" w:rsidTr="3517B442">
        <w:tblPrEx>
          <w:jc w:val="left"/>
        </w:tblPrEx>
        <w:tc>
          <w:tcPr>
            <w:tcW w:w="1555" w:type="dxa"/>
            <w:vMerge/>
          </w:tcPr>
          <w:p w14:paraId="3BBB75D7" w14:textId="77777777" w:rsidR="00EA3D84" w:rsidRPr="00704B78" w:rsidRDefault="00EA3D84" w:rsidP="006E2A77">
            <w:pPr>
              <w:rPr>
                <w:rFonts w:ascii="Arial Narrow" w:hAnsi="Arial Narrow" w:cs="Times New Roman"/>
                <w:b/>
                <w:bCs/>
                <w:sz w:val="20"/>
                <w:szCs w:val="20"/>
                <w:lang w:eastAsia="en-US" w:bidi="en-US"/>
              </w:rPr>
            </w:pPr>
          </w:p>
        </w:tc>
        <w:tc>
          <w:tcPr>
            <w:tcW w:w="7462" w:type="dxa"/>
          </w:tcPr>
          <w:p w14:paraId="21A47B0B" w14:textId="77777777" w:rsidR="00EA3D84" w:rsidRPr="00704B78" w:rsidRDefault="00EA3D84" w:rsidP="006E2A77">
            <w:pPr>
              <w:jc w:val="left"/>
              <w:rPr>
                <w:rFonts w:ascii="Arial Narrow" w:hAnsi="Arial Narrow" w:cs="Times New Roman"/>
                <w:bCs/>
                <w:sz w:val="20"/>
                <w:szCs w:val="20"/>
                <w:lang w:eastAsia="en-US" w:bidi="en-US"/>
              </w:rPr>
            </w:pPr>
            <w:r w:rsidRPr="00704B78">
              <w:rPr>
                <w:rFonts w:ascii="Arial Narrow" w:hAnsi="Arial Narrow" w:cs="Times New Roman"/>
                <w:sz w:val="20"/>
                <w:szCs w:val="20"/>
                <w:lang w:eastAsia="en-US" w:bidi="en-US"/>
              </w:rPr>
              <w:t>The treatment must provide no more than the balance of up to 10 weeks treatment under this restriction</w:t>
            </w:r>
          </w:p>
        </w:tc>
      </w:tr>
      <w:tr w:rsidR="00EA3D84" w:rsidRPr="00704B78" w14:paraId="13A34590" w14:textId="77777777" w:rsidTr="3517B442">
        <w:tblPrEx>
          <w:jc w:val="left"/>
        </w:tblPrEx>
        <w:tc>
          <w:tcPr>
            <w:tcW w:w="1555" w:type="dxa"/>
          </w:tcPr>
          <w:p w14:paraId="3358A3C3" w14:textId="77777777" w:rsidR="00EA3D84" w:rsidRPr="00704B78" w:rsidRDefault="00EA3D84" w:rsidP="006E2A77">
            <w:pPr>
              <w:rPr>
                <w:rFonts w:ascii="Arial Narrow" w:hAnsi="Arial Narrow" w:cs="Times New Roman"/>
                <w:sz w:val="20"/>
                <w:szCs w:val="20"/>
                <w:lang w:eastAsia="en-US" w:bidi="en-US"/>
              </w:rPr>
            </w:pPr>
            <w:r w:rsidRPr="00704B78">
              <w:rPr>
                <w:rFonts w:ascii="Arial Narrow" w:hAnsi="Arial Narrow" w:cs="Times New Roman"/>
                <w:b/>
                <w:bCs/>
                <w:sz w:val="20"/>
                <w:szCs w:val="20"/>
                <w:lang w:eastAsia="en-US" w:bidi="en-US"/>
              </w:rPr>
              <w:t>Treatment criteria:</w:t>
            </w:r>
          </w:p>
        </w:tc>
        <w:tc>
          <w:tcPr>
            <w:tcW w:w="7462" w:type="dxa"/>
            <w:hideMark/>
          </w:tcPr>
          <w:p w14:paraId="6A8F39A4"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Must be treated by a neurologist or must be treated by a medical practitioner who has consulted a neurologist, with agreement reached that the patient should be treated with this pharmaceutical benefit on this occasion</w:t>
            </w:r>
          </w:p>
        </w:tc>
      </w:tr>
      <w:tr w:rsidR="00EA3D84" w:rsidRPr="00704B78" w14:paraId="18406EF1" w14:textId="77777777" w:rsidTr="3517B442">
        <w:tblPrEx>
          <w:jc w:val="left"/>
        </w:tblPrEx>
        <w:tc>
          <w:tcPr>
            <w:tcW w:w="1555" w:type="dxa"/>
          </w:tcPr>
          <w:p w14:paraId="79B057E3" w14:textId="77777777" w:rsidR="00EA3D84" w:rsidRPr="00704B78" w:rsidRDefault="00EA3D84" w:rsidP="006E2A77">
            <w:pPr>
              <w:rPr>
                <w:rFonts w:ascii="Arial Narrow" w:hAnsi="Arial Narrow" w:cs="Times New Roman"/>
                <w:sz w:val="20"/>
                <w:szCs w:val="20"/>
                <w:lang w:eastAsia="en-US" w:bidi="en-US"/>
              </w:rPr>
            </w:pPr>
            <w:r w:rsidRPr="00704B78">
              <w:rPr>
                <w:rFonts w:ascii="Arial Narrow" w:hAnsi="Arial Narrow" w:cs="Times New Roman"/>
                <w:b/>
                <w:bCs/>
                <w:sz w:val="20"/>
                <w:szCs w:val="20"/>
                <w:lang w:eastAsia="en-US" w:bidi="en-US"/>
              </w:rPr>
              <w:t>Population criteria:</w:t>
            </w:r>
          </w:p>
        </w:tc>
        <w:tc>
          <w:tcPr>
            <w:tcW w:w="7462" w:type="dxa"/>
            <w:hideMark/>
          </w:tcPr>
          <w:p w14:paraId="7D28909A"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Patients must be aged 18 years or older</w:t>
            </w:r>
          </w:p>
        </w:tc>
      </w:tr>
      <w:tr w:rsidR="00EA3D84" w:rsidRPr="00704B78" w14:paraId="3ABC90CD" w14:textId="77777777" w:rsidTr="3517B442">
        <w:tblPrEx>
          <w:jc w:val="left"/>
        </w:tblPrEx>
        <w:tc>
          <w:tcPr>
            <w:tcW w:w="1555" w:type="dxa"/>
            <w:vMerge w:val="restart"/>
          </w:tcPr>
          <w:p w14:paraId="7AECC4ED" w14:textId="77777777" w:rsidR="00EA3D84" w:rsidRPr="00704B78" w:rsidRDefault="00EA3D84" w:rsidP="006E2A77">
            <w:pPr>
              <w:rPr>
                <w:rFonts w:ascii="Arial Narrow" w:hAnsi="Arial Narrow" w:cs="Times New Roman"/>
                <w:b/>
                <w:bCs/>
                <w:sz w:val="20"/>
                <w:szCs w:val="20"/>
                <w:lang w:eastAsia="en-US" w:bidi="en-US"/>
              </w:rPr>
            </w:pPr>
            <w:r w:rsidRPr="00704B78">
              <w:rPr>
                <w:rFonts w:ascii="Arial Narrow" w:hAnsi="Arial Narrow" w:cs="Times New Roman"/>
                <w:b/>
                <w:bCs/>
                <w:sz w:val="20"/>
                <w:szCs w:val="20"/>
                <w:lang w:eastAsia="en-US" w:bidi="en-US"/>
              </w:rPr>
              <w:t>Prescribing Instructions:</w:t>
            </w:r>
          </w:p>
        </w:tc>
        <w:tc>
          <w:tcPr>
            <w:tcW w:w="7462" w:type="dxa"/>
            <w:hideMark/>
          </w:tcPr>
          <w:p w14:paraId="684BACD5"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At the time of the authority application, medical practitioners should request the appropriate number of vials to cover 2 maintenance doses based on the patient’s weight and as per the Product Information. Refer to the Product information for patient weight ranges for the 100mg/mL doses (consisting of 300 mg in 3 mL and 1.1 g in 11 mL vials).</w:t>
            </w:r>
          </w:p>
          <w:p w14:paraId="3A326795"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Applications for treatment with this drug where the dose and dosing frequency exceeds that specified in the approved PI will not be approved.</w:t>
            </w:r>
          </w:p>
        </w:tc>
      </w:tr>
      <w:tr w:rsidR="00EA3D84" w:rsidRPr="00704B78" w14:paraId="5589A7B4" w14:textId="77777777" w:rsidTr="3517B442">
        <w:tblPrEx>
          <w:jc w:val="left"/>
        </w:tblPrEx>
        <w:tc>
          <w:tcPr>
            <w:tcW w:w="1555" w:type="dxa"/>
            <w:vMerge/>
          </w:tcPr>
          <w:p w14:paraId="6F0BE1DC" w14:textId="77777777" w:rsidR="00EA3D84" w:rsidRPr="00704B78" w:rsidRDefault="00EA3D84" w:rsidP="006E2A77">
            <w:pPr>
              <w:rPr>
                <w:rFonts w:ascii="Arial Narrow" w:hAnsi="Arial Narrow" w:cs="Times New Roman"/>
                <w:b/>
                <w:bCs/>
                <w:sz w:val="20"/>
                <w:szCs w:val="20"/>
                <w:lang w:eastAsia="en-US" w:bidi="en-US"/>
              </w:rPr>
            </w:pPr>
          </w:p>
        </w:tc>
        <w:tc>
          <w:tcPr>
            <w:tcW w:w="7462" w:type="dxa"/>
          </w:tcPr>
          <w:p w14:paraId="35E4A983" w14:textId="77777777" w:rsidR="00EA3D84" w:rsidRPr="00704B78" w:rsidRDefault="00EA3D84" w:rsidP="006E2A77">
            <w:pPr>
              <w:jc w:val="left"/>
              <w:rPr>
                <w:rFonts w:ascii="Arial Narrow" w:hAnsi="Arial Narrow" w:cs="Times New Roman"/>
                <w:bCs/>
                <w:sz w:val="20"/>
                <w:szCs w:val="20"/>
                <w:lang w:eastAsia="en-US" w:bidi="en-US"/>
              </w:rPr>
            </w:pPr>
            <w:r w:rsidRPr="00704B78">
              <w:rPr>
                <w:rFonts w:ascii="Arial Narrow" w:hAnsi="Arial Narrow" w:cs="Times New Roman"/>
                <w:bCs/>
                <w:sz w:val="20"/>
                <w:szCs w:val="20"/>
                <w:lang w:eastAsia="en-US" w:bidi="en-US"/>
              </w:rPr>
              <w:t>The authority application must be in writing and must include:</w:t>
            </w:r>
          </w:p>
          <w:p w14:paraId="2047D258" w14:textId="77777777" w:rsidR="00EA3D84" w:rsidRPr="00704B78" w:rsidRDefault="00EA3D84" w:rsidP="006E2A77">
            <w:pPr>
              <w:jc w:val="left"/>
              <w:rPr>
                <w:rFonts w:ascii="Arial Narrow" w:hAnsi="Arial Narrow" w:cs="Times New Roman"/>
                <w:bCs/>
                <w:sz w:val="20"/>
                <w:szCs w:val="20"/>
                <w:lang w:eastAsia="en-US" w:bidi="en-US"/>
              </w:rPr>
            </w:pPr>
            <w:r w:rsidRPr="00704B78">
              <w:rPr>
                <w:rFonts w:ascii="Arial Narrow" w:hAnsi="Arial Narrow" w:cs="Times New Roman"/>
                <w:bCs/>
                <w:sz w:val="20"/>
                <w:szCs w:val="20"/>
                <w:lang w:eastAsia="en-US" w:bidi="en-US"/>
              </w:rPr>
              <w:t>(1) A completed authority prescription form(s)</w:t>
            </w:r>
          </w:p>
          <w:p w14:paraId="7E5D45F1"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(2) A completed authority application form relevant to the indication and treatment phase (the latest version is located on the website specified in the Administrative Advice).</w:t>
            </w:r>
          </w:p>
          <w:p w14:paraId="5B5135CC"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bCs/>
                <w:sz w:val="20"/>
                <w:szCs w:val="20"/>
                <w:lang w:eastAsia="en-US" w:bidi="en-US"/>
              </w:rPr>
              <w:t>(3) The baseline MG-ADL profile score</w:t>
            </w:r>
          </w:p>
        </w:tc>
      </w:tr>
      <w:tr w:rsidR="00D52E49" w:rsidRPr="00704B78" w14:paraId="1A668628" w14:textId="77777777" w:rsidTr="00611348">
        <w:tblPrEx>
          <w:jc w:val="left"/>
        </w:tblPrEx>
        <w:trPr>
          <w:trHeight w:val="454"/>
        </w:trPr>
        <w:tc>
          <w:tcPr>
            <w:tcW w:w="1555" w:type="dxa"/>
          </w:tcPr>
          <w:p w14:paraId="1CF38101" w14:textId="77777777" w:rsidR="00D52E49" w:rsidRPr="00704B78" w:rsidRDefault="00D52E49" w:rsidP="006E2A77">
            <w:pPr>
              <w:jc w:val="left"/>
              <w:rPr>
                <w:rFonts w:ascii="Arial Narrow" w:hAnsi="Arial Narrow" w:cs="Times New Roman"/>
                <w:b/>
                <w:bCs/>
                <w:sz w:val="20"/>
                <w:szCs w:val="20"/>
                <w:lang w:eastAsia="en-US" w:bidi="en-US"/>
              </w:rPr>
            </w:pPr>
            <w:r w:rsidRPr="00704B78">
              <w:rPr>
                <w:rFonts w:ascii="Arial Narrow" w:hAnsi="Arial Narrow" w:cs="Times New Roman"/>
                <w:b/>
                <w:bCs/>
                <w:sz w:val="20"/>
                <w:szCs w:val="20"/>
                <w:lang w:eastAsia="en-US" w:bidi="en-US"/>
              </w:rPr>
              <w:lastRenderedPageBreak/>
              <w:t>Administrative Advice:</w:t>
            </w:r>
          </w:p>
        </w:tc>
        <w:tc>
          <w:tcPr>
            <w:tcW w:w="7462" w:type="dxa"/>
          </w:tcPr>
          <w:p w14:paraId="44A8CA52" w14:textId="4D167F9E" w:rsidR="00D52E49" w:rsidRPr="00704B78" w:rsidRDefault="00D52E49"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No increase in the maximum number of repeats may be authorised.</w:t>
            </w:r>
          </w:p>
        </w:tc>
      </w:tr>
      <w:tr w:rsidR="00EA3D84" w:rsidRPr="00704B78" w14:paraId="7BDB2D5A" w14:textId="77777777" w:rsidTr="3517B442">
        <w:tblPrEx>
          <w:jc w:val="left"/>
        </w:tblPrEx>
        <w:tc>
          <w:tcPr>
            <w:tcW w:w="1555" w:type="dxa"/>
            <w:tcBorders>
              <w:bottom w:val="single" w:sz="4" w:space="0" w:color="auto"/>
            </w:tcBorders>
          </w:tcPr>
          <w:p w14:paraId="68ACC128" w14:textId="77777777" w:rsidR="00EA3D84" w:rsidRPr="00704B78" w:rsidRDefault="00EA3D84" w:rsidP="006E2A77">
            <w:pPr>
              <w:jc w:val="left"/>
              <w:rPr>
                <w:rFonts w:ascii="Arial Narrow" w:hAnsi="Arial Narrow" w:cs="Times New Roman"/>
                <w:b/>
                <w:bCs/>
                <w:sz w:val="20"/>
                <w:szCs w:val="20"/>
                <w:lang w:eastAsia="en-US" w:bidi="en-US"/>
              </w:rPr>
            </w:pPr>
            <w:r w:rsidRPr="00704B78">
              <w:rPr>
                <w:rFonts w:ascii="Arial Narrow" w:hAnsi="Arial Narrow" w:cs="Times New Roman"/>
                <w:b/>
                <w:bCs/>
                <w:sz w:val="20"/>
                <w:szCs w:val="20"/>
                <w:lang w:eastAsia="en-US" w:bidi="en-US"/>
              </w:rPr>
              <w:t>Note:</w:t>
            </w:r>
          </w:p>
        </w:tc>
        <w:tc>
          <w:tcPr>
            <w:tcW w:w="7462" w:type="dxa"/>
            <w:tcBorders>
              <w:bottom w:val="single" w:sz="4" w:space="0" w:color="auto"/>
            </w:tcBorders>
          </w:tcPr>
          <w:p w14:paraId="467B1B82" w14:textId="76B6882D"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 xml:space="preserve">The MG-ADL profile score is available at: </w:t>
            </w:r>
            <w:hyperlink r:id="rId12" w:history="1">
              <w:r w:rsidRPr="00704B78">
                <w:rPr>
                  <w:rStyle w:val="Hyperlink"/>
                  <w:rFonts w:ascii="Arial Narrow" w:hAnsi="Arial Narrow" w:cs="Times New Roman"/>
                  <w:sz w:val="20"/>
                  <w:szCs w:val="20"/>
                  <w:lang w:eastAsia="en-US" w:bidi="en-US"/>
                </w:rPr>
                <w:t>https://ultomiris.com/-/media/Ultomiris_gMG/pdf/gMG-ULTOMIRIS-ADL-Tool.ashx</w:t>
              </w:r>
            </w:hyperlink>
          </w:p>
        </w:tc>
      </w:tr>
      <w:tr w:rsidR="00EA3D84" w:rsidRPr="00704B78" w14:paraId="1ED4BD1E" w14:textId="77777777" w:rsidTr="3517B442">
        <w:tblPrEx>
          <w:jc w:val="left"/>
        </w:tblPrEx>
        <w:tc>
          <w:tcPr>
            <w:tcW w:w="1555" w:type="dxa"/>
            <w:tcBorders>
              <w:bottom w:val="double" w:sz="4" w:space="0" w:color="auto"/>
            </w:tcBorders>
          </w:tcPr>
          <w:p w14:paraId="2267E1D0" w14:textId="77777777" w:rsidR="00EA3D84" w:rsidRPr="00704B78" w:rsidRDefault="00EA3D84" w:rsidP="006E2A77">
            <w:pPr>
              <w:jc w:val="left"/>
              <w:rPr>
                <w:rFonts w:ascii="Arial Narrow" w:hAnsi="Arial Narrow" w:cs="Times New Roman"/>
                <w:b/>
                <w:bCs/>
                <w:sz w:val="20"/>
                <w:szCs w:val="20"/>
                <w:lang w:eastAsia="en-US" w:bidi="en-US"/>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064EB5D1"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14A1D0D2"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Consult the approved PI for information about vaccination against meningococcal infection.</w:t>
            </w:r>
          </w:p>
        </w:tc>
      </w:tr>
      <w:tr w:rsidR="00EA3D84" w:rsidRPr="00704B78" w14:paraId="23494D20" w14:textId="77777777" w:rsidTr="3517B442">
        <w:tblPrEx>
          <w:jc w:val="left"/>
        </w:tblPrEx>
        <w:tc>
          <w:tcPr>
            <w:tcW w:w="1555" w:type="dxa"/>
          </w:tcPr>
          <w:p w14:paraId="6B87911A" w14:textId="0127F86D" w:rsidR="00EA3D84" w:rsidRPr="00704B78" w:rsidRDefault="00EA3D84" w:rsidP="006E2A77">
            <w:pPr>
              <w:pStyle w:val="COMTabletext"/>
              <w:keepNext w:val="0"/>
              <w:rPr>
                <w:b/>
                <w:bCs w:val="0"/>
              </w:rPr>
            </w:pPr>
            <w:r w:rsidRPr="00704B78">
              <w:rPr>
                <w:b/>
                <w:bCs w:val="0"/>
              </w:rPr>
              <w:t>Category/Program:</w:t>
            </w:r>
          </w:p>
        </w:tc>
        <w:tc>
          <w:tcPr>
            <w:tcW w:w="7462" w:type="dxa"/>
          </w:tcPr>
          <w:p w14:paraId="4AD688C2" w14:textId="77777777" w:rsidR="00EA3D84" w:rsidRPr="00704B78" w:rsidRDefault="00EA3D84" w:rsidP="006E2A77">
            <w:pPr>
              <w:pStyle w:val="COMTabletext"/>
              <w:keepNext w:val="0"/>
            </w:pPr>
            <w:r w:rsidRPr="00704B78">
              <w:t>Section 100 – Highly Specialised Drugs Program</w:t>
            </w:r>
          </w:p>
        </w:tc>
      </w:tr>
      <w:tr w:rsidR="00EA3D84" w:rsidRPr="00704B78" w14:paraId="5EA015B7" w14:textId="77777777" w:rsidTr="3517B442">
        <w:tblPrEx>
          <w:jc w:val="left"/>
        </w:tblPrEx>
        <w:tc>
          <w:tcPr>
            <w:tcW w:w="1555" w:type="dxa"/>
          </w:tcPr>
          <w:p w14:paraId="4E208583" w14:textId="77777777" w:rsidR="00EA3D84" w:rsidRPr="00704B78" w:rsidRDefault="00EA3D84" w:rsidP="006E2A77">
            <w:pPr>
              <w:pStyle w:val="COMTabletext"/>
              <w:keepNext w:val="0"/>
              <w:rPr>
                <w:b/>
                <w:bCs w:val="0"/>
              </w:rPr>
            </w:pPr>
            <w:r w:rsidRPr="00704B78">
              <w:rPr>
                <w:b/>
                <w:bCs w:val="0"/>
              </w:rPr>
              <w:t>Prescriber type:</w:t>
            </w:r>
          </w:p>
        </w:tc>
        <w:tc>
          <w:tcPr>
            <w:tcW w:w="7462" w:type="dxa"/>
          </w:tcPr>
          <w:p w14:paraId="50AED7F8" w14:textId="5EF39473" w:rsidR="00EA3D84" w:rsidRPr="00704B78" w:rsidRDefault="00EA3D84" w:rsidP="006E2A77">
            <w:pPr>
              <w:pStyle w:val="COMTabletext"/>
              <w:keepNext w:val="0"/>
            </w:pPr>
            <w:r w:rsidRPr="00704B78">
              <w:rPr>
                <w:szCs w:val="20"/>
              </w:rPr>
              <w:t>Medical Practitioners</w:t>
            </w:r>
          </w:p>
        </w:tc>
      </w:tr>
      <w:tr w:rsidR="00EA3D84" w:rsidRPr="00704B78" w14:paraId="64CB0553" w14:textId="77777777" w:rsidTr="3517B442">
        <w:tblPrEx>
          <w:jc w:val="left"/>
        </w:tblPrEx>
        <w:tc>
          <w:tcPr>
            <w:tcW w:w="1555" w:type="dxa"/>
          </w:tcPr>
          <w:p w14:paraId="3E6DF867" w14:textId="77777777" w:rsidR="00EA3D84" w:rsidRPr="00704B78" w:rsidRDefault="00EA3D84" w:rsidP="006E2A77">
            <w:pPr>
              <w:pStyle w:val="COMTabletext"/>
              <w:keepNext w:val="0"/>
              <w:rPr>
                <w:b/>
                <w:bCs w:val="0"/>
              </w:rPr>
            </w:pPr>
            <w:r w:rsidRPr="00704B78">
              <w:rPr>
                <w:b/>
                <w:bCs w:val="0"/>
              </w:rPr>
              <w:t>Restriction Type</w:t>
            </w:r>
          </w:p>
        </w:tc>
        <w:tc>
          <w:tcPr>
            <w:tcW w:w="7462" w:type="dxa"/>
          </w:tcPr>
          <w:p w14:paraId="1BDF68FA" w14:textId="4192ED66" w:rsidR="00EA3D84" w:rsidRPr="00704B78" w:rsidRDefault="00EA3D84" w:rsidP="006E2A77">
            <w:pPr>
              <w:pStyle w:val="COMTabletext"/>
              <w:keepNext w:val="0"/>
            </w:pPr>
            <w:r w:rsidRPr="00704B78">
              <w:rPr>
                <w:rFonts w:cs="Times New Roman"/>
                <w:szCs w:val="20"/>
                <w:lang w:eastAsia="en-US" w:bidi="en-US"/>
              </w:rPr>
              <w:t>Authority Required (in writing only via post/HPOS upload)</w:t>
            </w:r>
          </w:p>
        </w:tc>
      </w:tr>
      <w:tr w:rsidR="00EA3D84" w:rsidRPr="00704B78" w14:paraId="65CAEA96" w14:textId="77777777" w:rsidTr="3517B442">
        <w:tblPrEx>
          <w:jc w:val="left"/>
        </w:tblPrEx>
        <w:tc>
          <w:tcPr>
            <w:tcW w:w="1555" w:type="dxa"/>
          </w:tcPr>
          <w:p w14:paraId="5B983E6E" w14:textId="77777777" w:rsidR="00EA3D84" w:rsidRPr="00704B78" w:rsidRDefault="00EA3D84" w:rsidP="006E2A77">
            <w:pPr>
              <w:pStyle w:val="COMTabletext"/>
              <w:keepNext w:val="0"/>
              <w:rPr>
                <w:b/>
                <w:bCs w:val="0"/>
              </w:rPr>
            </w:pPr>
            <w:r w:rsidRPr="00704B78">
              <w:rPr>
                <w:b/>
                <w:bCs w:val="0"/>
              </w:rPr>
              <w:t>Condition:</w:t>
            </w:r>
          </w:p>
        </w:tc>
        <w:tc>
          <w:tcPr>
            <w:tcW w:w="7462" w:type="dxa"/>
          </w:tcPr>
          <w:p w14:paraId="7A9FF6C5" w14:textId="77777777" w:rsidR="00EA3D84" w:rsidRPr="00704B78" w:rsidRDefault="00EA3D84" w:rsidP="006E2A77">
            <w:pPr>
              <w:pStyle w:val="COMTabletext"/>
              <w:keepNext w:val="0"/>
            </w:pPr>
            <w:r w:rsidRPr="00704B78">
              <w:t>Generalised myasthenia gravis (gMG)</w:t>
            </w:r>
          </w:p>
        </w:tc>
      </w:tr>
      <w:tr w:rsidR="00EA3D84" w:rsidRPr="00704B78" w14:paraId="5521ECAE" w14:textId="77777777" w:rsidTr="3517B442">
        <w:tblPrEx>
          <w:jc w:val="left"/>
        </w:tblPrEx>
        <w:tc>
          <w:tcPr>
            <w:tcW w:w="1555" w:type="dxa"/>
          </w:tcPr>
          <w:p w14:paraId="3496629F" w14:textId="77777777" w:rsidR="00EA3D84" w:rsidRPr="00704B78" w:rsidRDefault="00EA3D84" w:rsidP="006E2A77">
            <w:pPr>
              <w:pStyle w:val="COMTabletext"/>
              <w:keepNext w:val="0"/>
              <w:rPr>
                <w:b/>
                <w:bCs w:val="0"/>
              </w:rPr>
            </w:pPr>
            <w:r w:rsidRPr="00704B78">
              <w:rPr>
                <w:b/>
                <w:bCs w:val="0"/>
              </w:rPr>
              <w:t>Indication:</w:t>
            </w:r>
          </w:p>
        </w:tc>
        <w:tc>
          <w:tcPr>
            <w:tcW w:w="7462" w:type="dxa"/>
          </w:tcPr>
          <w:p w14:paraId="08523758" w14:textId="77777777" w:rsidR="00EA3D84" w:rsidRPr="00704B78" w:rsidRDefault="00EA3D84" w:rsidP="006E2A77">
            <w:pPr>
              <w:pStyle w:val="COMTabletext"/>
              <w:keepNext w:val="0"/>
            </w:pPr>
            <w:r w:rsidRPr="00704B78">
              <w:t>Generalised myasthenia gravis (gMG)</w:t>
            </w:r>
          </w:p>
        </w:tc>
      </w:tr>
      <w:tr w:rsidR="00EA3D84" w:rsidRPr="00704B78" w14:paraId="18392A5B" w14:textId="77777777" w:rsidTr="3517B442">
        <w:tblPrEx>
          <w:jc w:val="left"/>
        </w:tblPrEx>
        <w:tc>
          <w:tcPr>
            <w:tcW w:w="1555" w:type="dxa"/>
          </w:tcPr>
          <w:p w14:paraId="1181B484" w14:textId="77777777" w:rsidR="00EA3D84" w:rsidRPr="00704B78" w:rsidRDefault="00EA3D84" w:rsidP="006E2A77">
            <w:pPr>
              <w:pStyle w:val="COMTabletext"/>
              <w:keepNext w:val="0"/>
              <w:rPr>
                <w:b/>
                <w:bCs w:val="0"/>
              </w:rPr>
            </w:pPr>
            <w:r w:rsidRPr="00704B78">
              <w:rPr>
                <w:b/>
                <w:bCs w:val="0"/>
              </w:rPr>
              <w:t>Treatment Phase:</w:t>
            </w:r>
          </w:p>
        </w:tc>
        <w:tc>
          <w:tcPr>
            <w:tcW w:w="7462" w:type="dxa"/>
            <w:hideMark/>
          </w:tcPr>
          <w:p w14:paraId="37F6F59C" w14:textId="77777777" w:rsidR="00EA3D84" w:rsidRPr="00704B78" w:rsidRDefault="00EA3D84" w:rsidP="006E2A77">
            <w:pPr>
              <w:pStyle w:val="COMTabletext"/>
              <w:keepNext w:val="0"/>
            </w:pPr>
            <w:r w:rsidRPr="00704B78">
              <w:t>Continuing treatment – newly diagnosed population</w:t>
            </w:r>
          </w:p>
        </w:tc>
      </w:tr>
      <w:tr w:rsidR="00EA3D84" w:rsidRPr="00704B78" w14:paraId="437EFEBA" w14:textId="77777777" w:rsidTr="3517B442">
        <w:tblPrEx>
          <w:jc w:val="left"/>
        </w:tblPrEx>
        <w:tc>
          <w:tcPr>
            <w:tcW w:w="1555" w:type="dxa"/>
            <w:vMerge w:val="restart"/>
          </w:tcPr>
          <w:p w14:paraId="641A9FE0" w14:textId="77777777" w:rsidR="00EA3D84" w:rsidRPr="00704B78" w:rsidRDefault="00EA3D84" w:rsidP="006E2A77">
            <w:pPr>
              <w:pStyle w:val="COMTabletext"/>
              <w:keepNext w:val="0"/>
              <w:rPr>
                <w:b/>
                <w:bCs w:val="0"/>
              </w:rPr>
            </w:pPr>
            <w:r w:rsidRPr="00704B78">
              <w:rPr>
                <w:b/>
                <w:bCs w:val="0"/>
              </w:rPr>
              <w:t xml:space="preserve"> Clinical criteria:</w:t>
            </w:r>
          </w:p>
        </w:tc>
        <w:tc>
          <w:tcPr>
            <w:tcW w:w="7462" w:type="dxa"/>
            <w:hideMark/>
          </w:tcPr>
          <w:p w14:paraId="6C7444C4" w14:textId="77777777" w:rsidR="00EA3D84" w:rsidRPr="00704B78" w:rsidRDefault="00EA3D84" w:rsidP="006E2A77">
            <w:pPr>
              <w:pStyle w:val="COMTabletext"/>
              <w:keepNext w:val="0"/>
            </w:pPr>
            <w:r w:rsidRPr="00704B78">
              <w:t>Patient must have previously received PBS subsidised treatment with this drug for this condition, AND</w:t>
            </w:r>
          </w:p>
        </w:tc>
      </w:tr>
      <w:tr w:rsidR="00EA3D84" w:rsidRPr="00704B78" w14:paraId="2D89CEB6" w14:textId="77777777" w:rsidTr="3517B442">
        <w:tblPrEx>
          <w:jc w:val="left"/>
        </w:tblPrEx>
        <w:tc>
          <w:tcPr>
            <w:tcW w:w="1555" w:type="dxa"/>
            <w:vMerge/>
          </w:tcPr>
          <w:p w14:paraId="79FEF238" w14:textId="77777777" w:rsidR="00EA3D84" w:rsidRPr="00704B78" w:rsidRDefault="00EA3D84" w:rsidP="006E2A77">
            <w:pPr>
              <w:pStyle w:val="COMTabletext"/>
              <w:keepNext w:val="0"/>
              <w:rPr>
                <w:b/>
                <w:bCs w:val="0"/>
              </w:rPr>
            </w:pPr>
          </w:p>
        </w:tc>
        <w:tc>
          <w:tcPr>
            <w:tcW w:w="7462" w:type="dxa"/>
          </w:tcPr>
          <w:p w14:paraId="449F4794" w14:textId="77777777" w:rsidR="00EA3D84" w:rsidRPr="00704B78" w:rsidRDefault="00EA3D84" w:rsidP="006E2A77">
            <w:pPr>
              <w:pStyle w:val="COMTabletext"/>
              <w:keepNext w:val="0"/>
            </w:pPr>
            <w:r w:rsidRPr="00704B78">
              <w:t>Patient must have demonstrated a clinical improvement based on a decrease in Myasthenia Gravis-Activities of Daily Living (MG-ADL) profile of at least 3 points from baseline, AND</w:t>
            </w:r>
          </w:p>
        </w:tc>
      </w:tr>
      <w:tr w:rsidR="00EA3D84" w:rsidRPr="00704B78" w14:paraId="14A82616" w14:textId="77777777" w:rsidTr="3517B442">
        <w:tblPrEx>
          <w:jc w:val="left"/>
        </w:tblPrEx>
        <w:tc>
          <w:tcPr>
            <w:tcW w:w="1555" w:type="dxa"/>
            <w:vMerge/>
          </w:tcPr>
          <w:p w14:paraId="1ACBDCB5" w14:textId="77777777" w:rsidR="00EA3D84" w:rsidRPr="00704B78" w:rsidRDefault="00EA3D84" w:rsidP="006E2A77">
            <w:pPr>
              <w:pStyle w:val="COMTabletext"/>
              <w:keepNext w:val="0"/>
              <w:rPr>
                <w:b/>
                <w:bCs w:val="0"/>
              </w:rPr>
            </w:pPr>
          </w:p>
        </w:tc>
        <w:tc>
          <w:tcPr>
            <w:tcW w:w="7462" w:type="dxa"/>
          </w:tcPr>
          <w:p w14:paraId="19DED543" w14:textId="77777777" w:rsidR="00EA3D84" w:rsidRPr="00704B78" w:rsidRDefault="00EA3D84" w:rsidP="006E2A77">
            <w:pPr>
              <w:pStyle w:val="COMTabletext"/>
              <w:keepNext w:val="0"/>
            </w:pPr>
            <w:r w:rsidRPr="00704B78">
              <w:t>Patients must not receive more than 92 weeks of treatment in total under this restriction</w:t>
            </w:r>
          </w:p>
        </w:tc>
      </w:tr>
      <w:tr w:rsidR="00EA3D84" w:rsidRPr="00704B78" w14:paraId="07B6815B" w14:textId="77777777" w:rsidTr="3517B442">
        <w:tblPrEx>
          <w:jc w:val="left"/>
        </w:tblPrEx>
        <w:tc>
          <w:tcPr>
            <w:tcW w:w="1555" w:type="dxa"/>
          </w:tcPr>
          <w:p w14:paraId="11C9DD0E" w14:textId="77777777" w:rsidR="00EA3D84" w:rsidRPr="00704B78" w:rsidRDefault="00EA3D84" w:rsidP="006E2A77">
            <w:pPr>
              <w:pStyle w:val="COMTabletext"/>
              <w:keepNext w:val="0"/>
              <w:rPr>
                <w:b/>
                <w:bCs w:val="0"/>
              </w:rPr>
            </w:pPr>
            <w:r w:rsidRPr="00704B78">
              <w:rPr>
                <w:b/>
                <w:bCs w:val="0"/>
              </w:rPr>
              <w:t>Treatment criteria:</w:t>
            </w:r>
          </w:p>
        </w:tc>
        <w:tc>
          <w:tcPr>
            <w:tcW w:w="7462" w:type="dxa"/>
            <w:hideMark/>
          </w:tcPr>
          <w:p w14:paraId="08322B5F" w14:textId="77777777" w:rsidR="00EA3D84" w:rsidRPr="00704B78" w:rsidRDefault="00EA3D84" w:rsidP="006E2A77">
            <w:pPr>
              <w:pStyle w:val="COMTabletext"/>
              <w:keepNext w:val="0"/>
            </w:pPr>
            <w:r w:rsidRPr="00704B78">
              <w:t>Must be treated by a neurologist or must be treated by a medical practitioner who has consulted a neurologist, with agreement reached that the patient should be treated with this pharmaceutical benefit on this occasion</w:t>
            </w:r>
          </w:p>
        </w:tc>
      </w:tr>
      <w:tr w:rsidR="00EA3D84" w:rsidRPr="00704B78" w14:paraId="7AB9A9B6" w14:textId="77777777" w:rsidTr="3517B442">
        <w:tblPrEx>
          <w:jc w:val="left"/>
        </w:tblPrEx>
        <w:tc>
          <w:tcPr>
            <w:tcW w:w="1555" w:type="dxa"/>
          </w:tcPr>
          <w:p w14:paraId="7F8D291E" w14:textId="77777777" w:rsidR="00EA3D84" w:rsidRPr="00704B78" w:rsidRDefault="00EA3D84" w:rsidP="006E2A77">
            <w:pPr>
              <w:pStyle w:val="COMTabletext"/>
              <w:keepNext w:val="0"/>
              <w:rPr>
                <w:b/>
                <w:bCs w:val="0"/>
              </w:rPr>
            </w:pPr>
            <w:r w:rsidRPr="00704B78">
              <w:rPr>
                <w:b/>
                <w:bCs w:val="0"/>
              </w:rPr>
              <w:t>Population criteria:</w:t>
            </w:r>
          </w:p>
        </w:tc>
        <w:tc>
          <w:tcPr>
            <w:tcW w:w="7462" w:type="dxa"/>
            <w:hideMark/>
          </w:tcPr>
          <w:p w14:paraId="656F526A" w14:textId="77777777" w:rsidR="00EA3D84" w:rsidRPr="00704B78" w:rsidRDefault="00EA3D84" w:rsidP="006E2A77">
            <w:pPr>
              <w:pStyle w:val="COMTabletext"/>
              <w:keepNext w:val="0"/>
            </w:pPr>
            <w:r w:rsidRPr="00704B78">
              <w:t>Patients must be aged 18 years or older</w:t>
            </w:r>
          </w:p>
        </w:tc>
      </w:tr>
      <w:tr w:rsidR="00EA3D84" w:rsidRPr="00704B78" w14:paraId="7567425B" w14:textId="77777777" w:rsidTr="3517B442">
        <w:tblPrEx>
          <w:jc w:val="left"/>
        </w:tblPrEx>
        <w:tc>
          <w:tcPr>
            <w:tcW w:w="1555" w:type="dxa"/>
          </w:tcPr>
          <w:p w14:paraId="3FB098F6" w14:textId="77777777" w:rsidR="00EA3D84" w:rsidRPr="00704B78" w:rsidRDefault="00EA3D84" w:rsidP="006E2A77">
            <w:pPr>
              <w:pStyle w:val="COMTabletext"/>
              <w:keepNext w:val="0"/>
              <w:rPr>
                <w:b/>
              </w:rPr>
            </w:pPr>
            <w:r w:rsidRPr="20E3FBC3">
              <w:rPr>
                <w:b/>
              </w:rPr>
              <w:t>Prescribing instructions:</w:t>
            </w:r>
          </w:p>
        </w:tc>
        <w:tc>
          <w:tcPr>
            <w:tcW w:w="7462" w:type="dxa"/>
          </w:tcPr>
          <w:p w14:paraId="74E8FA4B" w14:textId="77777777" w:rsidR="00EA3D84" w:rsidRPr="00704B78" w:rsidRDefault="00EA3D84" w:rsidP="006E2A77">
            <w:pPr>
              <w:pStyle w:val="COMTabletext"/>
              <w:keepNext w:val="0"/>
            </w:pPr>
            <w:r w:rsidRPr="00704B78">
              <w:t>The authority application must be in writing and must include all the following:</w:t>
            </w:r>
          </w:p>
          <w:p w14:paraId="28D702CA" w14:textId="77777777" w:rsidR="00EA3D84" w:rsidRPr="00704B78" w:rsidRDefault="00EA3D84" w:rsidP="006E2A77">
            <w:pPr>
              <w:pStyle w:val="COMTabletext"/>
              <w:keepNext w:val="0"/>
            </w:pPr>
            <w:r w:rsidRPr="00704B78">
              <w:t>(1) A completed authority prescription form(s</w:t>
            </w:r>
            <w:proofErr w:type="gramStart"/>
            <w:r w:rsidRPr="00704B78">
              <w:t>);</w:t>
            </w:r>
            <w:proofErr w:type="gramEnd"/>
          </w:p>
          <w:p w14:paraId="5B92B674" w14:textId="77777777" w:rsidR="00EA3D84" w:rsidRPr="00704B78" w:rsidRDefault="00EA3D84" w:rsidP="006E2A77">
            <w:pPr>
              <w:pStyle w:val="COMTabletext"/>
              <w:keepNext w:val="0"/>
            </w:pPr>
            <w:r w:rsidRPr="00704B78">
              <w:t>(2) A completed authority application form relevant to the indication and treatment phase (the latest version is located on the website specified in the Administrative Advice</w:t>
            </w:r>
            <w:proofErr w:type="gramStart"/>
            <w:r w:rsidRPr="00704B78">
              <w:t>);</w:t>
            </w:r>
            <w:proofErr w:type="gramEnd"/>
          </w:p>
          <w:p w14:paraId="266E6D63" w14:textId="77777777" w:rsidR="00EA3D84" w:rsidRPr="00704B78" w:rsidRDefault="00EA3D84" w:rsidP="006E2A77">
            <w:pPr>
              <w:pStyle w:val="COMTabletext"/>
              <w:keepNext w:val="0"/>
            </w:pPr>
            <w:r w:rsidRPr="00704B78">
              <w:t>(3) The current MG-ADL profile score</w:t>
            </w:r>
          </w:p>
        </w:tc>
      </w:tr>
      <w:tr w:rsidR="00D52E49" w:rsidRPr="00704B78" w14:paraId="6039A62F" w14:textId="77777777" w:rsidTr="00611348">
        <w:tblPrEx>
          <w:jc w:val="left"/>
        </w:tblPrEx>
        <w:trPr>
          <w:trHeight w:val="454"/>
        </w:trPr>
        <w:tc>
          <w:tcPr>
            <w:tcW w:w="1555" w:type="dxa"/>
          </w:tcPr>
          <w:p w14:paraId="1569A3A2" w14:textId="77777777" w:rsidR="00D52E49" w:rsidRPr="00704B78" w:rsidRDefault="00D52E49" w:rsidP="006E2A77">
            <w:pPr>
              <w:pStyle w:val="COMTabletext"/>
              <w:keepNext w:val="0"/>
              <w:rPr>
                <w:b/>
                <w:bCs w:val="0"/>
              </w:rPr>
            </w:pPr>
            <w:r w:rsidRPr="00704B78">
              <w:rPr>
                <w:b/>
                <w:bCs w:val="0"/>
              </w:rPr>
              <w:t>Administrative Advice:</w:t>
            </w:r>
          </w:p>
        </w:tc>
        <w:tc>
          <w:tcPr>
            <w:tcW w:w="7462" w:type="dxa"/>
          </w:tcPr>
          <w:p w14:paraId="10B73A06" w14:textId="087ACC6C" w:rsidR="00D52E49" w:rsidRPr="00704B78" w:rsidRDefault="00D52E49" w:rsidP="006E2A77">
            <w:pPr>
              <w:pStyle w:val="COMTabletext"/>
              <w:keepNext w:val="0"/>
            </w:pPr>
            <w:r w:rsidRPr="00704B78">
              <w:t>No increase in the maximum number of repeats may be authorised.</w:t>
            </w:r>
          </w:p>
        </w:tc>
      </w:tr>
      <w:tr w:rsidR="00EA3D84" w:rsidRPr="00704B78" w14:paraId="71C61F08" w14:textId="77777777" w:rsidTr="3517B442">
        <w:tblPrEx>
          <w:jc w:val="left"/>
        </w:tblPrEx>
        <w:tc>
          <w:tcPr>
            <w:tcW w:w="1555" w:type="dxa"/>
            <w:tcBorders>
              <w:bottom w:val="single" w:sz="4" w:space="0" w:color="auto"/>
            </w:tcBorders>
          </w:tcPr>
          <w:p w14:paraId="7DEB30D4" w14:textId="77777777" w:rsidR="00EA3D84" w:rsidRPr="00704B78" w:rsidRDefault="00EA3D84" w:rsidP="006E2A77">
            <w:pPr>
              <w:pStyle w:val="COMTabletext"/>
              <w:keepNext w:val="0"/>
              <w:rPr>
                <w:b/>
                <w:bCs w:val="0"/>
              </w:rPr>
            </w:pPr>
            <w:r w:rsidRPr="00704B78">
              <w:rPr>
                <w:rFonts w:cs="Times New Roman"/>
                <w:b/>
                <w:bCs w:val="0"/>
                <w:szCs w:val="20"/>
                <w:lang w:eastAsia="en-US" w:bidi="en-US"/>
              </w:rPr>
              <w:t>Note:</w:t>
            </w:r>
          </w:p>
        </w:tc>
        <w:tc>
          <w:tcPr>
            <w:tcW w:w="7462" w:type="dxa"/>
            <w:tcBorders>
              <w:bottom w:val="single" w:sz="4" w:space="0" w:color="auto"/>
            </w:tcBorders>
          </w:tcPr>
          <w:p w14:paraId="42BD4328" w14:textId="4F1562BA" w:rsidR="00EA3D84" w:rsidRPr="00704B78" w:rsidRDefault="00EA3D84" w:rsidP="006E2A77">
            <w:pPr>
              <w:pStyle w:val="COMTabletext"/>
              <w:keepNext w:val="0"/>
            </w:pPr>
            <w:r w:rsidRPr="00704B78">
              <w:rPr>
                <w:rFonts w:cs="Times New Roman"/>
                <w:szCs w:val="20"/>
                <w:lang w:eastAsia="en-US" w:bidi="en-US"/>
              </w:rPr>
              <w:t xml:space="preserve">The MG-ADL profile score is available at: </w:t>
            </w:r>
            <w:hyperlink r:id="rId13" w:history="1">
              <w:r w:rsidRPr="00704B78">
                <w:rPr>
                  <w:rStyle w:val="Hyperlink"/>
                  <w:rFonts w:cs="Times New Roman"/>
                  <w:szCs w:val="20"/>
                  <w:lang w:eastAsia="en-US" w:bidi="en-US"/>
                </w:rPr>
                <w:t>https://ultomiris.com/-/media/Ultomiris_gMG/pdf/gMG-ULTOMIRIS-ADL-Tool.ashx</w:t>
              </w:r>
            </w:hyperlink>
          </w:p>
        </w:tc>
      </w:tr>
      <w:tr w:rsidR="00EA3D84" w:rsidRPr="00704B78" w14:paraId="1E98CDD1" w14:textId="77777777" w:rsidTr="3517B442">
        <w:tblPrEx>
          <w:jc w:val="left"/>
        </w:tblPrEx>
        <w:tc>
          <w:tcPr>
            <w:tcW w:w="1555" w:type="dxa"/>
            <w:tcBorders>
              <w:bottom w:val="double" w:sz="4" w:space="0" w:color="auto"/>
            </w:tcBorders>
          </w:tcPr>
          <w:p w14:paraId="58A17D60" w14:textId="77777777" w:rsidR="00EA3D84" w:rsidRPr="00704B78" w:rsidRDefault="00EA3D84" w:rsidP="006E2A77">
            <w:pPr>
              <w:pStyle w:val="COMTabletext"/>
              <w:keepNext w:val="0"/>
              <w:rPr>
                <w:b/>
                <w:bCs w:val="0"/>
              </w:rPr>
            </w:pPr>
            <w:r w:rsidRPr="00704B78">
              <w:rPr>
                <w:rFonts w:cs="Times New Roman"/>
                <w:b/>
                <w:bCs w:val="0"/>
                <w:szCs w:val="20"/>
                <w:lang w:eastAsia="en-US" w:bidi="en-US"/>
              </w:rPr>
              <w:t>Caution:</w:t>
            </w:r>
          </w:p>
        </w:tc>
        <w:tc>
          <w:tcPr>
            <w:tcW w:w="7462" w:type="dxa"/>
            <w:tcBorders>
              <w:bottom w:val="double" w:sz="4" w:space="0" w:color="auto"/>
            </w:tcBorders>
          </w:tcPr>
          <w:p w14:paraId="4653B54D" w14:textId="77777777" w:rsidR="00EA3D84" w:rsidRPr="00704B78" w:rsidRDefault="00EA3D84"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145F1441" w14:textId="77777777" w:rsidR="00EA3D84" w:rsidRPr="00704B78" w:rsidRDefault="00EA3D84" w:rsidP="006E2A77">
            <w:pPr>
              <w:pStyle w:val="COMTabletext"/>
              <w:keepNext w:val="0"/>
            </w:pPr>
            <w:r w:rsidRPr="00704B78">
              <w:rPr>
                <w:rFonts w:cs="Times New Roman"/>
                <w:szCs w:val="20"/>
                <w:lang w:eastAsia="en-US" w:bidi="en-US"/>
              </w:rPr>
              <w:t>Consult the approved PI for information about vaccination against meningococcal infection.</w:t>
            </w:r>
          </w:p>
        </w:tc>
      </w:tr>
      <w:tr w:rsidR="00AB7DC3" w:rsidRPr="00704B78" w14:paraId="4A7670F6" w14:textId="77777777" w:rsidTr="3517B442">
        <w:tblPrEx>
          <w:jc w:val="left"/>
        </w:tblPrEx>
        <w:tc>
          <w:tcPr>
            <w:tcW w:w="1555" w:type="dxa"/>
            <w:tcBorders>
              <w:top w:val="double" w:sz="4" w:space="0" w:color="auto"/>
            </w:tcBorders>
          </w:tcPr>
          <w:p w14:paraId="1D217469" w14:textId="4798E8B3" w:rsidR="00AB7DC3" w:rsidRPr="00704B78" w:rsidRDefault="00AB7DC3" w:rsidP="006E2A77">
            <w:pPr>
              <w:jc w:val="left"/>
              <w:rPr>
                <w:rFonts w:ascii="Arial Narrow" w:eastAsiaTheme="majorEastAsia" w:hAnsi="Arial Narrow" w:cstheme="majorBidi"/>
                <w:b/>
                <w:sz w:val="20"/>
              </w:rPr>
            </w:pPr>
            <w:r w:rsidRPr="00704B78">
              <w:rPr>
                <w:rFonts w:ascii="Arial Narrow" w:eastAsiaTheme="majorEastAsia" w:hAnsi="Arial Narrow" w:cstheme="majorBidi"/>
                <w:b/>
                <w:sz w:val="20"/>
              </w:rPr>
              <w:t>Category/Program:</w:t>
            </w:r>
          </w:p>
        </w:tc>
        <w:tc>
          <w:tcPr>
            <w:tcW w:w="7462" w:type="dxa"/>
            <w:tcBorders>
              <w:top w:val="double" w:sz="4" w:space="0" w:color="auto"/>
            </w:tcBorders>
          </w:tcPr>
          <w:p w14:paraId="277B9100" w14:textId="3703DA85" w:rsidR="00AB7DC3" w:rsidRPr="00704B78" w:rsidRDefault="00AB7DC3" w:rsidP="006E2A77">
            <w:pPr>
              <w:pStyle w:val="PBACRestrictiontemplate"/>
              <w:rPr>
                <w:color w:val="auto"/>
                <w:sz w:val="20"/>
                <w:szCs w:val="20"/>
              </w:rPr>
            </w:pPr>
            <w:r w:rsidRPr="00704B78">
              <w:rPr>
                <w:color w:val="auto"/>
                <w:sz w:val="20"/>
                <w:szCs w:val="20"/>
              </w:rPr>
              <w:t>Section 100 – Highly Specialised Drugs Program</w:t>
            </w:r>
            <w:r w:rsidR="00D61CA6">
              <w:rPr>
                <w:color w:val="auto"/>
                <w:sz w:val="20"/>
                <w:szCs w:val="20"/>
              </w:rPr>
              <w:t xml:space="preserve">  </w:t>
            </w:r>
            <w:r w:rsidRPr="00704B78">
              <w:rPr>
                <w:color w:val="auto"/>
                <w:sz w:val="20"/>
                <w:szCs w:val="20"/>
              </w:rPr>
              <w:t xml:space="preserve"> </w:t>
            </w:r>
          </w:p>
        </w:tc>
      </w:tr>
      <w:tr w:rsidR="00AB7DC3" w:rsidRPr="00704B78" w14:paraId="57FF5A97" w14:textId="77777777" w:rsidTr="3517B442">
        <w:tblPrEx>
          <w:jc w:val="left"/>
        </w:tblPrEx>
        <w:tc>
          <w:tcPr>
            <w:tcW w:w="1555" w:type="dxa"/>
          </w:tcPr>
          <w:p w14:paraId="3CD85D8A"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 xml:space="preserve"> Prescriber type:</w:t>
            </w:r>
          </w:p>
        </w:tc>
        <w:tc>
          <w:tcPr>
            <w:tcW w:w="7462" w:type="dxa"/>
          </w:tcPr>
          <w:p w14:paraId="53895E9C" w14:textId="18FF1612" w:rsidR="00AB7DC3" w:rsidRPr="00704B78" w:rsidRDefault="00AB7DC3" w:rsidP="006E2A77">
            <w:pPr>
              <w:pStyle w:val="PBACRestrictiontemplate"/>
              <w:rPr>
                <w:color w:val="auto"/>
                <w:sz w:val="20"/>
                <w:szCs w:val="20"/>
              </w:rPr>
            </w:pPr>
            <w:r w:rsidRPr="00704B78">
              <w:rPr>
                <w:sz w:val="20"/>
                <w:szCs w:val="20"/>
              </w:rPr>
              <w:t>Medical Practitioners</w:t>
            </w:r>
          </w:p>
        </w:tc>
      </w:tr>
      <w:tr w:rsidR="00AB7DC3" w:rsidRPr="00704B78" w14:paraId="3CFCB64A" w14:textId="77777777" w:rsidTr="3517B442">
        <w:tblPrEx>
          <w:jc w:val="left"/>
        </w:tblPrEx>
        <w:tc>
          <w:tcPr>
            <w:tcW w:w="1555" w:type="dxa"/>
          </w:tcPr>
          <w:p w14:paraId="7A433D7A"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Restriction Type:</w:t>
            </w:r>
          </w:p>
        </w:tc>
        <w:tc>
          <w:tcPr>
            <w:tcW w:w="7462" w:type="dxa"/>
          </w:tcPr>
          <w:p w14:paraId="009A5D5F" w14:textId="0CFE7926" w:rsidR="00AB7DC3" w:rsidRPr="00704B78" w:rsidRDefault="00AB7DC3" w:rsidP="006E2A77">
            <w:pPr>
              <w:pStyle w:val="PBACRestrictiontemplate"/>
              <w:rPr>
                <w:color w:val="auto"/>
                <w:sz w:val="20"/>
                <w:szCs w:val="20"/>
              </w:rPr>
            </w:pPr>
            <w:r w:rsidRPr="00704B78">
              <w:rPr>
                <w:rFonts w:cs="Times New Roman"/>
                <w:sz w:val="20"/>
                <w:szCs w:val="20"/>
                <w:lang w:eastAsia="en-US"/>
              </w:rPr>
              <w:t>Authority Required (in writing only via post/HPOS upload)</w:t>
            </w:r>
          </w:p>
        </w:tc>
      </w:tr>
      <w:tr w:rsidR="00AB7DC3" w:rsidRPr="00704B78" w14:paraId="57260574" w14:textId="77777777" w:rsidTr="3517B442">
        <w:tblPrEx>
          <w:jc w:val="left"/>
        </w:tblPrEx>
        <w:tc>
          <w:tcPr>
            <w:tcW w:w="1555" w:type="dxa"/>
          </w:tcPr>
          <w:p w14:paraId="45EA183D"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Condition:</w:t>
            </w:r>
          </w:p>
        </w:tc>
        <w:tc>
          <w:tcPr>
            <w:tcW w:w="7462" w:type="dxa"/>
          </w:tcPr>
          <w:p w14:paraId="40B0BBEB" w14:textId="77777777" w:rsidR="00AB7DC3" w:rsidRPr="00704B78" w:rsidRDefault="00AB7DC3" w:rsidP="006E2A77">
            <w:pPr>
              <w:pStyle w:val="PBACRestrictiontemplate"/>
              <w:rPr>
                <w:sz w:val="20"/>
                <w:szCs w:val="20"/>
              </w:rPr>
            </w:pPr>
            <w:r w:rsidRPr="00704B78">
              <w:rPr>
                <w:color w:val="auto"/>
                <w:sz w:val="20"/>
                <w:szCs w:val="20"/>
              </w:rPr>
              <w:t>Generalised myasthenia gravis (gMG)</w:t>
            </w:r>
          </w:p>
        </w:tc>
      </w:tr>
      <w:tr w:rsidR="00AB7DC3" w:rsidRPr="00704B78" w14:paraId="55755AD9" w14:textId="77777777" w:rsidTr="3517B442">
        <w:tblPrEx>
          <w:jc w:val="left"/>
        </w:tblPrEx>
        <w:tc>
          <w:tcPr>
            <w:tcW w:w="1555" w:type="dxa"/>
          </w:tcPr>
          <w:p w14:paraId="68AC203C"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Indication:</w:t>
            </w:r>
          </w:p>
        </w:tc>
        <w:tc>
          <w:tcPr>
            <w:tcW w:w="7462" w:type="dxa"/>
            <w:hideMark/>
          </w:tcPr>
          <w:p w14:paraId="2E5D899F" w14:textId="77777777" w:rsidR="00AB7DC3" w:rsidRPr="00704B78" w:rsidRDefault="00AB7DC3" w:rsidP="006E2A77">
            <w:pPr>
              <w:pStyle w:val="PBACRestrictiontemplate"/>
              <w:rPr>
                <w:color w:val="auto"/>
                <w:sz w:val="20"/>
                <w:szCs w:val="20"/>
              </w:rPr>
            </w:pPr>
            <w:r w:rsidRPr="00704B78">
              <w:rPr>
                <w:color w:val="auto"/>
                <w:sz w:val="20"/>
                <w:szCs w:val="20"/>
              </w:rPr>
              <w:t>Generalised myasthenia gravis (gMG)</w:t>
            </w:r>
          </w:p>
        </w:tc>
      </w:tr>
      <w:tr w:rsidR="00AB7DC3" w:rsidRPr="00704B78" w14:paraId="5A6F7854" w14:textId="77777777" w:rsidTr="3517B442">
        <w:tblPrEx>
          <w:jc w:val="left"/>
        </w:tblPrEx>
        <w:tc>
          <w:tcPr>
            <w:tcW w:w="1555" w:type="dxa"/>
          </w:tcPr>
          <w:p w14:paraId="122B189E"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Treatment Phase:</w:t>
            </w:r>
          </w:p>
        </w:tc>
        <w:tc>
          <w:tcPr>
            <w:tcW w:w="7462" w:type="dxa"/>
            <w:hideMark/>
          </w:tcPr>
          <w:p w14:paraId="1A5C1A73" w14:textId="77777777" w:rsidR="00AB7DC3" w:rsidRPr="00704B78" w:rsidRDefault="00AB7DC3" w:rsidP="006E2A77">
            <w:pPr>
              <w:pStyle w:val="PBACRestrictiontemplate"/>
              <w:rPr>
                <w:color w:val="auto"/>
                <w:sz w:val="20"/>
                <w:szCs w:val="20"/>
              </w:rPr>
            </w:pPr>
            <w:r w:rsidRPr="00704B78">
              <w:rPr>
                <w:color w:val="auto"/>
                <w:sz w:val="20"/>
                <w:szCs w:val="20"/>
              </w:rPr>
              <w:t>Transition from non-PBS subsidised to PBS subsidised treatment (grandfather) – newly diagnosed patient population</w:t>
            </w:r>
          </w:p>
        </w:tc>
      </w:tr>
      <w:tr w:rsidR="00AB7DC3" w:rsidRPr="00704B78" w14:paraId="4AB86853" w14:textId="77777777" w:rsidTr="3517B442">
        <w:tblPrEx>
          <w:jc w:val="left"/>
        </w:tblPrEx>
        <w:tc>
          <w:tcPr>
            <w:tcW w:w="1555" w:type="dxa"/>
            <w:vMerge w:val="restart"/>
          </w:tcPr>
          <w:p w14:paraId="01682475"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Clinical criteria:</w:t>
            </w:r>
          </w:p>
        </w:tc>
        <w:tc>
          <w:tcPr>
            <w:tcW w:w="7462" w:type="dxa"/>
          </w:tcPr>
          <w:p w14:paraId="134B4C3C" w14:textId="77777777" w:rsidR="00AB7DC3" w:rsidRPr="00704B78" w:rsidRDefault="00AB7DC3" w:rsidP="006E2A77">
            <w:pPr>
              <w:pStyle w:val="PBACRestrictiontemplate"/>
              <w:rPr>
                <w:color w:val="auto"/>
                <w:sz w:val="20"/>
                <w:szCs w:val="20"/>
              </w:rPr>
            </w:pPr>
            <w:r w:rsidRPr="00704B78">
              <w:rPr>
                <w:color w:val="auto"/>
                <w:sz w:val="20"/>
                <w:szCs w:val="20"/>
              </w:rPr>
              <w:t>Patient must have received non-PBS-subsidised treatment with this drug for this condition prior to date of PBS listing AND</w:t>
            </w:r>
          </w:p>
        </w:tc>
      </w:tr>
      <w:tr w:rsidR="00AB7DC3" w:rsidRPr="00704B78" w14:paraId="06AE7552" w14:textId="77777777" w:rsidTr="3517B442">
        <w:tblPrEx>
          <w:jc w:val="left"/>
        </w:tblPrEx>
        <w:tc>
          <w:tcPr>
            <w:tcW w:w="1555" w:type="dxa"/>
            <w:vMerge/>
          </w:tcPr>
          <w:p w14:paraId="1F8704EB" w14:textId="77777777" w:rsidR="00AB7DC3" w:rsidRPr="00704B78" w:rsidRDefault="00AB7DC3" w:rsidP="006E2A77">
            <w:pPr>
              <w:rPr>
                <w:rFonts w:ascii="Arial Narrow" w:eastAsiaTheme="majorEastAsia" w:hAnsi="Arial Narrow" w:cstheme="majorBidi"/>
                <w:b/>
                <w:sz w:val="20"/>
              </w:rPr>
            </w:pPr>
          </w:p>
        </w:tc>
        <w:tc>
          <w:tcPr>
            <w:tcW w:w="7462" w:type="dxa"/>
          </w:tcPr>
          <w:p w14:paraId="19D4758E" w14:textId="77777777" w:rsidR="00AB7DC3" w:rsidRPr="00704B78" w:rsidRDefault="00AB7DC3" w:rsidP="006E2A77">
            <w:pPr>
              <w:pStyle w:val="PBACRestrictiontemplate"/>
              <w:rPr>
                <w:color w:val="auto"/>
                <w:sz w:val="20"/>
                <w:szCs w:val="20"/>
              </w:rPr>
            </w:pPr>
            <w:r w:rsidRPr="00704B78">
              <w:rPr>
                <w:color w:val="auto"/>
                <w:sz w:val="20"/>
                <w:szCs w:val="20"/>
              </w:rPr>
              <w:t>Patient must have a diagnosis of generalised myasthenia gravis that is not pure ocular myasthenia gravis AND</w:t>
            </w:r>
          </w:p>
        </w:tc>
      </w:tr>
      <w:tr w:rsidR="00AB7DC3" w:rsidRPr="00704B78" w14:paraId="20DDF5BE" w14:textId="77777777" w:rsidTr="3517B442">
        <w:tblPrEx>
          <w:jc w:val="left"/>
        </w:tblPrEx>
        <w:tc>
          <w:tcPr>
            <w:tcW w:w="1555" w:type="dxa"/>
            <w:vMerge/>
          </w:tcPr>
          <w:p w14:paraId="6DD78F1F" w14:textId="77777777" w:rsidR="00AB7DC3" w:rsidRPr="00704B78" w:rsidRDefault="00AB7DC3" w:rsidP="006E2A77">
            <w:pPr>
              <w:rPr>
                <w:rFonts w:ascii="Arial Narrow" w:eastAsiaTheme="majorEastAsia" w:hAnsi="Arial Narrow" w:cstheme="majorBidi"/>
                <w:b/>
                <w:sz w:val="20"/>
              </w:rPr>
            </w:pPr>
          </w:p>
        </w:tc>
        <w:tc>
          <w:tcPr>
            <w:tcW w:w="7462" w:type="dxa"/>
          </w:tcPr>
          <w:p w14:paraId="019A8B48" w14:textId="77777777" w:rsidR="00AB7DC3" w:rsidRPr="00704B78" w:rsidRDefault="00AB7DC3" w:rsidP="006E2A77">
            <w:pPr>
              <w:pStyle w:val="PBACRestrictiontemplate"/>
              <w:rPr>
                <w:color w:val="auto"/>
                <w:sz w:val="20"/>
                <w:szCs w:val="20"/>
              </w:rPr>
            </w:pPr>
            <w:r w:rsidRPr="00704B78">
              <w:rPr>
                <w:color w:val="auto"/>
                <w:sz w:val="20"/>
                <w:szCs w:val="20"/>
              </w:rPr>
              <w:t>Patient must have been diagnosed with MG within the past 2 years prior to starting treatment with ravulizumab, AND</w:t>
            </w:r>
          </w:p>
        </w:tc>
      </w:tr>
      <w:tr w:rsidR="00AB7DC3" w:rsidRPr="00704B78" w14:paraId="0BB42460" w14:textId="77777777" w:rsidTr="3517B442">
        <w:tblPrEx>
          <w:jc w:val="left"/>
        </w:tblPrEx>
        <w:tc>
          <w:tcPr>
            <w:tcW w:w="1555" w:type="dxa"/>
            <w:vMerge/>
          </w:tcPr>
          <w:p w14:paraId="7E29306B" w14:textId="77777777" w:rsidR="00AB7DC3" w:rsidRPr="00704B78" w:rsidRDefault="00AB7DC3" w:rsidP="006E2A77">
            <w:pPr>
              <w:rPr>
                <w:rFonts w:ascii="Arial Narrow" w:eastAsiaTheme="majorEastAsia" w:hAnsi="Arial Narrow" w:cstheme="majorBidi"/>
                <w:b/>
                <w:sz w:val="20"/>
              </w:rPr>
            </w:pPr>
          </w:p>
        </w:tc>
        <w:tc>
          <w:tcPr>
            <w:tcW w:w="7462" w:type="dxa"/>
          </w:tcPr>
          <w:p w14:paraId="0D337FA2" w14:textId="77777777" w:rsidR="00AB7DC3" w:rsidRPr="00704B78" w:rsidRDefault="00AB7DC3" w:rsidP="006E2A77">
            <w:pPr>
              <w:pStyle w:val="PBACRestrictiontemplate"/>
              <w:rPr>
                <w:color w:val="auto"/>
                <w:sz w:val="20"/>
                <w:szCs w:val="20"/>
              </w:rPr>
            </w:pPr>
            <w:r w:rsidRPr="00704B78">
              <w:rPr>
                <w:color w:val="auto"/>
                <w:sz w:val="20"/>
                <w:szCs w:val="20"/>
              </w:rPr>
              <w:t>Patient must have confirmed positive by serologic testing for anti-acetylcholine receptor antibodies (AChR antibodies), AND</w:t>
            </w:r>
          </w:p>
        </w:tc>
      </w:tr>
      <w:tr w:rsidR="00AB7DC3" w:rsidRPr="00704B78" w14:paraId="19DCE14E" w14:textId="77777777" w:rsidTr="3517B442">
        <w:tblPrEx>
          <w:jc w:val="left"/>
        </w:tblPrEx>
        <w:tc>
          <w:tcPr>
            <w:tcW w:w="1555" w:type="dxa"/>
            <w:vMerge/>
          </w:tcPr>
          <w:p w14:paraId="18E42509" w14:textId="77777777" w:rsidR="00AB7DC3" w:rsidRPr="00704B78" w:rsidRDefault="00AB7DC3" w:rsidP="006E2A77">
            <w:pPr>
              <w:rPr>
                <w:rFonts w:ascii="Arial Narrow" w:eastAsiaTheme="majorEastAsia" w:hAnsi="Arial Narrow" w:cstheme="majorBidi"/>
                <w:b/>
                <w:sz w:val="20"/>
              </w:rPr>
            </w:pPr>
          </w:p>
        </w:tc>
        <w:tc>
          <w:tcPr>
            <w:tcW w:w="7462" w:type="dxa"/>
          </w:tcPr>
          <w:p w14:paraId="036D798E" w14:textId="77777777" w:rsidR="00AB7DC3" w:rsidRPr="00704B78" w:rsidRDefault="00AB7DC3" w:rsidP="006E2A77">
            <w:pPr>
              <w:pStyle w:val="PBACRestrictiontemplate"/>
              <w:rPr>
                <w:color w:val="auto"/>
                <w:sz w:val="20"/>
                <w:szCs w:val="20"/>
              </w:rPr>
            </w:pPr>
            <w:r w:rsidRPr="00704B78">
              <w:rPr>
                <w:color w:val="auto"/>
                <w:sz w:val="20"/>
                <w:szCs w:val="20"/>
              </w:rPr>
              <w:t>The treatment must be added on to at least one immunosuppressive therapy, AND</w:t>
            </w:r>
          </w:p>
        </w:tc>
      </w:tr>
      <w:tr w:rsidR="00AB7DC3" w:rsidRPr="00704B78" w14:paraId="0680B3F9" w14:textId="77777777" w:rsidTr="3517B442">
        <w:tblPrEx>
          <w:jc w:val="left"/>
        </w:tblPrEx>
        <w:tc>
          <w:tcPr>
            <w:tcW w:w="1555" w:type="dxa"/>
            <w:vMerge/>
          </w:tcPr>
          <w:p w14:paraId="49BC20F6" w14:textId="77777777" w:rsidR="00AB7DC3" w:rsidRPr="00704B78" w:rsidRDefault="00AB7DC3" w:rsidP="006E2A77">
            <w:pPr>
              <w:rPr>
                <w:rFonts w:ascii="Arial Narrow" w:eastAsiaTheme="majorEastAsia" w:hAnsi="Arial Narrow" w:cstheme="majorBidi"/>
                <w:b/>
                <w:sz w:val="20"/>
              </w:rPr>
            </w:pPr>
          </w:p>
        </w:tc>
        <w:tc>
          <w:tcPr>
            <w:tcW w:w="7462" w:type="dxa"/>
          </w:tcPr>
          <w:p w14:paraId="51495CFA" w14:textId="77777777" w:rsidR="00AB7DC3" w:rsidRPr="00704B78" w:rsidRDefault="00AB7DC3" w:rsidP="006E2A77">
            <w:pPr>
              <w:pStyle w:val="PBACRestrictiontemplate"/>
              <w:rPr>
                <w:color w:val="auto"/>
                <w:sz w:val="20"/>
                <w:szCs w:val="20"/>
              </w:rPr>
            </w:pPr>
            <w:r w:rsidRPr="00704B78">
              <w:rPr>
                <w:color w:val="auto"/>
                <w:sz w:val="20"/>
                <w:szCs w:val="20"/>
              </w:rPr>
              <w:t>Patient must have recorded baseline symptoms consistent with a Myasthenia Gravis-Activities of Daily Living (MG-ADL) profile of at least 6 points despite treatment with standard therapy prior to initiation of ravulizumab, AND</w:t>
            </w:r>
          </w:p>
        </w:tc>
      </w:tr>
      <w:tr w:rsidR="00AB7DC3" w:rsidRPr="00704B78" w14:paraId="76CB9B61" w14:textId="77777777" w:rsidTr="3517B442">
        <w:tblPrEx>
          <w:jc w:val="left"/>
        </w:tblPrEx>
        <w:tc>
          <w:tcPr>
            <w:tcW w:w="1555" w:type="dxa"/>
            <w:vMerge/>
          </w:tcPr>
          <w:p w14:paraId="12850012" w14:textId="77777777" w:rsidR="00AB7DC3" w:rsidRPr="00704B78" w:rsidRDefault="00AB7DC3" w:rsidP="006E2A77">
            <w:pPr>
              <w:rPr>
                <w:rFonts w:ascii="Arial Narrow" w:eastAsiaTheme="majorEastAsia" w:hAnsi="Arial Narrow" w:cstheme="majorBidi"/>
                <w:b/>
                <w:sz w:val="20"/>
              </w:rPr>
            </w:pPr>
          </w:p>
        </w:tc>
        <w:tc>
          <w:tcPr>
            <w:tcW w:w="7462" w:type="dxa"/>
          </w:tcPr>
          <w:p w14:paraId="13607740" w14:textId="77777777" w:rsidR="00AB7DC3" w:rsidRPr="00704B78" w:rsidRDefault="00AB7DC3" w:rsidP="006E2A77">
            <w:pPr>
              <w:pStyle w:val="PBACRestrictiontemplate"/>
              <w:rPr>
                <w:color w:val="auto"/>
                <w:sz w:val="20"/>
                <w:szCs w:val="20"/>
              </w:rPr>
            </w:pPr>
            <w:r w:rsidRPr="00704B78">
              <w:rPr>
                <w:color w:val="auto"/>
                <w:sz w:val="20"/>
                <w:szCs w:val="20"/>
              </w:rPr>
              <w:t>Patient must have failed to achieve adequate response despite treatment with either (i) stable dose of oral steroids for a minimum of 1 month; or (ii) stable doses of non-steroidal immunosuppressive therapies for a minimum of 3 months, AND</w:t>
            </w:r>
          </w:p>
        </w:tc>
      </w:tr>
      <w:tr w:rsidR="00AB7DC3" w:rsidRPr="00704B78" w14:paraId="6D66BCF3" w14:textId="77777777" w:rsidTr="3517B442">
        <w:tblPrEx>
          <w:jc w:val="left"/>
        </w:tblPrEx>
        <w:tc>
          <w:tcPr>
            <w:tcW w:w="1555" w:type="dxa"/>
            <w:vMerge/>
          </w:tcPr>
          <w:p w14:paraId="7C14BCDD" w14:textId="77777777" w:rsidR="00AB7DC3" w:rsidRPr="00704B78" w:rsidRDefault="00AB7DC3" w:rsidP="006E2A77">
            <w:pPr>
              <w:rPr>
                <w:rFonts w:ascii="Arial Narrow" w:eastAsiaTheme="majorEastAsia" w:hAnsi="Arial Narrow" w:cstheme="majorBidi"/>
                <w:b/>
                <w:sz w:val="20"/>
              </w:rPr>
            </w:pPr>
          </w:p>
        </w:tc>
        <w:tc>
          <w:tcPr>
            <w:tcW w:w="7462" w:type="dxa"/>
          </w:tcPr>
          <w:p w14:paraId="429E6864" w14:textId="77777777" w:rsidR="00AB7DC3" w:rsidRPr="00704B78" w:rsidRDefault="00AB7DC3" w:rsidP="006E2A77">
            <w:pPr>
              <w:pStyle w:val="PBACRestrictiontemplate"/>
              <w:rPr>
                <w:color w:val="auto"/>
                <w:sz w:val="20"/>
                <w:szCs w:val="20"/>
              </w:rPr>
            </w:pPr>
            <w:r w:rsidRPr="00704B78">
              <w:rPr>
                <w:color w:val="auto"/>
                <w:sz w:val="20"/>
                <w:szCs w:val="20"/>
              </w:rPr>
              <w:t>Patient must have failed to achieve adequate response despite treatment with either at least one of (i) plasma exchange therapy for a minimum of 1 month; or (ii) intravenous immunoglobulins for a minimum of 4 months, if patient was able to receive and is tolerant to these therapies OR</w:t>
            </w:r>
          </w:p>
          <w:p w14:paraId="521792C7" w14:textId="77777777" w:rsidR="00AB7DC3" w:rsidRPr="00704B78" w:rsidRDefault="00AB7DC3" w:rsidP="006E2A77">
            <w:pPr>
              <w:pStyle w:val="PBACRestrictiontemplate"/>
              <w:rPr>
                <w:color w:val="auto"/>
                <w:sz w:val="20"/>
                <w:szCs w:val="20"/>
              </w:rPr>
            </w:pPr>
            <w:r w:rsidRPr="00704B78">
              <w:rPr>
                <w:color w:val="auto"/>
                <w:sz w:val="20"/>
                <w:szCs w:val="20"/>
              </w:rPr>
              <w:t xml:space="preserve">Patient must have demonstrated a clinical improvement consistent with a decrease in Myasthenia Gravis-Activities of Daily Living (MG-ADL) profile of at least 3 points from baseline after 12 weeks of treatment, AND </w:t>
            </w:r>
          </w:p>
        </w:tc>
      </w:tr>
      <w:tr w:rsidR="00AB7DC3" w:rsidRPr="00704B78" w14:paraId="19A2BC97" w14:textId="77777777" w:rsidTr="3517B442">
        <w:tblPrEx>
          <w:jc w:val="left"/>
        </w:tblPrEx>
        <w:tc>
          <w:tcPr>
            <w:tcW w:w="1555" w:type="dxa"/>
            <w:vMerge/>
          </w:tcPr>
          <w:p w14:paraId="196B9C42" w14:textId="77777777" w:rsidR="00AB7DC3" w:rsidRPr="00704B78" w:rsidRDefault="00AB7DC3" w:rsidP="006E2A77">
            <w:pPr>
              <w:rPr>
                <w:rFonts w:ascii="Arial Narrow" w:eastAsiaTheme="majorEastAsia" w:hAnsi="Arial Narrow" w:cstheme="majorBidi"/>
                <w:b/>
                <w:sz w:val="20"/>
              </w:rPr>
            </w:pPr>
          </w:p>
        </w:tc>
        <w:tc>
          <w:tcPr>
            <w:tcW w:w="7462" w:type="dxa"/>
          </w:tcPr>
          <w:p w14:paraId="50564BB2" w14:textId="77777777" w:rsidR="00AB7DC3" w:rsidRPr="00704B78" w:rsidRDefault="00AB7DC3" w:rsidP="006E2A77">
            <w:pPr>
              <w:pStyle w:val="PBACRestrictiontemplate"/>
              <w:rPr>
                <w:color w:val="auto"/>
                <w:sz w:val="20"/>
                <w:szCs w:val="20"/>
              </w:rPr>
            </w:pPr>
            <w:r w:rsidRPr="00704B78">
              <w:rPr>
                <w:color w:val="auto"/>
                <w:sz w:val="20"/>
                <w:szCs w:val="20"/>
              </w:rPr>
              <w:t>Patient must not receive more than 104 weeks supply</w:t>
            </w:r>
            <w:r w:rsidRPr="00704B78" w:rsidDel="00487D09">
              <w:rPr>
                <w:color w:val="auto"/>
                <w:sz w:val="20"/>
                <w:szCs w:val="20"/>
              </w:rPr>
              <w:t xml:space="preserve"> </w:t>
            </w:r>
            <w:r w:rsidRPr="00704B78">
              <w:rPr>
                <w:color w:val="auto"/>
                <w:sz w:val="20"/>
                <w:szCs w:val="20"/>
              </w:rPr>
              <w:t>with ravulizumab under the newly diagnosed patient restrictions</w:t>
            </w:r>
          </w:p>
        </w:tc>
      </w:tr>
      <w:tr w:rsidR="00AB7DC3" w:rsidRPr="00704B78" w14:paraId="4D8196FD" w14:textId="77777777" w:rsidTr="3517B442">
        <w:tblPrEx>
          <w:jc w:val="left"/>
        </w:tblPrEx>
        <w:tc>
          <w:tcPr>
            <w:tcW w:w="1555" w:type="dxa"/>
          </w:tcPr>
          <w:p w14:paraId="1329A6EE"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Treatment criteria:</w:t>
            </w:r>
          </w:p>
        </w:tc>
        <w:tc>
          <w:tcPr>
            <w:tcW w:w="7462" w:type="dxa"/>
            <w:hideMark/>
          </w:tcPr>
          <w:p w14:paraId="3FF5A32C" w14:textId="77777777" w:rsidR="00AB7DC3" w:rsidRPr="00704B78" w:rsidRDefault="00AB7DC3" w:rsidP="006E2A77">
            <w:pPr>
              <w:pStyle w:val="PBACRestrictiontemplate"/>
              <w:rPr>
                <w:color w:val="auto"/>
                <w:sz w:val="20"/>
                <w:szCs w:val="20"/>
              </w:rPr>
            </w:pPr>
            <w:r w:rsidRPr="00704B78">
              <w:rPr>
                <w:color w:val="auto"/>
                <w:sz w:val="20"/>
                <w:szCs w:val="20"/>
              </w:rPr>
              <w:t>Must be treated by a neurologist or must be treated by a medical practitioner who has consulted a neurologist, with agreement reached that the patient should be treated with this pharmaceutical benefit on this occasion</w:t>
            </w:r>
          </w:p>
        </w:tc>
      </w:tr>
      <w:tr w:rsidR="00AB7DC3" w:rsidRPr="00704B78" w14:paraId="1E90CF8A" w14:textId="77777777" w:rsidTr="3517B442">
        <w:tblPrEx>
          <w:jc w:val="left"/>
        </w:tblPrEx>
        <w:tc>
          <w:tcPr>
            <w:tcW w:w="1555" w:type="dxa"/>
          </w:tcPr>
          <w:p w14:paraId="7F8A571A"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Population criteria:</w:t>
            </w:r>
          </w:p>
        </w:tc>
        <w:tc>
          <w:tcPr>
            <w:tcW w:w="7462" w:type="dxa"/>
            <w:hideMark/>
          </w:tcPr>
          <w:p w14:paraId="793C6F90" w14:textId="77777777" w:rsidR="00AB7DC3" w:rsidRPr="00704B78" w:rsidRDefault="00AB7DC3" w:rsidP="006E2A77">
            <w:pPr>
              <w:pStyle w:val="PBACRestrictiontemplate"/>
              <w:rPr>
                <w:color w:val="auto"/>
                <w:sz w:val="20"/>
                <w:szCs w:val="20"/>
              </w:rPr>
            </w:pPr>
            <w:r w:rsidRPr="00704B78">
              <w:rPr>
                <w:color w:val="auto"/>
                <w:sz w:val="20"/>
                <w:szCs w:val="20"/>
              </w:rPr>
              <w:t>Patients must be aged 18 years or older</w:t>
            </w:r>
          </w:p>
        </w:tc>
      </w:tr>
      <w:tr w:rsidR="00AB7DC3" w:rsidRPr="00704B78" w14:paraId="2E868797" w14:textId="77777777" w:rsidTr="3517B442">
        <w:tblPrEx>
          <w:jc w:val="left"/>
        </w:tblPrEx>
        <w:tc>
          <w:tcPr>
            <w:tcW w:w="1555" w:type="dxa"/>
            <w:vMerge w:val="restart"/>
          </w:tcPr>
          <w:p w14:paraId="3476AE16" w14:textId="77777777" w:rsidR="00AB7DC3" w:rsidRPr="00704B78" w:rsidRDefault="00AB7DC3" w:rsidP="006E2A77">
            <w:pPr>
              <w:rPr>
                <w:rFonts w:ascii="Arial Narrow" w:eastAsiaTheme="majorEastAsia" w:hAnsi="Arial Narrow" w:cstheme="majorBidi"/>
                <w:b/>
                <w:sz w:val="20"/>
              </w:rPr>
            </w:pPr>
            <w:r w:rsidRPr="00704B78">
              <w:rPr>
                <w:rFonts w:ascii="Arial Narrow" w:eastAsiaTheme="majorEastAsia" w:hAnsi="Arial Narrow" w:cstheme="majorBidi"/>
                <w:b/>
                <w:sz w:val="20"/>
              </w:rPr>
              <w:t>Prescribing instructions:</w:t>
            </w:r>
          </w:p>
        </w:tc>
        <w:tc>
          <w:tcPr>
            <w:tcW w:w="7462" w:type="dxa"/>
            <w:hideMark/>
          </w:tcPr>
          <w:p w14:paraId="48014A5F" w14:textId="77777777" w:rsidR="00AB7DC3" w:rsidRPr="00704B78" w:rsidRDefault="00AB7DC3" w:rsidP="006E2A77">
            <w:pPr>
              <w:pStyle w:val="PBACRestrictiontemplate"/>
              <w:rPr>
                <w:color w:val="auto"/>
                <w:sz w:val="20"/>
                <w:szCs w:val="20"/>
              </w:rPr>
            </w:pPr>
            <w:r w:rsidRPr="00704B78" w:rsidDel="008D61A7">
              <w:rPr>
                <w:color w:val="auto"/>
                <w:sz w:val="20"/>
                <w:szCs w:val="20"/>
              </w:rPr>
              <w:t xml:space="preserve">Where treatment with plasma exchange or intravenous immunoglobulin is </w:t>
            </w:r>
            <w:r w:rsidRPr="00704B78">
              <w:rPr>
                <w:color w:val="auto"/>
                <w:sz w:val="20"/>
                <w:szCs w:val="20"/>
              </w:rPr>
              <w:t>not possible, details must be provided at the time of application.</w:t>
            </w:r>
          </w:p>
          <w:p w14:paraId="748F0A2E" w14:textId="77777777" w:rsidR="00AB7DC3" w:rsidRPr="00704B78" w:rsidRDefault="00AB7DC3" w:rsidP="006E2A77">
            <w:pPr>
              <w:pStyle w:val="PBACRestrictiontemplate"/>
              <w:rPr>
                <w:color w:val="auto"/>
                <w:sz w:val="20"/>
                <w:szCs w:val="20"/>
              </w:rPr>
            </w:pPr>
            <w:r w:rsidRPr="00704B78">
              <w:rPr>
                <w:color w:val="auto"/>
                <w:sz w:val="20"/>
                <w:szCs w:val="20"/>
              </w:rPr>
              <w:t>Where intolerance to treatment with oral steroids, plasma exchange or intravenous immunoglobulin develops during the relevant treatment period (of severity to necessitate treatment withdrawal), details must be provided at the time of application.</w:t>
            </w:r>
          </w:p>
        </w:tc>
      </w:tr>
      <w:tr w:rsidR="00AB7DC3" w:rsidRPr="00704B78" w14:paraId="3A5DEBCD" w14:textId="77777777" w:rsidTr="3517B442">
        <w:tblPrEx>
          <w:jc w:val="left"/>
        </w:tblPrEx>
        <w:tc>
          <w:tcPr>
            <w:tcW w:w="1555" w:type="dxa"/>
            <w:vMerge/>
          </w:tcPr>
          <w:p w14:paraId="7A0C6F83" w14:textId="77777777" w:rsidR="00AB7DC3" w:rsidRPr="00704B78" w:rsidRDefault="00AB7DC3" w:rsidP="006E2A77">
            <w:pPr>
              <w:rPr>
                <w:rFonts w:ascii="Arial Narrow" w:eastAsiaTheme="majorEastAsia" w:hAnsi="Arial Narrow" w:cstheme="majorBidi"/>
                <w:b/>
                <w:sz w:val="20"/>
              </w:rPr>
            </w:pPr>
          </w:p>
        </w:tc>
        <w:tc>
          <w:tcPr>
            <w:tcW w:w="7462" w:type="dxa"/>
            <w:hideMark/>
          </w:tcPr>
          <w:p w14:paraId="4A1EF59E" w14:textId="77777777" w:rsidR="00AB7DC3" w:rsidRPr="00704B78" w:rsidRDefault="00AB7DC3" w:rsidP="006E2A77">
            <w:pPr>
              <w:pStyle w:val="PBACRestrictiontemplate"/>
              <w:rPr>
                <w:color w:val="auto"/>
                <w:sz w:val="20"/>
                <w:szCs w:val="20"/>
              </w:rPr>
            </w:pPr>
            <w:r w:rsidRPr="00704B78">
              <w:rPr>
                <w:color w:val="auto"/>
                <w:sz w:val="20"/>
                <w:szCs w:val="20"/>
              </w:rPr>
              <w:t>At the time of the authority application, medical practitioners should request the appropriate number of vials to cover 3 maintenance doses based on the patient’s weight and as per the Product Information. Refer to the Product information for patient weight ranges for the 100mg/mL doses (consisting of 300 mg in 3 mL and 1.1 g in 11 mL vials).</w:t>
            </w:r>
          </w:p>
          <w:p w14:paraId="20C18026" w14:textId="77777777" w:rsidR="00AB7DC3" w:rsidRPr="00704B78" w:rsidRDefault="00AB7DC3" w:rsidP="006E2A77">
            <w:pPr>
              <w:pStyle w:val="PBACRestrictiontemplate"/>
              <w:rPr>
                <w:color w:val="auto"/>
                <w:sz w:val="20"/>
                <w:szCs w:val="20"/>
              </w:rPr>
            </w:pPr>
            <w:r w:rsidRPr="00704B78">
              <w:rPr>
                <w:color w:val="auto"/>
                <w:sz w:val="20"/>
                <w:szCs w:val="20"/>
              </w:rPr>
              <w:t>Applications for treatment with this drug where the dose and dosing frequency exceeds that specified in the approved PI will not be approved.</w:t>
            </w:r>
          </w:p>
        </w:tc>
      </w:tr>
      <w:tr w:rsidR="00AB7DC3" w:rsidRPr="00704B78" w14:paraId="4F0548D3" w14:textId="77777777" w:rsidTr="3517B442">
        <w:tblPrEx>
          <w:jc w:val="left"/>
        </w:tblPrEx>
        <w:tc>
          <w:tcPr>
            <w:tcW w:w="1555" w:type="dxa"/>
            <w:vMerge/>
          </w:tcPr>
          <w:p w14:paraId="402BE194" w14:textId="77777777" w:rsidR="00AB7DC3" w:rsidRPr="00704B78" w:rsidRDefault="00AB7DC3" w:rsidP="006E2A77">
            <w:pPr>
              <w:rPr>
                <w:rFonts w:ascii="Arial Narrow" w:eastAsiaTheme="majorEastAsia" w:hAnsi="Arial Narrow" w:cstheme="majorBidi"/>
                <w:b/>
                <w:sz w:val="20"/>
              </w:rPr>
            </w:pPr>
          </w:p>
        </w:tc>
        <w:tc>
          <w:tcPr>
            <w:tcW w:w="7462" w:type="dxa"/>
          </w:tcPr>
          <w:p w14:paraId="6E79B6E4" w14:textId="77777777" w:rsidR="00AB7DC3" w:rsidRPr="00704B78" w:rsidRDefault="00AB7DC3" w:rsidP="006E2A77">
            <w:pPr>
              <w:pStyle w:val="PBACRestrictiontemplate"/>
              <w:rPr>
                <w:color w:val="auto"/>
                <w:sz w:val="20"/>
                <w:szCs w:val="20"/>
              </w:rPr>
            </w:pPr>
            <w:r w:rsidRPr="00704B78">
              <w:rPr>
                <w:color w:val="auto"/>
                <w:sz w:val="20"/>
                <w:szCs w:val="20"/>
              </w:rPr>
              <w:t>The authority application must be in writing and must include all the following:</w:t>
            </w:r>
          </w:p>
          <w:p w14:paraId="4E6A37A6" w14:textId="77777777" w:rsidR="00AB7DC3" w:rsidRPr="00704B78" w:rsidRDefault="00AB7DC3" w:rsidP="006E2A77">
            <w:pPr>
              <w:pStyle w:val="PBACRestrictiontemplate"/>
              <w:rPr>
                <w:color w:val="auto"/>
                <w:sz w:val="20"/>
                <w:szCs w:val="20"/>
              </w:rPr>
            </w:pPr>
            <w:r w:rsidRPr="00704B78">
              <w:rPr>
                <w:color w:val="auto"/>
                <w:sz w:val="20"/>
                <w:szCs w:val="20"/>
              </w:rPr>
              <w:t>(1) A completed authority prescription form(s)</w:t>
            </w:r>
          </w:p>
          <w:p w14:paraId="5BE5A7A8" w14:textId="77777777" w:rsidR="00AB7DC3" w:rsidRPr="00704B78" w:rsidRDefault="00AB7DC3" w:rsidP="006E2A77">
            <w:pPr>
              <w:pStyle w:val="PBACRestrictiontemplate"/>
              <w:rPr>
                <w:color w:val="auto"/>
                <w:sz w:val="20"/>
                <w:szCs w:val="20"/>
              </w:rPr>
            </w:pPr>
            <w:r w:rsidRPr="00704B78">
              <w:rPr>
                <w:color w:val="auto"/>
                <w:sz w:val="20"/>
                <w:szCs w:val="20"/>
              </w:rPr>
              <w:t>(2) A completed authority application form relevant to the indication and treatment phase (the latest version is located on the website specified in the Administrative Advice)</w:t>
            </w:r>
          </w:p>
          <w:p w14:paraId="145DB565" w14:textId="77777777" w:rsidR="00AB7DC3" w:rsidRPr="00704B78" w:rsidRDefault="00AB7DC3" w:rsidP="006E2A77">
            <w:pPr>
              <w:pStyle w:val="PBACRestrictiontemplate"/>
              <w:rPr>
                <w:color w:val="auto"/>
                <w:sz w:val="20"/>
                <w:szCs w:val="20"/>
              </w:rPr>
            </w:pPr>
            <w:r w:rsidRPr="00704B78">
              <w:rPr>
                <w:color w:val="auto"/>
                <w:sz w:val="20"/>
                <w:szCs w:val="20"/>
              </w:rPr>
              <w:t>(3) The baseline MG-ADL profile score</w:t>
            </w:r>
          </w:p>
          <w:p w14:paraId="6A04A39A" w14:textId="77777777" w:rsidR="00AB7DC3" w:rsidRPr="00704B78" w:rsidRDefault="00AB7DC3" w:rsidP="006E2A77">
            <w:pPr>
              <w:pStyle w:val="PBACRestrictiontemplate"/>
              <w:rPr>
                <w:color w:val="auto"/>
                <w:sz w:val="20"/>
                <w:szCs w:val="20"/>
              </w:rPr>
            </w:pPr>
            <w:r w:rsidRPr="00704B78">
              <w:rPr>
                <w:color w:val="auto"/>
                <w:sz w:val="20"/>
                <w:szCs w:val="20"/>
              </w:rPr>
              <w:t>(4) The current MG-ADL profile score</w:t>
            </w:r>
          </w:p>
        </w:tc>
      </w:tr>
      <w:tr w:rsidR="00D52E49" w:rsidRPr="00704B78" w14:paraId="5611AD0E" w14:textId="77777777" w:rsidTr="00611348">
        <w:tblPrEx>
          <w:jc w:val="left"/>
        </w:tblPrEx>
        <w:trPr>
          <w:trHeight w:val="454"/>
        </w:trPr>
        <w:tc>
          <w:tcPr>
            <w:tcW w:w="1555" w:type="dxa"/>
          </w:tcPr>
          <w:p w14:paraId="18C7A67D" w14:textId="77777777" w:rsidR="00D52E49" w:rsidRPr="00704B78" w:rsidRDefault="00D52E49" w:rsidP="006E2A77">
            <w:r w:rsidRPr="00704B78">
              <w:rPr>
                <w:rFonts w:ascii="Arial Narrow" w:hAnsi="Arial Narrow"/>
                <w:b/>
                <w:bCs/>
                <w:sz w:val="20"/>
                <w:szCs w:val="20"/>
              </w:rPr>
              <w:t>Administrative Advice:</w:t>
            </w:r>
          </w:p>
        </w:tc>
        <w:tc>
          <w:tcPr>
            <w:tcW w:w="7462" w:type="dxa"/>
          </w:tcPr>
          <w:p w14:paraId="3E4AC91A" w14:textId="2B594036" w:rsidR="00D52E49" w:rsidRPr="00704B78" w:rsidRDefault="00D52E49" w:rsidP="006E2A77">
            <w:pPr>
              <w:pStyle w:val="PBACRestrictiontemplate"/>
              <w:rPr>
                <w:color w:val="auto"/>
                <w:sz w:val="20"/>
                <w:szCs w:val="20"/>
              </w:rPr>
            </w:pPr>
            <w:r w:rsidRPr="00704B78">
              <w:rPr>
                <w:color w:val="auto"/>
                <w:sz w:val="20"/>
                <w:szCs w:val="20"/>
              </w:rPr>
              <w:t>No increase in the maximum number of repeats may be authorised.</w:t>
            </w:r>
          </w:p>
        </w:tc>
      </w:tr>
      <w:tr w:rsidR="00AB7DC3" w:rsidRPr="00704B78" w14:paraId="0D87F1D7" w14:textId="77777777" w:rsidTr="3517B442">
        <w:tblPrEx>
          <w:jc w:val="left"/>
        </w:tblPrEx>
        <w:tc>
          <w:tcPr>
            <w:tcW w:w="1555" w:type="dxa"/>
            <w:tcBorders>
              <w:bottom w:val="single" w:sz="4" w:space="0" w:color="auto"/>
            </w:tcBorders>
          </w:tcPr>
          <w:p w14:paraId="1775F2D0" w14:textId="77777777" w:rsidR="00AB7DC3" w:rsidRPr="00704B78" w:rsidRDefault="00AB7DC3" w:rsidP="006E2A77">
            <w:pPr>
              <w:rPr>
                <w:rFonts w:ascii="Arial Narrow" w:hAnsi="Arial Narrow"/>
                <w:b/>
                <w:bCs/>
                <w:sz w:val="20"/>
                <w:szCs w:val="20"/>
              </w:rPr>
            </w:pPr>
            <w:r w:rsidRPr="00704B78">
              <w:rPr>
                <w:rFonts w:ascii="Arial Narrow" w:hAnsi="Arial Narrow" w:cs="Times New Roman"/>
                <w:b/>
                <w:bCs/>
                <w:sz w:val="20"/>
                <w:szCs w:val="20"/>
                <w:lang w:eastAsia="en-US" w:bidi="en-US"/>
              </w:rPr>
              <w:t>Note:</w:t>
            </w:r>
          </w:p>
        </w:tc>
        <w:tc>
          <w:tcPr>
            <w:tcW w:w="7462" w:type="dxa"/>
            <w:tcBorders>
              <w:bottom w:val="single" w:sz="4" w:space="0" w:color="auto"/>
            </w:tcBorders>
          </w:tcPr>
          <w:p w14:paraId="22F0DE2C" w14:textId="020EE581" w:rsidR="00AB7DC3" w:rsidRPr="00704B78" w:rsidRDefault="00AB7DC3" w:rsidP="006E2A77">
            <w:pPr>
              <w:pStyle w:val="PBACRestrictiontemplate"/>
              <w:rPr>
                <w:color w:val="auto"/>
                <w:sz w:val="20"/>
                <w:szCs w:val="20"/>
              </w:rPr>
            </w:pPr>
            <w:r w:rsidRPr="00704B78">
              <w:rPr>
                <w:rFonts w:cs="Times New Roman"/>
                <w:sz w:val="20"/>
                <w:szCs w:val="20"/>
                <w:lang w:eastAsia="en-US"/>
              </w:rPr>
              <w:t xml:space="preserve">The MG-ADL profile score is available at: </w:t>
            </w:r>
            <w:hyperlink r:id="rId14" w:history="1">
              <w:r w:rsidRPr="00704B78">
                <w:rPr>
                  <w:rStyle w:val="Hyperlink"/>
                  <w:rFonts w:cs="Times New Roman"/>
                  <w:sz w:val="20"/>
                  <w:szCs w:val="20"/>
                  <w:lang w:eastAsia="en-US"/>
                </w:rPr>
                <w:t>https://ultomiris.com/-/media/Ultomiris_gMG/pdf/gMG-ULTOMIRIS-ADL-Tool.ashx</w:t>
              </w:r>
            </w:hyperlink>
          </w:p>
        </w:tc>
      </w:tr>
      <w:tr w:rsidR="00AB7DC3" w:rsidRPr="00704B78" w14:paraId="795B1EF3" w14:textId="77777777" w:rsidTr="3517B442">
        <w:tblPrEx>
          <w:jc w:val="left"/>
        </w:tblPrEx>
        <w:tc>
          <w:tcPr>
            <w:tcW w:w="1555" w:type="dxa"/>
            <w:tcBorders>
              <w:bottom w:val="double" w:sz="4" w:space="0" w:color="auto"/>
            </w:tcBorders>
          </w:tcPr>
          <w:p w14:paraId="33556CE5" w14:textId="77777777" w:rsidR="00AB7DC3" w:rsidRPr="00704B78" w:rsidRDefault="00AB7DC3" w:rsidP="006E2A77">
            <w:pPr>
              <w:rPr>
                <w:rFonts w:ascii="Arial Narrow" w:hAnsi="Arial Narrow"/>
                <w:b/>
                <w:bCs/>
                <w:sz w:val="20"/>
                <w:szCs w:val="20"/>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6F3F51F9" w14:textId="77777777" w:rsidR="00AB7DC3" w:rsidRPr="00704B78" w:rsidRDefault="00AB7DC3"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6B38B3EB" w14:textId="77777777" w:rsidR="00AB7DC3" w:rsidRPr="00704B78" w:rsidRDefault="00AB7DC3" w:rsidP="006E2A77">
            <w:pPr>
              <w:pStyle w:val="PBACRestrictiontemplate"/>
              <w:rPr>
                <w:color w:val="auto"/>
                <w:sz w:val="20"/>
                <w:szCs w:val="20"/>
              </w:rPr>
            </w:pPr>
            <w:r w:rsidRPr="00704B78">
              <w:rPr>
                <w:rFonts w:cs="Times New Roman"/>
                <w:sz w:val="20"/>
                <w:szCs w:val="20"/>
                <w:lang w:eastAsia="en-US"/>
              </w:rPr>
              <w:t>Consult the approved PI for information about vaccination against meningococcal infection.</w:t>
            </w:r>
          </w:p>
        </w:tc>
      </w:tr>
      <w:tr w:rsidR="00AB7DC3" w:rsidRPr="00704B78" w14:paraId="7BB58A5C" w14:textId="77777777" w:rsidTr="3517B442">
        <w:tblPrEx>
          <w:jc w:val="left"/>
        </w:tblPrEx>
        <w:tc>
          <w:tcPr>
            <w:tcW w:w="1555" w:type="dxa"/>
            <w:tcBorders>
              <w:top w:val="double" w:sz="4" w:space="0" w:color="auto"/>
            </w:tcBorders>
          </w:tcPr>
          <w:p w14:paraId="2100A907" w14:textId="2BF529CC" w:rsidR="00AB7DC3" w:rsidRPr="00704B78" w:rsidRDefault="00AB7DC3" w:rsidP="006E2A77">
            <w:pPr>
              <w:rPr>
                <w:rFonts w:ascii="Arial Narrow" w:hAnsi="Arial Narrow"/>
                <w:b/>
                <w:sz w:val="20"/>
                <w:szCs w:val="20"/>
              </w:rPr>
            </w:pPr>
            <w:r w:rsidRPr="00704B78">
              <w:rPr>
                <w:rFonts w:ascii="Arial Narrow" w:hAnsi="Arial Narrow"/>
                <w:b/>
                <w:sz w:val="20"/>
                <w:szCs w:val="20"/>
              </w:rPr>
              <w:t>Category/</w:t>
            </w:r>
            <w:r w:rsidR="00CF4EF9" w:rsidRPr="00704B78">
              <w:rPr>
                <w:rFonts w:ascii="Arial Narrow" w:hAnsi="Arial Narrow"/>
                <w:b/>
                <w:sz w:val="20"/>
                <w:szCs w:val="20"/>
              </w:rPr>
              <w:t>P</w:t>
            </w:r>
            <w:r w:rsidRPr="00704B78">
              <w:rPr>
                <w:rFonts w:ascii="Arial Narrow" w:hAnsi="Arial Narrow"/>
                <w:b/>
                <w:sz w:val="20"/>
                <w:szCs w:val="20"/>
              </w:rPr>
              <w:t>rogram:</w:t>
            </w:r>
            <w:r w:rsidR="00D61CA6">
              <w:rPr>
                <w:rFonts w:ascii="Arial Narrow" w:hAnsi="Arial Narrow"/>
                <w:b/>
                <w:sz w:val="20"/>
                <w:szCs w:val="20"/>
              </w:rPr>
              <w:t xml:space="preserve">  </w:t>
            </w:r>
          </w:p>
        </w:tc>
        <w:tc>
          <w:tcPr>
            <w:tcW w:w="7462" w:type="dxa"/>
            <w:tcBorders>
              <w:top w:val="double" w:sz="4" w:space="0" w:color="auto"/>
            </w:tcBorders>
          </w:tcPr>
          <w:p w14:paraId="3161458A"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Section 100 – Highly Specialised Drugs Program</w:t>
            </w:r>
          </w:p>
        </w:tc>
      </w:tr>
      <w:tr w:rsidR="00AB7DC3" w:rsidRPr="00704B78" w14:paraId="5E5888DE" w14:textId="77777777" w:rsidTr="3517B442">
        <w:tblPrEx>
          <w:jc w:val="left"/>
        </w:tblPrEx>
        <w:tc>
          <w:tcPr>
            <w:tcW w:w="1555" w:type="dxa"/>
          </w:tcPr>
          <w:p w14:paraId="7E89D358" w14:textId="77777777" w:rsidR="00AB7DC3" w:rsidRPr="00704B78" w:rsidRDefault="00AB7DC3" w:rsidP="006E2A77">
            <w:pPr>
              <w:rPr>
                <w:rFonts w:ascii="Arial Narrow" w:hAnsi="Arial Narrow"/>
                <w:b/>
                <w:sz w:val="20"/>
                <w:szCs w:val="20"/>
              </w:rPr>
            </w:pPr>
            <w:r w:rsidRPr="00704B78">
              <w:rPr>
                <w:rFonts w:ascii="Arial Narrow" w:hAnsi="Arial Narrow"/>
                <w:b/>
                <w:sz w:val="20"/>
                <w:szCs w:val="20"/>
              </w:rPr>
              <w:t>Prescriber type:</w:t>
            </w:r>
          </w:p>
        </w:tc>
        <w:tc>
          <w:tcPr>
            <w:tcW w:w="7462" w:type="dxa"/>
          </w:tcPr>
          <w:p w14:paraId="087DD4C7" w14:textId="1328C63C" w:rsidR="00AB7DC3" w:rsidRPr="00704B78" w:rsidRDefault="00AB7DC3" w:rsidP="006E2A77">
            <w:pPr>
              <w:jc w:val="left"/>
              <w:rPr>
                <w:rFonts w:ascii="Arial Narrow" w:hAnsi="Arial Narrow"/>
                <w:b/>
                <w:sz w:val="20"/>
                <w:szCs w:val="20"/>
              </w:rPr>
            </w:pPr>
            <w:r w:rsidRPr="00704B78">
              <w:rPr>
                <w:rFonts w:ascii="Arial Narrow" w:hAnsi="Arial Narrow"/>
                <w:sz w:val="20"/>
                <w:szCs w:val="20"/>
              </w:rPr>
              <w:t>Medical Practitioners</w:t>
            </w:r>
          </w:p>
        </w:tc>
      </w:tr>
      <w:tr w:rsidR="00AB7DC3" w:rsidRPr="00704B78" w14:paraId="7B551203" w14:textId="77777777" w:rsidTr="3517B442">
        <w:tblPrEx>
          <w:jc w:val="left"/>
        </w:tblPrEx>
        <w:tc>
          <w:tcPr>
            <w:tcW w:w="1555" w:type="dxa"/>
          </w:tcPr>
          <w:p w14:paraId="05879DCB" w14:textId="77777777" w:rsidR="00AB7DC3" w:rsidRPr="00704B78" w:rsidRDefault="00AB7DC3" w:rsidP="006E2A77">
            <w:pPr>
              <w:rPr>
                <w:rFonts w:ascii="Arial Narrow" w:hAnsi="Arial Narrow"/>
                <w:b/>
                <w:sz w:val="20"/>
                <w:szCs w:val="20"/>
              </w:rPr>
            </w:pPr>
            <w:r w:rsidRPr="00704B78">
              <w:rPr>
                <w:rFonts w:ascii="Arial Narrow" w:hAnsi="Arial Narrow"/>
                <w:b/>
                <w:sz w:val="20"/>
                <w:szCs w:val="20"/>
              </w:rPr>
              <w:t>Restriction Type:</w:t>
            </w:r>
          </w:p>
        </w:tc>
        <w:tc>
          <w:tcPr>
            <w:tcW w:w="7462" w:type="dxa"/>
          </w:tcPr>
          <w:p w14:paraId="3EBD32DD" w14:textId="1E499995" w:rsidR="00AB7DC3" w:rsidRPr="00704B78" w:rsidRDefault="00AB7DC3" w:rsidP="006E2A77">
            <w:pPr>
              <w:jc w:val="left"/>
              <w:rPr>
                <w:rFonts w:ascii="Arial Narrow" w:hAnsi="Arial Narrow"/>
                <w:b/>
                <w:sz w:val="20"/>
                <w:szCs w:val="20"/>
              </w:rPr>
            </w:pPr>
            <w:r w:rsidRPr="00704B78">
              <w:rPr>
                <w:rFonts w:ascii="Arial Narrow" w:hAnsi="Arial Narrow" w:cs="Times New Roman"/>
                <w:sz w:val="20"/>
                <w:szCs w:val="20"/>
                <w:lang w:eastAsia="en-US" w:bidi="en-US"/>
              </w:rPr>
              <w:t>Authority Required (in writing only via post/HPOS upload)</w:t>
            </w:r>
          </w:p>
        </w:tc>
      </w:tr>
      <w:tr w:rsidR="00AB7DC3" w:rsidRPr="00704B78" w14:paraId="1CCB6A81" w14:textId="77777777" w:rsidTr="3517B442">
        <w:tblPrEx>
          <w:jc w:val="left"/>
        </w:tblPrEx>
        <w:tc>
          <w:tcPr>
            <w:tcW w:w="1555" w:type="dxa"/>
          </w:tcPr>
          <w:p w14:paraId="09A0F31B" w14:textId="77777777" w:rsidR="00AB7DC3" w:rsidRPr="00704B78" w:rsidRDefault="00AB7DC3" w:rsidP="006E2A77">
            <w:pPr>
              <w:rPr>
                <w:rFonts w:ascii="Arial Narrow" w:hAnsi="Arial Narrow"/>
                <w:b/>
                <w:sz w:val="20"/>
                <w:szCs w:val="20"/>
              </w:rPr>
            </w:pPr>
            <w:r w:rsidRPr="00704B78">
              <w:rPr>
                <w:rFonts w:ascii="Arial Narrow" w:hAnsi="Arial Narrow"/>
                <w:b/>
                <w:sz w:val="20"/>
                <w:szCs w:val="20"/>
              </w:rPr>
              <w:t>Condition</w:t>
            </w:r>
          </w:p>
        </w:tc>
        <w:tc>
          <w:tcPr>
            <w:tcW w:w="7462" w:type="dxa"/>
          </w:tcPr>
          <w:p w14:paraId="7E9B0994" w14:textId="77777777" w:rsidR="00AB7DC3" w:rsidRPr="00704B78" w:rsidRDefault="00AB7DC3" w:rsidP="006E2A77">
            <w:pPr>
              <w:jc w:val="left"/>
              <w:rPr>
                <w:rFonts w:ascii="Arial Narrow" w:hAnsi="Arial Narrow"/>
                <w:sz w:val="20"/>
                <w:szCs w:val="20"/>
              </w:rPr>
            </w:pPr>
            <w:r w:rsidRPr="00704B78">
              <w:rPr>
                <w:rFonts w:ascii="Arial Narrow" w:hAnsi="Arial Narrow"/>
                <w:bCs/>
                <w:sz w:val="20"/>
                <w:szCs w:val="20"/>
              </w:rPr>
              <w:t>Generalised myasthenia gravis (gMG)</w:t>
            </w:r>
          </w:p>
        </w:tc>
      </w:tr>
      <w:tr w:rsidR="00AB7DC3" w:rsidRPr="00704B78" w14:paraId="223DA751" w14:textId="77777777" w:rsidTr="3517B442">
        <w:tblPrEx>
          <w:jc w:val="left"/>
        </w:tblPrEx>
        <w:tc>
          <w:tcPr>
            <w:tcW w:w="1555" w:type="dxa"/>
          </w:tcPr>
          <w:p w14:paraId="42C19488" w14:textId="77777777" w:rsidR="00AB7DC3" w:rsidRPr="00704B78" w:rsidRDefault="00AB7DC3" w:rsidP="006E2A77">
            <w:pPr>
              <w:rPr>
                <w:rFonts w:ascii="Arial Narrow" w:hAnsi="Arial Narrow"/>
                <w:b/>
                <w:bCs/>
                <w:sz w:val="20"/>
                <w:szCs w:val="20"/>
              </w:rPr>
            </w:pPr>
            <w:r w:rsidRPr="00704B78">
              <w:rPr>
                <w:rFonts w:ascii="Arial Narrow" w:hAnsi="Arial Narrow"/>
                <w:b/>
                <w:bCs/>
                <w:sz w:val="20"/>
                <w:szCs w:val="20"/>
              </w:rPr>
              <w:t>Indication:</w:t>
            </w:r>
          </w:p>
        </w:tc>
        <w:tc>
          <w:tcPr>
            <w:tcW w:w="7462" w:type="dxa"/>
            <w:hideMark/>
          </w:tcPr>
          <w:p w14:paraId="176BEBB1" w14:textId="77777777" w:rsidR="00AB7DC3" w:rsidRPr="00704B78" w:rsidRDefault="00AB7DC3" w:rsidP="006E2A77">
            <w:pPr>
              <w:jc w:val="left"/>
              <w:rPr>
                <w:rFonts w:ascii="Arial Narrow" w:hAnsi="Arial Narrow"/>
                <w:sz w:val="20"/>
                <w:szCs w:val="20"/>
              </w:rPr>
            </w:pPr>
            <w:r w:rsidRPr="00704B78">
              <w:rPr>
                <w:rFonts w:ascii="Arial Narrow" w:hAnsi="Arial Narrow"/>
                <w:bCs/>
                <w:sz w:val="20"/>
                <w:szCs w:val="20"/>
              </w:rPr>
              <w:t>Generalised myasthenia gravis (gMG)</w:t>
            </w:r>
          </w:p>
        </w:tc>
      </w:tr>
      <w:tr w:rsidR="00AB7DC3" w:rsidRPr="00704B78" w14:paraId="609676D2" w14:textId="77777777" w:rsidTr="3517B442">
        <w:tblPrEx>
          <w:jc w:val="left"/>
        </w:tblPrEx>
        <w:tc>
          <w:tcPr>
            <w:tcW w:w="1555" w:type="dxa"/>
          </w:tcPr>
          <w:p w14:paraId="324882E0" w14:textId="77777777" w:rsidR="00AB7DC3" w:rsidRPr="00704B78" w:rsidRDefault="00AB7DC3" w:rsidP="006E2A77">
            <w:pPr>
              <w:rPr>
                <w:rFonts w:ascii="Arial Narrow" w:hAnsi="Arial Narrow"/>
                <w:b/>
                <w:bCs/>
                <w:sz w:val="20"/>
                <w:szCs w:val="20"/>
              </w:rPr>
            </w:pPr>
            <w:r w:rsidRPr="00704B78">
              <w:rPr>
                <w:rFonts w:ascii="Arial Narrow" w:hAnsi="Arial Narrow"/>
                <w:b/>
                <w:bCs/>
                <w:sz w:val="20"/>
                <w:szCs w:val="20"/>
              </w:rPr>
              <w:t>Treatment Phase:</w:t>
            </w:r>
          </w:p>
        </w:tc>
        <w:tc>
          <w:tcPr>
            <w:tcW w:w="7462" w:type="dxa"/>
            <w:hideMark/>
          </w:tcPr>
          <w:p w14:paraId="22D1AAE9"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 xml:space="preserve">Initial treatment – refractory patient population – loading doses </w:t>
            </w:r>
          </w:p>
        </w:tc>
      </w:tr>
      <w:tr w:rsidR="00AB7DC3" w:rsidRPr="00704B78" w14:paraId="491541A5" w14:textId="77777777" w:rsidTr="3517B442">
        <w:tblPrEx>
          <w:jc w:val="left"/>
        </w:tblPrEx>
        <w:tc>
          <w:tcPr>
            <w:tcW w:w="1555" w:type="dxa"/>
            <w:vMerge w:val="restart"/>
          </w:tcPr>
          <w:p w14:paraId="07594FC0" w14:textId="77777777" w:rsidR="00AB7DC3" w:rsidRPr="00704B78" w:rsidRDefault="00AB7DC3" w:rsidP="006E2A77">
            <w:pPr>
              <w:pStyle w:val="PBACRestrictiontemplate"/>
              <w:rPr>
                <w:color w:val="auto"/>
                <w:sz w:val="20"/>
                <w:szCs w:val="20"/>
              </w:rPr>
            </w:pPr>
            <w:r w:rsidRPr="00704B78">
              <w:rPr>
                <w:b/>
                <w:bCs/>
                <w:color w:val="auto"/>
                <w:sz w:val="20"/>
                <w:szCs w:val="20"/>
              </w:rPr>
              <w:t>Clinical criteria:</w:t>
            </w:r>
          </w:p>
        </w:tc>
        <w:tc>
          <w:tcPr>
            <w:tcW w:w="7462" w:type="dxa"/>
            <w:hideMark/>
          </w:tcPr>
          <w:p w14:paraId="08553D17" w14:textId="77777777" w:rsidR="00AB7DC3" w:rsidRPr="00704B78" w:rsidRDefault="00AB7DC3" w:rsidP="006E2A77">
            <w:pPr>
              <w:pStyle w:val="PBACRestrictiontemplate"/>
              <w:rPr>
                <w:sz w:val="20"/>
                <w:szCs w:val="20"/>
              </w:rPr>
            </w:pPr>
            <w:r w:rsidRPr="00704B78">
              <w:rPr>
                <w:color w:val="auto"/>
                <w:sz w:val="20"/>
                <w:szCs w:val="20"/>
              </w:rPr>
              <w:t>Patient must have a diagnosis of generalised myasthenia gravis that is not pure ocular myasthenia gravis, AND</w:t>
            </w:r>
          </w:p>
        </w:tc>
      </w:tr>
      <w:tr w:rsidR="00AB7DC3" w:rsidRPr="00704B78" w14:paraId="1A460A13" w14:textId="77777777" w:rsidTr="3517B442">
        <w:tblPrEx>
          <w:jc w:val="left"/>
        </w:tblPrEx>
        <w:tc>
          <w:tcPr>
            <w:tcW w:w="1555" w:type="dxa"/>
            <w:vMerge/>
          </w:tcPr>
          <w:p w14:paraId="4F8429D0" w14:textId="77777777" w:rsidR="00AB7DC3" w:rsidRPr="00704B78" w:rsidRDefault="00AB7DC3" w:rsidP="006E2A77">
            <w:pPr>
              <w:pStyle w:val="PBACRestrictiontemplate"/>
              <w:rPr>
                <w:b/>
                <w:bCs/>
                <w:color w:val="auto"/>
                <w:sz w:val="20"/>
                <w:szCs w:val="20"/>
              </w:rPr>
            </w:pPr>
          </w:p>
        </w:tc>
        <w:tc>
          <w:tcPr>
            <w:tcW w:w="7462" w:type="dxa"/>
          </w:tcPr>
          <w:p w14:paraId="1C44E65C" w14:textId="77777777" w:rsidR="00AB7DC3" w:rsidRPr="00704B78" w:rsidRDefault="00AB7DC3" w:rsidP="006E2A77">
            <w:pPr>
              <w:pStyle w:val="PBACRestrictiontemplate"/>
              <w:rPr>
                <w:color w:val="auto"/>
                <w:sz w:val="20"/>
                <w:szCs w:val="20"/>
              </w:rPr>
            </w:pPr>
            <w:r w:rsidRPr="00704B78">
              <w:rPr>
                <w:color w:val="auto"/>
                <w:sz w:val="20"/>
                <w:szCs w:val="20"/>
              </w:rPr>
              <w:t>Patient must have been confirmed positive by serologic testing for anti-acetylcholine receptor antibodies (anti-AChR antibodies), AND</w:t>
            </w:r>
          </w:p>
        </w:tc>
      </w:tr>
      <w:tr w:rsidR="00AB7DC3" w:rsidRPr="00704B78" w14:paraId="3159AFDD" w14:textId="77777777" w:rsidTr="3517B442">
        <w:tblPrEx>
          <w:jc w:val="left"/>
        </w:tblPrEx>
        <w:tc>
          <w:tcPr>
            <w:tcW w:w="1555" w:type="dxa"/>
            <w:vMerge/>
          </w:tcPr>
          <w:p w14:paraId="0BFD4CA7" w14:textId="77777777" w:rsidR="00AB7DC3" w:rsidRPr="00704B78" w:rsidRDefault="00AB7DC3" w:rsidP="006E2A77">
            <w:pPr>
              <w:pStyle w:val="PBACRestrictiontemplate"/>
              <w:rPr>
                <w:b/>
                <w:bCs/>
                <w:color w:val="auto"/>
                <w:sz w:val="20"/>
                <w:szCs w:val="20"/>
              </w:rPr>
            </w:pPr>
          </w:p>
        </w:tc>
        <w:tc>
          <w:tcPr>
            <w:tcW w:w="7462" w:type="dxa"/>
          </w:tcPr>
          <w:p w14:paraId="0F725CAA" w14:textId="77777777" w:rsidR="00AB7DC3" w:rsidRPr="00704B78" w:rsidRDefault="00AB7DC3" w:rsidP="006E2A77">
            <w:pPr>
              <w:pStyle w:val="PBACRestrictiontemplate"/>
              <w:rPr>
                <w:color w:val="auto"/>
                <w:sz w:val="20"/>
                <w:szCs w:val="20"/>
              </w:rPr>
            </w:pPr>
            <w:r w:rsidRPr="00704B78">
              <w:rPr>
                <w:color w:val="auto"/>
                <w:sz w:val="20"/>
                <w:szCs w:val="20"/>
              </w:rPr>
              <w:t>Patient must not be experiencing a myasthenic crisis, AND</w:t>
            </w:r>
          </w:p>
        </w:tc>
      </w:tr>
      <w:tr w:rsidR="00AB7DC3" w:rsidRPr="00704B78" w14:paraId="4D1EB702" w14:textId="77777777" w:rsidTr="3517B442">
        <w:tblPrEx>
          <w:jc w:val="left"/>
        </w:tblPrEx>
        <w:tc>
          <w:tcPr>
            <w:tcW w:w="1555" w:type="dxa"/>
            <w:vMerge/>
          </w:tcPr>
          <w:p w14:paraId="58BC7D69" w14:textId="77777777" w:rsidR="00AB7DC3" w:rsidRPr="00704B78" w:rsidRDefault="00AB7DC3" w:rsidP="006E2A77">
            <w:pPr>
              <w:pStyle w:val="PBACRestrictiontemplate"/>
              <w:rPr>
                <w:b/>
                <w:bCs/>
                <w:color w:val="auto"/>
                <w:sz w:val="20"/>
                <w:szCs w:val="20"/>
              </w:rPr>
            </w:pPr>
          </w:p>
        </w:tc>
        <w:tc>
          <w:tcPr>
            <w:tcW w:w="7462" w:type="dxa"/>
          </w:tcPr>
          <w:p w14:paraId="522413F6" w14:textId="77777777" w:rsidR="00AB7DC3" w:rsidRPr="00704B78" w:rsidRDefault="00AB7DC3" w:rsidP="006E2A77">
            <w:pPr>
              <w:pStyle w:val="PBACRestrictiontemplate"/>
              <w:rPr>
                <w:color w:val="auto"/>
                <w:sz w:val="20"/>
                <w:szCs w:val="20"/>
              </w:rPr>
            </w:pPr>
            <w:r w:rsidRPr="00704B78">
              <w:rPr>
                <w:color w:val="auto"/>
                <w:sz w:val="20"/>
                <w:szCs w:val="20"/>
              </w:rPr>
              <w:t>The treatment must be added on to at least one immunosuppressive therapy, AND</w:t>
            </w:r>
          </w:p>
        </w:tc>
      </w:tr>
      <w:tr w:rsidR="00AB7DC3" w:rsidRPr="00704B78" w14:paraId="68BA6DC0" w14:textId="77777777" w:rsidTr="3517B442">
        <w:tblPrEx>
          <w:jc w:val="left"/>
        </w:tblPrEx>
        <w:tc>
          <w:tcPr>
            <w:tcW w:w="1555" w:type="dxa"/>
            <w:vMerge/>
          </w:tcPr>
          <w:p w14:paraId="2E5F9E1F" w14:textId="77777777" w:rsidR="00AB7DC3" w:rsidRPr="00704B78" w:rsidRDefault="00AB7DC3" w:rsidP="006E2A77">
            <w:pPr>
              <w:pStyle w:val="PBACRestrictiontemplate"/>
              <w:rPr>
                <w:b/>
                <w:bCs/>
                <w:color w:val="auto"/>
                <w:sz w:val="20"/>
                <w:szCs w:val="20"/>
              </w:rPr>
            </w:pPr>
          </w:p>
        </w:tc>
        <w:tc>
          <w:tcPr>
            <w:tcW w:w="7462" w:type="dxa"/>
          </w:tcPr>
          <w:p w14:paraId="2541CF4C" w14:textId="77777777" w:rsidR="00AB7DC3" w:rsidRPr="00704B78" w:rsidRDefault="00AB7DC3" w:rsidP="006E2A77">
            <w:pPr>
              <w:pStyle w:val="PBACRestrictiontemplate"/>
              <w:rPr>
                <w:color w:val="auto"/>
                <w:sz w:val="20"/>
                <w:szCs w:val="20"/>
              </w:rPr>
            </w:pPr>
            <w:r w:rsidRPr="00704B78">
              <w:rPr>
                <w:color w:val="auto"/>
                <w:sz w:val="20"/>
                <w:szCs w:val="20"/>
              </w:rPr>
              <w:t>Patient must be experiencing symptoms consistent with a Myasthenia Gravis-Activities of Daily Living (MG-ADL) profile of at least 6 points despite treatment with existing therapies prior to initiation of ravulizumab, AND</w:t>
            </w:r>
          </w:p>
        </w:tc>
      </w:tr>
      <w:tr w:rsidR="00AB7DC3" w:rsidRPr="00704B78" w14:paraId="25B8FE8C" w14:textId="77777777" w:rsidTr="3517B442">
        <w:tblPrEx>
          <w:jc w:val="left"/>
        </w:tblPrEx>
        <w:tc>
          <w:tcPr>
            <w:tcW w:w="1555" w:type="dxa"/>
            <w:vMerge/>
          </w:tcPr>
          <w:p w14:paraId="5311421B" w14:textId="77777777" w:rsidR="00AB7DC3" w:rsidRPr="00704B78" w:rsidRDefault="00AB7DC3" w:rsidP="006E2A77">
            <w:pPr>
              <w:pStyle w:val="PBACRestrictiontemplate"/>
              <w:rPr>
                <w:b/>
                <w:bCs/>
                <w:color w:val="auto"/>
                <w:sz w:val="20"/>
                <w:szCs w:val="20"/>
              </w:rPr>
            </w:pPr>
          </w:p>
        </w:tc>
        <w:tc>
          <w:tcPr>
            <w:tcW w:w="7462" w:type="dxa"/>
          </w:tcPr>
          <w:p w14:paraId="5821DA1A" w14:textId="77777777" w:rsidR="00AB7DC3" w:rsidRPr="00704B78" w:rsidRDefault="00AB7DC3" w:rsidP="006E2A77">
            <w:pPr>
              <w:jc w:val="left"/>
              <w:rPr>
                <w:sz w:val="20"/>
                <w:szCs w:val="20"/>
              </w:rPr>
            </w:pPr>
            <w:r w:rsidRPr="00704B78">
              <w:rPr>
                <w:rFonts w:ascii="Arial Narrow" w:hAnsi="Arial Narrow"/>
                <w:sz w:val="20"/>
                <w:szCs w:val="20"/>
              </w:rPr>
              <w:t>Patient must have failed to achieve adequate response despite treatment with at least 2 immunosuppressive therapies for at least 24 months, either in combination or as monotherapy, AND</w:t>
            </w:r>
          </w:p>
        </w:tc>
      </w:tr>
      <w:tr w:rsidR="00AB7DC3" w:rsidRPr="00704B78" w14:paraId="22396DEB" w14:textId="77777777" w:rsidTr="3517B442">
        <w:tblPrEx>
          <w:jc w:val="left"/>
        </w:tblPrEx>
        <w:tc>
          <w:tcPr>
            <w:tcW w:w="1555" w:type="dxa"/>
            <w:vMerge/>
          </w:tcPr>
          <w:p w14:paraId="450A184D" w14:textId="77777777" w:rsidR="00AB7DC3" w:rsidRPr="00704B78" w:rsidRDefault="00AB7DC3" w:rsidP="006E2A77">
            <w:pPr>
              <w:pStyle w:val="PBACRestrictiontemplate"/>
              <w:rPr>
                <w:b/>
                <w:bCs/>
                <w:color w:val="auto"/>
                <w:sz w:val="20"/>
                <w:szCs w:val="20"/>
              </w:rPr>
            </w:pPr>
          </w:p>
        </w:tc>
        <w:tc>
          <w:tcPr>
            <w:tcW w:w="7462" w:type="dxa"/>
          </w:tcPr>
          <w:p w14:paraId="2F531AD7"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Patient must have failed to achieve adequate response despite at least 1 month of</w:t>
            </w:r>
            <w:r w:rsidRPr="00704B78">
              <w:rPr>
                <w:rFonts w:ascii="Arial Narrow" w:hAnsi="Arial Narrow"/>
                <w:sz w:val="20"/>
                <w:szCs w:val="20"/>
                <w:u w:val="single"/>
              </w:rPr>
              <w:t xml:space="preserve"> </w:t>
            </w:r>
            <w:r w:rsidRPr="00704B78">
              <w:rPr>
                <w:rFonts w:ascii="Arial Narrow" w:hAnsi="Arial Narrow"/>
                <w:sz w:val="20"/>
                <w:szCs w:val="20"/>
              </w:rPr>
              <w:t>plasma exchange (PE) or at least 4 months of intravenous immunoglobulin (IVIg), if patient was able to receive and is tolerant to these therapies, AND</w:t>
            </w:r>
          </w:p>
        </w:tc>
      </w:tr>
      <w:tr w:rsidR="00AB7DC3" w:rsidRPr="00704B78" w14:paraId="3F33C3B7" w14:textId="77777777" w:rsidTr="3517B442">
        <w:tblPrEx>
          <w:jc w:val="left"/>
        </w:tblPrEx>
        <w:tc>
          <w:tcPr>
            <w:tcW w:w="1555" w:type="dxa"/>
          </w:tcPr>
          <w:p w14:paraId="103A929C" w14:textId="77777777" w:rsidR="00AB7DC3" w:rsidRPr="00704B78" w:rsidRDefault="00AB7DC3" w:rsidP="006E2A77">
            <w:pPr>
              <w:pStyle w:val="PBACRestrictiontemplate"/>
              <w:rPr>
                <w:b/>
                <w:bCs/>
                <w:color w:val="auto"/>
                <w:sz w:val="20"/>
                <w:szCs w:val="20"/>
              </w:rPr>
            </w:pPr>
            <w:r w:rsidRPr="00704B78">
              <w:rPr>
                <w:b/>
                <w:bCs/>
                <w:color w:val="auto"/>
                <w:sz w:val="20"/>
                <w:szCs w:val="20"/>
              </w:rPr>
              <w:t>Treatment criteria:</w:t>
            </w:r>
          </w:p>
        </w:tc>
        <w:tc>
          <w:tcPr>
            <w:tcW w:w="7462" w:type="dxa"/>
          </w:tcPr>
          <w:p w14:paraId="32173407" w14:textId="77777777" w:rsidR="00AB7DC3" w:rsidRPr="00704B78" w:rsidRDefault="00AB7DC3" w:rsidP="006E2A77">
            <w:pPr>
              <w:pStyle w:val="PBACRestrictiontemplate"/>
              <w:rPr>
                <w:rFonts w:cs="Arial Narrow"/>
                <w:sz w:val="20"/>
                <w:szCs w:val="20"/>
              </w:rPr>
            </w:pPr>
            <w:r w:rsidRPr="00704B78">
              <w:rPr>
                <w:rFonts w:cs="Arial Narrow"/>
                <w:sz w:val="20"/>
                <w:szCs w:val="20"/>
              </w:rPr>
              <w:t>Must be treated by a neurologist or must be treated by a medical practitioner who has consulted a neurologist, with agreement reached that the patient should be treated with this pharmaceutical benefit on this occasion.</w:t>
            </w:r>
          </w:p>
        </w:tc>
      </w:tr>
      <w:tr w:rsidR="00AB7DC3" w:rsidRPr="00704B78" w14:paraId="498ADD78" w14:textId="77777777" w:rsidTr="3517B442">
        <w:tblPrEx>
          <w:jc w:val="left"/>
        </w:tblPrEx>
        <w:tc>
          <w:tcPr>
            <w:tcW w:w="1555" w:type="dxa"/>
          </w:tcPr>
          <w:p w14:paraId="3FE80EC9" w14:textId="77777777" w:rsidR="00AB7DC3" w:rsidRPr="00704B78" w:rsidRDefault="00AB7DC3" w:rsidP="006E2A77">
            <w:pPr>
              <w:pStyle w:val="PBACRestrictiontemplate"/>
              <w:rPr>
                <w:b/>
                <w:bCs/>
                <w:color w:val="auto"/>
                <w:sz w:val="20"/>
                <w:szCs w:val="20"/>
              </w:rPr>
            </w:pPr>
            <w:r w:rsidRPr="00704B78">
              <w:rPr>
                <w:b/>
                <w:bCs/>
                <w:color w:val="auto"/>
                <w:sz w:val="20"/>
                <w:szCs w:val="20"/>
              </w:rPr>
              <w:t>Population criteria:</w:t>
            </w:r>
          </w:p>
        </w:tc>
        <w:tc>
          <w:tcPr>
            <w:tcW w:w="7462" w:type="dxa"/>
          </w:tcPr>
          <w:p w14:paraId="448BFD8D" w14:textId="77777777" w:rsidR="00AB7DC3" w:rsidRPr="00704B78" w:rsidRDefault="00AB7DC3" w:rsidP="006E2A77">
            <w:pPr>
              <w:pStyle w:val="PBACRestrictiontemplate"/>
              <w:rPr>
                <w:sz w:val="20"/>
                <w:szCs w:val="20"/>
              </w:rPr>
            </w:pPr>
            <w:r w:rsidRPr="00704B78">
              <w:rPr>
                <w:sz w:val="20"/>
                <w:szCs w:val="20"/>
              </w:rPr>
              <w:t>Patients must be aged 18 years or older</w:t>
            </w:r>
          </w:p>
        </w:tc>
      </w:tr>
      <w:tr w:rsidR="00AB7DC3" w:rsidRPr="00704B78" w14:paraId="4F33C729" w14:textId="77777777" w:rsidTr="3517B442">
        <w:tblPrEx>
          <w:jc w:val="left"/>
        </w:tblPrEx>
        <w:tc>
          <w:tcPr>
            <w:tcW w:w="1555" w:type="dxa"/>
            <w:vMerge w:val="restart"/>
          </w:tcPr>
          <w:p w14:paraId="6F5F16DD" w14:textId="77777777" w:rsidR="00AB7DC3" w:rsidRPr="00704B78" w:rsidRDefault="00AB7DC3" w:rsidP="006E2A77">
            <w:pPr>
              <w:rPr>
                <w:rFonts w:ascii="Arial Narrow" w:hAnsi="Arial Narrow"/>
                <w:b/>
                <w:bCs/>
                <w:sz w:val="20"/>
                <w:szCs w:val="20"/>
              </w:rPr>
            </w:pPr>
            <w:r w:rsidRPr="00704B78">
              <w:rPr>
                <w:rFonts w:ascii="Arial Narrow" w:hAnsi="Arial Narrow"/>
                <w:b/>
                <w:bCs/>
                <w:sz w:val="20"/>
                <w:szCs w:val="20"/>
              </w:rPr>
              <w:t>Prescribing Instructions:</w:t>
            </w:r>
          </w:p>
        </w:tc>
        <w:tc>
          <w:tcPr>
            <w:tcW w:w="7462" w:type="dxa"/>
            <w:hideMark/>
          </w:tcPr>
          <w:p w14:paraId="2DFD070F" w14:textId="77777777" w:rsidR="00AB7DC3" w:rsidRPr="00704B78" w:rsidRDefault="00AB7DC3" w:rsidP="006E2A77">
            <w:pPr>
              <w:jc w:val="left"/>
              <w:rPr>
                <w:rFonts w:ascii="Arial Narrow" w:hAnsi="Arial Narrow"/>
                <w:sz w:val="20"/>
                <w:szCs w:val="20"/>
              </w:rPr>
            </w:pPr>
            <w:r w:rsidRPr="00704B78" w:rsidDel="00471B89">
              <w:rPr>
                <w:rFonts w:ascii="Arial Narrow" w:hAnsi="Arial Narrow"/>
                <w:sz w:val="20"/>
                <w:szCs w:val="20"/>
              </w:rPr>
              <w:t xml:space="preserve">Where treatment with plasma exchange or intravenous immunoglobulin is </w:t>
            </w:r>
            <w:r w:rsidRPr="00704B78">
              <w:rPr>
                <w:rFonts w:ascii="Arial Narrow" w:hAnsi="Arial Narrow"/>
                <w:sz w:val="20"/>
                <w:szCs w:val="20"/>
              </w:rPr>
              <w:t>not possible, details must be provided at the time of application.</w:t>
            </w:r>
          </w:p>
          <w:p w14:paraId="5F049E24" w14:textId="77777777" w:rsidR="00AB7DC3" w:rsidRPr="00704B78" w:rsidRDefault="00AB7DC3" w:rsidP="006E2A77">
            <w:pPr>
              <w:jc w:val="left"/>
              <w:rPr>
                <w:sz w:val="20"/>
                <w:szCs w:val="20"/>
              </w:rPr>
            </w:pPr>
            <w:r w:rsidRPr="00704B78">
              <w:rPr>
                <w:rFonts w:ascii="Arial Narrow" w:hAnsi="Arial Narrow"/>
                <w:sz w:val="20"/>
                <w:szCs w:val="20"/>
              </w:rPr>
              <w:t>Where intolerance to treatment with oral steroids, plasma exchange or intravenous immunoglobulin develops during the relevant treatment period (of severity to necessitate treatment withdrawal), details must be provided at the time of application.</w:t>
            </w:r>
          </w:p>
        </w:tc>
      </w:tr>
      <w:tr w:rsidR="00AB7DC3" w:rsidRPr="00704B78" w14:paraId="1E8FA6CF" w14:textId="77777777" w:rsidTr="3517B442">
        <w:tblPrEx>
          <w:jc w:val="left"/>
        </w:tblPrEx>
        <w:tc>
          <w:tcPr>
            <w:tcW w:w="1555" w:type="dxa"/>
            <w:vMerge/>
          </w:tcPr>
          <w:p w14:paraId="106C41F2" w14:textId="77777777" w:rsidR="00AB7DC3" w:rsidRPr="00704B78" w:rsidRDefault="00AB7DC3" w:rsidP="006E2A77">
            <w:pPr>
              <w:rPr>
                <w:rFonts w:ascii="Arial Narrow" w:hAnsi="Arial Narrow"/>
                <w:b/>
                <w:bCs/>
                <w:sz w:val="20"/>
                <w:szCs w:val="20"/>
              </w:rPr>
            </w:pPr>
          </w:p>
        </w:tc>
        <w:tc>
          <w:tcPr>
            <w:tcW w:w="7462" w:type="dxa"/>
          </w:tcPr>
          <w:p w14:paraId="242A906C" w14:textId="77777777" w:rsidR="00AB7DC3" w:rsidRPr="00704B78" w:rsidRDefault="00AB7DC3" w:rsidP="006E2A77">
            <w:pPr>
              <w:jc w:val="left"/>
              <w:rPr>
                <w:rFonts w:ascii="Arial Narrow" w:hAnsi="Arial Narrow" w:cs="Arial Narrow"/>
                <w:sz w:val="20"/>
                <w:szCs w:val="20"/>
              </w:rPr>
            </w:pPr>
            <w:r w:rsidRPr="00704B78">
              <w:rPr>
                <w:rFonts w:ascii="Arial Narrow" w:hAnsi="Arial Narrow" w:cs="Arial Narrow"/>
                <w:sz w:val="20"/>
                <w:szCs w:val="20"/>
              </w:rPr>
              <w:t>At the time of authority application, medical practitioners must request the appropriate number of vials to provide sufficient drug for 2 weeks of treatment, according to the specified dosage in the approved Product Information (PI).</w:t>
            </w:r>
          </w:p>
          <w:p w14:paraId="0FF338DC" w14:textId="77777777" w:rsidR="00AB7DC3" w:rsidRPr="00704B78" w:rsidRDefault="00AB7DC3" w:rsidP="006E2A77">
            <w:pPr>
              <w:jc w:val="left"/>
              <w:rPr>
                <w:rFonts w:ascii="Arial Narrow" w:hAnsi="Arial Narrow" w:cs="Arial Narrow"/>
                <w:sz w:val="20"/>
                <w:szCs w:val="20"/>
              </w:rPr>
            </w:pPr>
            <w:r w:rsidRPr="00704B78">
              <w:rPr>
                <w:rFonts w:ascii="Arial Narrow" w:hAnsi="Arial Narrow" w:cs="Arial Narrow"/>
                <w:sz w:val="20"/>
                <w:szCs w:val="20"/>
              </w:rPr>
              <w:t>An appropriate amount of drug (maximum quantity in units) may require prescribing both strengths. Consider strengths and combinations that minimise drug wastage. A separate authority prescription form must be completed for each strength requested.</w:t>
            </w:r>
          </w:p>
          <w:p w14:paraId="00D8F730" w14:textId="77777777" w:rsidR="00AB7DC3" w:rsidRPr="00704B78" w:rsidDel="00471B89" w:rsidRDefault="00AB7DC3" w:rsidP="006E2A77">
            <w:pPr>
              <w:jc w:val="left"/>
              <w:rPr>
                <w:rFonts w:ascii="Arial Narrow" w:hAnsi="Arial Narrow"/>
                <w:sz w:val="20"/>
                <w:szCs w:val="20"/>
              </w:rPr>
            </w:pPr>
            <w:r w:rsidRPr="00704B78">
              <w:rPr>
                <w:rFonts w:ascii="Arial Narrow" w:hAnsi="Arial Narrow" w:cs="Arial Narrow"/>
                <w:sz w:val="20"/>
                <w:szCs w:val="20"/>
              </w:rPr>
              <w:t>Applications for treatment with this drug where the dose and dosing frequency exceeds that specified in the approved PI will not be approved.</w:t>
            </w:r>
          </w:p>
        </w:tc>
      </w:tr>
      <w:tr w:rsidR="00AB7DC3" w:rsidRPr="00704B78" w14:paraId="1AEE39FA" w14:textId="77777777" w:rsidTr="3517B442">
        <w:tblPrEx>
          <w:jc w:val="left"/>
        </w:tblPrEx>
        <w:tc>
          <w:tcPr>
            <w:tcW w:w="1555" w:type="dxa"/>
            <w:vMerge/>
          </w:tcPr>
          <w:p w14:paraId="07FF19C9" w14:textId="77777777" w:rsidR="00AB7DC3" w:rsidRPr="00704B78" w:rsidRDefault="00AB7DC3" w:rsidP="006E2A77">
            <w:pPr>
              <w:rPr>
                <w:rFonts w:ascii="Arial Narrow" w:hAnsi="Arial Narrow"/>
                <w:b/>
                <w:bCs/>
                <w:sz w:val="20"/>
                <w:szCs w:val="20"/>
              </w:rPr>
            </w:pPr>
          </w:p>
        </w:tc>
        <w:tc>
          <w:tcPr>
            <w:tcW w:w="7462" w:type="dxa"/>
          </w:tcPr>
          <w:p w14:paraId="608CF70B" w14:textId="77777777" w:rsidR="00AB7DC3" w:rsidRPr="00704B78" w:rsidDel="00471B89" w:rsidRDefault="00AB7DC3" w:rsidP="006E2A77">
            <w:pPr>
              <w:pStyle w:val="PBACRestrictiontemplate"/>
              <w:rPr>
                <w:rFonts w:eastAsiaTheme="majorEastAsia" w:cs="Arial Narrow"/>
                <w:color w:val="auto"/>
                <w:sz w:val="20"/>
                <w:szCs w:val="20"/>
                <w:lang w:eastAsia="en-US"/>
                <w14:ligatures w14:val="none"/>
              </w:rPr>
            </w:pPr>
            <w:r w:rsidRPr="00704B78">
              <w:rPr>
                <w:rFonts w:eastAsiaTheme="majorEastAsia" w:cs="Arial Narrow"/>
                <w:color w:val="auto"/>
                <w:sz w:val="20"/>
                <w:szCs w:val="20"/>
                <w:lang w:eastAsia="en-US"/>
                <w14:ligatures w14:val="none"/>
              </w:rPr>
              <w:t>Two authority prescription forms will be required to cover for the 12 weeks of initial therapy with ravulizumab, one for the loading dose and one for the 10 weeks balance which can be sought under the Balance of Supply.</w:t>
            </w:r>
          </w:p>
        </w:tc>
      </w:tr>
      <w:tr w:rsidR="00AB7DC3" w:rsidRPr="00704B78" w14:paraId="26FDB7B3" w14:textId="77777777" w:rsidTr="3517B442">
        <w:tblPrEx>
          <w:jc w:val="left"/>
        </w:tblPrEx>
        <w:tc>
          <w:tcPr>
            <w:tcW w:w="1555" w:type="dxa"/>
            <w:vMerge/>
          </w:tcPr>
          <w:p w14:paraId="4032E6DD" w14:textId="77777777" w:rsidR="00AB7DC3" w:rsidRPr="00704B78" w:rsidRDefault="00AB7DC3" w:rsidP="006E2A77">
            <w:pPr>
              <w:rPr>
                <w:rFonts w:ascii="Arial Narrow" w:hAnsi="Arial Narrow"/>
                <w:b/>
                <w:bCs/>
                <w:sz w:val="20"/>
                <w:szCs w:val="20"/>
              </w:rPr>
            </w:pPr>
          </w:p>
        </w:tc>
        <w:tc>
          <w:tcPr>
            <w:tcW w:w="7462" w:type="dxa"/>
          </w:tcPr>
          <w:p w14:paraId="7BCF8B37"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 xml:space="preserve">The authority application must be in writing and must include </w:t>
            </w:r>
            <w:proofErr w:type="gramStart"/>
            <w:r w:rsidRPr="00704B78">
              <w:rPr>
                <w:rFonts w:ascii="Arial Narrow" w:hAnsi="Arial Narrow"/>
                <w:sz w:val="20"/>
                <w:szCs w:val="20"/>
              </w:rPr>
              <w:t>all of</w:t>
            </w:r>
            <w:proofErr w:type="gramEnd"/>
            <w:r w:rsidRPr="00704B78">
              <w:rPr>
                <w:rFonts w:ascii="Arial Narrow" w:hAnsi="Arial Narrow"/>
                <w:sz w:val="20"/>
                <w:szCs w:val="20"/>
              </w:rPr>
              <w:t xml:space="preserve"> the following:</w:t>
            </w:r>
          </w:p>
          <w:p w14:paraId="641CC280" w14:textId="77777777" w:rsidR="00AB7DC3" w:rsidRPr="00704B78" w:rsidRDefault="00AB7DC3" w:rsidP="006E2A77">
            <w:pPr>
              <w:jc w:val="left"/>
              <w:rPr>
                <w:rFonts w:ascii="Arial Narrow" w:hAnsi="Arial Narrow"/>
                <w:bCs/>
                <w:sz w:val="20"/>
                <w:szCs w:val="20"/>
              </w:rPr>
            </w:pPr>
            <w:r w:rsidRPr="00704B78">
              <w:rPr>
                <w:rFonts w:ascii="Arial Narrow" w:hAnsi="Arial Narrow"/>
                <w:bCs/>
                <w:sz w:val="20"/>
                <w:szCs w:val="20"/>
              </w:rPr>
              <w:t>(1) A completed authority prescription form(s</w:t>
            </w:r>
            <w:proofErr w:type="gramStart"/>
            <w:r w:rsidRPr="00704B78">
              <w:rPr>
                <w:rFonts w:ascii="Arial Narrow" w:hAnsi="Arial Narrow"/>
                <w:bCs/>
                <w:sz w:val="20"/>
                <w:szCs w:val="20"/>
              </w:rPr>
              <w:t>);</w:t>
            </w:r>
            <w:proofErr w:type="gramEnd"/>
          </w:p>
          <w:p w14:paraId="3E5E9CB7"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(2) A completed authority application form relevant to the indication and treatment phase (the latest version is located on the website specified in the Administrative Advice</w:t>
            </w:r>
            <w:proofErr w:type="gramStart"/>
            <w:r w:rsidRPr="00704B78">
              <w:rPr>
                <w:rFonts w:ascii="Arial Narrow" w:hAnsi="Arial Narrow"/>
                <w:sz w:val="20"/>
                <w:szCs w:val="20"/>
              </w:rPr>
              <w:t>);</w:t>
            </w:r>
            <w:proofErr w:type="gramEnd"/>
          </w:p>
          <w:p w14:paraId="4EAEE7C1" w14:textId="77777777" w:rsidR="00AB7DC3" w:rsidRPr="00704B78" w:rsidDel="00471B89" w:rsidRDefault="00AB7DC3" w:rsidP="006E2A77">
            <w:pPr>
              <w:jc w:val="left"/>
              <w:rPr>
                <w:rFonts w:ascii="Arial Narrow" w:hAnsi="Arial Narrow"/>
                <w:sz w:val="20"/>
                <w:szCs w:val="20"/>
              </w:rPr>
            </w:pPr>
            <w:r w:rsidRPr="00704B78">
              <w:rPr>
                <w:rFonts w:ascii="Arial Narrow" w:hAnsi="Arial Narrow"/>
                <w:bCs/>
                <w:sz w:val="20"/>
                <w:szCs w:val="20"/>
              </w:rPr>
              <w:t>(3) The baseline MG-ADL profile score</w:t>
            </w:r>
          </w:p>
        </w:tc>
      </w:tr>
      <w:tr w:rsidR="00D52E49" w:rsidRPr="00704B78" w14:paraId="3D5082B1" w14:textId="77777777" w:rsidTr="00611348">
        <w:tblPrEx>
          <w:jc w:val="left"/>
        </w:tblPrEx>
        <w:trPr>
          <w:trHeight w:val="454"/>
        </w:trPr>
        <w:tc>
          <w:tcPr>
            <w:tcW w:w="1555" w:type="dxa"/>
          </w:tcPr>
          <w:p w14:paraId="6E7D06AC" w14:textId="77777777" w:rsidR="00D52E49" w:rsidRPr="00704B78" w:rsidRDefault="00D52E49" w:rsidP="006E2A77">
            <w:pPr>
              <w:rPr>
                <w:rFonts w:ascii="Arial Narrow" w:hAnsi="Arial Narrow"/>
                <w:b/>
                <w:bCs/>
                <w:sz w:val="20"/>
                <w:szCs w:val="20"/>
              </w:rPr>
            </w:pPr>
            <w:r w:rsidRPr="00704B78">
              <w:rPr>
                <w:rFonts w:ascii="Arial Narrow" w:hAnsi="Arial Narrow"/>
                <w:b/>
                <w:bCs/>
                <w:sz w:val="20"/>
                <w:szCs w:val="20"/>
              </w:rPr>
              <w:t>Administrative Advice:</w:t>
            </w:r>
          </w:p>
        </w:tc>
        <w:tc>
          <w:tcPr>
            <w:tcW w:w="7462" w:type="dxa"/>
          </w:tcPr>
          <w:p w14:paraId="4D75DA9C" w14:textId="29EB3B4A" w:rsidR="00D52E49" w:rsidRPr="00704B78" w:rsidRDefault="00D52E49" w:rsidP="006E2A77">
            <w:pPr>
              <w:jc w:val="left"/>
              <w:rPr>
                <w:rFonts w:ascii="Arial Narrow" w:hAnsi="Arial Narrow"/>
                <w:sz w:val="20"/>
                <w:szCs w:val="20"/>
              </w:rPr>
            </w:pPr>
            <w:r w:rsidRPr="00704B78">
              <w:rPr>
                <w:rFonts w:ascii="Arial Narrow" w:hAnsi="Arial Narrow"/>
                <w:sz w:val="20"/>
                <w:szCs w:val="20"/>
              </w:rPr>
              <w:t>No increase in the maximum number of repeats may be authorised.</w:t>
            </w:r>
          </w:p>
        </w:tc>
      </w:tr>
      <w:tr w:rsidR="00AB7DC3" w:rsidRPr="00704B78" w14:paraId="6101874D" w14:textId="77777777" w:rsidTr="3517B442">
        <w:tblPrEx>
          <w:jc w:val="left"/>
        </w:tblPrEx>
        <w:tc>
          <w:tcPr>
            <w:tcW w:w="1555" w:type="dxa"/>
            <w:tcBorders>
              <w:bottom w:val="single" w:sz="4" w:space="0" w:color="auto"/>
            </w:tcBorders>
          </w:tcPr>
          <w:p w14:paraId="105A8B8D" w14:textId="77777777" w:rsidR="00AB7DC3" w:rsidRPr="00704B78" w:rsidRDefault="00AB7DC3" w:rsidP="006E2A77">
            <w:pPr>
              <w:rPr>
                <w:rFonts w:ascii="Arial Narrow" w:hAnsi="Arial Narrow"/>
                <w:b/>
                <w:bCs/>
                <w:sz w:val="20"/>
                <w:szCs w:val="20"/>
              </w:rPr>
            </w:pPr>
            <w:r w:rsidRPr="00704B78">
              <w:rPr>
                <w:rFonts w:ascii="Arial Narrow" w:hAnsi="Arial Narrow" w:cs="Times New Roman"/>
                <w:b/>
                <w:bCs/>
                <w:sz w:val="20"/>
                <w:szCs w:val="20"/>
                <w:lang w:eastAsia="en-US" w:bidi="en-US"/>
              </w:rPr>
              <w:t>Note:</w:t>
            </w:r>
          </w:p>
        </w:tc>
        <w:tc>
          <w:tcPr>
            <w:tcW w:w="7462" w:type="dxa"/>
            <w:tcBorders>
              <w:bottom w:val="single" w:sz="4" w:space="0" w:color="auto"/>
            </w:tcBorders>
          </w:tcPr>
          <w:p w14:paraId="7CA8563E" w14:textId="2DCC917E" w:rsidR="00AB7DC3" w:rsidRPr="00704B78" w:rsidRDefault="00AB7DC3" w:rsidP="006E2A77">
            <w:pPr>
              <w:jc w:val="left"/>
              <w:rPr>
                <w:rFonts w:ascii="Arial Narrow" w:hAnsi="Arial Narrow"/>
                <w:sz w:val="20"/>
                <w:szCs w:val="20"/>
              </w:rPr>
            </w:pPr>
            <w:r w:rsidRPr="00704B78">
              <w:rPr>
                <w:rFonts w:ascii="Arial Narrow" w:hAnsi="Arial Narrow" w:cs="Times New Roman"/>
                <w:sz w:val="20"/>
                <w:szCs w:val="20"/>
                <w:lang w:eastAsia="en-US" w:bidi="en-US"/>
              </w:rPr>
              <w:t xml:space="preserve">The MG-ADL profile score is available at: </w:t>
            </w:r>
            <w:hyperlink r:id="rId15" w:history="1">
              <w:r w:rsidRPr="00704B78">
                <w:rPr>
                  <w:rStyle w:val="Hyperlink"/>
                  <w:rFonts w:ascii="Arial Narrow" w:hAnsi="Arial Narrow" w:cs="Times New Roman"/>
                  <w:sz w:val="20"/>
                  <w:szCs w:val="20"/>
                  <w:lang w:eastAsia="en-US" w:bidi="en-US"/>
                </w:rPr>
                <w:t>https://ultomiris.com/-/media/Ultomiris_gMG/pdf/gMG-ULTOMIRIS-ADL-Tool.ashx</w:t>
              </w:r>
            </w:hyperlink>
          </w:p>
        </w:tc>
      </w:tr>
      <w:tr w:rsidR="00AB7DC3" w:rsidRPr="00704B78" w14:paraId="56E7C88A" w14:textId="77777777" w:rsidTr="3517B442">
        <w:tblPrEx>
          <w:jc w:val="left"/>
        </w:tblPrEx>
        <w:tc>
          <w:tcPr>
            <w:tcW w:w="1555" w:type="dxa"/>
            <w:tcBorders>
              <w:bottom w:val="double" w:sz="4" w:space="0" w:color="auto"/>
            </w:tcBorders>
          </w:tcPr>
          <w:p w14:paraId="12B07BB4" w14:textId="77777777" w:rsidR="00AB7DC3" w:rsidRPr="00704B78" w:rsidRDefault="00AB7DC3" w:rsidP="006E2A77">
            <w:pPr>
              <w:rPr>
                <w:rFonts w:ascii="Arial Narrow" w:hAnsi="Arial Narrow"/>
                <w:b/>
                <w:bCs/>
                <w:sz w:val="20"/>
                <w:szCs w:val="20"/>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17865CFE" w14:textId="77777777" w:rsidR="00AB7DC3" w:rsidRPr="00704B78" w:rsidRDefault="00AB7DC3"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18AA4362" w14:textId="77777777" w:rsidR="00AB7DC3" w:rsidRPr="00704B78" w:rsidRDefault="00AB7DC3" w:rsidP="006E2A77">
            <w:pPr>
              <w:jc w:val="left"/>
              <w:rPr>
                <w:rFonts w:ascii="Arial Narrow" w:hAnsi="Arial Narrow"/>
                <w:sz w:val="20"/>
                <w:szCs w:val="20"/>
              </w:rPr>
            </w:pPr>
            <w:r w:rsidRPr="00704B78">
              <w:rPr>
                <w:rFonts w:ascii="Arial Narrow" w:hAnsi="Arial Narrow" w:cs="Times New Roman"/>
                <w:sz w:val="20"/>
                <w:szCs w:val="20"/>
                <w:lang w:eastAsia="en-US" w:bidi="en-US"/>
              </w:rPr>
              <w:t>Consult the approved PI for information about vaccination against meningococcal infection.</w:t>
            </w:r>
          </w:p>
        </w:tc>
      </w:tr>
      <w:tr w:rsidR="00AB7DC3" w:rsidRPr="00704B78" w14:paraId="69744A59" w14:textId="77777777" w:rsidTr="3517B442">
        <w:tblPrEx>
          <w:jc w:val="left"/>
        </w:tblPrEx>
        <w:tc>
          <w:tcPr>
            <w:tcW w:w="1555" w:type="dxa"/>
            <w:tcBorders>
              <w:top w:val="double" w:sz="4" w:space="0" w:color="auto"/>
            </w:tcBorders>
          </w:tcPr>
          <w:p w14:paraId="0A117B01" w14:textId="58A2EF58" w:rsidR="00AB7DC3" w:rsidRPr="00704B78" w:rsidRDefault="00AB7DC3" w:rsidP="006E2A77">
            <w:pPr>
              <w:pStyle w:val="COMTabletext"/>
              <w:rPr>
                <w:b/>
                <w:bCs w:val="0"/>
              </w:rPr>
            </w:pPr>
            <w:r w:rsidRPr="00704B78">
              <w:rPr>
                <w:b/>
                <w:bCs w:val="0"/>
              </w:rPr>
              <w:lastRenderedPageBreak/>
              <w:t>Category/Program:</w:t>
            </w:r>
          </w:p>
        </w:tc>
        <w:tc>
          <w:tcPr>
            <w:tcW w:w="7462" w:type="dxa"/>
            <w:tcBorders>
              <w:top w:val="double" w:sz="4" w:space="0" w:color="auto"/>
            </w:tcBorders>
          </w:tcPr>
          <w:p w14:paraId="5BA87A9A" w14:textId="6078F680" w:rsidR="00AB7DC3" w:rsidRPr="00704B78" w:rsidRDefault="00AB7DC3" w:rsidP="006E2A77">
            <w:pPr>
              <w:pStyle w:val="COMTabletext"/>
            </w:pPr>
            <w:r w:rsidRPr="00704B78">
              <w:t>Section 100 – Highly Specialised Drugs Program</w:t>
            </w:r>
            <w:r w:rsidR="00815370">
              <w:t xml:space="preserve"> CAR</w:t>
            </w:r>
          </w:p>
        </w:tc>
      </w:tr>
      <w:tr w:rsidR="00AB7DC3" w:rsidRPr="00704B78" w14:paraId="06FAAF1F" w14:textId="77777777" w:rsidTr="3517B442">
        <w:tblPrEx>
          <w:jc w:val="left"/>
        </w:tblPrEx>
        <w:tc>
          <w:tcPr>
            <w:tcW w:w="1555" w:type="dxa"/>
          </w:tcPr>
          <w:p w14:paraId="2D552175" w14:textId="77777777" w:rsidR="00AB7DC3" w:rsidRPr="00704B78" w:rsidRDefault="00AB7DC3" w:rsidP="006E2A77">
            <w:pPr>
              <w:pStyle w:val="COMTabletext"/>
              <w:rPr>
                <w:b/>
                <w:bCs w:val="0"/>
              </w:rPr>
            </w:pPr>
            <w:r w:rsidRPr="00704B78">
              <w:rPr>
                <w:b/>
                <w:bCs w:val="0"/>
              </w:rPr>
              <w:t>Prescriber type:</w:t>
            </w:r>
          </w:p>
        </w:tc>
        <w:tc>
          <w:tcPr>
            <w:tcW w:w="7462" w:type="dxa"/>
          </w:tcPr>
          <w:p w14:paraId="35F15946" w14:textId="53CB4E0A" w:rsidR="00AB7DC3" w:rsidRPr="00704B78" w:rsidRDefault="00AB7DC3" w:rsidP="006E2A77">
            <w:pPr>
              <w:pStyle w:val="COMTabletext"/>
            </w:pPr>
            <w:r w:rsidRPr="00704B78">
              <w:rPr>
                <w:szCs w:val="20"/>
              </w:rPr>
              <w:t>Medical Practitioners</w:t>
            </w:r>
          </w:p>
        </w:tc>
      </w:tr>
      <w:tr w:rsidR="00AB7DC3" w:rsidRPr="00704B78" w14:paraId="05DB68A8" w14:textId="77777777" w:rsidTr="3517B442">
        <w:tblPrEx>
          <w:jc w:val="left"/>
        </w:tblPrEx>
        <w:tc>
          <w:tcPr>
            <w:tcW w:w="1555" w:type="dxa"/>
          </w:tcPr>
          <w:p w14:paraId="5A1CDFD3" w14:textId="77777777" w:rsidR="00AB7DC3" w:rsidRPr="00704B78" w:rsidRDefault="00AB7DC3" w:rsidP="006E2A77">
            <w:pPr>
              <w:pStyle w:val="COMTabletext"/>
              <w:rPr>
                <w:b/>
                <w:bCs w:val="0"/>
              </w:rPr>
            </w:pPr>
            <w:r w:rsidRPr="00704B78">
              <w:rPr>
                <w:b/>
                <w:bCs w:val="0"/>
              </w:rPr>
              <w:t>Restriction Type:</w:t>
            </w:r>
          </w:p>
        </w:tc>
        <w:tc>
          <w:tcPr>
            <w:tcW w:w="7462" w:type="dxa"/>
          </w:tcPr>
          <w:p w14:paraId="20C377E6" w14:textId="397DC3A1" w:rsidR="00AB7DC3" w:rsidRPr="00704B78" w:rsidRDefault="00AB7DC3" w:rsidP="006E2A77">
            <w:pPr>
              <w:pStyle w:val="COMTabletext"/>
              <w:rPr>
                <w:rFonts w:eastAsia="Calibri"/>
              </w:rPr>
            </w:pPr>
            <w:r w:rsidRPr="00704B78">
              <w:rPr>
                <w:rFonts w:cs="Times New Roman"/>
                <w:szCs w:val="20"/>
                <w:lang w:eastAsia="en-US" w:bidi="en-US"/>
              </w:rPr>
              <w:t>Authority Required (in writing only via post/HPOS upload)</w:t>
            </w:r>
          </w:p>
        </w:tc>
      </w:tr>
      <w:tr w:rsidR="00AB7DC3" w:rsidRPr="00704B78" w14:paraId="473370DA" w14:textId="77777777" w:rsidTr="3517B442">
        <w:tblPrEx>
          <w:jc w:val="left"/>
        </w:tblPrEx>
        <w:tc>
          <w:tcPr>
            <w:tcW w:w="1555" w:type="dxa"/>
          </w:tcPr>
          <w:p w14:paraId="4D4AAE0D" w14:textId="77777777" w:rsidR="00AB7DC3" w:rsidRPr="00704B78" w:rsidRDefault="00AB7DC3" w:rsidP="006E2A77">
            <w:pPr>
              <w:pStyle w:val="COMTabletext"/>
              <w:rPr>
                <w:b/>
                <w:bCs w:val="0"/>
              </w:rPr>
            </w:pPr>
            <w:r w:rsidRPr="00704B78">
              <w:rPr>
                <w:b/>
                <w:bCs w:val="0"/>
              </w:rPr>
              <w:t>Condition:</w:t>
            </w:r>
          </w:p>
        </w:tc>
        <w:tc>
          <w:tcPr>
            <w:tcW w:w="7462" w:type="dxa"/>
          </w:tcPr>
          <w:p w14:paraId="45040B54" w14:textId="77777777" w:rsidR="00AB7DC3" w:rsidRPr="00704B78" w:rsidRDefault="00AB7DC3" w:rsidP="006E2A77">
            <w:pPr>
              <w:pStyle w:val="COMTabletext"/>
              <w:rPr>
                <w:szCs w:val="20"/>
              </w:rPr>
            </w:pPr>
            <w:r w:rsidRPr="00704B78">
              <w:t>Generalised myasthenia gravis (gMG)</w:t>
            </w:r>
          </w:p>
        </w:tc>
      </w:tr>
      <w:tr w:rsidR="00AB7DC3" w:rsidRPr="00704B78" w14:paraId="3724C46F" w14:textId="77777777" w:rsidTr="3517B442">
        <w:tblPrEx>
          <w:jc w:val="left"/>
        </w:tblPrEx>
        <w:tc>
          <w:tcPr>
            <w:tcW w:w="1555" w:type="dxa"/>
          </w:tcPr>
          <w:p w14:paraId="1B7D4525" w14:textId="77777777" w:rsidR="00AB7DC3" w:rsidRPr="00704B78" w:rsidRDefault="00AB7DC3" w:rsidP="006E2A77">
            <w:pPr>
              <w:pStyle w:val="COMTabletext"/>
              <w:rPr>
                <w:b/>
                <w:bCs w:val="0"/>
                <w:color w:val="333333"/>
              </w:rPr>
            </w:pPr>
            <w:r w:rsidRPr="00704B78">
              <w:rPr>
                <w:b/>
                <w:bCs w:val="0"/>
                <w:color w:val="333333"/>
              </w:rPr>
              <w:t>Indication:</w:t>
            </w:r>
          </w:p>
        </w:tc>
        <w:tc>
          <w:tcPr>
            <w:tcW w:w="7462" w:type="dxa"/>
            <w:hideMark/>
          </w:tcPr>
          <w:p w14:paraId="2FD27023" w14:textId="77777777" w:rsidR="00AB7DC3" w:rsidRPr="00704B78" w:rsidRDefault="00AB7DC3" w:rsidP="006E2A77">
            <w:pPr>
              <w:pStyle w:val="COMTabletext"/>
            </w:pPr>
            <w:r w:rsidRPr="00704B78">
              <w:t>Generalised myasthenia gravis (gMG)</w:t>
            </w:r>
          </w:p>
        </w:tc>
      </w:tr>
      <w:tr w:rsidR="00AB7DC3" w:rsidRPr="00704B78" w14:paraId="6638DB38" w14:textId="77777777" w:rsidTr="3517B442">
        <w:tblPrEx>
          <w:jc w:val="left"/>
        </w:tblPrEx>
        <w:tc>
          <w:tcPr>
            <w:tcW w:w="1555" w:type="dxa"/>
          </w:tcPr>
          <w:p w14:paraId="1890A860" w14:textId="77777777" w:rsidR="00AB7DC3" w:rsidRPr="00704B78" w:rsidRDefault="00AB7DC3" w:rsidP="006E2A77">
            <w:pPr>
              <w:pStyle w:val="COMTabletext"/>
              <w:rPr>
                <w:b/>
                <w:bCs w:val="0"/>
                <w:color w:val="333333"/>
              </w:rPr>
            </w:pPr>
            <w:r w:rsidRPr="00704B78">
              <w:rPr>
                <w:b/>
                <w:bCs w:val="0"/>
                <w:color w:val="333333"/>
              </w:rPr>
              <w:t>Treatment Phase:</w:t>
            </w:r>
          </w:p>
        </w:tc>
        <w:tc>
          <w:tcPr>
            <w:tcW w:w="7462" w:type="dxa"/>
            <w:hideMark/>
          </w:tcPr>
          <w:p w14:paraId="00981A62" w14:textId="77777777" w:rsidR="00AB7DC3" w:rsidRPr="00704B78" w:rsidRDefault="00AB7DC3" w:rsidP="006E2A77">
            <w:pPr>
              <w:pStyle w:val="COMTabletext"/>
            </w:pPr>
            <w:r w:rsidRPr="00704B78">
              <w:t>Balance of supply – maintenance doses - refractory patient population</w:t>
            </w:r>
          </w:p>
        </w:tc>
      </w:tr>
      <w:tr w:rsidR="00AB7DC3" w:rsidRPr="00704B78" w14:paraId="5B6681D4" w14:textId="77777777" w:rsidTr="3517B442">
        <w:tblPrEx>
          <w:jc w:val="left"/>
        </w:tblPrEx>
        <w:tc>
          <w:tcPr>
            <w:tcW w:w="1555" w:type="dxa"/>
            <w:vMerge w:val="restart"/>
          </w:tcPr>
          <w:p w14:paraId="2E3EE756" w14:textId="77777777" w:rsidR="00AB7DC3" w:rsidRPr="00704B78" w:rsidRDefault="00AB7DC3" w:rsidP="006E2A77">
            <w:pPr>
              <w:pStyle w:val="COMTabletext"/>
              <w:rPr>
                <w:b/>
                <w:bCs w:val="0"/>
                <w:color w:val="333333"/>
              </w:rPr>
            </w:pPr>
            <w:r w:rsidRPr="00704B78">
              <w:rPr>
                <w:b/>
                <w:bCs w:val="0"/>
                <w:color w:val="333333"/>
              </w:rPr>
              <w:t>Clinical criteria:</w:t>
            </w:r>
          </w:p>
        </w:tc>
        <w:tc>
          <w:tcPr>
            <w:tcW w:w="7462" w:type="dxa"/>
            <w:hideMark/>
          </w:tcPr>
          <w:p w14:paraId="3E3D9413" w14:textId="77777777" w:rsidR="00AB7DC3" w:rsidRPr="00704B78" w:rsidRDefault="00AB7DC3" w:rsidP="006E2A77">
            <w:pPr>
              <w:pStyle w:val="COMTabletext"/>
            </w:pPr>
            <w:r w:rsidRPr="00704B78">
              <w:rPr>
                <w:rFonts w:cs="Arial Narrow"/>
                <w:lang w:eastAsia="en-US"/>
              </w:rPr>
              <w:t xml:space="preserve">Patient must have received PBS-subsidised loading dose of ravulizumab for this condition, </w:t>
            </w:r>
            <w:r w:rsidRPr="00704B78">
              <w:t>AND</w:t>
            </w:r>
          </w:p>
        </w:tc>
      </w:tr>
      <w:tr w:rsidR="00AB7DC3" w:rsidRPr="00704B78" w14:paraId="5AAA5B52" w14:textId="77777777" w:rsidTr="3517B442">
        <w:tblPrEx>
          <w:jc w:val="left"/>
        </w:tblPrEx>
        <w:tc>
          <w:tcPr>
            <w:tcW w:w="1555" w:type="dxa"/>
            <w:vMerge/>
          </w:tcPr>
          <w:p w14:paraId="068F958F" w14:textId="77777777" w:rsidR="00AB7DC3" w:rsidRPr="00704B78" w:rsidRDefault="00AB7DC3" w:rsidP="006E2A77">
            <w:pPr>
              <w:pStyle w:val="COMTabletext"/>
              <w:rPr>
                <w:b/>
                <w:bCs w:val="0"/>
                <w:color w:val="333333"/>
              </w:rPr>
            </w:pPr>
          </w:p>
        </w:tc>
        <w:tc>
          <w:tcPr>
            <w:tcW w:w="7462" w:type="dxa"/>
          </w:tcPr>
          <w:p w14:paraId="4D6945DF" w14:textId="77777777" w:rsidR="00AB7DC3" w:rsidRPr="00704B78" w:rsidRDefault="00AB7DC3" w:rsidP="006E2A77">
            <w:pPr>
              <w:pStyle w:val="COMTabletext"/>
              <w:rPr>
                <w:rFonts w:cs="Arial Narrow"/>
                <w:lang w:eastAsia="en-US"/>
              </w:rPr>
            </w:pPr>
            <w:r w:rsidRPr="00704B78">
              <w:rPr>
                <w:rFonts w:cs="Arial Narrow"/>
                <w:lang w:eastAsia="en-US"/>
              </w:rPr>
              <w:t>The treatment must provide no more than the balance of up to 10 weeks treatment under this restriction</w:t>
            </w:r>
          </w:p>
        </w:tc>
      </w:tr>
      <w:tr w:rsidR="00AB7DC3" w:rsidRPr="00704B78" w14:paraId="1A0417AA" w14:textId="77777777" w:rsidTr="3517B442">
        <w:tblPrEx>
          <w:jc w:val="left"/>
        </w:tblPrEx>
        <w:tc>
          <w:tcPr>
            <w:tcW w:w="1555" w:type="dxa"/>
          </w:tcPr>
          <w:p w14:paraId="547E346D" w14:textId="77777777" w:rsidR="00AB7DC3" w:rsidRPr="00704B78" w:rsidRDefault="00AB7DC3" w:rsidP="006E2A77">
            <w:pPr>
              <w:pStyle w:val="COMTabletext"/>
              <w:rPr>
                <w:b/>
                <w:bCs w:val="0"/>
                <w:color w:val="333333"/>
              </w:rPr>
            </w:pPr>
            <w:r w:rsidRPr="00704B78">
              <w:rPr>
                <w:b/>
                <w:bCs w:val="0"/>
                <w:color w:val="333333"/>
              </w:rPr>
              <w:t>Treatment criteria:</w:t>
            </w:r>
          </w:p>
        </w:tc>
        <w:tc>
          <w:tcPr>
            <w:tcW w:w="7462" w:type="dxa"/>
            <w:hideMark/>
          </w:tcPr>
          <w:p w14:paraId="08AE190F" w14:textId="77777777" w:rsidR="00AB7DC3" w:rsidRPr="00704B78" w:rsidRDefault="00AB7DC3" w:rsidP="006E2A77">
            <w:pPr>
              <w:pStyle w:val="COMTabletext"/>
            </w:pPr>
            <w:r w:rsidRPr="00704B78">
              <w:rPr>
                <w:rFonts w:cs="Arial Narrow"/>
              </w:rPr>
              <w:t>Must be treated by a neurologist or must be treated by a medical practitioner who has consulted a neurologist, with agreement reached that the patient should be treated with this pharmaceutical benefit on this occasion</w:t>
            </w:r>
          </w:p>
        </w:tc>
      </w:tr>
      <w:tr w:rsidR="00AB7DC3" w:rsidRPr="00704B78" w14:paraId="576355CF" w14:textId="77777777" w:rsidTr="3517B442">
        <w:tblPrEx>
          <w:jc w:val="left"/>
        </w:tblPrEx>
        <w:tc>
          <w:tcPr>
            <w:tcW w:w="1555" w:type="dxa"/>
          </w:tcPr>
          <w:p w14:paraId="2A0C859D" w14:textId="77777777" w:rsidR="00AB7DC3" w:rsidRPr="00704B78" w:rsidRDefault="00AB7DC3" w:rsidP="006E2A77">
            <w:pPr>
              <w:pStyle w:val="COMTabletext"/>
              <w:rPr>
                <w:b/>
                <w:bCs w:val="0"/>
                <w:color w:val="333333"/>
              </w:rPr>
            </w:pPr>
            <w:r w:rsidRPr="00704B78">
              <w:rPr>
                <w:b/>
                <w:bCs w:val="0"/>
                <w:color w:val="333333"/>
              </w:rPr>
              <w:t>Population criteria:</w:t>
            </w:r>
          </w:p>
        </w:tc>
        <w:tc>
          <w:tcPr>
            <w:tcW w:w="7462" w:type="dxa"/>
            <w:hideMark/>
          </w:tcPr>
          <w:p w14:paraId="3D6E9BFF" w14:textId="77777777" w:rsidR="00AB7DC3" w:rsidRPr="00704B78" w:rsidRDefault="00AB7DC3" w:rsidP="006E2A77">
            <w:pPr>
              <w:pStyle w:val="COMTabletext"/>
            </w:pPr>
            <w:r w:rsidRPr="00704B78">
              <w:t>Patients must be aged 18 years or older</w:t>
            </w:r>
          </w:p>
        </w:tc>
      </w:tr>
      <w:tr w:rsidR="00AB7DC3" w:rsidRPr="00704B78" w14:paraId="3912D0B3" w14:textId="77777777" w:rsidTr="3517B442">
        <w:tblPrEx>
          <w:jc w:val="left"/>
        </w:tblPrEx>
        <w:tc>
          <w:tcPr>
            <w:tcW w:w="1555" w:type="dxa"/>
            <w:vMerge w:val="restart"/>
          </w:tcPr>
          <w:p w14:paraId="18DFCDAE" w14:textId="77777777" w:rsidR="00AB7DC3" w:rsidRPr="00704B78" w:rsidRDefault="00AB7DC3" w:rsidP="006E2A77">
            <w:pPr>
              <w:pStyle w:val="COMTabletext"/>
              <w:rPr>
                <w:b/>
                <w:bCs w:val="0"/>
                <w:color w:val="333333"/>
              </w:rPr>
            </w:pPr>
            <w:r w:rsidRPr="00704B78">
              <w:rPr>
                <w:b/>
                <w:bCs w:val="0"/>
                <w:color w:val="333333"/>
              </w:rPr>
              <w:t>Prescribing Instructions:</w:t>
            </w:r>
          </w:p>
        </w:tc>
        <w:tc>
          <w:tcPr>
            <w:tcW w:w="7462" w:type="dxa"/>
            <w:hideMark/>
          </w:tcPr>
          <w:p w14:paraId="5CE239C4" w14:textId="77777777" w:rsidR="00AB7DC3" w:rsidRPr="00704B78" w:rsidRDefault="00AB7DC3" w:rsidP="006E2A77">
            <w:pPr>
              <w:pStyle w:val="COMTabletext"/>
            </w:pPr>
            <w:r w:rsidRPr="00704B78">
              <w:t>At the time of the authority application, medical practitioners should request the appropriate number of vials to cover 2 maintenance doses based on the patient’s weight and as per the Product Information. Refer to the Product information for patient weight ranges for the 100mg/mL doses (consisting of 300 mg in 3 mL and 1.1 g in 11 mL vials).</w:t>
            </w:r>
          </w:p>
          <w:p w14:paraId="6DCEFED3" w14:textId="77777777" w:rsidR="00AB7DC3" w:rsidRPr="00704B78" w:rsidRDefault="00AB7DC3" w:rsidP="006E2A77">
            <w:pPr>
              <w:pStyle w:val="COMTabletext"/>
            </w:pPr>
            <w:r w:rsidRPr="00704B78">
              <w:t>Applications for treatment with this drug where the dose and dosing frequency exceeds that specified in the approved PI will not be approved.</w:t>
            </w:r>
          </w:p>
        </w:tc>
      </w:tr>
      <w:tr w:rsidR="00AB7DC3" w:rsidRPr="00704B78" w14:paraId="3E62FC5C" w14:textId="77777777" w:rsidTr="3517B442">
        <w:tblPrEx>
          <w:jc w:val="left"/>
        </w:tblPrEx>
        <w:tc>
          <w:tcPr>
            <w:tcW w:w="1555" w:type="dxa"/>
            <w:vMerge/>
          </w:tcPr>
          <w:p w14:paraId="21DD3A2C" w14:textId="77777777" w:rsidR="00AB7DC3" w:rsidRPr="00704B78" w:rsidRDefault="00AB7DC3" w:rsidP="006E2A77">
            <w:pPr>
              <w:pStyle w:val="COMTabletext"/>
              <w:rPr>
                <w:b/>
                <w:bCs w:val="0"/>
                <w:color w:val="333333"/>
              </w:rPr>
            </w:pPr>
          </w:p>
        </w:tc>
        <w:tc>
          <w:tcPr>
            <w:tcW w:w="7462" w:type="dxa"/>
          </w:tcPr>
          <w:p w14:paraId="3F0D66FA" w14:textId="77777777" w:rsidR="00AB7DC3" w:rsidRPr="00704B78" w:rsidRDefault="00AB7DC3" w:rsidP="006E2A77">
            <w:pPr>
              <w:pStyle w:val="COMTabletext"/>
            </w:pPr>
            <w:r w:rsidRPr="00704B78">
              <w:t>The authority application must be in writing and must include all the following:</w:t>
            </w:r>
          </w:p>
          <w:p w14:paraId="0034591E" w14:textId="77777777" w:rsidR="00AB7DC3" w:rsidRPr="00704B78" w:rsidRDefault="00AB7DC3" w:rsidP="006E2A77">
            <w:pPr>
              <w:pStyle w:val="COMTabletext"/>
            </w:pPr>
            <w:r w:rsidRPr="00704B78">
              <w:t>(1) A completed authority prescription form(s)</w:t>
            </w:r>
          </w:p>
          <w:p w14:paraId="734B94A2" w14:textId="77777777" w:rsidR="00AB7DC3" w:rsidRPr="00704B78" w:rsidRDefault="00AB7DC3" w:rsidP="006E2A77">
            <w:pPr>
              <w:pStyle w:val="COMTabletext"/>
            </w:pPr>
            <w:r w:rsidRPr="00704B78">
              <w:t>(2) A completed authority application form relevant to the indication and treatment phase (the latest version is located on the website specified in the Administrative Advice).</w:t>
            </w:r>
          </w:p>
          <w:p w14:paraId="359208A9" w14:textId="77777777" w:rsidR="00AB7DC3" w:rsidRPr="00704B78" w:rsidRDefault="00AB7DC3" w:rsidP="006E2A77">
            <w:pPr>
              <w:pStyle w:val="COMTabletext"/>
            </w:pPr>
            <w:r w:rsidRPr="00704B78">
              <w:t>(3) The baseline MG-ADL profile score</w:t>
            </w:r>
          </w:p>
        </w:tc>
      </w:tr>
      <w:tr w:rsidR="00D52E49" w:rsidRPr="00704B78" w14:paraId="002F8288" w14:textId="77777777" w:rsidTr="00611348">
        <w:tblPrEx>
          <w:jc w:val="left"/>
        </w:tblPrEx>
        <w:trPr>
          <w:trHeight w:val="454"/>
        </w:trPr>
        <w:tc>
          <w:tcPr>
            <w:tcW w:w="1555" w:type="dxa"/>
          </w:tcPr>
          <w:p w14:paraId="76781B67" w14:textId="77777777" w:rsidR="00D52E49" w:rsidRPr="00704B78" w:rsidRDefault="00D52E49" w:rsidP="006E2A77">
            <w:pPr>
              <w:pStyle w:val="COMTabletext"/>
              <w:rPr>
                <w:b/>
                <w:bCs w:val="0"/>
                <w:color w:val="333333"/>
              </w:rPr>
            </w:pPr>
            <w:r w:rsidRPr="00704B78">
              <w:rPr>
                <w:b/>
                <w:bCs w:val="0"/>
                <w:color w:val="333333"/>
              </w:rPr>
              <w:t>Administrative Advice:</w:t>
            </w:r>
          </w:p>
        </w:tc>
        <w:tc>
          <w:tcPr>
            <w:tcW w:w="7462" w:type="dxa"/>
          </w:tcPr>
          <w:p w14:paraId="78C03148" w14:textId="2063CD9E" w:rsidR="00D52E49" w:rsidRPr="00704B78" w:rsidRDefault="00D52E49" w:rsidP="006E2A77">
            <w:pPr>
              <w:pStyle w:val="COMTabletext"/>
            </w:pPr>
            <w:r w:rsidRPr="00704B78">
              <w:t>No increase in the maximum number of repeats may be authorised.</w:t>
            </w:r>
          </w:p>
        </w:tc>
      </w:tr>
      <w:tr w:rsidR="00AB7DC3" w:rsidRPr="00704B78" w14:paraId="0786F82A" w14:textId="77777777" w:rsidTr="3517B442">
        <w:tblPrEx>
          <w:jc w:val="left"/>
        </w:tblPrEx>
        <w:tc>
          <w:tcPr>
            <w:tcW w:w="1555" w:type="dxa"/>
            <w:tcBorders>
              <w:bottom w:val="single" w:sz="4" w:space="0" w:color="auto"/>
            </w:tcBorders>
          </w:tcPr>
          <w:p w14:paraId="28C27AE3" w14:textId="77777777" w:rsidR="00AB7DC3" w:rsidRPr="00704B78" w:rsidRDefault="00AB7DC3" w:rsidP="006E2A77">
            <w:pPr>
              <w:pStyle w:val="COMTabletext"/>
              <w:rPr>
                <w:b/>
                <w:bCs w:val="0"/>
                <w:color w:val="333333"/>
              </w:rPr>
            </w:pPr>
            <w:r w:rsidRPr="00704B78">
              <w:rPr>
                <w:rFonts w:cs="Times New Roman"/>
                <w:b/>
                <w:bCs w:val="0"/>
                <w:szCs w:val="20"/>
                <w:lang w:eastAsia="en-US" w:bidi="en-US"/>
              </w:rPr>
              <w:t>Note:</w:t>
            </w:r>
          </w:p>
        </w:tc>
        <w:tc>
          <w:tcPr>
            <w:tcW w:w="7462" w:type="dxa"/>
            <w:tcBorders>
              <w:bottom w:val="single" w:sz="4" w:space="0" w:color="auto"/>
            </w:tcBorders>
          </w:tcPr>
          <w:p w14:paraId="47F11A33" w14:textId="57525611" w:rsidR="00AB7DC3" w:rsidRPr="00704B78" w:rsidRDefault="00AB7DC3" w:rsidP="006E2A77">
            <w:pPr>
              <w:pStyle w:val="COMTabletext"/>
            </w:pPr>
            <w:r w:rsidRPr="00704B78">
              <w:rPr>
                <w:rFonts w:cs="Times New Roman"/>
                <w:szCs w:val="20"/>
                <w:lang w:eastAsia="en-US" w:bidi="en-US"/>
              </w:rPr>
              <w:t xml:space="preserve">The MG-ADL profile score is available at: </w:t>
            </w:r>
            <w:hyperlink r:id="rId16" w:history="1">
              <w:r w:rsidRPr="00704B78">
                <w:rPr>
                  <w:rStyle w:val="Hyperlink"/>
                  <w:rFonts w:cs="Times New Roman"/>
                  <w:szCs w:val="20"/>
                  <w:lang w:eastAsia="en-US" w:bidi="en-US"/>
                </w:rPr>
                <w:t>https://ultomiris.com/-/media/Ultomiris_gMG/pdf/gMG-ULTOMIRIS-ADL-Tool.ashx</w:t>
              </w:r>
            </w:hyperlink>
          </w:p>
        </w:tc>
      </w:tr>
      <w:tr w:rsidR="00AB7DC3" w:rsidRPr="00704B78" w14:paraId="4C4BDBD1" w14:textId="77777777" w:rsidTr="3517B442">
        <w:tblPrEx>
          <w:jc w:val="left"/>
        </w:tblPrEx>
        <w:tc>
          <w:tcPr>
            <w:tcW w:w="1555" w:type="dxa"/>
            <w:tcBorders>
              <w:bottom w:val="double" w:sz="4" w:space="0" w:color="auto"/>
            </w:tcBorders>
          </w:tcPr>
          <w:p w14:paraId="5FEB0A5E" w14:textId="77777777" w:rsidR="00AB7DC3" w:rsidRPr="00704B78" w:rsidRDefault="00AB7DC3" w:rsidP="006E2A77">
            <w:pPr>
              <w:pStyle w:val="COMTabletext"/>
              <w:rPr>
                <w:b/>
                <w:bCs w:val="0"/>
                <w:color w:val="333333"/>
              </w:rPr>
            </w:pPr>
            <w:r w:rsidRPr="00704B78">
              <w:rPr>
                <w:rFonts w:cs="Times New Roman"/>
                <w:b/>
                <w:bCs w:val="0"/>
                <w:szCs w:val="20"/>
                <w:lang w:eastAsia="en-US" w:bidi="en-US"/>
              </w:rPr>
              <w:t>Caution:</w:t>
            </w:r>
          </w:p>
        </w:tc>
        <w:tc>
          <w:tcPr>
            <w:tcW w:w="7462" w:type="dxa"/>
            <w:tcBorders>
              <w:bottom w:val="double" w:sz="4" w:space="0" w:color="auto"/>
            </w:tcBorders>
          </w:tcPr>
          <w:p w14:paraId="56F9B14E" w14:textId="77777777" w:rsidR="00AB7DC3" w:rsidRPr="00704B78" w:rsidRDefault="00AB7DC3"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4413F286" w14:textId="77777777" w:rsidR="00AB7DC3" w:rsidRPr="00704B78" w:rsidRDefault="00AB7DC3" w:rsidP="006E2A77">
            <w:pPr>
              <w:pStyle w:val="COMTabletext"/>
            </w:pPr>
            <w:r w:rsidRPr="00704B78">
              <w:rPr>
                <w:rFonts w:cs="Times New Roman"/>
                <w:szCs w:val="20"/>
                <w:lang w:eastAsia="en-US" w:bidi="en-US"/>
              </w:rPr>
              <w:t>Consult the approved PI for information about vaccination against meningococcal infection.</w:t>
            </w:r>
          </w:p>
        </w:tc>
      </w:tr>
      <w:tr w:rsidR="00AB7DC3" w:rsidRPr="00704B78" w14:paraId="0EC6D0AC" w14:textId="77777777" w:rsidTr="3517B442">
        <w:tblPrEx>
          <w:jc w:val="left"/>
        </w:tblPrEx>
        <w:tc>
          <w:tcPr>
            <w:tcW w:w="1555" w:type="dxa"/>
            <w:tcBorders>
              <w:top w:val="double" w:sz="4" w:space="0" w:color="auto"/>
            </w:tcBorders>
          </w:tcPr>
          <w:p w14:paraId="493A66B2" w14:textId="415A1DD3" w:rsidR="00AB7DC3" w:rsidRPr="00704B78" w:rsidRDefault="00AB7DC3" w:rsidP="006E2A77">
            <w:pPr>
              <w:jc w:val="left"/>
              <w:rPr>
                <w:rFonts w:ascii="Arial Narrow" w:hAnsi="Arial Narrow"/>
                <w:b/>
                <w:sz w:val="20"/>
                <w:szCs w:val="20"/>
              </w:rPr>
            </w:pPr>
            <w:r w:rsidRPr="00704B78">
              <w:rPr>
                <w:rFonts w:ascii="Arial Narrow" w:hAnsi="Arial Narrow"/>
                <w:b/>
                <w:sz w:val="20"/>
                <w:szCs w:val="20"/>
              </w:rPr>
              <w:t>Category/Program:</w:t>
            </w:r>
          </w:p>
        </w:tc>
        <w:tc>
          <w:tcPr>
            <w:tcW w:w="7462" w:type="dxa"/>
            <w:tcBorders>
              <w:top w:val="double" w:sz="4" w:space="0" w:color="auto"/>
            </w:tcBorders>
          </w:tcPr>
          <w:p w14:paraId="6082A37D"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Section 100 – Highly Specialised Drugs Program</w:t>
            </w:r>
          </w:p>
        </w:tc>
      </w:tr>
      <w:tr w:rsidR="00AB7DC3" w:rsidRPr="00704B78" w14:paraId="0AF7B4D1" w14:textId="77777777" w:rsidTr="3517B442">
        <w:tblPrEx>
          <w:jc w:val="left"/>
        </w:tblPrEx>
        <w:tc>
          <w:tcPr>
            <w:tcW w:w="1555" w:type="dxa"/>
          </w:tcPr>
          <w:p w14:paraId="7C401D4A" w14:textId="77777777" w:rsidR="00AB7DC3" w:rsidRPr="00704B78" w:rsidRDefault="00AB7DC3" w:rsidP="006E2A77">
            <w:pPr>
              <w:rPr>
                <w:rFonts w:ascii="Arial Narrow" w:hAnsi="Arial Narrow"/>
                <w:b/>
                <w:sz w:val="20"/>
                <w:szCs w:val="20"/>
              </w:rPr>
            </w:pPr>
            <w:r w:rsidRPr="00704B78">
              <w:rPr>
                <w:rFonts w:ascii="Arial Narrow" w:hAnsi="Arial Narrow"/>
                <w:b/>
                <w:sz w:val="20"/>
                <w:szCs w:val="20"/>
              </w:rPr>
              <w:t>Prescriber type:</w:t>
            </w:r>
          </w:p>
        </w:tc>
        <w:tc>
          <w:tcPr>
            <w:tcW w:w="7462" w:type="dxa"/>
          </w:tcPr>
          <w:p w14:paraId="42B092AC" w14:textId="2A2D31CD" w:rsidR="00AB7DC3" w:rsidRPr="00704B78" w:rsidRDefault="00AB7DC3" w:rsidP="006E2A77">
            <w:pPr>
              <w:jc w:val="left"/>
              <w:rPr>
                <w:rFonts w:ascii="Arial Narrow" w:hAnsi="Arial Narrow"/>
                <w:b/>
                <w:sz w:val="20"/>
                <w:szCs w:val="20"/>
              </w:rPr>
            </w:pPr>
            <w:r w:rsidRPr="00704B78">
              <w:rPr>
                <w:rFonts w:ascii="Arial Narrow" w:hAnsi="Arial Narrow"/>
                <w:sz w:val="20"/>
                <w:szCs w:val="20"/>
              </w:rPr>
              <w:t>Medical Practitioners</w:t>
            </w:r>
          </w:p>
        </w:tc>
      </w:tr>
      <w:tr w:rsidR="00AB7DC3" w:rsidRPr="00704B78" w14:paraId="1E39439C" w14:textId="77777777" w:rsidTr="3517B442">
        <w:tblPrEx>
          <w:jc w:val="left"/>
        </w:tblPrEx>
        <w:tc>
          <w:tcPr>
            <w:tcW w:w="1555" w:type="dxa"/>
          </w:tcPr>
          <w:p w14:paraId="5BE071B8" w14:textId="77777777" w:rsidR="00AB7DC3" w:rsidRPr="00704B78" w:rsidRDefault="00AB7DC3" w:rsidP="006E2A77">
            <w:pPr>
              <w:rPr>
                <w:rFonts w:ascii="Arial Narrow" w:hAnsi="Arial Narrow"/>
                <w:b/>
                <w:sz w:val="20"/>
                <w:szCs w:val="20"/>
              </w:rPr>
            </w:pPr>
            <w:r w:rsidRPr="00704B78">
              <w:rPr>
                <w:rFonts w:ascii="Arial Narrow" w:hAnsi="Arial Narrow"/>
                <w:b/>
                <w:sz w:val="20"/>
                <w:szCs w:val="20"/>
              </w:rPr>
              <w:t>Restriction Type</w:t>
            </w:r>
          </w:p>
        </w:tc>
        <w:tc>
          <w:tcPr>
            <w:tcW w:w="7462" w:type="dxa"/>
          </w:tcPr>
          <w:p w14:paraId="4C7777BC" w14:textId="22DC5E57" w:rsidR="00AB7DC3" w:rsidRPr="00704B78" w:rsidRDefault="00AB7DC3" w:rsidP="006E2A77">
            <w:pPr>
              <w:jc w:val="left"/>
              <w:rPr>
                <w:rFonts w:ascii="Arial Narrow" w:eastAsia="Calibri" w:hAnsi="Arial Narrow"/>
                <w:bCs/>
                <w:sz w:val="20"/>
                <w:szCs w:val="20"/>
              </w:rPr>
            </w:pPr>
            <w:r w:rsidRPr="00704B78">
              <w:rPr>
                <w:rFonts w:ascii="Arial Narrow" w:hAnsi="Arial Narrow" w:cs="Times New Roman"/>
                <w:sz w:val="20"/>
                <w:szCs w:val="20"/>
                <w:lang w:eastAsia="en-US" w:bidi="en-US"/>
              </w:rPr>
              <w:t>Authority Required (in writing only via post/HPOS upload)</w:t>
            </w:r>
          </w:p>
        </w:tc>
      </w:tr>
      <w:tr w:rsidR="00AB7DC3" w:rsidRPr="00704B78" w14:paraId="68DE2FF9" w14:textId="77777777" w:rsidTr="3517B442">
        <w:tblPrEx>
          <w:jc w:val="left"/>
        </w:tblPrEx>
        <w:tc>
          <w:tcPr>
            <w:tcW w:w="1555" w:type="dxa"/>
          </w:tcPr>
          <w:p w14:paraId="15E3891F" w14:textId="77777777" w:rsidR="00AB7DC3" w:rsidRPr="00704B78" w:rsidRDefault="00AB7DC3" w:rsidP="006E2A77">
            <w:pPr>
              <w:rPr>
                <w:rFonts w:ascii="Arial Narrow" w:hAnsi="Arial Narrow"/>
                <w:b/>
                <w:sz w:val="20"/>
                <w:szCs w:val="20"/>
              </w:rPr>
            </w:pPr>
            <w:r w:rsidRPr="00704B78">
              <w:rPr>
                <w:rFonts w:ascii="Arial Narrow" w:hAnsi="Arial Narrow"/>
                <w:b/>
                <w:sz w:val="20"/>
                <w:szCs w:val="20"/>
              </w:rPr>
              <w:t>Condition:</w:t>
            </w:r>
          </w:p>
        </w:tc>
        <w:tc>
          <w:tcPr>
            <w:tcW w:w="7462" w:type="dxa"/>
          </w:tcPr>
          <w:p w14:paraId="55102EBF" w14:textId="77777777" w:rsidR="00AB7DC3" w:rsidRPr="00704B78" w:rsidRDefault="00AB7DC3" w:rsidP="006E2A77">
            <w:pPr>
              <w:jc w:val="left"/>
              <w:rPr>
                <w:rFonts w:ascii="Arial Narrow" w:hAnsi="Arial Narrow"/>
                <w:sz w:val="20"/>
                <w:szCs w:val="20"/>
              </w:rPr>
            </w:pPr>
            <w:r w:rsidRPr="00704B78">
              <w:rPr>
                <w:rFonts w:ascii="Arial Narrow" w:hAnsi="Arial Narrow"/>
                <w:bCs/>
                <w:sz w:val="20"/>
                <w:szCs w:val="20"/>
              </w:rPr>
              <w:t>Generalised myasthenia gravis (gMG)</w:t>
            </w:r>
          </w:p>
        </w:tc>
      </w:tr>
      <w:tr w:rsidR="00AB7DC3" w:rsidRPr="00704B78" w14:paraId="3D3299C3" w14:textId="77777777" w:rsidTr="3517B442">
        <w:tblPrEx>
          <w:jc w:val="left"/>
        </w:tblPrEx>
        <w:tc>
          <w:tcPr>
            <w:tcW w:w="1555" w:type="dxa"/>
          </w:tcPr>
          <w:p w14:paraId="2EE35473" w14:textId="77777777" w:rsidR="00AB7DC3" w:rsidRPr="00704B78" w:rsidRDefault="00AB7DC3" w:rsidP="006E2A77">
            <w:pPr>
              <w:rPr>
                <w:rFonts w:ascii="Arial Narrow" w:hAnsi="Arial Narrow"/>
                <w:b/>
                <w:bCs/>
                <w:sz w:val="20"/>
                <w:szCs w:val="20"/>
              </w:rPr>
            </w:pPr>
            <w:r w:rsidRPr="00704B78">
              <w:rPr>
                <w:rFonts w:ascii="Arial Narrow" w:hAnsi="Arial Narrow"/>
                <w:b/>
                <w:bCs/>
                <w:sz w:val="20"/>
                <w:szCs w:val="20"/>
              </w:rPr>
              <w:t>Indication:</w:t>
            </w:r>
          </w:p>
        </w:tc>
        <w:tc>
          <w:tcPr>
            <w:tcW w:w="7462" w:type="dxa"/>
            <w:hideMark/>
          </w:tcPr>
          <w:p w14:paraId="622B9651" w14:textId="77777777" w:rsidR="00AB7DC3" w:rsidRPr="00704B78" w:rsidRDefault="00AB7DC3" w:rsidP="006E2A77">
            <w:pPr>
              <w:jc w:val="left"/>
              <w:rPr>
                <w:rFonts w:ascii="Arial Narrow" w:hAnsi="Arial Narrow"/>
                <w:sz w:val="20"/>
                <w:szCs w:val="20"/>
              </w:rPr>
            </w:pPr>
            <w:r w:rsidRPr="00704B78">
              <w:rPr>
                <w:rFonts w:ascii="Arial Narrow" w:hAnsi="Arial Narrow"/>
                <w:bCs/>
                <w:sz w:val="20"/>
                <w:szCs w:val="20"/>
              </w:rPr>
              <w:t>Generalised myasthenia gravis (gMG)</w:t>
            </w:r>
          </w:p>
        </w:tc>
      </w:tr>
      <w:tr w:rsidR="00AB7DC3" w:rsidRPr="00704B78" w14:paraId="7FD64673" w14:textId="77777777" w:rsidTr="3517B442">
        <w:tblPrEx>
          <w:jc w:val="left"/>
        </w:tblPrEx>
        <w:tc>
          <w:tcPr>
            <w:tcW w:w="1555" w:type="dxa"/>
          </w:tcPr>
          <w:p w14:paraId="59419CBD" w14:textId="77777777" w:rsidR="00AB7DC3" w:rsidRPr="00704B78" w:rsidRDefault="00AB7DC3" w:rsidP="006E2A77">
            <w:pPr>
              <w:rPr>
                <w:rFonts w:ascii="Arial Narrow" w:hAnsi="Arial Narrow"/>
                <w:b/>
                <w:bCs/>
                <w:sz w:val="20"/>
                <w:szCs w:val="20"/>
              </w:rPr>
            </w:pPr>
            <w:r w:rsidRPr="00704B78">
              <w:rPr>
                <w:rFonts w:ascii="Arial Narrow" w:hAnsi="Arial Narrow"/>
                <w:b/>
                <w:bCs/>
                <w:sz w:val="20"/>
                <w:szCs w:val="20"/>
              </w:rPr>
              <w:t>Treatment Phase:</w:t>
            </w:r>
          </w:p>
        </w:tc>
        <w:tc>
          <w:tcPr>
            <w:tcW w:w="7462" w:type="dxa"/>
            <w:hideMark/>
          </w:tcPr>
          <w:p w14:paraId="4526E2C4"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Continuing treatment – refractory patient population</w:t>
            </w:r>
          </w:p>
        </w:tc>
      </w:tr>
      <w:tr w:rsidR="00AB7DC3" w:rsidRPr="00704B78" w14:paraId="123F907F" w14:textId="77777777" w:rsidTr="3517B442">
        <w:tblPrEx>
          <w:jc w:val="left"/>
        </w:tblPrEx>
        <w:tc>
          <w:tcPr>
            <w:tcW w:w="1555" w:type="dxa"/>
            <w:vMerge w:val="restart"/>
          </w:tcPr>
          <w:p w14:paraId="5A59B465" w14:textId="77777777" w:rsidR="00AB7DC3" w:rsidRPr="00704B78" w:rsidRDefault="00AB7DC3" w:rsidP="006E2A77">
            <w:pPr>
              <w:rPr>
                <w:rFonts w:ascii="Arial Narrow" w:hAnsi="Arial Narrow"/>
                <w:sz w:val="20"/>
                <w:szCs w:val="20"/>
              </w:rPr>
            </w:pPr>
            <w:r w:rsidRPr="00704B78">
              <w:rPr>
                <w:rFonts w:ascii="Arial Narrow" w:hAnsi="Arial Narrow"/>
                <w:b/>
                <w:bCs/>
                <w:sz w:val="20"/>
                <w:szCs w:val="20"/>
              </w:rPr>
              <w:t>Clinical criteria:</w:t>
            </w:r>
          </w:p>
        </w:tc>
        <w:tc>
          <w:tcPr>
            <w:tcW w:w="7462" w:type="dxa"/>
            <w:hideMark/>
          </w:tcPr>
          <w:p w14:paraId="3E6A6208"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Patient must have previously received PBS subsidised treatment with this drug for this condition, AND</w:t>
            </w:r>
          </w:p>
        </w:tc>
      </w:tr>
      <w:tr w:rsidR="00AB7DC3" w:rsidRPr="00704B78" w14:paraId="11286D0B" w14:textId="77777777" w:rsidTr="3517B442">
        <w:tblPrEx>
          <w:jc w:val="left"/>
        </w:tblPrEx>
        <w:tc>
          <w:tcPr>
            <w:tcW w:w="1555" w:type="dxa"/>
            <w:vMerge/>
          </w:tcPr>
          <w:p w14:paraId="2B970578" w14:textId="77777777" w:rsidR="00AB7DC3" w:rsidRPr="00704B78" w:rsidRDefault="00AB7DC3" w:rsidP="006E2A77">
            <w:pPr>
              <w:rPr>
                <w:rFonts w:ascii="Arial Narrow" w:hAnsi="Arial Narrow"/>
                <w:b/>
                <w:bCs/>
                <w:sz w:val="20"/>
                <w:szCs w:val="20"/>
              </w:rPr>
            </w:pPr>
          </w:p>
        </w:tc>
        <w:tc>
          <w:tcPr>
            <w:tcW w:w="7462" w:type="dxa"/>
          </w:tcPr>
          <w:p w14:paraId="5BB9A24F"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Patient must have demonstrated a clinical improvement based on a decrease in Myasthenia Gravis-Activities of Daily Living (MG-ADL) profile of at least 3 points from baseline. AND</w:t>
            </w:r>
          </w:p>
          <w:p w14:paraId="7B94A91B"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Patients must not receive more than 24 weeks of treatment in total under this restriction.</w:t>
            </w:r>
          </w:p>
        </w:tc>
      </w:tr>
      <w:tr w:rsidR="00AB7DC3" w:rsidRPr="00704B78" w14:paraId="3B7B01B2" w14:textId="77777777" w:rsidTr="3517B442">
        <w:tblPrEx>
          <w:jc w:val="left"/>
        </w:tblPrEx>
        <w:tc>
          <w:tcPr>
            <w:tcW w:w="1555" w:type="dxa"/>
          </w:tcPr>
          <w:p w14:paraId="56EBF8C4" w14:textId="77777777" w:rsidR="00AB7DC3" w:rsidRPr="00704B78" w:rsidRDefault="00AB7DC3" w:rsidP="006E2A77">
            <w:pPr>
              <w:autoSpaceDE w:val="0"/>
              <w:autoSpaceDN w:val="0"/>
              <w:adjustRightInd w:val="0"/>
              <w:rPr>
                <w:rFonts w:ascii="Arial Narrow" w:hAnsi="Arial Narrow" w:cs="Arial Narrow"/>
                <w:sz w:val="20"/>
                <w:szCs w:val="20"/>
              </w:rPr>
            </w:pPr>
            <w:r w:rsidRPr="00704B78">
              <w:rPr>
                <w:rFonts w:ascii="Arial Narrow" w:hAnsi="Arial Narrow" w:cs="Arial Narrow"/>
                <w:b/>
                <w:bCs/>
                <w:sz w:val="20"/>
                <w:szCs w:val="20"/>
              </w:rPr>
              <w:t>Treatment criteria:</w:t>
            </w:r>
          </w:p>
        </w:tc>
        <w:tc>
          <w:tcPr>
            <w:tcW w:w="7462" w:type="dxa"/>
            <w:hideMark/>
          </w:tcPr>
          <w:p w14:paraId="35B352C4" w14:textId="77777777" w:rsidR="00AB7DC3" w:rsidRPr="00704B78" w:rsidRDefault="00AB7DC3" w:rsidP="006E2A77">
            <w:pPr>
              <w:autoSpaceDE w:val="0"/>
              <w:autoSpaceDN w:val="0"/>
              <w:adjustRightInd w:val="0"/>
              <w:jc w:val="left"/>
              <w:rPr>
                <w:rFonts w:ascii="Arial Narrow" w:hAnsi="Arial Narrow" w:cs="Arial Narrow"/>
                <w:sz w:val="20"/>
                <w:szCs w:val="20"/>
              </w:rPr>
            </w:pPr>
            <w:r w:rsidRPr="00704B78">
              <w:rPr>
                <w:rFonts w:ascii="Arial Narrow" w:hAnsi="Arial Narrow" w:cs="Arial Narrow"/>
                <w:sz w:val="20"/>
                <w:szCs w:val="20"/>
              </w:rPr>
              <w:t>Must be treated by a neurologist or must be treated by a medical practitioner who has consulted a neurologist, with agreement reached that the patient should be treated with this pharmaceutical benefit on this occasion</w:t>
            </w:r>
          </w:p>
        </w:tc>
      </w:tr>
      <w:tr w:rsidR="00AB7DC3" w:rsidRPr="00704B78" w14:paraId="64A83F3D" w14:textId="77777777" w:rsidTr="3517B442">
        <w:tblPrEx>
          <w:jc w:val="left"/>
        </w:tblPrEx>
        <w:tc>
          <w:tcPr>
            <w:tcW w:w="1555" w:type="dxa"/>
          </w:tcPr>
          <w:p w14:paraId="78FCD0FE" w14:textId="77777777" w:rsidR="00AB7DC3" w:rsidRPr="00704B78" w:rsidRDefault="00AB7DC3" w:rsidP="006E2A77">
            <w:pPr>
              <w:rPr>
                <w:rFonts w:ascii="Arial Narrow" w:hAnsi="Arial Narrow"/>
                <w:sz w:val="20"/>
                <w:szCs w:val="20"/>
              </w:rPr>
            </w:pPr>
            <w:r w:rsidRPr="00704B78">
              <w:rPr>
                <w:rFonts w:ascii="Arial Narrow" w:hAnsi="Arial Narrow"/>
                <w:b/>
                <w:bCs/>
                <w:sz w:val="20"/>
                <w:szCs w:val="20"/>
              </w:rPr>
              <w:t>Population criteria:</w:t>
            </w:r>
          </w:p>
        </w:tc>
        <w:tc>
          <w:tcPr>
            <w:tcW w:w="7462" w:type="dxa"/>
            <w:hideMark/>
          </w:tcPr>
          <w:p w14:paraId="15EA9D7B" w14:textId="77777777" w:rsidR="00AB7DC3" w:rsidRPr="00704B78" w:rsidRDefault="00AB7DC3" w:rsidP="006E2A77">
            <w:pPr>
              <w:jc w:val="left"/>
            </w:pPr>
            <w:r w:rsidRPr="00704B78">
              <w:rPr>
                <w:rFonts w:ascii="Arial Narrow" w:hAnsi="Arial Narrow"/>
                <w:sz w:val="20"/>
                <w:szCs w:val="20"/>
              </w:rPr>
              <w:t>Patients must be aged 18 years or older</w:t>
            </w:r>
          </w:p>
        </w:tc>
      </w:tr>
      <w:tr w:rsidR="00AB7DC3" w:rsidRPr="00704B78" w14:paraId="1556B8A6" w14:textId="77777777" w:rsidTr="3517B442">
        <w:tblPrEx>
          <w:jc w:val="left"/>
        </w:tblPrEx>
        <w:tc>
          <w:tcPr>
            <w:tcW w:w="1555" w:type="dxa"/>
          </w:tcPr>
          <w:p w14:paraId="258EF2E9" w14:textId="77777777" w:rsidR="00AB7DC3" w:rsidRPr="00704B78" w:rsidRDefault="00AB7DC3" w:rsidP="006E2A77">
            <w:pPr>
              <w:rPr>
                <w:rFonts w:ascii="Arial Narrow" w:hAnsi="Arial Narrow"/>
                <w:b/>
                <w:bCs/>
                <w:sz w:val="20"/>
                <w:szCs w:val="20"/>
              </w:rPr>
            </w:pPr>
            <w:r w:rsidRPr="00704B78">
              <w:rPr>
                <w:rFonts w:ascii="Arial Narrow" w:hAnsi="Arial Narrow"/>
                <w:b/>
                <w:bCs/>
                <w:sz w:val="20"/>
                <w:szCs w:val="20"/>
              </w:rPr>
              <w:t>Prescribing instructions:</w:t>
            </w:r>
          </w:p>
        </w:tc>
        <w:tc>
          <w:tcPr>
            <w:tcW w:w="7462" w:type="dxa"/>
          </w:tcPr>
          <w:p w14:paraId="78098FC3" w14:textId="77777777" w:rsidR="00AB7DC3" w:rsidRPr="00704B78" w:rsidRDefault="00AB7DC3" w:rsidP="006E2A77">
            <w:pPr>
              <w:jc w:val="left"/>
              <w:rPr>
                <w:rFonts w:ascii="Arial Narrow" w:hAnsi="Arial Narrow"/>
                <w:bCs/>
                <w:sz w:val="20"/>
                <w:szCs w:val="20"/>
              </w:rPr>
            </w:pPr>
            <w:r w:rsidRPr="00704B78">
              <w:rPr>
                <w:rFonts w:ascii="Arial Narrow" w:hAnsi="Arial Narrow"/>
                <w:bCs/>
                <w:sz w:val="20"/>
                <w:szCs w:val="20"/>
              </w:rPr>
              <w:t>The authority application must be in writing and must include all the following:</w:t>
            </w:r>
          </w:p>
          <w:p w14:paraId="21DD11BF" w14:textId="77777777" w:rsidR="00AB7DC3" w:rsidRPr="00704B78" w:rsidRDefault="00AB7DC3" w:rsidP="006E2A77">
            <w:pPr>
              <w:jc w:val="left"/>
              <w:rPr>
                <w:rFonts w:ascii="Arial Narrow" w:hAnsi="Arial Narrow"/>
                <w:bCs/>
                <w:sz w:val="20"/>
                <w:szCs w:val="20"/>
              </w:rPr>
            </w:pPr>
            <w:r w:rsidRPr="00704B78">
              <w:rPr>
                <w:rFonts w:ascii="Arial Narrow" w:hAnsi="Arial Narrow"/>
                <w:bCs/>
                <w:sz w:val="20"/>
                <w:szCs w:val="20"/>
              </w:rPr>
              <w:t>(1) A completed authority prescription form(s)</w:t>
            </w:r>
          </w:p>
          <w:p w14:paraId="38FE8110" w14:textId="77777777" w:rsidR="00AB7DC3" w:rsidRPr="00704B78" w:rsidRDefault="00AB7DC3" w:rsidP="006E2A77">
            <w:pPr>
              <w:jc w:val="left"/>
              <w:rPr>
                <w:rFonts w:ascii="Arial Narrow" w:hAnsi="Arial Narrow"/>
                <w:sz w:val="20"/>
                <w:szCs w:val="20"/>
              </w:rPr>
            </w:pPr>
            <w:r w:rsidRPr="00704B78">
              <w:rPr>
                <w:rFonts w:ascii="Arial Narrow" w:hAnsi="Arial Narrow"/>
                <w:sz w:val="20"/>
                <w:szCs w:val="20"/>
              </w:rPr>
              <w:t>(2) A completed authority application form relevant to the indication and treatment phase (the latest version is located on the website specified in the Administrative Advice)</w:t>
            </w:r>
          </w:p>
          <w:p w14:paraId="16AA10E4" w14:textId="77777777" w:rsidR="00AB7DC3" w:rsidRPr="00704B78" w:rsidRDefault="00AB7DC3" w:rsidP="006E2A77">
            <w:pPr>
              <w:jc w:val="left"/>
              <w:rPr>
                <w:rFonts w:ascii="Arial Narrow" w:hAnsi="Arial Narrow"/>
                <w:sz w:val="20"/>
                <w:szCs w:val="20"/>
              </w:rPr>
            </w:pPr>
            <w:r w:rsidRPr="00704B78">
              <w:rPr>
                <w:rFonts w:ascii="Arial Narrow" w:hAnsi="Arial Narrow"/>
                <w:bCs/>
                <w:sz w:val="20"/>
                <w:szCs w:val="20"/>
              </w:rPr>
              <w:t>(3) The current MG-ADL profile score</w:t>
            </w:r>
          </w:p>
        </w:tc>
      </w:tr>
      <w:tr w:rsidR="00D52E49" w:rsidRPr="00704B78" w14:paraId="1278CF1C" w14:textId="77777777" w:rsidTr="00611348">
        <w:tblPrEx>
          <w:jc w:val="left"/>
        </w:tblPrEx>
        <w:trPr>
          <w:trHeight w:val="454"/>
        </w:trPr>
        <w:tc>
          <w:tcPr>
            <w:tcW w:w="1555" w:type="dxa"/>
          </w:tcPr>
          <w:p w14:paraId="3AF66629" w14:textId="77777777" w:rsidR="00D52E49" w:rsidRPr="00704B78" w:rsidRDefault="00D52E49" w:rsidP="006E2A77">
            <w:pPr>
              <w:rPr>
                <w:rFonts w:ascii="Arial Narrow" w:hAnsi="Arial Narrow"/>
                <w:b/>
                <w:bCs/>
                <w:sz w:val="20"/>
                <w:szCs w:val="20"/>
              </w:rPr>
            </w:pPr>
            <w:r w:rsidRPr="00704B78">
              <w:rPr>
                <w:rFonts w:ascii="Arial Narrow" w:hAnsi="Arial Narrow"/>
                <w:b/>
                <w:bCs/>
                <w:sz w:val="20"/>
                <w:szCs w:val="20"/>
              </w:rPr>
              <w:lastRenderedPageBreak/>
              <w:t>Administrative Advice:</w:t>
            </w:r>
          </w:p>
        </w:tc>
        <w:tc>
          <w:tcPr>
            <w:tcW w:w="7462" w:type="dxa"/>
          </w:tcPr>
          <w:p w14:paraId="19BA1308" w14:textId="7E24721E" w:rsidR="00D52E49" w:rsidRPr="00704B78" w:rsidRDefault="00D52E49" w:rsidP="006E2A77">
            <w:pPr>
              <w:jc w:val="left"/>
              <w:rPr>
                <w:rFonts w:ascii="Arial Narrow" w:hAnsi="Arial Narrow"/>
                <w:sz w:val="20"/>
                <w:szCs w:val="20"/>
              </w:rPr>
            </w:pPr>
            <w:r w:rsidRPr="00704B78">
              <w:rPr>
                <w:rFonts w:ascii="Arial Narrow" w:hAnsi="Arial Narrow"/>
                <w:sz w:val="20"/>
                <w:szCs w:val="20"/>
              </w:rPr>
              <w:t>No increase in the maximum number of repeats may be authorised.</w:t>
            </w:r>
          </w:p>
        </w:tc>
      </w:tr>
      <w:tr w:rsidR="00AB7DC3" w:rsidRPr="00704B78" w14:paraId="3891701D" w14:textId="77777777" w:rsidTr="3517B442">
        <w:tblPrEx>
          <w:jc w:val="left"/>
        </w:tblPrEx>
        <w:tc>
          <w:tcPr>
            <w:tcW w:w="1555" w:type="dxa"/>
            <w:tcBorders>
              <w:bottom w:val="single" w:sz="4" w:space="0" w:color="auto"/>
            </w:tcBorders>
          </w:tcPr>
          <w:p w14:paraId="78DADDC9" w14:textId="77777777" w:rsidR="00AB7DC3" w:rsidRPr="00704B78" w:rsidRDefault="00AB7DC3" w:rsidP="006E2A77">
            <w:pPr>
              <w:rPr>
                <w:rFonts w:ascii="Arial Narrow" w:hAnsi="Arial Narrow"/>
                <w:b/>
                <w:bCs/>
                <w:sz w:val="20"/>
                <w:szCs w:val="20"/>
              </w:rPr>
            </w:pPr>
            <w:r w:rsidRPr="00704B78">
              <w:rPr>
                <w:rFonts w:ascii="Arial Narrow" w:hAnsi="Arial Narrow" w:cs="Times New Roman"/>
                <w:b/>
                <w:bCs/>
                <w:sz w:val="20"/>
                <w:szCs w:val="20"/>
                <w:lang w:eastAsia="en-US" w:bidi="en-US"/>
              </w:rPr>
              <w:t>Note:</w:t>
            </w:r>
          </w:p>
        </w:tc>
        <w:tc>
          <w:tcPr>
            <w:tcW w:w="7462" w:type="dxa"/>
            <w:tcBorders>
              <w:bottom w:val="single" w:sz="4" w:space="0" w:color="auto"/>
            </w:tcBorders>
          </w:tcPr>
          <w:p w14:paraId="7F7B4EF8" w14:textId="4056AC4D" w:rsidR="00AB7DC3" w:rsidRPr="00704B78" w:rsidRDefault="00AB7DC3" w:rsidP="006E2A77">
            <w:pPr>
              <w:jc w:val="left"/>
              <w:rPr>
                <w:rFonts w:ascii="Arial Narrow" w:hAnsi="Arial Narrow"/>
                <w:sz w:val="20"/>
                <w:szCs w:val="20"/>
              </w:rPr>
            </w:pPr>
            <w:r w:rsidRPr="00704B78">
              <w:rPr>
                <w:rFonts w:ascii="Arial Narrow" w:hAnsi="Arial Narrow" w:cs="Times New Roman"/>
                <w:sz w:val="20"/>
                <w:szCs w:val="20"/>
                <w:lang w:eastAsia="en-US" w:bidi="en-US"/>
              </w:rPr>
              <w:t xml:space="preserve">The MG-ADL profile score is available at: </w:t>
            </w:r>
            <w:hyperlink r:id="rId17" w:history="1">
              <w:r w:rsidRPr="00704B78">
                <w:rPr>
                  <w:rStyle w:val="Hyperlink"/>
                  <w:rFonts w:ascii="Arial Narrow" w:hAnsi="Arial Narrow" w:cs="Times New Roman"/>
                  <w:sz w:val="20"/>
                  <w:szCs w:val="20"/>
                  <w:lang w:eastAsia="en-US" w:bidi="en-US"/>
                </w:rPr>
                <w:t>https://ultomiris.com/-/media/Ultomiris_gMG/pdf/gMG-ULTOMIRIS-ADL-Tool.ashx</w:t>
              </w:r>
            </w:hyperlink>
          </w:p>
        </w:tc>
      </w:tr>
      <w:tr w:rsidR="00AB7DC3" w:rsidRPr="00704B78" w14:paraId="14D3393F" w14:textId="77777777" w:rsidTr="3517B442">
        <w:tblPrEx>
          <w:jc w:val="left"/>
        </w:tblPrEx>
        <w:tc>
          <w:tcPr>
            <w:tcW w:w="1555" w:type="dxa"/>
            <w:tcBorders>
              <w:bottom w:val="double" w:sz="4" w:space="0" w:color="auto"/>
            </w:tcBorders>
          </w:tcPr>
          <w:p w14:paraId="3E86D14A" w14:textId="77777777" w:rsidR="00AB7DC3" w:rsidRPr="00704B78" w:rsidRDefault="00AB7DC3" w:rsidP="006E2A77">
            <w:pPr>
              <w:rPr>
                <w:rFonts w:ascii="Arial Narrow" w:hAnsi="Arial Narrow"/>
                <w:b/>
                <w:bCs/>
                <w:sz w:val="20"/>
                <w:szCs w:val="20"/>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5517EC08" w14:textId="77777777" w:rsidR="00AB7DC3" w:rsidRPr="00704B78" w:rsidRDefault="00AB7DC3"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11C6DB2E" w14:textId="77777777" w:rsidR="00AB7DC3" w:rsidRPr="00704B78" w:rsidRDefault="00AB7DC3" w:rsidP="006E2A77">
            <w:pPr>
              <w:jc w:val="left"/>
              <w:rPr>
                <w:rFonts w:ascii="Arial Narrow" w:hAnsi="Arial Narrow"/>
                <w:sz w:val="20"/>
                <w:szCs w:val="20"/>
              </w:rPr>
            </w:pPr>
            <w:r w:rsidRPr="00704B78">
              <w:rPr>
                <w:rFonts w:ascii="Arial Narrow" w:hAnsi="Arial Narrow" w:cs="Times New Roman"/>
                <w:sz w:val="20"/>
                <w:szCs w:val="20"/>
                <w:lang w:eastAsia="en-US" w:bidi="en-US"/>
              </w:rPr>
              <w:t>Consult the approved PI for information about vaccination against meningococcal infection.</w:t>
            </w:r>
          </w:p>
        </w:tc>
      </w:tr>
      <w:tr w:rsidR="00755983" w:rsidRPr="00704B78" w14:paraId="6EFBBE8C" w14:textId="77777777" w:rsidTr="3517B442">
        <w:tblPrEx>
          <w:jc w:val="left"/>
        </w:tblPrEx>
        <w:tc>
          <w:tcPr>
            <w:tcW w:w="1555" w:type="dxa"/>
            <w:tcBorders>
              <w:top w:val="double" w:sz="4" w:space="0" w:color="auto"/>
            </w:tcBorders>
          </w:tcPr>
          <w:p w14:paraId="538F2EDD" w14:textId="2FABF729" w:rsidR="00755983" w:rsidRPr="00704B78" w:rsidRDefault="00755983" w:rsidP="006E2A77">
            <w:pPr>
              <w:rPr>
                <w:rFonts w:ascii="Arial Narrow" w:hAnsi="Arial Narrow"/>
                <w:b/>
                <w:sz w:val="20"/>
                <w:szCs w:val="20"/>
              </w:rPr>
            </w:pPr>
            <w:r w:rsidRPr="00704B78">
              <w:rPr>
                <w:rFonts w:ascii="Arial Narrow" w:hAnsi="Arial Narrow"/>
                <w:b/>
                <w:sz w:val="20"/>
                <w:szCs w:val="20"/>
              </w:rPr>
              <w:t>Category/Program:</w:t>
            </w:r>
          </w:p>
        </w:tc>
        <w:tc>
          <w:tcPr>
            <w:tcW w:w="7462" w:type="dxa"/>
            <w:tcBorders>
              <w:top w:val="double" w:sz="4" w:space="0" w:color="auto"/>
            </w:tcBorders>
          </w:tcPr>
          <w:p w14:paraId="3705A79B" w14:textId="77777777" w:rsidR="00755983" w:rsidRPr="00704B78" w:rsidRDefault="00755983" w:rsidP="006E2A77">
            <w:pPr>
              <w:rPr>
                <w:rFonts w:ascii="Arial Narrow" w:hAnsi="Arial Narrow"/>
                <w:sz w:val="20"/>
                <w:szCs w:val="20"/>
              </w:rPr>
            </w:pPr>
            <w:r w:rsidRPr="00704B78">
              <w:rPr>
                <w:rFonts w:ascii="Arial Narrow" w:hAnsi="Arial Narrow"/>
                <w:sz w:val="20"/>
                <w:szCs w:val="20"/>
              </w:rPr>
              <w:t>Section 100 – Highly Specialised Drugs Program</w:t>
            </w:r>
          </w:p>
        </w:tc>
      </w:tr>
      <w:tr w:rsidR="00755983" w:rsidRPr="00704B78" w14:paraId="6862E576" w14:textId="77777777" w:rsidTr="3517B442">
        <w:tblPrEx>
          <w:jc w:val="left"/>
        </w:tblPrEx>
        <w:tc>
          <w:tcPr>
            <w:tcW w:w="1555" w:type="dxa"/>
          </w:tcPr>
          <w:p w14:paraId="4AC9E783" w14:textId="77777777" w:rsidR="00755983" w:rsidRPr="00704B78" w:rsidRDefault="00755983" w:rsidP="006E2A77">
            <w:pPr>
              <w:rPr>
                <w:rFonts w:ascii="Arial Narrow" w:hAnsi="Arial Narrow"/>
                <w:b/>
                <w:sz w:val="20"/>
                <w:szCs w:val="20"/>
              </w:rPr>
            </w:pPr>
            <w:r w:rsidRPr="00704B78">
              <w:rPr>
                <w:rFonts w:ascii="Arial Narrow" w:hAnsi="Arial Narrow"/>
                <w:b/>
                <w:sz w:val="20"/>
                <w:szCs w:val="20"/>
              </w:rPr>
              <w:t>Prescriber type:</w:t>
            </w:r>
          </w:p>
        </w:tc>
        <w:tc>
          <w:tcPr>
            <w:tcW w:w="7462" w:type="dxa"/>
          </w:tcPr>
          <w:p w14:paraId="3EC360BC" w14:textId="143DA64E" w:rsidR="00755983" w:rsidRPr="00704B78" w:rsidRDefault="00755983" w:rsidP="006E2A77">
            <w:pPr>
              <w:rPr>
                <w:rFonts w:ascii="Arial Narrow" w:hAnsi="Arial Narrow"/>
                <w:b/>
                <w:sz w:val="20"/>
                <w:szCs w:val="20"/>
              </w:rPr>
            </w:pPr>
            <w:r w:rsidRPr="00704B78">
              <w:rPr>
                <w:rFonts w:ascii="Arial Narrow" w:hAnsi="Arial Narrow"/>
                <w:sz w:val="20"/>
                <w:szCs w:val="20"/>
              </w:rPr>
              <w:t>Medical Practitioners</w:t>
            </w:r>
          </w:p>
        </w:tc>
      </w:tr>
      <w:tr w:rsidR="00755983" w:rsidRPr="00704B78" w14:paraId="59114075" w14:textId="77777777" w:rsidTr="3517B442">
        <w:tblPrEx>
          <w:jc w:val="left"/>
        </w:tblPrEx>
        <w:tc>
          <w:tcPr>
            <w:tcW w:w="1555" w:type="dxa"/>
          </w:tcPr>
          <w:p w14:paraId="3509BF8D" w14:textId="77777777" w:rsidR="00755983" w:rsidRPr="00704B78" w:rsidRDefault="00755983" w:rsidP="006E2A77">
            <w:pPr>
              <w:rPr>
                <w:rFonts w:ascii="Arial Narrow" w:hAnsi="Arial Narrow"/>
                <w:b/>
                <w:sz w:val="20"/>
                <w:szCs w:val="20"/>
              </w:rPr>
            </w:pPr>
            <w:r w:rsidRPr="00704B78">
              <w:rPr>
                <w:rFonts w:ascii="Arial Narrow" w:hAnsi="Arial Narrow"/>
                <w:b/>
                <w:sz w:val="20"/>
                <w:szCs w:val="20"/>
              </w:rPr>
              <w:t>Restriction Type</w:t>
            </w:r>
          </w:p>
        </w:tc>
        <w:tc>
          <w:tcPr>
            <w:tcW w:w="7462" w:type="dxa"/>
          </w:tcPr>
          <w:p w14:paraId="52065C56" w14:textId="1C21BA95" w:rsidR="00755983" w:rsidRPr="00704B78" w:rsidRDefault="00755983" w:rsidP="006E2A77">
            <w:pPr>
              <w:rPr>
                <w:rFonts w:ascii="Arial Narrow" w:eastAsia="Calibri" w:hAnsi="Arial Narrow"/>
                <w:bCs/>
                <w:sz w:val="20"/>
                <w:szCs w:val="20"/>
              </w:rPr>
            </w:pPr>
            <w:r w:rsidRPr="00704B78">
              <w:rPr>
                <w:rFonts w:ascii="Arial Narrow" w:hAnsi="Arial Narrow" w:cs="Times New Roman"/>
                <w:sz w:val="20"/>
                <w:szCs w:val="20"/>
                <w:lang w:eastAsia="en-US" w:bidi="en-US"/>
              </w:rPr>
              <w:t>Authority Required (in writing only via post/HPOS upload)</w:t>
            </w:r>
          </w:p>
        </w:tc>
      </w:tr>
      <w:tr w:rsidR="00755983" w:rsidRPr="00704B78" w14:paraId="58EC3046" w14:textId="77777777" w:rsidTr="3517B442">
        <w:tblPrEx>
          <w:jc w:val="left"/>
        </w:tblPrEx>
        <w:tc>
          <w:tcPr>
            <w:tcW w:w="1555" w:type="dxa"/>
          </w:tcPr>
          <w:p w14:paraId="05E2B3F4" w14:textId="77777777" w:rsidR="00755983" w:rsidRPr="00704B78" w:rsidRDefault="00755983" w:rsidP="006E2A77">
            <w:pPr>
              <w:rPr>
                <w:rFonts w:ascii="Arial Narrow" w:hAnsi="Arial Narrow"/>
                <w:b/>
                <w:sz w:val="20"/>
                <w:szCs w:val="20"/>
              </w:rPr>
            </w:pPr>
            <w:r w:rsidRPr="00704B78">
              <w:rPr>
                <w:rFonts w:ascii="Arial Narrow" w:hAnsi="Arial Narrow"/>
                <w:b/>
                <w:sz w:val="20"/>
                <w:szCs w:val="20"/>
              </w:rPr>
              <w:t>Condition:</w:t>
            </w:r>
          </w:p>
        </w:tc>
        <w:tc>
          <w:tcPr>
            <w:tcW w:w="7462" w:type="dxa"/>
          </w:tcPr>
          <w:p w14:paraId="651E5D3F" w14:textId="77777777" w:rsidR="00755983" w:rsidRPr="00704B78" w:rsidRDefault="00755983" w:rsidP="006E2A77">
            <w:pPr>
              <w:rPr>
                <w:rFonts w:ascii="Arial Narrow" w:hAnsi="Arial Narrow"/>
                <w:sz w:val="20"/>
                <w:szCs w:val="20"/>
              </w:rPr>
            </w:pPr>
            <w:r w:rsidRPr="00704B78">
              <w:rPr>
                <w:rFonts w:ascii="Arial Narrow" w:hAnsi="Arial Narrow"/>
                <w:bCs/>
                <w:sz w:val="20"/>
                <w:szCs w:val="20"/>
              </w:rPr>
              <w:t>Generalised myasthenia gravis (gMG)</w:t>
            </w:r>
          </w:p>
        </w:tc>
      </w:tr>
      <w:tr w:rsidR="00755983" w:rsidRPr="00704B78" w14:paraId="65144BA3" w14:textId="77777777" w:rsidTr="3517B442">
        <w:tblPrEx>
          <w:jc w:val="left"/>
        </w:tblPrEx>
        <w:tc>
          <w:tcPr>
            <w:tcW w:w="1555" w:type="dxa"/>
          </w:tcPr>
          <w:p w14:paraId="7804C6F7" w14:textId="77777777" w:rsidR="00755983" w:rsidRPr="00704B78" w:rsidRDefault="00755983" w:rsidP="006E2A77">
            <w:pPr>
              <w:rPr>
                <w:rFonts w:ascii="Arial Narrow" w:hAnsi="Arial Narrow"/>
                <w:b/>
                <w:bCs/>
                <w:sz w:val="20"/>
                <w:szCs w:val="20"/>
              </w:rPr>
            </w:pPr>
            <w:r w:rsidRPr="00704B78">
              <w:rPr>
                <w:rFonts w:ascii="Arial Narrow" w:hAnsi="Arial Narrow"/>
                <w:b/>
                <w:bCs/>
                <w:sz w:val="20"/>
                <w:szCs w:val="20"/>
              </w:rPr>
              <w:t>Indication:</w:t>
            </w:r>
          </w:p>
        </w:tc>
        <w:tc>
          <w:tcPr>
            <w:tcW w:w="7462" w:type="dxa"/>
            <w:hideMark/>
          </w:tcPr>
          <w:p w14:paraId="6A51F441" w14:textId="77777777" w:rsidR="00755983" w:rsidRPr="00704B78" w:rsidRDefault="00755983" w:rsidP="006E2A77">
            <w:pPr>
              <w:rPr>
                <w:rFonts w:ascii="Arial Narrow" w:hAnsi="Arial Narrow"/>
                <w:sz w:val="20"/>
                <w:szCs w:val="20"/>
              </w:rPr>
            </w:pPr>
            <w:r w:rsidRPr="00704B78">
              <w:rPr>
                <w:rFonts w:ascii="Arial Narrow" w:hAnsi="Arial Narrow"/>
                <w:bCs/>
                <w:sz w:val="20"/>
                <w:szCs w:val="20"/>
              </w:rPr>
              <w:t>Generalised myasthenia gravis (gMG)</w:t>
            </w:r>
          </w:p>
        </w:tc>
      </w:tr>
      <w:tr w:rsidR="00755983" w:rsidRPr="00704B78" w14:paraId="5704B0AA" w14:textId="77777777" w:rsidTr="3517B442">
        <w:tblPrEx>
          <w:jc w:val="left"/>
        </w:tblPrEx>
        <w:tc>
          <w:tcPr>
            <w:tcW w:w="1555" w:type="dxa"/>
          </w:tcPr>
          <w:p w14:paraId="56A686E1" w14:textId="77777777" w:rsidR="00755983" w:rsidRPr="00704B78" w:rsidRDefault="00755983" w:rsidP="006E2A77">
            <w:pPr>
              <w:tabs>
                <w:tab w:val="left" w:pos="4976"/>
              </w:tabs>
              <w:rPr>
                <w:rFonts w:ascii="Arial Narrow" w:hAnsi="Arial Narrow"/>
                <w:b/>
                <w:bCs/>
                <w:sz w:val="20"/>
                <w:szCs w:val="20"/>
              </w:rPr>
            </w:pPr>
            <w:r w:rsidRPr="00704B78">
              <w:rPr>
                <w:rFonts w:ascii="Arial Narrow" w:hAnsi="Arial Narrow"/>
                <w:b/>
                <w:bCs/>
                <w:sz w:val="20"/>
                <w:szCs w:val="20"/>
              </w:rPr>
              <w:t>Treatment Phase:</w:t>
            </w:r>
          </w:p>
        </w:tc>
        <w:tc>
          <w:tcPr>
            <w:tcW w:w="7462" w:type="dxa"/>
            <w:hideMark/>
          </w:tcPr>
          <w:p w14:paraId="4D913756" w14:textId="77777777" w:rsidR="00755983" w:rsidRPr="00704B78" w:rsidRDefault="00755983" w:rsidP="006E2A77">
            <w:pPr>
              <w:tabs>
                <w:tab w:val="left" w:pos="4976"/>
              </w:tabs>
              <w:rPr>
                <w:rFonts w:ascii="Arial Narrow" w:hAnsi="Arial Narrow"/>
                <w:sz w:val="20"/>
                <w:szCs w:val="20"/>
              </w:rPr>
            </w:pPr>
            <w:r w:rsidRPr="00704B78">
              <w:rPr>
                <w:rFonts w:ascii="Arial Narrow" w:hAnsi="Arial Narrow"/>
                <w:sz w:val="20"/>
                <w:szCs w:val="20"/>
              </w:rPr>
              <w:t>Recommencement of therapy –</w:t>
            </w:r>
            <w:r w:rsidRPr="00704B78" w:rsidDel="006E7B41">
              <w:rPr>
                <w:rFonts w:ascii="Arial Narrow" w:hAnsi="Arial Narrow"/>
                <w:sz w:val="20"/>
                <w:szCs w:val="20"/>
              </w:rPr>
              <w:t xml:space="preserve"> </w:t>
            </w:r>
            <w:r w:rsidRPr="00704B78">
              <w:rPr>
                <w:rFonts w:ascii="Arial Narrow" w:hAnsi="Arial Narrow"/>
                <w:sz w:val="20"/>
                <w:szCs w:val="20"/>
              </w:rPr>
              <w:t>loading doses - refractory patient population</w:t>
            </w:r>
          </w:p>
        </w:tc>
      </w:tr>
      <w:tr w:rsidR="00755983" w:rsidRPr="00704B78" w14:paraId="27E137F0" w14:textId="77777777" w:rsidTr="3517B442">
        <w:tblPrEx>
          <w:jc w:val="left"/>
        </w:tblPrEx>
        <w:tc>
          <w:tcPr>
            <w:tcW w:w="1555" w:type="dxa"/>
            <w:vMerge w:val="restart"/>
          </w:tcPr>
          <w:p w14:paraId="69FA3C1A" w14:textId="77777777" w:rsidR="00755983" w:rsidRPr="00704B78" w:rsidRDefault="00755983" w:rsidP="006E2A77">
            <w:pPr>
              <w:pStyle w:val="PBACRestrictiontemplate"/>
              <w:rPr>
                <w:b/>
                <w:bCs/>
                <w:color w:val="auto"/>
                <w:sz w:val="20"/>
                <w:szCs w:val="20"/>
              </w:rPr>
            </w:pPr>
            <w:r w:rsidRPr="00704B78">
              <w:rPr>
                <w:b/>
                <w:bCs/>
                <w:color w:val="auto"/>
                <w:sz w:val="20"/>
                <w:szCs w:val="20"/>
              </w:rPr>
              <w:t>Clinical criteria:</w:t>
            </w:r>
          </w:p>
        </w:tc>
        <w:tc>
          <w:tcPr>
            <w:tcW w:w="7462" w:type="dxa"/>
            <w:hideMark/>
          </w:tcPr>
          <w:p w14:paraId="3FE0A330" w14:textId="77777777" w:rsidR="00755983" w:rsidRPr="00704B78" w:rsidRDefault="00755983" w:rsidP="006E2A77">
            <w:pPr>
              <w:pStyle w:val="PBACRestrictiontemplate"/>
            </w:pPr>
            <w:r w:rsidRPr="00704B78">
              <w:rPr>
                <w:color w:val="auto"/>
                <w:sz w:val="20"/>
                <w:szCs w:val="20"/>
              </w:rPr>
              <w:t>Patient must have received prior PBS-subsidised ravulizumab for this condition, AND</w:t>
            </w:r>
          </w:p>
        </w:tc>
      </w:tr>
      <w:tr w:rsidR="00755983" w:rsidRPr="00704B78" w14:paraId="46BCC301" w14:textId="77777777" w:rsidTr="3517B442">
        <w:tblPrEx>
          <w:jc w:val="left"/>
        </w:tblPrEx>
        <w:tc>
          <w:tcPr>
            <w:tcW w:w="1555" w:type="dxa"/>
            <w:vMerge/>
          </w:tcPr>
          <w:p w14:paraId="062BC151" w14:textId="77777777" w:rsidR="00755983" w:rsidRPr="00704B78" w:rsidRDefault="00755983" w:rsidP="006E2A77">
            <w:pPr>
              <w:pStyle w:val="PBACRestrictiontemplate"/>
              <w:rPr>
                <w:b/>
                <w:bCs/>
                <w:color w:val="auto"/>
                <w:sz w:val="20"/>
                <w:szCs w:val="20"/>
              </w:rPr>
            </w:pPr>
          </w:p>
        </w:tc>
        <w:tc>
          <w:tcPr>
            <w:tcW w:w="7462" w:type="dxa"/>
          </w:tcPr>
          <w:p w14:paraId="57A3ECB5" w14:textId="77777777" w:rsidR="00755983" w:rsidRPr="00704B78" w:rsidRDefault="00755983" w:rsidP="006E2A77">
            <w:pPr>
              <w:pStyle w:val="PBACRestrictiontemplate"/>
              <w:rPr>
                <w:color w:val="auto"/>
                <w:sz w:val="20"/>
                <w:szCs w:val="20"/>
              </w:rPr>
            </w:pPr>
            <w:r w:rsidRPr="00704B78">
              <w:rPr>
                <w:color w:val="auto"/>
                <w:sz w:val="20"/>
                <w:szCs w:val="20"/>
              </w:rPr>
              <w:t>Patient must not have experienced treatment failure with ravulizumab for this condition in the most recent treatment phase, AND</w:t>
            </w:r>
          </w:p>
        </w:tc>
      </w:tr>
      <w:tr w:rsidR="00755983" w:rsidRPr="00704B78" w14:paraId="405F9BDD" w14:textId="77777777" w:rsidTr="3517B442">
        <w:tblPrEx>
          <w:jc w:val="left"/>
        </w:tblPrEx>
        <w:tc>
          <w:tcPr>
            <w:tcW w:w="1555" w:type="dxa"/>
            <w:vMerge/>
          </w:tcPr>
          <w:p w14:paraId="5291E2BE" w14:textId="77777777" w:rsidR="00755983" w:rsidRPr="00704B78" w:rsidRDefault="00755983" w:rsidP="006E2A77">
            <w:pPr>
              <w:pStyle w:val="PBACRestrictiontemplate"/>
              <w:rPr>
                <w:b/>
                <w:bCs/>
                <w:color w:val="auto"/>
                <w:sz w:val="20"/>
                <w:szCs w:val="20"/>
              </w:rPr>
            </w:pPr>
          </w:p>
        </w:tc>
        <w:tc>
          <w:tcPr>
            <w:tcW w:w="7462" w:type="dxa"/>
          </w:tcPr>
          <w:p w14:paraId="41B463A6" w14:textId="77777777" w:rsidR="00755983" w:rsidRPr="00704B78" w:rsidRDefault="00755983" w:rsidP="006E2A77">
            <w:pPr>
              <w:pStyle w:val="PBACRestrictiontemplate"/>
              <w:rPr>
                <w:color w:val="auto"/>
                <w:sz w:val="20"/>
                <w:szCs w:val="20"/>
              </w:rPr>
            </w:pPr>
            <w:r w:rsidRPr="00704B78">
              <w:rPr>
                <w:color w:val="auto"/>
                <w:sz w:val="20"/>
                <w:szCs w:val="20"/>
              </w:rPr>
              <w:t>Patient must not be experiencing a myasthenic crisis, AND</w:t>
            </w:r>
          </w:p>
        </w:tc>
      </w:tr>
      <w:tr w:rsidR="00755983" w:rsidRPr="00704B78" w14:paraId="6F469FBC" w14:textId="77777777" w:rsidTr="3517B442">
        <w:tblPrEx>
          <w:jc w:val="left"/>
        </w:tblPrEx>
        <w:tc>
          <w:tcPr>
            <w:tcW w:w="1555" w:type="dxa"/>
            <w:vMerge/>
          </w:tcPr>
          <w:p w14:paraId="2EEB4ED8" w14:textId="77777777" w:rsidR="00755983" w:rsidRPr="00704B78" w:rsidRDefault="00755983" w:rsidP="006E2A77">
            <w:pPr>
              <w:pStyle w:val="PBACRestrictiontemplate"/>
              <w:rPr>
                <w:b/>
                <w:bCs/>
                <w:color w:val="auto"/>
                <w:sz w:val="20"/>
                <w:szCs w:val="20"/>
              </w:rPr>
            </w:pPr>
          </w:p>
        </w:tc>
        <w:tc>
          <w:tcPr>
            <w:tcW w:w="7462" w:type="dxa"/>
          </w:tcPr>
          <w:p w14:paraId="143C7AFB" w14:textId="77777777" w:rsidR="00755983" w:rsidRPr="00704B78" w:rsidRDefault="00755983" w:rsidP="006E2A77">
            <w:pPr>
              <w:pStyle w:val="PBACRestrictiontemplate"/>
              <w:rPr>
                <w:color w:val="auto"/>
                <w:sz w:val="20"/>
                <w:szCs w:val="20"/>
              </w:rPr>
            </w:pPr>
            <w:r w:rsidRPr="00704B78">
              <w:rPr>
                <w:color w:val="auto"/>
                <w:sz w:val="20"/>
                <w:szCs w:val="20"/>
              </w:rPr>
              <w:t>The treatment must be added on to at least one immunosuppressive therapy, AND</w:t>
            </w:r>
          </w:p>
        </w:tc>
      </w:tr>
      <w:tr w:rsidR="00755983" w:rsidRPr="00704B78" w14:paraId="2E5018DD" w14:textId="77777777" w:rsidTr="3517B442">
        <w:tblPrEx>
          <w:jc w:val="left"/>
        </w:tblPrEx>
        <w:tc>
          <w:tcPr>
            <w:tcW w:w="1555" w:type="dxa"/>
            <w:vMerge/>
          </w:tcPr>
          <w:p w14:paraId="036AE41D" w14:textId="77777777" w:rsidR="00755983" w:rsidRPr="00704B78" w:rsidRDefault="00755983" w:rsidP="006E2A77">
            <w:pPr>
              <w:pStyle w:val="PBACRestrictiontemplate"/>
              <w:rPr>
                <w:b/>
                <w:bCs/>
                <w:color w:val="auto"/>
                <w:sz w:val="20"/>
                <w:szCs w:val="20"/>
              </w:rPr>
            </w:pPr>
          </w:p>
        </w:tc>
        <w:tc>
          <w:tcPr>
            <w:tcW w:w="7462" w:type="dxa"/>
          </w:tcPr>
          <w:p w14:paraId="36BDE6E8" w14:textId="77777777" w:rsidR="00755983" w:rsidRPr="00704B78" w:rsidRDefault="00755983" w:rsidP="006E2A77">
            <w:pPr>
              <w:pStyle w:val="PBACRestrictiontemplate"/>
              <w:rPr>
                <w:color w:val="auto"/>
                <w:sz w:val="20"/>
                <w:szCs w:val="20"/>
              </w:rPr>
            </w:pPr>
            <w:r w:rsidRPr="00704B78">
              <w:rPr>
                <w:color w:val="auto"/>
                <w:sz w:val="20"/>
                <w:szCs w:val="20"/>
              </w:rPr>
              <w:t>Patient must be experiencing symptoms consistent with a Myasthenia Gravis-Activities of Daily Living (MG-ADL) profile of at least 6 points, AND</w:t>
            </w:r>
          </w:p>
        </w:tc>
      </w:tr>
      <w:tr w:rsidR="00755983" w:rsidRPr="00704B78" w14:paraId="6226CC18" w14:textId="77777777" w:rsidTr="3517B442">
        <w:tblPrEx>
          <w:jc w:val="left"/>
        </w:tblPrEx>
        <w:tc>
          <w:tcPr>
            <w:tcW w:w="1555" w:type="dxa"/>
            <w:vMerge/>
          </w:tcPr>
          <w:p w14:paraId="51D6B42B" w14:textId="77777777" w:rsidR="00755983" w:rsidRPr="00704B78" w:rsidRDefault="00755983" w:rsidP="006E2A77">
            <w:pPr>
              <w:pStyle w:val="PBACRestrictiontemplate"/>
              <w:rPr>
                <w:b/>
                <w:bCs/>
                <w:color w:val="auto"/>
                <w:sz w:val="20"/>
                <w:szCs w:val="20"/>
              </w:rPr>
            </w:pPr>
          </w:p>
        </w:tc>
        <w:tc>
          <w:tcPr>
            <w:tcW w:w="7462" w:type="dxa"/>
          </w:tcPr>
          <w:p w14:paraId="34CAC650" w14:textId="77777777" w:rsidR="00755983" w:rsidRPr="00704B78" w:rsidRDefault="00755983" w:rsidP="006E2A77">
            <w:pPr>
              <w:pStyle w:val="PBACRestrictiontemplate"/>
              <w:rPr>
                <w:color w:val="auto"/>
                <w:sz w:val="20"/>
                <w:szCs w:val="20"/>
              </w:rPr>
            </w:pPr>
            <w:r w:rsidRPr="00704B78">
              <w:rPr>
                <w:sz w:val="20"/>
                <w:szCs w:val="20"/>
              </w:rPr>
              <w:t>Patient must have failed to achieve adequate response despite treatment with at least 2 immunosuppressive therapies for at least 24 months, either in combination or as monotherapy, AND</w:t>
            </w:r>
          </w:p>
        </w:tc>
      </w:tr>
      <w:tr w:rsidR="00755983" w:rsidRPr="00704B78" w14:paraId="65C69F93" w14:textId="77777777" w:rsidTr="3517B442">
        <w:tblPrEx>
          <w:jc w:val="left"/>
        </w:tblPrEx>
        <w:tc>
          <w:tcPr>
            <w:tcW w:w="1555" w:type="dxa"/>
            <w:vMerge/>
          </w:tcPr>
          <w:p w14:paraId="0570972E" w14:textId="77777777" w:rsidR="00755983" w:rsidRPr="00704B78" w:rsidRDefault="00755983" w:rsidP="006E2A77">
            <w:pPr>
              <w:pStyle w:val="PBACRestrictiontemplate"/>
              <w:rPr>
                <w:b/>
                <w:bCs/>
                <w:color w:val="auto"/>
                <w:sz w:val="20"/>
                <w:szCs w:val="20"/>
              </w:rPr>
            </w:pPr>
          </w:p>
        </w:tc>
        <w:tc>
          <w:tcPr>
            <w:tcW w:w="7462" w:type="dxa"/>
          </w:tcPr>
          <w:p w14:paraId="4B6466C0" w14:textId="77777777" w:rsidR="00755983" w:rsidRPr="00704B78" w:rsidRDefault="00755983" w:rsidP="006E2A77">
            <w:pPr>
              <w:pStyle w:val="PBACRestrictiontemplate"/>
              <w:rPr>
                <w:color w:val="auto"/>
                <w:sz w:val="20"/>
                <w:szCs w:val="20"/>
              </w:rPr>
            </w:pPr>
            <w:r w:rsidRPr="00704B78">
              <w:rPr>
                <w:sz w:val="20"/>
                <w:szCs w:val="20"/>
              </w:rPr>
              <w:t>Patient must have failed to achieve adequate response despite at least 1 month of</w:t>
            </w:r>
            <w:r w:rsidRPr="00704B78">
              <w:rPr>
                <w:sz w:val="20"/>
                <w:szCs w:val="20"/>
                <w:u w:val="single"/>
              </w:rPr>
              <w:t xml:space="preserve"> </w:t>
            </w:r>
            <w:r w:rsidRPr="00704B78">
              <w:rPr>
                <w:sz w:val="20"/>
                <w:szCs w:val="20"/>
              </w:rPr>
              <w:t>plasma exchange (PE) or at least 4 months of intravenous immunoglobulin (IVIg), if patient was able to receive and is tolerant to these therapies</w:t>
            </w:r>
          </w:p>
        </w:tc>
      </w:tr>
      <w:tr w:rsidR="00755983" w:rsidRPr="00704B78" w14:paraId="496301A2" w14:textId="77777777" w:rsidTr="3517B442">
        <w:tblPrEx>
          <w:jc w:val="left"/>
        </w:tblPrEx>
        <w:tc>
          <w:tcPr>
            <w:tcW w:w="1555" w:type="dxa"/>
          </w:tcPr>
          <w:p w14:paraId="0FE4C3B7" w14:textId="77777777" w:rsidR="00755983" w:rsidRPr="00704B78" w:rsidRDefault="00755983" w:rsidP="006E2A77">
            <w:pPr>
              <w:autoSpaceDE w:val="0"/>
              <w:autoSpaceDN w:val="0"/>
              <w:adjustRightInd w:val="0"/>
              <w:rPr>
                <w:rFonts w:ascii="Arial Narrow" w:hAnsi="Arial Narrow" w:cs="Arial Narrow"/>
                <w:sz w:val="20"/>
                <w:szCs w:val="20"/>
              </w:rPr>
            </w:pPr>
            <w:r w:rsidRPr="00704B78">
              <w:rPr>
                <w:rFonts w:ascii="Arial Narrow" w:hAnsi="Arial Narrow" w:cs="Arial Narrow"/>
                <w:b/>
                <w:bCs/>
                <w:sz w:val="20"/>
                <w:szCs w:val="20"/>
              </w:rPr>
              <w:t>Treatment criteria:</w:t>
            </w:r>
          </w:p>
        </w:tc>
        <w:tc>
          <w:tcPr>
            <w:tcW w:w="7462" w:type="dxa"/>
            <w:hideMark/>
          </w:tcPr>
          <w:p w14:paraId="5634F9E1" w14:textId="77777777" w:rsidR="00755983" w:rsidRPr="00704B78" w:rsidRDefault="00755983" w:rsidP="006E2A77">
            <w:pPr>
              <w:autoSpaceDE w:val="0"/>
              <w:autoSpaceDN w:val="0"/>
              <w:adjustRightInd w:val="0"/>
              <w:rPr>
                <w:rFonts w:ascii="Arial Narrow" w:hAnsi="Arial Narrow" w:cs="Arial Narrow"/>
                <w:sz w:val="20"/>
                <w:szCs w:val="20"/>
              </w:rPr>
            </w:pPr>
            <w:r w:rsidRPr="00704B78">
              <w:rPr>
                <w:rFonts w:ascii="Arial Narrow" w:hAnsi="Arial Narrow" w:cs="Arial Narrow"/>
                <w:sz w:val="20"/>
                <w:szCs w:val="20"/>
              </w:rPr>
              <w:t>Must be treated by a neurologist or must be treated by a medical practitioner who has consulted a neurologist, with agreement reached that the patient should be treated with this pharmaceutical benefit on this occasion</w:t>
            </w:r>
          </w:p>
        </w:tc>
      </w:tr>
      <w:tr w:rsidR="00755983" w:rsidRPr="00704B78" w14:paraId="248F4F2F" w14:textId="77777777" w:rsidTr="3517B442">
        <w:tblPrEx>
          <w:jc w:val="left"/>
        </w:tblPrEx>
        <w:tc>
          <w:tcPr>
            <w:tcW w:w="1555" w:type="dxa"/>
          </w:tcPr>
          <w:p w14:paraId="764275F8" w14:textId="77777777" w:rsidR="00755983" w:rsidRPr="00704B78" w:rsidRDefault="00755983" w:rsidP="006E2A77">
            <w:pPr>
              <w:rPr>
                <w:rFonts w:ascii="Arial Narrow" w:hAnsi="Arial Narrow"/>
                <w:color w:val="333333"/>
                <w:sz w:val="20"/>
                <w:szCs w:val="20"/>
              </w:rPr>
            </w:pPr>
            <w:r w:rsidRPr="00704B78">
              <w:rPr>
                <w:rFonts w:ascii="Arial Narrow" w:hAnsi="Arial Narrow"/>
                <w:b/>
                <w:bCs/>
                <w:color w:val="333333"/>
                <w:sz w:val="20"/>
                <w:szCs w:val="20"/>
              </w:rPr>
              <w:t>Population criteria:</w:t>
            </w:r>
          </w:p>
        </w:tc>
        <w:tc>
          <w:tcPr>
            <w:tcW w:w="7462" w:type="dxa"/>
            <w:hideMark/>
          </w:tcPr>
          <w:p w14:paraId="6EB4AE4A" w14:textId="77777777" w:rsidR="00755983" w:rsidRPr="00704B78" w:rsidRDefault="00755983" w:rsidP="006E2A77">
            <w:pPr>
              <w:rPr>
                <w:rFonts w:ascii="Arial Narrow" w:hAnsi="Arial Narrow"/>
                <w:color w:val="333333"/>
                <w:sz w:val="20"/>
                <w:szCs w:val="20"/>
              </w:rPr>
            </w:pPr>
            <w:r w:rsidRPr="00704B78">
              <w:rPr>
                <w:rFonts w:ascii="Arial Narrow" w:hAnsi="Arial Narrow"/>
                <w:color w:val="333333"/>
                <w:sz w:val="20"/>
                <w:szCs w:val="20"/>
              </w:rPr>
              <w:t>Patients must be aged 18 years or older</w:t>
            </w:r>
          </w:p>
        </w:tc>
      </w:tr>
      <w:tr w:rsidR="00755983" w:rsidRPr="00704B78" w14:paraId="1BF9F632" w14:textId="77777777" w:rsidTr="3517B442">
        <w:tblPrEx>
          <w:jc w:val="left"/>
        </w:tblPrEx>
        <w:tc>
          <w:tcPr>
            <w:tcW w:w="1555" w:type="dxa"/>
            <w:vMerge w:val="restart"/>
          </w:tcPr>
          <w:p w14:paraId="28DD931F" w14:textId="77777777" w:rsidR="00755983" w:rsidRPr="00704B78" w:rsidRDefault="00755983" w:rsidP="006E2A77">
            <w:pPr>
              <w:rPr>
                <w:rFonts w:ascii="Arial Narrow" w:hAnsi="Arial Narrow"/>
                <w:b/>
                <w:bCs/>
                <w:color w:val="333333"/>
                <w:sz w:val="20"/>
                <w:szCs w:val="20"/>
              </w:rPr>
            </w:pPr>
            <w:r w:rsidRPr="00704B78">
              <w:rPr>
                <w:rFonts w:ascii="Arial Narrow" w:hAnsi="Arial Narrow"/>
                <w:b/>
                <w:bCs/>
                <w:color w:val="333333"/>
                <w:sz w:val="20"/>
                <w:szCs w:val="20"/>
              </w:rPr>
              <w:t>Prescribing Instructions:</w:t>
            </w:r>
          </w:p>
        </w:tc>
        <w:tc>
          <w:tcPr>
            <w:tcW w:w="7462" w:type="dxa"/>
          </w:tcPr>
          <w:p w14:paraId="5761C5F5" w14:textId="77777777" w:rsidR="00755983" w:rsidRPr="00704B78" w:rsidRDefault="00755983" w:rsidP="006E2A77">
            <w:pPr>
              <w:rPr>
                <w:rFonts w:ascii="Arial Narrow" w:hAnsi="Arial Narrow"/>
                <w:sz w:val="20"/>
                <w:szCs w:val="20"/>
              </w:rPr>
            </w:pPr>
            <w:r w:rsidRPr="00704B78" w:rsidDel="00483F3C">
              <w:rPr>
                <w:rFonts w:ascii="Arial Narrow" w:hAnsi="Arial Narrow"/>
                <w:sz w:val="20"/>
                <w:szCs w:val="20"/>
              </w:rPr>
              <w:t xml:space="preserve">Where treatment with plasma exchange or intravenous immunoglobulin is </w:t>
            </w:r>
            <w:r w:rsidRPr="00704B78">
              <w:rPr>
                <w:rFonts w:ascii="Arial Narrow" w:hAnsi="Arial Narrow"/>
                <w:sz w:val="20"/>
                <w:szCs w:val="20"/>
              </w:rPr>
              <w:t>not possible, details must be provided at the time of application.</w:t>
            </w:r>
          </w:p>
          <w:p w14:paraId="5CF41C99" w14:textId="77777777" w:rsidR="00755983" w:rsidRPr="00704B78" w:rsidRDefault="00755983" w:rsidP="006E2A77">
            <w:pPr>
              <w:rPr>
                <w:rFonts w:ascii="Arial Narrow" w:hAnsi="Arial Narrow"/>
                <w:sz w:val="20"/>
                <w:szCs w:val="20"/>
              </w:rPr>
            </w:pPr>
            <w:r w:rsidRPr="00704B78">
              <w:rPr>
                <w:rFonts w:ascii="Arial Narrow" w:hAnsi="Arial Narrow"/>
                <w:sz w:val="20"/>
                <w:szCs w:val="20"/>
              </w:rPr>
              <w:t>Where intolerance to treatment with oral steroids, plasma exchange or intravenous immunoglobulin develops during the relevant treatment period (of severity to necessitate treatment withdrawal), details must be provided at the time of application.</w:t>
            </w:r>
          </w:p>
        </w:tc>
      </w:tr>
      <w:tr w:rsidR="00755983" w:rsidRPr="00704B78" w14:paraId="28B82B66" w14:textId="77777777" w:rsidTr="3517B442">
        <w:tblPrEx>
          <w:jc w:val="left"/>
        </w:tblPrEx>
        <w:tc>
          <w:tcPr>
            <w:tcW w:w="1555" w:type="dxa"/>
            <w:vMerge/>
          </w:tcPr>
          <w:p w14:paraId="5F66A31F" w14:textId="77777777" w:rsidR="00755983" w:rsidRPr="00704B78" w:rsidRDefault="00755983" w:rsidP="006E2A77">
            <w:pPr>
              <w:rPr>
                <w:rFonts w:ascii="Arial Narrow" w:hAnsi="Arial Narrow"/>
                <w:b/>
                <w:bCs/>
                <w:color w:val="333333"/>
                <w:sz w:val="20"/>
                <w:szCs w:val="20"/>
              </w:rPr>
            </w:pPr>
          </w:p>
        </w:tc>
        <w:tc>
          <w:tcPr>
            <w:tcW w:w="7462" w:type="dxa"/>
          </w:tcPr>
          <w:p w14:paraId="7F8CB69F" w14:textId="77777777" w:rsidR="00755983" w:rsidRPr="00704B78" w:rsidRDefault="00755983" w:rsidP="006E2A77">
            <w:pPr>
              <w:rPr>
                <w:rFonts w:ascii="Arial Narrow" w:hAnsi="Arial Narrow" w:cs="Arial Narrow"/>
                <w:sz w:val="20"/>
                <w:szCs w:val="20"/>
              </w:rPr>
            </w:pPr>
            <w:r w:rsidRPr="00704B78">
              <w:rPr>
                <w:rFonts w:ascii="Arial Narrow" w:hAnsi="Arial Narrow" w:cs="Arial Narrow"/>
                <w:sz w:val="20"/>
                <w:szCs w:val="20"/>
              </w:rPr>
              <w:t>At the time of authority application, medical practitioners must request the appropriate number of vials to provide sufficient drug for 2 weeks of treatment, according to the specified dosage in the approved Product Information (PI).</w:t>
            </w:r>
          </w:p>
          <w:p w14:paraId="5446F436" w14:textId="77777777" w:rsidR="00755983" w:rsidRPr="00704B78" w:rsidRDefault="00755983" w:rsidP="006E2A77">
            <w:pPr>
              <w:rPr>
                <w:rFonts w:ascii="Arial Narrow" w:hAnsi="Arial Narrow" w:cs="Arial Narrow"/>
                <w:sz w:val="20"/>
                <w:szCs w:val="20"/>
              </w:rPr>
            </w:pPr>
            <w:r w:rsidRPr="00704B78">
              <w:rPr>
                <w:rFonts w:ascii="Arial Narrow" w:hAnsi="Arial Narrow" w:cs="Arial Narrow"/>
                <w:sz w:val="20"/>
                <w:szCs w:val="20"/>
              </w:rPr>
              <w:t>An appropriate amount of drug (maximum quantity in units) may require prescribing both strengths. Consider strengths and combinations that minimise drug wastage. A separate authority prescription form must be completed for each strength requested.</w:t>
            </w:r>
          </w:p>
          <w:p w14:paraId="41139E99" w14:textId="77777777" w:rsidR="00755983" w:rsidRPr="00704B78" w:rsidDel="00483F3C" w:rsidRDefault="00755983" w:rsidP="006E2A77">
            <w:pPr>
              <w:rPr>
                <w:rFonts w:ascii="Arial Narrow" w:hAnsi="Arial Narrow"/>
                <w:sz w:val="20"/>
                <w:szCs w:val="20"/>
              </w:rPr>
            </w:pPr>
            <w:r w:rsidRPr="00704B78">
              <w:rPr>
                <w:rFonts w:ascii="Arial Narrow" w:hAnsi="Arial Narrow" w:cs="Arial Narrow"/>
                <w:sz w:val="20"/>
                <w:szCs w:val="20"/>
              </w:rPr>
              <w:t>Applications for treatment with this drug where the dose and dosing frequency exceeds that specified in the approved PI will not be approved.</w:t>
            </w:r>
          </w:p>
        </w:tc>
      </w:tr>
      <w:tr w:rsidR="00755983" w:rsidRPr="00704B78" w14:paraId="2C3A093D" w14:textId="77777777" w:rsidTr="3517B442">
        <w:tblPrEx>
          <w:jc w:val="left"/>
        </w:tblPrEx>
        <w:tc>
          <w:tcPr>
            <w:tcW w:w="1555" w:type="dxa"/>
            <w:vMerge/>
          </w:tcPr>
          <w:p w14:paraId="3C65BD66" w14:textId="77777777" w:rsidR="00755983" w:rsidRPr="00704B78" w:rsidRDefault="00755983" w:rsidP="006E2A77">
            <w:pPr>
              <w:rPr>
                <w:rFonts w:ascii="Arial Narrow" w:hAnsi="Arial Narrow"/>
                <w:b/>
                <w:bCs/>
                <w:color w:val="333333"/>
                <w:sz w:val="20"/>
                <w:szCs w:val="20"/>
              </w:rPr>
            </w:pPr>
          </w:p>
        </w:tc>
        <w:tc>
          <w:tcPr>
            <w:tcW w:w="7462" w:type="dxa"/>
          </w:tcPr>
          <w:p w14:paraId="261FC7A0" w14:textId="77777777" w:rsidR="00755983" w:rsidRPr="00704B78" w:rsidDel="00483F3C" w:rsidRDefault="00755983" w:rsidP="006E2A77">
            <w:pPr>
              <w:pStyle w:val="PBACRestrictiontemplate"/>
              <w:rPr>
                <w:rFonts w:eastAsiaTheme="majorEastAsia" w:cs="Arial Narrow"/>
                <w:color w:val="auto"/>
                <w:sz w:val="20"/>
                <w:szCs w:val="20"/>
                <w:lang w:eastAsia="en-US"/>
                <w14:ligatures w14:val="none"/>
              </w:rPr>
            </w:pPr>
            <w:r w:rsidRPr="00704B78">
              <w:rPr>
                <w:rFonts w:eastAsiaTheme="majorEastAsia" w:cs="Arial Narrow"/>
                <w:color w:val="auto"/>
                <w:sz w:val="20"/>
                <w:szCs w:val="20"/>
                <w:lang w:eastAsia="en-US"/>
                <w14:ligatures w14:val="none"/>
              </w:rPr>
              <w:t>Two authority prescription forms will be required to cover for the 12 weeks of initial therapy with ravulizumab, one for the loading dose and one for the 10 weeks balance which can be sought under the Balance of Supply.</w:t>
            </w:r>
          </w:p>
        </w:tc>
      </w:tr>
      <w:tr w:rsidR="00755983" w:rsidRPr="00704B78" w14:paraId="1009C53B" w14:textId="77777777" w:rsidTr="3517B442">
        <w:tblPrEx>
          <w:jc w:val="left"/>
        </w:tblPrEx>
        <w:tc>
          <w:tcPr>
            <w:tcW w:w="1555" w:type="dxa"/>
            <w:vMerge/>
          </w:tcPr>
          <w:p w14:paraId="498120E8" w14:textId="77777777" w:rsidR="00755983" w:rsidRPr="00704B78" w:rsidRDefault="00755983" w:rsidP="006E2A77">
            <w:pPr>
              <w:rPr>
                <w:rFonts w:ascii="Arial Narrow" w:hAnsi="Arial Narrow"/>
                <w:b/>
                <w:bCs/>
                <w:color w:val="333333"/>
                <w:sz w:val="20"/>
                <w:szCs w:val="20"/>
              </w:rPr>
            </w:pPr>
          </w:p>
        </w:tc>
        <w:tc>
          <w:tcPr>
            <w:tcW w:w="7462" w:type="dxa"/>
          </w:tcPr>
          <w:p w14:paraId="79D84383" w14:textId="77777777" w:rsidR="00755983" w:rsidRPr="00704B78" w:rsidRDefault="00755983" w:rsidP="006E2A77">
            <w:pPr>
              <w:rPr>
                <w:rFonts w:ascii="Arial Narrow" w:hAnsi="Arial Narrow"/>
                <w:bCs/>
                <w:sz w:val="20"/>
                <w:szCs w:val="20"/>
              </w:rPr>
            </w:pPr>
            <w:r w:rsidRPr="00704B78">
              <w:rPr>
                <w:rFonts w:ascii="Arial Narrow" w:hAnsi="Arial Narrow"/>
                <w:bCs/>
                <w:sz w:val="20"/>
                <w:szCs w:val="20"/>
              </w:rPr>
              <w:t>The authority application must be in writing and must include all the following:</w:t>
            </w:r>
          </w:p>
          <w:p w14:paraId="78A2F39E" w14:textId="77777777" w:rsidR="00755983" w:rsidRPr="00704B78" w:rsidRDefault="00755983" w:rsidP="006E2A77">
            <w:pPr>
              <w:rPr>
                <w:rFonts w:ascii="Arial Narrow" w:hAnsi="Arial Narrow"/>
                <w:bCs/>
                <w:sz w:val="20"/>
                <w:szCs w:val="20"/>
              </w:rPr>
            </w:pPr>
            <w:r w:rsidRPr="00704B78">
              <w:rPr>
                <w:rFonts w:ascii="Arial Narrow" w:hAnsi="Arial Narrow"/>
                <w:bCs/>
                <w:sz w:val="20"/>
                <w:szCs w:val="20"/>
              </w:rPr>
              <w:t>(1) A completed authority prescription form(s).</w:t>
            </w:r>
          </w:p>
          <w:p w14:paraId="1E68FE7E" w14:textId="77777777" w:rsidR="00755983" w:rsidRPr="00704B78" w:rsidRDefault="00755983" w:rsidP="006E2A77">
            <w:pPr>
              <w:rPr>
                <w:rFonts w:ascii="Arial Narrow" w:hAnsi="Arial Narrow"/>
                <w:sz w:val="20"/>
                <w:szCs w:val="20"/>
              </w:rPr>
            </w:pPr>
            <w:r w:rsidRPr="00704B78">
              <w:rPr>
                <w:rFonts w:ascii="Arial Narrow" w:hAnsi="Arial Narrow"/>
                <w:sz w:val="20"/>
                <w:szCs w:val="20"/>
              </w:rPr>
              <w:t>(2) A completed authority application form relevant to the indication and treatment phase (the latest version is located on the website specified in the Administrative Advice).</w:t>
            </w:r>
          </w:p>
          <w:p w14:paraId="3CF7F89F" w14:textId="77777777" w:rsidR="00755983" w:rsidRPr="00704B78" w:rsidDel="00483F3C" w:rsidRDefault="00755983" w:rsidP="006E2A77">
            <w:pPr>
              <w:rPr>
                <w:rFonts w:ascii="Arial Narrow" w:hAnsi="Arial Narrow"/>
                <w:sz w:val="20"/>
                <w:szCs w:val="20"/>
              </w:rPr>
            </w:pPr>
            <w:r w:rsidRPr="00704B78">
              <w:rPr>
                <w:bCs/>
                <w:sz w:val="20"/>
                <w:szCs w:val="20"/>
              </w:rPr>
              <w:t>(3) The baseline MG-ADL profile score</w:t>
            </w:r>
          </w:p>
        </w:tc>
      </w:tr>
      <w:tr w:rsidR="00D52E49" w:rsidRPr="00704B78" w14:paraId="4E2ED698" w14:textId="77777777" w:rsidTr="00611348">
        <w:tblPrEx>
          <w:jc w:val="left"/>
        </w:tblPrEx>
        <w:trPr>
          <w:trHeight w:val="454"/>
        </w:trPr>
        <w:tc>
          <w:tcPr>
            <w:tcW w:w="1555" w:type="dxa"/>
          </w:tcPr>
          <w:p w14:paraId="61E01743" w14:textId="77777777" w:rsidR="00D52E49" w:rsidRPr="00704B78" w:rsidRDefault="00D52E49" w:rsidP="006E2A77">
            <w:pPr>
              <w:rPr>
                <w:rFonts w:ascii="Arial Narrow" w:hAnsi="Arial Narrow"/>
                <w:b/>
                <w:bCs/>
                <w:color w:val="333333"/>
                <w:sz w:val="20"/>
                <w:szCs w:val="20"/>
              </w:rPr>
            </w:pPr>
            <w:r w:rsidRPr="00704B78">
              <w:rPr>
                <w:rFonts w:ascii="Arial Narrow" w:hAnsi="Arial Narrow"/>
                <w:b/>
                <w:bCs/>
                <w:color w:val="333333"/>
                <w:sz w:val="20"/>
                <w:szCs w:val="20"/>
              </w:rPr>
              <w:t>Administrative Advice:</w:t>
            </w:r>
          </w:p>
        </w:tc>
        <w:tc>
          <w:tcPr>
            <w:tcW w:w="7462" w:type="dxa"/>
          </w:tcPr>
          <w:p w14:paraId="6CE95355" w14:textId="4D0BFEE2" w:rsidR="00D52E49" w:rsidRPr="00704B78" w:rsidRDefault="00D52E49" w:rsidP="006E2A77">
            <w:pPr>
              <w:rPr>
                <w:rFonts w:ascii="Arial Narrow" w:hAnsi="Arial Narrow"/>
                <w:color w:val="333333"/>
                <w:sz w:val="20"/>
                <w:szCs w:val="20"/>
              </w:rPr>
            </w:pPr>
            <w:r w:rsidRPr="00704B78">
              <w:rPr>
                <w:rFonts w:ascii="Arial Narrow" w:hAnsi="Arial Narrow"/>
                <w:color w:val="333333"/>
                <w:sz w:val="20"/>
                <w:szCs w:val="20"/>
              </w:rPr>
              <w:t>No increase in the maximum number of repeats may be authorised.</w:t>
            </w:r>
          </w:p>
        </w:tc>
      </w:tr>
      <w:tr w:rsidR="00755983" w:rsidRPr="00704B78" w14:paraId="19C2DE11" w14:textId="77777777" w:rsidTr="3517B442">
        <w:tblPrEx>
          <w:jc w:val="left"/>
        </w:tblPrEx>
        <w:tc>
          <w:tcPr>
            <w:tcW w:w="1555" w:type="dxa"/>
            <w:tcBorders>
              <w:bottom w:val="single" w:sz="4" w:space="0" w:color="auto"/>
            </w:tcBorders>
          </w:tcPr>
          <w:p w14:paraId="104D95B4" w14:textId="77777777" w:rsidR="00755983" w:rsidRPr="00704B78" w:rsidRDefault="00755983" w:rsidP="006E2A77">
            <w:pPr>
              <w:rPr>
                <w:rFonts w:ascii="Arial Narrow" w:hAnsi="Arial Narrow"/>
                <w:b/>
                <w:bCs/>
                <w:color w:val="333333"/>
                <w:sz w:val="20"/>
                <w:szCs w:val="20"/>
              </w:rPr>
            </w:pPr>
            <w:r w:rsidRPr="00704B78">
              <w:rPr>
                <w:rFonts w:ascii="Arial Narrow" w:hAnsi="Arial Narrow" w:cs="Times New Roman"/>
                <w:b/>
                <w:bCs/>
                <w:sz w:val="20"/>
                <w:szCs w:val="20"/>
                <w:lang w:eastAsia="en-US" w:bidi="en-US"/>
              </w:rPr>
              <w:lastRenderedPageBreak/>
              <w:t>Note:</w:t>
            </w:r>
          </w:p>
        </w:tc>
        <w:tc>
          <w:tcPr>
            <w:tcW w:w="7462" w:type="dxa"/>
            <w:tcBorders>
              <w:bottom w:val="single" w:sz="4" w:space="0" w:color="auto"/>
            </w:tcBorders>
          </w:tcPr>
          <w:p w14:paraId="0B74C554" w14:textId="6572AF5D" w:rsidR="00755983" w:rsidRPr="00704B78" w:rsidRDefault="00755983" w:rsidP="006E2A77">
            <w:pPr>
              <w:rPr>
                <w:rFonts w:ascii="Arial Narrow" w:hAnsi="Arial Narrow"/>
                <w:color w:val="333333"/>
                <w:sz w:val="20"/>
                <w:szCs w:val="20"/>
              </w:rPr>
            </w:pPr>
            <w:r w:rsidRPr="00704B78">
              <w:rPr>
                <w:rFonts w:ascii="Arial Narrow" w:hAnsi="Arial Narrow" w:cs="Times New Roman"/>
                <w:sz w:val="20"/>
                <w:szCs w:val="20"/>
                <w:lang w:eastAsia="en-US" w:bidi="en-US"/>
              </w:rPr>
              <w:t xml:space="preserve">The MG-ADL profile score is available at: </w:t>
            </w:r>
            <w:hyperlink r:id="rId18" w:history="1">
              <w:r w:rsidRPr="00704B78">
                <w:rPr>
                  <w:rStyle w:val="Hyperlink"/>
                  <w:rFonts w:ascii="Arial Narrow" w:hAnsi="Arial Narrow" w:cs="Times New Roman"/>
                  <w:sz w:val="20"/>
                  <w:szCs w:val="20"/>
                  <w:lang w:eastAsia="en-US" w:bidi="en-US"/>
                </w:rPr>
                <w:t>https://ultomiris.com/-/media/Ultomiris_gMG/pdf/gMG-ULTOMIRIS-ADL-Tool.ashx</w:t>
              </w:r>
            </w:hyperlink>
          </w:p>
        </w:tc>
      </w:tr>
      <w:tr w:rsidR="00755983" w:rsidRPr="00704B78" w14:paraId="4D07C845" w14:textId="77777777" w:rsidTr="3517B442">
        <w:tblPrEx>
          <w:jc w:val="left"/>
        </w:tblPrEx>
        <w:tc>
          <w:tcPr>
            <w:tcW w:w="1555" w:type="dxa"/>
            <w:tcBorders>
              <w:bottom w:val="double" w:sz="4" w:space="0" w:color="auto"/>
            </w:tcBorders>
          </w:tcPr>
          <w:p w14:paraId="63CDEEA4" w14:textId="77777777" w:rsidR="00755983" w:rsidRPr="00704B78" w:rsidRDefault="00755983" w:rsidP="006E2A77">
            <w:pPr>
              <w:rPr>
                <w:rFonts w:ascii="Arial Narrow" w:hAnsi="Arial Narrow"/>
                <w:b/>
                <w:bCs/>
                <w:color w:val="333333"/>
                <w:sz w:val="20"/>
                <w:szCs w:val="20"/>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6E48F9D1" w14:textId="77777777" w:rsidR="00755983" w:rsidRPr="00704B78" w:rsidRDefault="00755983"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00A4CAE1" w14:textId="77777777" w:rsidR="00755983" w:rsidRPr="00704B78" w:rsidRDefault="00755983" w:rsidP="006E2A77">
            <w:pPr>
              <w:rPr>
                <w:rFonts w:ascii="Arial Narrow" w:hAnsi="Arial Narrow"/>
                <w:color w:val="333333"/>
                <w:sz w:val="20"/>
                <w:szCs w:val="20"/>
              </w:rPr>
            </w:pPr>
            <w:r w:rsidRPr="00704B78">
              <w:rPr>
                <w:rFonts w:ascii="Arial Narrow" w:hAnsi="Arial Narrow" w:cs="Times New Roman"/>
                <w:sz w:val="20"/>
                <w:szCs w:val="20"/>
                <w:lang w:eastAsia="en-US" w:bidi="en-US"/>
              </w:rPr>
              <w:t>Consult the approved PI for information about vaccination against meningococcal infection.</w:t>
            </w:r>
          </w:p>
        </w:tc>
      </w:tr>
      <w:tr w:rsidR="00A9062E" w:rsidRPr="00704B78" w14:paraId="07C57C2D" w14:textId="77777777" w:rsidTr="3517B442">
        <w:tblPrEx>
          <w:jc w:val="left"/>
        </w:tblPrEx>
        <w:tc>
          <w:tcPr>
            <w:tcW w:w="1555" w:type="dxa"/>
            <w:tcBorders>
              <w:top w:val="double" w:sz="4" w:space="0" w:color="auto"/>
            </w:tcBorders>
          </w:tcPr>
          <w:p w14:paraId="5BBC8643" w14:textId="1EC1B1D3" w:rsidR="00A9062E" w:rsidRPr="00704B78" w:rsidRDefault="00A9062E" w:rsidP="006E2A77">
            <w:pPr>
              <w:jc w:val="left"/>
              <w:rPr>
                <w:rFonts w:ascii="Arial Narrow" w:hAnsi="Arial Narrow"/>
                <w:b/>
                <w:sz w:val="20"/>
                <w:szCs w:val="20"/>
              </w:rPr>
            </w:pPr>
            <w:r w:rsidRPr="00704B78">
              <w:rPr>
                <w:rFonts w:ascii="Arial Narrow" w:hAnsi="Arial Narrow"/>
                <w:b/>
                <w:sz w:val="20"/>
                <w:szCs w:val="20"/>
              </w:rPr>
              <w:t>Category/Program:</w:t>
            </w:r>
          </w:p>
        </w:tc>
        <w:tc>
          <w:tcPr>
            <w:tcW w:w="7462" w:type="dxa"/>
            <w:tcBorders>
              <w:top w:val="double" w:sz="4" w:space="0" w:color="auto"/>
            </w:tcBorders>
          </w:tcPr>
          <w:p w14:paraId="6A778F68"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Section 100 – Highly Specialised Drugs Program</w:t>
            </w:r>
          </w:p>
        </w:tc>
      </w:tr>
      <w:tr w:rsidR="00A9062E" w:rsidRPr="00704B78" w14:paraId="53C835D9" w14:textId="77777777" w:rsidTr="3517B442">
        <w:tblPrEx>
          <w:jc w:val="left"/>
        </w:tblPrEx>
        <w:tc>
          <w:tcPr>
            <w:tcW w:w="1555" w:type="dxa"/>
          </w:tcPr>
          <w:p w14:paraId="3E397355" w14:textId="77777777" w:rsidR="00A9062E" w:rsidRPr="00704B78" w:rsidRDefault="00A9062E" w:rsidP="006E2A77">
            <w:pPr>
              <w:rPr>
                <w:rFonts w:ascii="Arial Narrow" w:hAnsi="Arial Narrow"/>
                <w:b/>
                <w:sz w:val="20"/>
                <w:szCs w:val="20"/>
              </w:rPr>
            </w:pPr>
            <w:r w:rsidRPr="00704B78">
              <w:rPr>
                <w:rFonts w:ascii="Arial Narrow" w:hAnsi="Arial Narrow"/>
                <w:b/>
                <w:sz w:val="20"/>
                <w:szCs w:val="20"/>
              </w:rPr>
              <w:t>Prescriber type:</w:t>
            </w:r>
          </w:p>
        </w:tc>
        <w:tc>
          <w:tcPr>
            <w:tcW w:w="7462" w:type="dxa"/>
          </w:tcPr>
          <w:p w14:paraId="3D0A6B6E" w14:textId="41E2D5D6" w:rsidR="00A9062E" w:rsidRPr="00704B78" w:rsidRDefault="00A9062E" w:rsidP="006E2A77">
            <w:pPr>
              <w:jc w:val="left"/>
              <w:rPr>
                <w:rFonts w:ascii="Arial Narrow" w:hAnsi="Arial Narrow"/>
                <w:sz w:val="20"/>
                <w:szCs w:val="20"/>
              </w:rPr>
            </w:pPr>
            <w:r w:rsidRPr="00704B78">
              <w:rPr>
                <w:rFonts w:ascii="Arial Narrow" w:hAnsi="Arial Narrow"/>
                <w:sz w:val="20"/>
                <w:szCs w:val="20"/>
              </w:rPr>
              <w:t>Medical Practitioners</w:t>
            </w:r>
          </w:p>
        </w:tc>
      </w:tr>
      <w:tr w:rsidR="00A9062E" w:rsidRPr="00704B78" w14:paraId="3179CE72" w14:textId="77777777" w:rsidTr="3517B442">
        <w:tblPrEx>
          <w:jc w:val="left"/>
        </w:tblPrEx>
        <w:tc>
          <w:tcPr>
            <w:tcW w:w="1555" w:type="dxa"/>
          </w:tcPr>
          <w:p w14:paraId="42C6AC56" w14:textId="77777777" w:rsidR="00A9062E" w:rsidRPr="00704B78" w:rsidRDefault="00A9062E" w:rsidP="006E2A77">
            <w:pPr>
              <w:rPr>
                <w:rFonts w:ascii="Arial Narrow" w:hAnsi="Arial Narrow"/>
                <w:b/>
                <w:sz w:val="20"/>
                <w:szCs w:val="20"/>
              </w:rPr>
            </w:pPr>
            <w:r w:rsidRPr="00704B78">
              <w:rPr>
                <w:rFonts w:ascii="Arial Narrow" w:hAnsi="Arial Narrow"/>
                <w:b/>
                <w:sz w:val="20"/>
                <w:szCs w:val="20"/>
              </w:rPr>
              <w:t>Restriction Type:</w:t>
            </w:r>
          </w:p>
        </w:tc>
        <w:tc>
          <w:tcPr>
            <w:tcW w:w="7462" w:type="dxa"/>
          </w:tcPr>
          <w:p w14:paraId="5ACE254D" w14:textId="3632520D" w:rsidR="00A9062E" w:rsidRPr="00704B78" w:rsidRDefault="00A9062E" w:rsidP="006E2A77">
            <w:pPr>
              <w:jc w:val="left"/>
              <w:rPr>
                <w:rFonts w:ascii="Arial Narrow" w:eastAsia="Calibri" w:hAnsi="Arial Narrow"/>
                <w:sz w:val="20"/>
                <w:szCs w:val="20"/>
              </w:rPr>
            </w:pPr>
            <w:r w:rsidRPr="00704B78">
              <w:rPr>
                <w:rFonts w:ascii="Arial Narrow" w:hAnsi="Arial Narrow" w:cs="Times New Roman"/>
                <w:sz w:val="20"/>
                <w:szCs w:val="20"/>
                <w:lang w:eastAsia="en-US" w:bidi="en-US"/>
              </w:rPr>
              <w:t>Authority Required (in writing only via post/HPOS upload)</w:t>
            </w:r>
          </w:p>
        </w:tc>
      </w:tr>
      <w:tr w:rsidR="00A9062E" w:rsidRPr="00704B78" w14:paraId="0AEA426E" w14:textId="77777777" w:rsidTr="3517B442">
        <w:tblPrEx>
          <w:jc w:val="left"/>
        </w:tblPrEx>
        <w:tc>
          <w:tcPr>
            <w:tcW w:w="1555" w:type="dxa"/>
          </w:tcPr>
          <w:p w14:paraId="28F1AC3B" w14:textId="77777777" w:rsidR="00A9062E" w:rsidRPr="00704B78" w:rsidRDefault="00A9062E" w:rsidP="006E2A77">
            <w:pPr>
              <w:rPr>
                <w:rFonts w:ascii="Arial Narrow" w:hAnsi="Arial Narrow"/>
                <w:b/>
                <w:sz w:val="20"/>
                <w:szCs w:val="20"/>
              </w:rPr>
            </w:pPr>
            <w:r w:rsidRPr="00704B78">
              <w:rPr>
                <w:rFonts w:ascii="Arial Narrow" w:hAnsi="Arial Narrow"/>
                <w:b/>
                <w:sz w:val="20"/>
                <w:szCs w:val="20"/>
              </w:rPr>
              <w:t>Condition:</w:t>
            </w:r>
          </w:p>
        </w:tc>
        <w:tc>
          <w:tcPr>
            <w:tcW w:w="7462" w:type="dxa"/>
          </w:tcPr>
          <w:p w14:paraId="5A690B7B"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Generalised myasthenia gravis (gMG)</w:t>
            </w:r>
          </w:p>
        </w:tc>
      </w:tr>
      <w:tr w:rsidR="00A9062E" w:rsidRPr="00704B78" w14:paraId="6FCE036D" w14:textId="77777777" w:rsidTr="3517B442">
        <w:tblPrEx>
          <w:jc w:val="left"/>
        </w:tblPrEx>
        <w:tc>
          <w:tcPr>
            <w:tcW w:w="1555" w:type="dxa"/>
          </w:tcPr>
          <w:p w14:paraId="58033A25" w14:textId="77777777" w:rsidR="00A9062E" w:rsidRPr="00704B78" w:rsidRDefault="00A9062E" w:rsidP="006E2A77">
            <w:pPr>
              <w:rPr>
                <w:rFonts w:ascii="Arial Narrow" w:hAnsi="Arial Narrow"/>
                <w:b/>
                <w:bCs/>
                <w:sz w:val="20"/>
                <w:szCs w:val="20"/>
              </w:rPr>
            </w:pPr>
            <w:r w:rsidRPr="00704B78">
              <w:rPr>
                <w:rFonts w:ascii="Arial Narrow" w:hAnsi="Arial Narrow"/>
                <w:b/>
                <w:bCs/>
                <w:sz w:val="20"/>
                <w:szCs w:val="20"/>
              </w:rPr>
              <w:t>Indication:</w:t>
            </w:r>
          </w:p>
        </w:tc>
        <w:tc>
          <w:tcPr>
            <w:tcW w:w="7462" w:type="dxa"/>
            <w:hideMark/>
          </w:tcPr>
          <w:p w14:paraId="0EDA8286"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Generalised myasthenia gravis (gMG)</w:t>
            </w:r>
          </w:p>
        </w:tc>
      </w:tr>
      <w:tr w:rsidR="00A9062E" w:rsidRPr="00704B78" w14:paraId="55EEB9B3" w14:textId="77777777" w:rsidTr="3517B442">
        <w:tblPrEx>
          <w:jc w:val="left"/>
        </w:tblPrEx>
        <w:tc>
          <w:tcPr>
            <w:tcW w:w="1555" w:type="dxa"/>
          </w:tcPr>
          <w:p w14:paraId="4D666801" w14:textId="77777777" w:rsidR="00A9062E" w:rsidRPr="00704B78" w:rsidRDefault="00A9062E" w:rsidP="006E2A77">
            <w:pPr>
              <w:rPr>
                <w:rFonts w:ascii="Arial Narrow" w:hAnsi="Arial Narrow"/>
                <w:b/>
                <w:bCs/>
                <w:sz w:val="20"/>
                <w:szCs w:val="20"/>
              </w:rPr>
            </w:pPr>
            <w:r w:rsidRPr="00704B78">
              <w:rPr>
                <w:rFonts w:ascii="Arial Narrow" w:hAnsi="Arial Narrow"/>
                <w:b/>
                <w:bCs/>
                <w:sz w:val="20"/>
                <w:szCs w:val="20"/>
              </w:rPr>
              <w:t>Treatment Phase:</w:t>
            </w:r>
          </w:p>
        </w:tc>
        <w:tc>
          <w:tcPr>
            <w:tcW w:w="7462" w:type="dxa"/>
            <w:hideMark/>
          </w:tcPr>
          <w:p w14:paraId="6CB0CE7E"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 xml:space="preserve">Recommencement of therapy - Balance of supply – maintenance doses - refractory patient population </w:t>
            </w:r>
          </w:p>
        </w:tc>
      </w:tr>
      <w:tr w:rsidR="00A9062E" w:rsidRPr="00704B78" w14:paraId="07082BEF" w14:textId="77777777" w:rsidTr="3517B442">
        <w:tblPrEx>
          <w:jc w:val="left"/>
        </w:tblPrEx>
        <w:tc>
          <w:tcPr>
            <w:tcW w:w="1555" w:type="dxa"/>
            <w:vMerge w:val="restart"/>
          </w:tcPr>
          <w:p w14:paraId="4256E0AB" w14:textId="77777777" w:rsidR="00A9062E" w:rsidRPr="00704B78" w:rsidRDefault="00A9062E" w:rsidP="006E2A77">
            <w:pPr>
              <w:pStyle w:val="PBACRestrictiontemplate"/>
              <w:rPr>
                <w:rFonts w:eastAsiaTheme="majorEastAsia" w:cs="Arial Narrow"/>
                <w:b/>
                <w:bCs/>
                <w:color w:val="auto"/>
                <w:sz w:val="20"/>
                <w:szCs w:val="20"/>
                <w:lang w:eastAsia="en-US"/>
                <w14:ligatures w14:val="none"/>
              </w:rPr>
            </w:pPr>
            <w:r w:rsidRPr="00704B78">
              <w:rPr>
                <w:rFonts w:eastAsiaTheme="majorEastAsia" w:cs="Arial Narrow"/>
                <w:b/>
                <w:bCs/>
                <w:color w:val="auto"/>
                <w:sz w:val="20"/>
                <w:szCs w:val="20"/>
                <w:lang w:eastAsia="en-US"/>
                <w14:ligatures w14:val="none"/>
              </w:rPr>
              <w:t>Clinical criteria:</w:t>
            </w:r>
          </w:p>
        </w:tc>
        <w:tc>
          <w:tcPr>
            <w:tcW w:w="7462" w:type="dxa"/>
            <w:hideMark/>
          </w:tcPr>
          <w:p w14:paraId="19F5D564" w14:textId="77777777" w:rsidR="00A9062E" w:rsidRPr="00704B78" w:rsidRDefault="00A9062E" w:rsidP="006E2A77">
            <w:pPr>
              <w:pStyle w:val="PBACRestrictiontemplate"/>
              <w:rPr>
                <w:color w:val="auto"/>
                <w:sz w:val="20"/>
                <w:szCs w:val="20"/>
              </w:rPr>
            </w:pPr>
            <w:r w:rsidRPr="00704B78">
              <w:rPr>
                <w:rFonts w:eastAsiaTheme="majorEastAsia" w:cs="Arial Narrow"/>
                <w:color w:val="auto"/>
                <w:sz w:val="20"/>
                <w:szCs w:val="20"/>
                <w:lang w:eastAsia="en-US"/>
                <w14:ligatures w14:val="none"/>
              </w:rPr>
              <w:t xml:space="preserve">Patient must have received PBS-subsidised loading dose of ravulizumab for this condition, </w:t>
            </w:r>
            <w:r w:rsidRPr="00704B78">
              <w:rPr>
                <w:color w:val="auto"/>
                <w:sz w:val="20"/>
                <w:szCs w:val="20"/>
              </w:rPr>
              <w:t>AND</w:t>
            </w:r>
          </w:p>
        </w:tc>
      </w:tr>
      <w:tr w:rsidR="00A9062E" w:rsidRPr="00704B78" w14:paraId="7229E906" w14:textId="77777777" w:rsidTr="3517B442">
        <w:tblPrEx>
          <w:jc w:val="left"/>
        </w:tblPrEx>
        <w:tc>
          <w:tcPr>
            <w:tcW w:w="1555" w:type="dxa"/>
            <w:vMerge/>
          </w:tcPr>
          <w:p w14:paraId="5F8A11B1" w14:textId="77777777" w:rsidR="00A9062E" w:rsidRPr="00704B78" w:rsidRDefault="00A9062E" w:rsidP="006E2A77">
            <w:pPr>
              <w:pStyle w:val="PBACRestrictiontemplate"/>
              <w:rPr>
                <w:rFonts w:eastAsiaTheme="majorEastAsia" w:cs="Arial Narrow"/>
                <w:b/>
                <w:bCs/>
                <w:color w:val="auto"/>
                <w:sz w:val="20"/>
                <w:szCs w:val="20"/>
                <w:lang w:eastAsia="en-US"/>
                <w14:ligatures w14:val="none"/>
              </w:rPr>
            </w:pPr>
          </w:p>
        </w:tc>
        <w:tc>
          <w:tcPr>
            <w:tcW w:w="7462" w:type="dxa"/>
          </w:tcPr>
          <w:p w14:paraId="4ED59109" w14:textId="77777777" w:rsidR="00A9062E" w:rsidRPr="00704B78" w:rsidRDefault="00A9062E" w:rsidP="006E2A77">
            <w:pPr>
              <w:pStyle w:val="PBACRestrictiontemplate"/>
              <w:rPr>
                <w:rFonts w:eastAsiaTheme="majorEastAsia" w:cs="Arial Narrow"/>
                <w:color w:val="auto"/>
                <w:sz w:val="20"/>
                <w:szCs w:val="20"/>
                <w:lang w:eastAsia="en-US"/>
                <w14:ligatures w14:val="none"/>
              </w:rPr>
            </w:pPr>
            <w:r w:rsidRPr="00704B78">
              <w:rPr>
                <w:rFonts w:eastAsiaTheme="majorEastAsia" w:cs="Arial Narrow"/>
                <w:color w:val="auto"/>
                <w:sz w:val="20"/>
                <w:szCs w:val="20"/>
                <w:lang w:eastAsia="en-US"/>
                <w14:ligatures w14:val="none"/>
              </w:rPr>
              <w:t>The treatment must provide no more than the balance of up to 10 weeks treatment under this restriction</w:t>
            </w:r>
          </w:p>
        </w:tc>
      </w:tr>
      <w:tr w:rsidR="00A9062E" w:rsidRPr="00704B78" w14:paraId="57A4A425" w14:textId="77777777" w:rsidTr="3517B442">
        <w:tblPrEx>
          <w:jc w:val="left"/>
        </w:tblPrEx>
        <w:tc>
          <w:tcPr>
            <w:tcW w:w="1555" w:type="dxa"/>
          </w:tcPr>
          <w:p w14:paraId="4CDD7474" w14:textId="77777777" w:rsidR="00A9062E" w:rsidRPr="00704B78" w:rsidRDefault="00A9062E" w:rsidP="006E2A77">
            <w:pPr>
              <w:autoSpaceDE w:val="0"/>
              <w:autoSpaceDN w:val="0"/>
              <w:adjustRightInd w:val="0"/>
              <w:rPr>
                <w:rFonts w:ascii="Arial Narrow" w:hAnsi="Arial Narrow" w:cs="Arial Narrow"/>
                <w:b/>
                <w:bCs/>
                <w:sz w:val="20"/>
                <w:szCs w:val="20"/>
              </w:rPr>
            </w:pPr>
            <w:r w:rsidRPr="00704B78">
              <w:rPr>
                <w:rFonts w:ascii="Arial Narrow" w:hAnsi="Arial Narrow" w:cs="Arial Narrow"/>
                <w:b/>
                <w:bCs/>
                <w:sz w:val="20"/>
                <w:szCs w:val="20"/>
              </w:rPr>
              <w:t>Treatment criteria:</w:t>
            </w:r>
          </w:p>
        </w:tc>
        <w:tc>
          <w:tcPr>
            <w:tcW w:w="7462" w:type="dxa"/>
            <w:hideMark/>
          </w:tcPr>
          <w:p w14:paraId="66C967EC" w14:textId="77777777" w:rsidR="00A9062E" w:rsidRPr="00704B78" w:rsidRDefault="00A9062E" w:rsidP="006E2A77">
            <w:pPr>
              <w:autoSpaceDE w:val="0"/>
              <w:autoSpaceDN w:val="0"/>
              <w:adjustRightInd w:val="0"/>
              <w:jc w:val="left"/>
              <w:rPr>
                <w:rFonts w:ascii="Arial Narrow" w:hAnsi="Arial Narrow" w:cs="Arial Narrow"/>
                <w:sz w:val="20"/>
                <w:szCs w:val="20"/>
              </w:rPr>
            </w:pPr>
            <w:r w:rsidRPr="00704B78">
              <w:rPr>
                <w:rFonts w:ascii="Arial Narrow" w:hAnsi="Arial Narrow" w:cs="Arial Narrow"/>
                <w:sz w:val="20"/>
                <w:szCs w:val="20"/>
              </w:rPr>
              <w:t>Must be treated by a neurologist or must be treated by a medical practitioner who has consulted a neurologist, with agreement reached that the patient should be treated with this pharmaceutical benefit on this occasion</w:t>
            </w:r>
          </w:p>
        </w:tc>
      </w:tr>
      <w:tr w:rsidR="00A9062E" w:rsidRPr="00704B78" w14:paraId="53D2D4BA" w14:textId="77777777" w:rsidTr="3517B442">
        <w:tblPrEx>
          <w:jc w:val="left"/>
        </w:tblPrEx>
        <w:tc>
          <w:tcPr>
            <w:tcW w:w="1555" w:type="dxa"/>
          </w:tcPr>
          <w:p w14:paraId="623A105B" w14:textId="77777777" w:rsidR="00A9062E" w:rsidRPr="00704B78" w:rsidRDefault="00A9062E" w:rsidP="006E2A77">
            <w:pPr>
              <w:rPr>
                <w:rFonts w:ascii="Arial Narrow" w:hAnsi="Arial Narrow"/>
                <w:sz w:val="20"/>
                <w:szCs w:val="20"/>
              </w:rPr>
            </w:pPr>
            <w:r w:rsidRPr="00704B78">
              <w:rPr>
                <w:rFonts w:ascii="Arial Narrow" w:hAnsi="Arial Narrow"/>
                <w:b/>
                <w:bCs/>
                <w:sz w:val="20"/>
                <w:szCs w:val="20"/>
              </w:rPr>
              <w:t>Population criteria:</w:t>
            </w:r>
          </w:p>
        </w:tc>
        <w:tc>
          <w:tcPr>
            <w:tcW w:w="7462" w:type="dxa"/>
            <w:hideMark/>
          </w:tcPr>
          <w:p w14:paraId="689268FE"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Patients must be aged 18 years or older</w:t>
            </w:r>
          </w:p>
        </w:tc>
      </w:tr>
      <w:tr w:rsidR="00A9062E" w:rsidRPr="00704B78" w14:paraId="55660FD9" w14:textId="77777777" w:rsidTr="3517B442">
        <w:tblPrEx>
          <w:jc w:val="left"/>
        </w:tblPrEx>
        <w:tc>
          <w:tcPr>
            <w:tcW w:w="1555" w:type="dxa"/>
            <w:vMerge w:val="restart"/>
          </w:tcPr>
          <w:p w14:paraId="5A37D875" w14:textId="77777777" w:rsidR="00A9062E" w:rsidRPr="00704B78" w:rsidRDefault="00A9062E" w:rsidP="006E2A77">
            <w:pPr>
              <w:rPr>
                <w:rFonts w:ascii="Arial Narrow" w:hAnsi="Arial Narrow"/>
                <w:b/>
                <w:bCs/>
                <w:sz w:val="20"/>
                <w:szCs w:val="20"/>
              </w:rPr>
            </w:pPr>
            <w:r w:rsidRPr="00704B78">
              <w:rPr>
                <w:rFonts w:ascii="Arial Narrow" w:hAnsi="Arial Narrow"/>
                <w:b/>
                <w:bCs/>
                <w:sz w:val="20"/>
                <w:szCs w:val="20"/>
              </w:rPr>
              <w:t>Prescribing Instructions:</w:t>
            </w:r>
          </w:p>
        </w:tc>
        <w:tc>
          <w:tcPr>
            <w:tcW w:w="7462" w:type="dxa"/>
          </w:tcPr>
          <w:p w14:paraId="2B77E822"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Where treatment with plasma exchange or intravenous immunoglobulin is not possible, details must be provided at the time of application.</w:t>
            </w:r>
          </w:p>
          <w:p w14:paraId="32111BD9"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Where intolerance to treatment with oral steroids, plasma exchange or intravenous immunoglobulin develops during the relevant treatment period (of severity to necessitate treatment withdrawal), details must be provided at the time of application.</w:t>
            </w:r>
          </w:p>
        </w:tc>
      </w:tr>
      <w:tr w:rsidR="00A9062E" w:rsidRPr="00704B78" w14:paraId="5290F742" w14:textId="77777777" w:rsidTr="3517B442">
        <w:tblPrEx>
          <w:jc w:val="left"/>
        </w:tblPrEx>
        <w:tc>
          <w:tcPr>
            <w:tcW w:w="1555" w:type="dxa"/>
            <w:vMerge/>
          </w:tcPr>
          <w:p w14:paraId="477AE4A1" w14:textId="77777777" w:rsidR="00A9062E" w:rsidRPr="00704B78" w:rsidRDefault="00A9062E" w:rsidP="006E2A77">
            <w:pPr>
              <w:rPr>
                <w:rFonts w:ascii="Arial Narrow" w:hAnsi="Arial Narrow"/>
                <w:b/>
                <w:bCs/>
                <w:sz w:val="20"/>
                <w:szCs w:val="20"/>
              </w:rPr>
            </w:pPr>
          </w:p>
        </w:tc>
        <w:tc>
          <w:tcPr>
            <w:tcW w:w="7462" w:type="dxa"/>
          </w:tcPr>
          <w:p w14:paraId="50A1C470"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At the time of the authority application, medical practitioners should request the appropriate number of vials to cover 2 maintenance doses based on the patient’s weight and as per the Product Information. Refer to the Product information for patient weight ranges for the 100mg/mL doses (consisting of 300 mg in 3 mL and 1.1 g in 11 mL vials).</w:t>
            </w:r>
          </w:p>
          <w:p w14:paraId="68F9CF42"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Applications for treatment with this drug where the dose and dosing frequency exceeds that specified in the approved PI will not be approved.</w:t>
            </w:r>
          </w:p>
        </w:tc>
      </w:tr>
      <w:tr w:rsidR="00A9062E" w:rsidRPr="00704B78" w14:paraId="5DBEBDB8" w14:textId="77777777" w:rsidTr="3517B442">
        <w:tblPrEx>
          <w:jc w:val="left"/>
        </w:tblPrEx>
        <w:tc>
          <w:tcPr>
            <w:tcW w:w="1555" w:type="dxa"/>
            <w:vMerge/>
          </w:tcPr>
          <w:p w14:paraId="1E6A887A" w14:textId="77777777" w:rsidR="00A9062E" w:rsidRPr="00704B78" w:rsidRDefault="00A9062E" w:rsidP="006E2A77">
            <w:pPr>
              <w:rPr>
                <w:rFonts w:ascii="Arial Narrow" w:hAnsi="Arial Narrow"/>
                <w:b/>
                <w:bCs/>
                <w:sz w:val="20"/>
                <w:szCs w:val="20"/>
              </w:rPr>
            </w:pPr>
          </w:p>
        </w:tc>
        <w:tc>
          <w:tcPr>
            <w:tcW w:w="7462" w:type="dxa"/>
          </w:tcPr>
          <w:p w14:paraId="78028091" w14:textId="77777777" w:rsidR="00A9062E" w:rsidRPr="00704B78" w:rsidRDefault="00A9062E" w:rsidP="006E2A77">
            <w:pPr>
              <w:jc w:val="left"/>
              <w:rPr>
                <w:rFonts w:ascii="Arial Narrow" w:hAnsi="Arial Narrow"/>
                <w:bCs/>
                <w:sz w:val="20"/>
                <w:szCs w:val="20"/>
              </w:rPr>
            </w:pPr>
            <w:r w:rsidRPr="00704B78">
              <w:rPr>
                <w:rFonts w:ascii="Arial Narrow" w:hAnsi="Arial Narrow"/>
                <w:bCs/>
                <w:sz w:val="20"/>
                <w:szCs w:val="20"/>
              </w:rPr>
              <w:t>The authority application must be in writing and must include all the following:</w:t>
            </w:r>
          </w:p>
          <w:p w14:paraId="130B2920" w14:textId="77777777" w:rsidR="00A9062E" w:rsidRPr="00704B78" w:rsidRDefault="00A9062E" w:rsidP="006E2A77">
            <w:pPr>
              <w:jc w:val="left"/>
              <w:rPr>
                <w:rFonts w:ascii="Arial Narrow" w:hAnsi="Arial Narrow"/>
                <w:bCs/>
                <w:sz w:val="20"/>
                <w:szCs w:val="20"/>
              </w:rPr>
            </w:pPr>
            <w:r w:rsidRPr="00704B78">
              <w:rPr>
                <w:rFonts w:ascii="Arial Narrow" w:hAnsi="Arial Narrow"/>
                <w:bCs/>
                <w:sz w:val="20"/>
                <w:szCs w:val="20"/>
              </w:rPr>
              <w:t>(1) A completed authority prescription form(s).</w:t>
            </w:r>
          </w:p>
          <w:p w14:paraId="2E355A36" w14:textId="77777777" w:rsidR="00A9062E" w:rsidRPr="00704B78" w:rsidRDefault="00A9062E" w:rsidP="006E2A77">
            <w:pPr>
              <w:jc w:val="left"/>
              <w:rPr>
                <w:rFonts w:ascii="Arial Narrow" w:hAnsi="Arial Narrow"/>
                <w:sz w:val="20"/>
                <w:szCs w:val="20"/>
              </w:rPr>
            </w:pPr>
            <w:r w:rsidRPr="00704B78">
              <w:rPr>
                <w:rFonts w:ascii="Arial Narrow" w:hAnsi="Arial Narrow"/>
                <w:sz w:val="20"/>
                <w:szCs w:val="20"/>
              </w:rPr>
              <w:t>(2) A completed authority application form relevant to the indication and treatment phase (the latest version is located on the website specified in the Administrative Advice).</w:t>
            </w:r>
          </w:p>
          <w:p w14:paraId="4FD29C30" w14:textId="77777777" w:rsidR="00A9062E" w:rsidRPr="00704B78" w:rsidRDefault="00A9062E" w:rsidP="006E2A77">
            <w:pPr>
              <w:jc w:val="left"/>
              <w:rPr>
                <w:rFonts w:ascii="Arial Narrow" w:hAnsi="Arial Narrow"/>
                <w:sz w:val="20"/>
                <w:szCs w:val="20"/>
              </w:rPr>
            </w:pPr>
            <w:r w:rsidRPr="00704B78">
              <w:rPr>
                <w:bCs/>
                <w:sz w:val="20"/>
                <w:szCs w:val="20"/>
              </w:rPr>
              <w:t>(3) The baseline MG-ADL profile score</w:t>
            </w:r>
          </w:p>
        </w:tc>
      </w:tr>
      <w:tr w:rsidR="00D52E49" w:rsidRPr="00704B78" w14:paraId="293E3980" w14:textId="77777777" w:rsidTr="00611348">
        <w:tblPrEx>
          <w:jc w:val="left"/>
        </w:tblPrEx>
        <w:trPr>
          <w:trHeight w:val="454"/>
        </w:trPr>
        <w:tc>
          <w:tcPr>
            <w:tcW w:w="1555" w:type="dxa"/>
          </w:tcPr>
          <w:p w14:paraId="79812557" w14:textId="77777777" w:rsidR="00D52E49" w:rsidRPr="00704B78" w:rsidRDefault="00D52E49" w:rsidP="006E2A77">
            <w:pPr>
              <w:rPr>
                <w:rFonts w:ascii="Arial Narrow" w:hAnsi="Arial Narrow"/>
                <w:b/>
                <w:bCs/>
                <w:sz w:val="20"/>
                <w:szCs w:val="20"/>
              </w:rPr>
            </w:pPr>
            <w:r w:rsidRPr="00704B78">
              <w:rPr>
                <w:rFonts w:ascii="Arial Narrow" w:hAnsi="Arial Narrow"/>
                <w:b/>
                <w:bCs/>
                <w:sz w:val="20"/>
                <w:szCs w:val="20"/>
              </w:rPr>
              <w:t>Administrative Advice:</w:t>
            </w:r>
          </w:p>
        </w:tc>
        <w:tc>
          <w:tcPr>
            <w:tcW w:w="7462" w:type="dxa"/>
          </w:tcPr>
          <w:p w14:paraId="6A827137" w14:textId="217EFCAA" w:rsidR="00D52E49" w:rsidRPr="00704B78" w:rsidRDefault="00D52E49" w:rsidP="006E2A77">
            <w:pPr>
              <w:jc w:val="left"/>
              <w:rPr>
                <w:rFonts w:ascii="Arial Narrow" w:hAnsi="Arial Narrow"/>
                <w:sz w:val="20"/>
                <w:szCs w:val="20"/>
              </w:rPr>
            </w:pPr>
            <w:r w:rsidRPr="00704B78">
              <w:rPr>
                <w:rFonts w:ascii="Arial Narrow" w:hAnsi="Arial Narrow"/>
                <w:sz w:val="20"/>
                <w:szCs w:val="20"/>
              </w:rPr>
              <w:t>No increase in the maximum number of repeats may be authorised.</w:t>
            </w:r>
          </w:p>
        </w:tc>
      </w:tr>
      <w:tr w:rsidR="00A9062E" w:rsidRPr="00704B78" w14:paraId="237D3C00" w14:textId="77777777" w:rsidTr="3517B442">
        <w:tblPrEx>
          <w:jc w:val="left"/>
        </w:tblPrEx>
        <w:tc>
          <w:tcPr>
            <w:tcW w:w="1555" w:type="dxa"/>
            <w:tcBorders>
              <w:bottom w:val="single" w:sz="4" w:space="0" w:color="auto"/>
            </w:tcBorders>
          </w:tcPr>
          <w:p w14:paraId="53CF9CD7" w14:textId="77777777" w:rsidR="00A9062E" w:rsidRPr="00704B78" w:rsidRDefault="00A9062E" w:rsidP="006E2A77">
            <w:pPr>
              <w:rPr>
                <w:rFonts w:ascii="Arial Narrow" w:hAnsi="Arial Narrow"/>
                <w:b/>
                <w:bCs/>
                <w:sz w:val="20"/>
                <w:szCs w:val="20"/>
              </w:rPr>
            </w:pPr>
            <w:r w:rsidRPr="00704B78">
              <w:rPr>
                <w:rFonts w:ascii="Arial Narrow" w:hAnsi="Arial Narrow" w:cs="Times New Roman"/>
                <w:b/>
                <w:bCs/>
                <w:sz w:val="20"/>
                <w:szCs w:val="20"/>
                <w:lang w:eastAsia="en-US" w:bidi="en-US"/>
              </w:rPr>
              <w:t>Note:</w:t>
            </w:r>
          </w:p>
        </w:tc>
        <w:tc>
          <w:tcPr>
            <w:tcW w:w="7462" w:type="dxa"/>
            <w:tcBorders>
              <w:bottom w:val="single" w:sz="4" w:space="0" w:color="auto"/>
            </w:tcBorders>
          </w:tcPr>
          <w:p w14:paraId="5EC0BF71" w14:textId="542772F0" w:rsidR="00A9062E" w:rsidRPr="00704B78" w:rsidRDefault="00A9062E" w:rsidP="006E2A77">
            <w:pPr>
              <w:jc w:val="left"/>
              <w:rPr>
                <w:rFonts w:ascii="Arial Narrow" w:hAnsi="Arial Narrow"/>
                <w:sz w:val="20"/>
                <w:szCs w:val="20"/>
              </w:rPr>
            </w:pPr>
            <w:r w:rsidRPr="00704B78">
              <w:rPr>
                <w:rFonts w:ascii="Arial Narrow" w:hAnsi="Arial Narrow" w:cs="Times New Roman"/>
                <w:sz w:val="20"/>
                <w:szCs w:val="20"/>
                <w:lang w:eastAsia="en-US" w:bidi="en-US"/>
              </w:rPr>
              <w:t xml:space="preserve">The MG-ADL profile score is available at: </w:t>
            </w:r>
            <w:hyperlink r:id="rId19" w:history="1">
              <w:r w:rsidRPr="00704B78">
                <w:rPr>
                  <w:rStyle w:val="Hyperlink"/>
                  <w:rFonts w:ascii="Arial Narrow" w:hAnsi="Arial Narrow" w:cs="Times New Roman"/>
                  <w:sz w:val="20"/>
                  <w:szCs w:val="20"/>
                  <w:lang w:eastAsia="en-US" w:bidi="en-US"/>
                </w:rPr>
                <w:t>https://ultomiris.com/-/media/Ultomiris_gMG/pdf/gMG-ULTOMIRIS-ADL-Tool.ashx</w:t>
              </w:r>
            </w:hyperlink>
          </w:p>
        </w:tc>
      </w:tr>
      <w:tr w:rsidR="00A9062E" w:rsidRPr="00704B78" w14:paraId="55C2C03F" w14:textId="77777777" w:rsidTr="3517B442">
        <w:tblPrEx>
          <w:jc w:val="left"/>
        </w:tblPrEx>
        <w:tc>
          <w:tcPr>
            <w:tcW w:w="1555" w:type="dxa"/>
            <w:tcBorders>
              <w:bottom w:val="double" w:sz="4" w:space="0" w:color="auto"/>
            </w:tcBorders>
          </w:tcPr>
          <w:p w14:paraId="16739FB3" w14:textId="77777777" w:rsidR="00A9062E" w:rsidRPr="00704B78" w:rsidRDefault="00A9062E" w:rsidP="006E2A77">
            <w:pPr>
              <w:rPr>
                <w:rFonts w:ascii="Arial Narrow" w:hAnsi="Arial Narrow"/>
                <w:b/>
                <w:bCs/>
                <w:sz w:val="20"/>
                <w:szCs w:val="20"/>
              </w:rPr>
            </w:pPr>
            <w:r w:rsidRPr="00704B78">
              <w:rPr>
                <w:rFonts w:ascii="Arial Narrow" w:hAnsi="Arial Narrow" w:cs="Times New Roman"/>
                <w:b/>
                <w:bCs/>
                <w:sz w:val="20"/>
                <w:szCs w:val="20"/>
                <w:lang w:eastAsia="en-US" w:bidi="en-US"/>
              </w:rPr>
              <w:t>Caution:</w:t>
            </w:r>
          </w:p>
        </w:tc>
        <w:tc>
          <w:tcPr>
            <w:tcW w:w="7462" w:type="dxa"/>
            <w:tcBorders>
              <w:bottom w:val="double" w:sz="4" w:space="0" w:color="auto"/>
            </w:tcBorders>
          </w:tcPr>
          <w:p w14:paraId="6CC24561" w14:textId="77777777" w:rsidR="00A9062E" w:rsidRPr="00704B78" w:rsidRDefault="00A9062E"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73EC92A5" w14:textId="77777777" w:rsidR="00A9062E" w:rsidRPr="00704B78" w:rsidRDefault="00A9062E" w:rsidP="006E2A77">
            <w:pPr>
              <w:jc w:val="left"/>
              <w:rPr>
                <w:rFonts w:ascii="Arial Narrow" w:hAnsi="Arial Narrow"/>
                <w:sz w:val="20"/>
                <w:szCs w:val="20"/>
              </w:rPr>
            </w:pPr>
            <w:r w:rsidRPr="00704B78">
              <w:rPr>
                <w:rFonts w:ascii="Arial Narrow" w:hAnsi="Arial Narrow" w:cs="Times New Roman"/>
                <w:sz w:val="20"/>
                <w:szCs w:val="20"/>
                <w:lang w:eastAsia="en-US" w:bidi="en-US"/>
              </w:rPr>
              <w:t>Consult the approved PI for information about vaccination against meningococcal infection.</w:t>
            </w:r>
          </w:p>
        </w:tc>
      </w:tr>
      <w:tr w:rsidR="00A9062E" w:rsidRPr="00704B78" w14:paraId="6444ADA0" w14:textId="77777777" w:rsidTr="3517B442">
        <w:tblPrEx>
          <w:jc w:val="left"/>
          <w:tblCellMar>
            <w:top w:w="0" w:type="dxa"/>
            <w:left w:w="108" w:type="dxa"/>
            <w:bottom w:w="0" w:type="dxa"/>
            <w:right w:w="108" w:type="dxa"/>
          </w:tblCellMar>
        </w:tblPrEx>
        <w:tc>
          <w:tcPr>
            <w:tcW w:w="1555" w:type="dxa"/>
            <w:tcBorders>
              <w:top w:val="double" w:sz="4" w:space="0" w:color="auto"/>
            </w:tcBorders>
            <w:tcMar>
              <w:left w:w="20" w:type="dxa"/>
              <w:right w:w="20" w:type="dxa"/>
            </w:tcMar>
          </w:tcPr>
          <w:p w14:paraId="1CA147B4" w14:textId="549F69B9" w:rsidR="00A9062E" w:rsidRPr="00704B78" w:rsidRDefault="00A9062E" w:rsidP="006E2A77">
            <w:pPr>
              <w:pStyle w:val="COMTabletext"/>
              <w:keepNext w:val="0"/>
              <w:rPr>
                <w:b/>
                <w:bCs w:val="0"/>
              </w:rPr>
            </w:pPr>
            <w:r w:rsidRPr="00704B78">
              <w:rPr>
                <w:b/>
                <w:bCs w:val="0"/>
              </w:rPr>
              <w:t>Category/Program:</w:t>
            </w:r>
          </w:p>
        </w:tc>
        <w:tc>
          <w:tcPr>
            <w:tcW w:w="7462" w:type="dxa"/>
            <w:tcBorders>
              <w:top w:val="double" w:sz="4" w:space="0" w:color="auto"/>
            </w:tcBorders>
            <w:tcMar>
              <w:left w:w="20" w:type="dxa"/>
              <w:right w:w="20" w:type="dxa"/>
            </w:tcMar>
          </w:tcPr>
          <w:p w14:paraId="72488C8B" w14:textId="78439C5D" w:rsidR="00A9062E" w:rsidRPr="00704B78" w:rsidRDefault="00A9062E" w:rsidP="006E2A77">
            <w:pPr>
              <w:pStyle w:val="COMTabletext"/>
              <w:keepNext w:val="0"/>
            </w:pPr>
            <w:r w:rsidRPr="00704B78">
              <w:t>Section 100 – Highly Specialised Drugs Program</w:t>
            </w:r>
            <w:r w:rsidR="00D61CA6">
              <w:t xml:space="preserve">  </w:t>
            </w:r>
            <w:r w:rsidRPr="00704B78">
              <w:t xml:space="preserve"> </w:t>
            </w:r>
          </w:p>
        </w:tc>
      </w:tr>
      <w:tr w:rsidR="00A9062E" w:rsidRPr="00704B78" w14:paraId="526D8290" w14:textId="77777777" w:rsidTr="3517B442">
        <w:tblPrEx>
          <w:jc w:val="left"/>
          <w:tblCellMar>
            <w:top w:w="0" w:type="dxa"/>
            <w:left w:w="108" w:type="dxa"/>
            <w:bottom w:w="0" w:type="dxa"/>
            <w:right w:w="108" w:type="dxa"/>
          </w:tblCellMar>
        </w:tblPrEx>
        <w:trPr>
          <w:trHeight w:val="240"/>
        </w:trPr>
        <w:tc>
          <w:tcPr>
            <w:tcW w:w="1555" w:type="dxa"/>
            <w:tcMar>
              <w:left w:w="20" w:type="dxa"/>
              <w:right w:w="20" w:type="dxa"/>
            </w:tcMar>
          </w:tcPr>
          <w:p w14:paraId="39C5BA27" w14:textId="77777777" w:rsidR="00A9062E" w:rsidRPr="00704B78" w:rsidRDefault="00A9062E" w:rsidP="006E2A77">
            <w:pPr>
              <w:pStyle w:val="COMTabletext"/>
              <w:keepNext w:val="0"/>
              <w:rPr>
                <w:b/>
                <w:bCs w:val="0"/>
              </w:rPr>
            </w:pPr>
            <w:r w:rsidRPr="00704B78">
              <w:rPr>
                <w:b/>
                <w:bCs w:val="0"/>
              </w:rPr>
              <w:t>Prescriber type:</w:t>
            </w:r>
          </w:p>
        </w:tc>
        <w:tc>
          <w:tcPr>
            <w:tcW w:w="7462" w:type="dxa"/>
            <w:tcMar>
              <w:left w:w="20" w:type="dxa"/>
              <w:right w:w="20" w:type="dxa"/>
            </w:tcMar>
          </w:tcPr>
          <w:p w14:paraId="71833AA3" w14:textId="04204CC8" w:rsidR="00A9062E" w:rsidRPr="00704B78" w:rsidRDefault="00A9062E" w:rsidP="006E2A77">
            <w:pPr>
              <w:pStyle w:val="COMTabletext"/>
              <w:keepNext w:val="0"/>
            </w:pPr>
            <w:r w:rsidRPr="00704B78">
              <w:rPr>
                <w:szCs w:val="20"/>
              </w:rPr>
              <w:t>Medical Practitioners</w:t>
            </w:r>
          </w:p>
        </w:tc>
      </w:tr>
      <w:tr w:rsidR="00A9062E" w:rsidRPr="00704B78" w14:paraId="7FD8E318" w14:textId="77777777" w:rsidTr="3517B442">
        <w:tblPrEx>
          <w:jc w:val="left"/>
          <w:tblCellMar>
            <w:top w:w="0" w:type="dxa"/>
            <w:left w:w="108" w:type="dxa"/>
            <w:bottom w:w="0" w:type="dxa"/>
            <w:right w:w="108" w:type="dxa"/>
          </w:tblCellMar>
        </w:tblPrEx>
        <w:trPr>
          <w:trHeight w:val="217"/>
        </w:trPr>
        <w:tc>
          <w:tcPr>
            <w:tcW w:w="1555" w:type="dxa"/>
            <w:tcMar>
              <w:left w:w="20" w:type="dxa"/>
              <w:right w:w="20" w:type="dxa"/>
            </w:tcMar>
          </w:tcPr>
          <w:p w14:paraId="4E36B830" w14:textId="77777777" w:rsidR="00A9062E" w:rsidRPr="00704B78" w:rsidRDefault="00A9062E" w:rsidP="006E2A77">
            <w:pPr>
              <w:pStyle w:val="COMTabletext"/>
              <w:keepNext w:val="0"/>
              <w:rPr>
                <w:b/>
                <w:bCs w:val="0"/>
              </w:rPr>
            </w:pPr>
            <w:r w:rsidRPr="00704B78">
              <w:rPr>
                <w:b/>
                <w:bCs w:val="0"/>
              </w:rPr>
              <w:t>Restriction Type:</w:t>
            </w:r>
          </w:p>
        </w:tc>
        <w:tc>
          <w:tcPr>
            <w:tcW w:w="7462" w:type="dxa"/>
            <w:tcMar>
              <w:left w:w="20" w:type="dxa"/>
              <w:right w:w="20" w:type="dxa"/>
            </w:tcMar>
          </w:tcPr>
          <w:p w14:paraId="2444D62B" w14:textId="662E4F06" w:rsidR="00A9062E" w:rsidRPr="00704B78" w:rsidRDefault="00A9062E" w:rsidP="006E2A77">
            <w:pPr>
              <w:pStyle w:val="COMTabletext"/>
              <w:keepNext w:val="0"/>
              <w:rPr>
                <w:rFonts w:eastAsia="Calibri"/>
              </w:rPr>
            </w:pPr>
            <w:r w:rsidRPr="00704B78">
              <w:rPr>
                <w:rFonts w:cs="Times New Roman"/>
                <w:szCs w:val="20"/>
                <w:lang w:eastAsia="en-US" w:bidi="en-US"/>
              </w:rPr>
              <w:t>Authority Required (in writing only via post/HPOS upload)</w:t>
            </w:r>
          </w:p>
        </w:tc>
      </w:tr>
      <w:tr w:rsidR="00A9062E" w:rsidRPr="00704B78" w14:paraId="2075F2D5" w14:textId="77777777" w:rsidTr="3517B442">
        <w:tblPrEx>
          <w:jc w:val="left"/>
          <w:tblCellMar>
            <w:top w:w="0" w:type="dxa"/>
            <w:left w:w="108" w:type="dxa"/>
            <w:bottom w:w="0" w:type="dxa"/>
            <w:right w:w="108" w:type="dxa"/>
          </w:tblCellMar>
        </w:tblPrEx>
        <w:trPr>
          <w:trHeight w:val="217"/>
        </w:trPr>
        <w:tc>
          <w:tcPr>
            <w:tcW w:w="1555" w:type="dxa"/>
            <w:tcMar>
              <w:left w:w="20" w:type="dxa"/>
              <w:right w:w="20" w:type="dxa"/>
            </w:tcMar>
          </w:tcPr>
          <w:p w14:paraId="3E8D07C1" w14:textId="77777777" w:rsidR="00A9062E" w:rsidRPr="00704B78" w:rsidRDefault="00A9062E" w:rsidP="006E2A77">
            <w:pPr>
              <w:pStyle w:val="COMTabletext"/>
              <w:keepNext w:val="0"/>
              <w:rPr>
                <w:b/>
                <w:bCs w:val="0"/>
              </w:rPr>
            </w:pPr>
            <w:r w:rsidRPr="00704B78">
              <w:rPr>
                <w:b/>
                <w:bCs w:val="0"/>
              </w:rPr>
              <w:t>Condition:</w:t>
            </w:r>
          </w:p>
        </w:tc>
        <w:tc>
          <w:tcPr>
            <w:tcW w:w="7462" w:type="dxa"/>
            <w:tcMar>
              <w:left w:w="20" w:type="dxa"/>
              <w:right w:w="20" w:type="dxa"/>
            </w:tcMar>
          </w:tcPr>
          <w:p w14:paraId="436F50A7" w14:textId="77777777" w:rsidR="00A9062E" w:rsidRPr="00704B78" w:rsidRDefault="00A9062E" w:rsidP="006E2A77">
            <w:pPr>
              <w:pStyle w:val="COMTabletext"/>
              <w:keepNext w:val="0"/>
              <w:rPr>
                <w:szCs w:val="20"/>
              </w:rPr>
            </w:pPr>
            <w:r w:rsidRPr="00704B78">
              <w:t>Generalised myasthenia gravis (gMG)</w:t>
            </w:r>
          </w:p>
        </w:tc>
      </w:tr>
      <w:tr w:rsidR="00A9062E" w:rsidRPr="00704B78" w14:paraId="55C4346D" w14:textId="77777777" w:rsidTr="3517B442">
        <w:tblPrEx>
          <w:jc w:val="left"/>
          <w:tblCellMar>
            <w:top w:w="0" w:type="dxa"/>
            <w:left w:w="108" w:type="dxa"/>
            <w:bottom w:w="0" w:type="dxa"/>
            <w:right w:w="108" w:type="dxa"/>
          </w:tblCellMar>
        </w:tblPrEx>
        <w:tc>
          <w:tcPr>
            <w:tcW w:w="1555" w:type="dxa"/>
            <w:tcMar>
              <w:left w:w="20" w:type="dxa"/>
              <w:right w:w="20" w:type="dxa"/>
            </w:tcMar>
          </w:tcPr>
          <w:p w14:paraId="67F198E3" w14:textId="77777777" w:rsidR="00A9062E" w:rsidRPr="00704B78" w:rsidRDefault="00A9062E" w:rsidP="006E2A77">
            <w:pPr>
              <w:pStyle w:val="COMTabletext"/>
              <w:keepNext w:val="0"/>
              <w:rPr>
                <w:b/>
                <w:bCs w:val="0"/>
              </w:rPr>
            </w:pPr>
            <w:r w:rsidRPr="00704B78">
              <w:rPr>
                <w:b/>
                <w:bCs w:val="0"/>
              </w:rPr>
              <w:t>Indication:</w:t>
            </w:r>
          </w:p>
        </w:tc>
        <w:tc>
          <w:tcPr>
            <w:tcW w:w="7462" w:type="dxa"/>
            <w:tcMar>
              <w:left w:w="20" w:type="dxa"/>
              <w:right w:w="20" w:type="dxa"/>
            </w:tcMar>
            <w:hideMark/>
          </w:tcPr>
          <w:p w14:paraId="3A832F8E" w14:textId="77777777" w:rsidR="00A9062E" w:rsidRPr="00704B78" w:rsidRDefault="00A9062E" w:rsidP="006E2A77">
            <w:pPr>
              <w:pStyle w:val="COMTabletext"/>
              <w:keepNext w:val="0"/>
            </w:pPr>
            <w:r w:rsidRPr="00704B78">
              <w:t>Generalised myasthenia gravis (gMG)</w:t>
            </w:r>
          </w:p>
        </w:tc>
      </w:tr>
      <w:tr w:rsidR="00A9062E" w:rsidRPr="00704B78" w14:paraId="1DCE69BB" w14:textId="77777777" w:rsidTr="3517B442">
        <w:tblPrEx>
          <w:jc w:val="left"/>
          <w:tblCellMar>
            <w:top w:w="0" w:type="dxa"/>
            <w:left w:w="108" w:type="dxa"/>
            <w:bottom w:w="0" w:type="dxa"/>
            <w:right w:w="108" w:type="dxa"/>
          </w:tblCellMar>
        </w:tblPrEx>
        <w:tc>
          <w:tcPr>
            <w:tcW w:w="1555" w:type="dxa"/>
            <w:tcMar>
              <w:left w:w="20" w:type="dxa"/>
              <w:right w:w="20" w:type="dxa"/>
            </w:tcMar>
          </w:tcPr>
          <w:p w14:paraId="631C0B45" w14:textId="77777777" w:rsidR="00A9062E" w:rsidRPr="00704B78" w:rsidRDefault="00A9062E" w:rsidP="006E2A77">
            <w:pPr>
              <w:pStyle w:val="COMTabletext"/>
              <w:keepNext w:val="0"/>
              <w:rPr>
                <w:b/>
                <w:bCs w:val="0"/>
              </w:rPr>
            </w:pPr>
            <w:r w:rsidRPr="00704B78">
              <w:rPr>
                <w:b/>
                <w:bCs w:val="0"/>
              </w:rPr>
              <w:t>Treatment Phase:</w:t>
            </w:r>
          </w:p>
        </w:tc>
        <w:tc>
          <w:tcPr>
            <w:tcW w:w="7462" w:type="dxa"/>
            <w:tcMar>
              <w:left w:w="20" w:type="dxa"/>
              <w:right w:w="20" w:type="dxa"/>
            </w:tcMar>
            <w:hideMark/>
          </w:tcPr>
          <w:p w14:paraId="45E92F75" w14:textId="77777777" w:rsidR="00A9062E" w:rsidRPr="00704B78" w:rsidRDefault="00A9062E" w:rsidP="006E2A77">
            <w:pPr>
              <w:pStyle w:val="COMTabletext"/>
              <w:keepNext w:val="0"/>
            </w:pPr>
            <w:r w:rsidRPr="00704B78">
              <w:t xml:space="preserve">Transition from non-PBS subsidised to PBS subsidised treatment (grandfather) – refractory patient population </w:t>
            </w:r>
          </w:p>
        </w:tc>
      </w:tr>
      <w:tr w:rsidR="00A9062E" w:rsidRPr="00704B78" w14:paraId="0F35B6E5" w14:textId="77777777" w:rsidTr="3517B442">
        <w:tblPrEx>
          <w:jc w:val="left"/>
          <w:tblCellMar>
            <w:top w:w="0" w:type="dxa"/>
            <w:left w:w="108" w:type="dxa"/>
            <w:bottom w:w="0" w:type="dxa"/>
            <w:right w:w="108" w:type="dxa"/>
          </w:tblCellMar>
        </w:tblPrEx>
        <w:tc>
          <w:tcPr>
            <w:tcW w:w="1555" w:type="dxa"/>
            <w:vMerge w:val="restart"/>
            <w:tcMar>
              <w:left w:w="20" w:type="dxa"/>
              <w:right w:w="20" w:type="dxa"/>
            </w:tcMar>
          </w:tcPr>
          <w:p w14:paraId="12BAF6B0" w14:textId="77777777" w:rsidR="00A9062E" w:rsidRPr="00704B78" w:rsidRDefault="00A9062E" w:rsidP="006E2A77">
            <w:pPr>
              <w:pStyle w:val="COMTabletext"/>
              <w:keepNext w:val="0"/>
              <w:rPr>
                <w:b/>
                <w:bCs w:val="0"/>
              </w:rPr>
            </w:pPr>
            <w:r w:rsidRPr="00704B78">
              <w:rPr>
                <w:b/>
                <w:bCs w:val="0"/>
              </w:rPr>
              <w:t>Clinical criteria:</w:t>
            </w:r>
          </w:p>
        </w:tc>
        <w:tc>
          <w:tcPr>
            <w:tcW w:w="7462" w:type="dxa"/>
            <w:tcMar>
              <w:left w:w="20" w:type="dxa"/>
              <w:right w:w="20" w:type="dxa"/>
            </w:tcMar>
          </w:tcPr>
          <w:p w14:paraId="299689EB" w14:textId="77777777" w:rsidR="00A9062E" w:rsidRPr="00704B78" w:rsidRDefault="00A9062E" w:rsidP="006E2A77">
            <w:pPr>
              <w:pStyle w:val="COMTabletext"/>
              <w:keepNext w:val="0"/>
            </w:pPr>
            <w:r w:rsidRPr="00704B78">
              <w:t>Patient must have received non-PBS-subsidised treatment with this drug for this condition prior to date of PBS listing, AND</w:t>
            </w:r>
          </w:p>
        </w:tc>
      </w:tr>
      <w:tr w:rsidR="00A9062E" w:rsidRPr="00704B78" w14:paraId="657BA5E6"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1AB61D5A" w14:textId="77777777" w:rsidR="00A9062E" w:rsidRPr="00704B78" w:rsidRDefault="00A9062E" w:rsidP="006E2A77">
            <w:pPr>
              <w:pStyle w:val="COMTabletext"/>
              <w:keepNext w:val="0"/>
              <w:rPr>
                <w:b/>
                <w:bCs w:val="0"/>
              </w:rPr>
            </w:pPr>
          </w:p>
        </w:tc>
        <w:tc>
          <w:tcPr>
            <w:tcW w:w="7462" w:type="dxa"/>
            <w:tcMar>
              <w:left w:w="20" w:type="dxa"/>
              <w:right w:w="20" w:type="dxa"/>
            </w:tcMar>
          </w:tcPr>
          <w:p w14:paraId="5790B4F9" w14:textId="77777777" w:rsidR="00A9062E" w:rsidRPr="00704B78" w:rsidRDefault="00A9062E" w:rsidP="006E2A77">
            <w:pPr>
              <w:pStyle w:val="COMTabletext"/>
              <w:keepNext w:val="0"/>
            </w:pPr>
            <w:r w:rsidRPr="00704B78">
              <w:t>Patient must have a diagnosis of generalised myasthenia gravis that is not pure ocular myasthenia gravis AND</w:t>
            </w:r>
          </w:p>
        </w:tc>
      </w:tr>
      <w:tr w:rsidR="00A9062E" w:rsidRPr="00704B78" w14:paraId="404D12F5"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5398428B" w14:textId="77777777" w:rsidR="00A9062E" w:rsidRPr="00704B78" w:rsidRDefault="00A9062E" w:rsidP="006E2A77">
            <w:pPr>
              <w:pStyle w:val="COMTabletext"/>
              <w:keepNext w:val="0"/>
              <w:rPr>
                <w:b/>
                <w:bCs w:val="0"/>
              </w:rPr>
            </w:pPr>
          </w:p>
        </w:tc>
        <w:tc>
          <w:tcPr>
            <w:tcW w:w="7462" w:type="dxa"/>
            <w:tcMar>
              <w:left w:w="20" w:type="dxa"/>
              <w:right w:w="20" w:type="dxa"/>
            </w:tcMar>
          </w:tcPr>
          <w:p w14:paraId="133DAE1C" w14:textId="77777777" w:rsidR="00A9062E" w:rsidRPr="00704B78" w:rsidRDefault="00A9062E" w:rsidP="006E2A77">
            <w:pPr>
              <w:pStyle w:val="COMTabletext"/>
              <w:keepNext w:val="0"/>
            </w:pPr>
            <w:r w:rsidRPr="00704B78">
              <w:t>Patient must have confirmed positive by serologic testing for anti-acetylcholine receptor antibodies (AChR antibodies), AND</w:t>
            </w:r>
          </w:p>
        </w:tc>
      </w:tr>
      <w:tr w:rsidR="00A9062E" w:rsidRPr="00704B78" w14:paraId="68861E52"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67DD0FFA" w14:textId="77777777" w:rsidR="00A9062E" w:rsidRPr="00704B78" w:rsidRDefault="00A9062E" w:rsidP="006E2A77">
            <w:pPr>
              <w:pStyle w:val="COMTabletext"/>
              <w:keepNext w:val="0"/>
              <w:rPr>
                <w:b/>
                <w:bCs w:val="0"/>
              </w:rPr>
            </w:pPr>
          </w:p>
        </w:tc>
        <w:tc>
          <w:tcPr>
            <w:tcW w:w="7462" w:type="dxa"/>
            <w:tcMar>
              <w:left w:w="20" w:type="dxa"/>
              <w:right w:w="20" w:type="dxa"/>
            </w:tcMar>
          </w:tcPr>
          <w:p w14:paraId="26BAD4E5" w14:textId="77777777" w:rsidR="00A9062E" w:rsidRPr="00704B78" w:rsidRDefault="00A9062E" w:rsidP="006E2A77">
            <w:pPr>
              <w:pStyle w:val="COMTabletext"/>
              <w:keepNext w:val="0"/>
            </w:pPr>
            <w:r w:rsidRPr="00704B78">
              <w:t xml:space="preserve">The treatment must be added on to at least one immunosuppressive therapy, AND </w:t>
            </w:r>
          </w:p>
        </w:tc>
      </w:tr>
      <w:tr w:rsidR="00A9062E" w:rsidRPr="00704B78" w14:paraId="79A889B0"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7C46146A" w14:textId="77777777" w:rsidR="00A9062E" w:rsidRPr="00704B78" w:rsidRDefault="00A9062E" w:rsidP="006E2A77">
            <w:pPr>
              <w:pStyle w:val="COMTabletext"/>
              <w:keepNext w:val="0"/>
              <w:rPr>
                <w:b/>
                <w:bCs w:val="0"/>
              </w:rPr>
            </w:pPr>
          </w:p>
        </w:tc>
        <w:tc>
          <w:tcPr>
            <w:tcW w:w="7462" w:type="dxa"/>
            <w:tcMar>
              <w:left w:w="20" w:type="dxa"/>
              <w:right w:w="20" w:type="dxa"/>
            </w:tcMar>
          </w:tcPr>
          <w:p w14:paraId="278A248A" w14:textId="77777777" w:rsidR="00A9062E" w:rsidRPr="00704B78" w:rsidRDefault="00A9062E" w:rsidP="006E2A77">
            <w:pPr>
              <w:pStyle w:val="COMTabletext"/>
              <w:keepNext w:val="0"/>
            </w:pPr>
            <w:r w:rsidRPr="00704B78">
              <w:t>Patient must have recorded baseline symptoms consistent with a Myasthenia Gravis-Activities of Daily Living (MG-ADL) profile of at least 6 points despite treatment with existing therapies prior to initiation of ravulizumab, AND</w:t>
            </w:r>
          </w:p>
        </w:tc>
      </w:tr>
      <w:tr w:rsidR="00A9062E" w:rsidRPr="00704B78" w14:paraId="05D71DBC"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51B710AF" w14:textId="77777777" w:rsidR="00A9062E" w:rsidRPr="00704B78" w:rsidRDefault="00A9062E" w:rsidP="006E2A77">
            <w:pPr>
              <w:pStyle w:val="COMTabletext"/>
              <w:keepNext w:val="0"/>
              <w:rPr>
                <w:b/>
                <w:bCs w:val="0"/>
              </w:rPr>
            </w:pPr>
          </w:p>
        </w:tc>
        <w:tc>
          <w:tcPr>
            <w:tcW w:w="7462" w:type="dxa"/>
            <w:tcMar>
              <w:left w:w="20" w:type="dxa"/>
              <w:right w:w="20" w:type="dxa"/>
            </w:tcMar>
          </w:tcPr>
          <w:p w14:paraId="7707EB34" w14:textId="77777777" w:rsidR="00A9062E" w:rsidRPr="00704B78" w:rsidRDefault="00A9062E" w:rsidP="006E2A77">
            <w:pPr>
              <w:pStyle w:val="COMTabletext"/>
              <w:keepNext w:val="0"/>
            </w:pPr>
            <w:r w:rsidRPr="00704B78">
              <w:t>Patient must have failed to achieve adequate response despite treatment with at least 2 immunosuppressive therapies for at least 24 months, either in combination or as monotherapy, AND</w:t>
            </w:r>
          </w:p>
        </w:tc>
      </w:tr>
      <w:tr w:rsidR="00A9062E" w:rsidRPr="00704B78" w14:paraId="46DB24D0"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289C61E2" w14:textId="77777777" w:rsidR="00A9062E" w:rsidRPr="00704B78" w:rsidRDefault="00A9062E" w:rsidP="006E2A77">
            <w:pPr>
              <w:pStyle w:val="COMTabletext"/>
              <w:keepNext w:val="0"/>
              <w:rPr>
                <w:b/>
                <w:bCs w:val="0"/>
              </w:rPr>
            </w:pPr>
          </w:p>
        </w:tc>
        <w:tc>
          <w:tcPr>
            <w:tcW w:w="7462" w:type="dxa"/>
            <w:tcMar>
              <w:left w:w="20" w:type="dxa"/>
              <w:right w:w="20" w:type="dxa"/>
            </w:tcMar>
          </w:tcPr>
          <w:p w14:paraId="1263D181" w14:textId="77777777" w:rsidR="00A9062E" w:rsidRPr="00704B78" w:rsidRDefault="00A9062E" w:rsidP="006E2A77">
            <w:pPr>
              <w:pStyle w:val="COMTabletext"/>
              <w:keepNext w:val="0"/>
            </w:pPr>
            <w:r w:rsidRPr="00704B78">
              <w:t>Patient must have failed to achieve adequate response despite at least 1 month of</w:t>
            </w:r>
            <w:r w:rsidRPr="00704B78">
              <w:rPr>
                <w:u w:val="single"/>
              </w:rPr>
              <w:t xml:space="preserve"> </w:t>
            </w:r>
            <w:r w:rsidRPr="00704B78">
              <w:t>plasma exchange (PE) or at least 4 months of intravenous immunoglobulin (IVIg), if patient was able to receive and is tolerant to these therapies OR</w:t>
            </w:r>
          </w:p>
          <w:p w14:paraId="1A68F065" w14:textId="77777777" w:rsidR="00A9062E" w:rsidRPr="00704B78" w:rsidRDefault="00A9062E" w:rsidP="006E2A77">
            <w:pPr>
              <w:pStyle w:val="COMTabletext"/>
              <w:keepNext w:val="0"/>
            </w:pPr>
            <w:r w:rsidRPr="00704B78">
              <w:t>Patient must have demonstrated a clinical improvement consistent with a decrease in Myasthenia Gravis-Activities of Daily Living (MG-ADL) profile of at least 3 points from baseline after 12 weeks of treatment</w:t>
            </w:r>
          </w:p>
        </w:tc>
      </w:tr>
      <w:tr w:rsidR="00A9062E" w:rsidRPr="00704B78" w14:paraId="33A3155F" w14:textId="77777777" w:rsidTr="3517B442">
        <w:tblPrEx>
          <w:jc w:val="left"/>
          <w:tblCellMar>
            <w:top w:w="0" w:type="dxa"/>
            <w:left w:w="108" w:type="dxa"/>
            <w:bottom w:w="0" w:type="dxa"/>
            <w:right w:w="108" w:type="dxa"/>
          </w:tblCellMar>
        </w:tblPrEx>
        <w:tc>
          <w:tcPr>
            <w:tcW w:w="1555" w:type="dxa"/>
            <w:tcMar>
              <w:left w:w="20" w:type="dxa"/>
              <w:right w:w="20" w:type="dxa"/>
            </w:tcMar>
          </w:tcPr>
          <w:p w14:paraId="60201C66" w14:textId="77777777" w:rsidR="00A9062E" w:rsidRPr="00704B78" w:rsidRDefault="00A9062E" w:rsidP="006E2A77">
            <w:pPr>
              <w:pStyle w:val="COMTabletext"/>
              <w:keepNext w:val="0"/>
              <w:rPr>
                <w:b/>
                <w:bCs w:val="0"/>
              </w:rPr>
            </w:pPr>
            <w:r w:rsidRPr="00704B78">
              <w:rPr>
                <w:b/>
                <w:bCs w:val="0"/>
              </w:rPr>
              <w:t>Treatment criteria:</w:t>
            </w:r>
          </w:p>
        </w:tc>
        <w:tc>
          <w:tcPr>
            <w:tcW w:w="7462" w:type="dxa"/>
            <w:tcMar>
              <w:left w:w="20" w:type="dxa"/>
              <w:right w:w="20" w:type="dxa"/>
            </w:tcMar>
            <w:hideMark/>
          </w:tcPr>
          <w:p w14:paraId="4AEE50EB" w14:textId="77777777" w:rsidR="00A9062E" w:rsidRPr="00704B78" w:rsidRDefault="00A9062E" w:rsidP="006E2A77">
            <w:pPr>
              <w:pStyle w:val="COMTabletext"/>
              <w:keepNext w:val="0"/>
            </w:pPr>
            <w:r w:rsidRPr="00704B78">
              <w:t>Must be treated by a neurologist or m</w:t>
            </w:r>
            <w:r w:rsidRPr="00704B78">
              <w:rPr>
                <w:rFonts w:cs="Arial Narrow"/>
              </w:rPr>
              <w:t>ust be treated by a medical practitioner who has consulted a neurologist, with agreement reached that the patient should be treated with this pharmaceutical benefit on this occasion</w:t>
            </w:r>
          </w:p>
        </w:tc>
      </w:tr>
      <w:tr w:rsidR="00A9062E" w:rsidRPr="00704B78" w14:paraId="28B7919F" w14:textId="77777777" w:rsidTr="3517B442">
        <w:tblPrEx>
          <w:jc w:val="left"/>
          <w:tblCellMar>
            <w:top w:w="0" w:type="dxa"/>
            <w:left w:w="108" w:type="dxa"/>
            <w:bottom w:w="0" w:type="dxa"/>
            <w:right w:w="108" w:type="dxa"/>
          </w:tblCellMar>
        </w:tblPrEx>
        <w:tc>
          <w:tcPr>
            <w:tcW w:w="1555" w:type="dxa"/>
            <w:tcMar>
              <w:left w:w="20" w:type="dxa"/>
              <w:right w:w="20" w:type="dxa"/>
            </w:tcMar>
          </w:tcPr>
          <w:p w14:paraId="1277BABA" w14:textId="77777777" w:rsidR="00A9062E" w:rsidRPr="00704B78" w:rsidRDefault="00A9062E" w:rsidP="006E2A77">
            <w:pPr>
              <w:pStyle w:val="COMTabletext"/>
              <w:keepNext w:val="0"/>
              <w:rPr>
                <w:b/>
                <w:bCs w:val="0"/>
              </w:rPr>
            </w:pPr>
            <w:r w:rsidRPr="00704B78">
              <w:rPr>
                <w:b/>
                <w:bCs w:val="0"/>
              </w:rPr>
              <w:t>Population criteria:</w:t>
            </w:r>
          </w:p>
        </w:tc>
        <w:tc>
          <w:tcPr>
            <w:tcW w:w="7462" w:type="dxa"/>
            <w:tcMar>
              <w:left w:w="20" w:type="dxa"/>
              <w:right w:w="20" w:type="dxa"/>
            </w:tcMar>
            <w:hideMark/>
          </w:tcPr>
          <w:p w14:paraId="1643238D" w14:textId="77777777" w:rsidR="00A9062E" w:rsidRPr="00704B78" w:rsidRDefault="00A9062E" w:rsidP="006E2A77">
            <w:pPr>
              <w:pStyle w:val="COMTabletext"/>
              <w:keepNext w:val="0"/>
            </w:pPr>
            <w:r w:rsidRPr="00704B78">
              <w:t>Patients must be aged 18 years or older</w:t>
            </w:r>
          </w:p>
        </w:tc>
      </w:tr>
      <w:tr w:rsidR="00A9062E" w:rsidRPr="00704B78" w14:paraId="5AE4D6FC" w14:textId="77777777" w:rsidTr="3517B442">
        <w:tblPrEx>
          <w:jc w:val="left"/>
          <w:tblCellMar>
            <w:top w:w="0" w:type="dxa"/>
            <w:left w:w="108" w:type="dxa"/>
            <w:bottom w:w="0" w:type="dxa"/>
            <w:right w:w="108" w:type="dxa"/>
          </w:tblCellMar>
        </w:tblPrEx>
        <w:tc>
          <w:tcPr>
            <w:tcW w:w="1555" w:type="dxa"/>
            <w:vMerge w:val="restart"/>
            <w:tcMar>
              <w:left w:w="20" w:type="dxa"/>
              <w:right w:w="20" w:type="dxa"/>
            </w:tcMar>
          </w:tcPr>
          <w:p w14:paraId="255A397C" w14:textId="2B5181D1" w:rsidR="00A9062E" w:rsidRPr="00704B78" w:rsidRDefault="00A9062E" w:rsidP="006E2A77">
            <w:pPr>
              <w:pStyle w:val="COMTabletext"/>
              <w:keepNext w:val="0"/>
              <w:rPr>
                <w:b/>
                <w:bCs w:val="0"/>
              </w:rPr>
            </w:pPr>
            <w:r w:rsidRPr="00704B78">
              <w:rPr>
                <w:b/>
                <w:bCs w:val="0"/>
              </w:rPr>
              <w:t>Prescribing Instructions:</w:t>
            </w:r>
            <w:r w:rsidR="00D61CA6">
              <w:rPr>
                <w:b/>
                <w:bCs w:val="0"/>
              </w:rPr>
              <w:t xml:space="preserve"> </w:t>
            </w:r>
          </w:p>
        </w:tc>
        <w:tc>
          <w:tcPr>
            <w:tcW w:w="7462" w:type="dxa"/>
            <w:tcMar>
              <w:left w:w="20" w:type="dxa"/>
              <w:right w:w="20" w:type="dxa"/>
            </w:tcMar>
            <w:hideMark/>
          </w:tcPr>
          <w:p w14:paraId="115C10C8" w14:textId="77777777" w:rsidR="00A9062E" w:rsidRPr="00704B78" w:rsidRDefault="00A9062E" w:rsidP="006E2A77">
            <w:pPr>
              <w:pStyle w:val="COMTabletext"/>
              <w:keepNext w:val="0"/>
              <w:rPr>
                <w:rFonts w:eastAsia="Times New Roman"/>
              </w:rPr>
            </w:pPr>
            <w:r w:rsidRPr="00704B78">
              <w:rPr>
                <w:rFonts w:eastAsia="Times New Roman"/>
              </w:rPr>
              <w:t>Where treatment with plasma exchange or intravenous immunoglobulin is not possible, details must be provided at the time of application.</w:t>
            </w:r>
          </w:p>
          <w:p w14:paraId="13FC8E1E" w14:textId="77777777" w:rsidR="00A9062E" w:rsidRPr="00704B78" w:rsidRDefault="00A9062E" w:rsidP="006E2A77">
            <w:pPr>
              <w:pStyle w:val="COMTabletext"/>
              <w:keepNext w:val="0"/>
            </w:pPr>
            <w:r w:rsidRPr="00704B78">
              <w:rPr>
                <w:rFonts w:eastAsia="Times New Roman"/>
              </w:rPr>
              <w:t>Where intolerance to treatment with oral steroids, plasma exchange or intravenous immunoglobulin develops during the relevant treatment period (of severity to necessitate treatment withdrawal), details must be provided at the time of application.</w:t>
            </w:r>
          </w:p>
        </w:tc>
      </w:tr>
      <w:tr w:rsidR="00A9062E" w:rsidRPr="00704B78" w14:paraId="2A3E921B"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18186355" w14:textId="77777777" w:rsidR="00A9062E" w:rsidRPr="00704B78" w:rsidRDefault="00A9062E" w:rsidP="006E2A77">
            <w:pPr>
              <w:pStyle w:val="COMTabletext"/>
              <w:keepNext w:val="0"/>
              <w:rPr>
                <w:b/>
                <w:bCs w:val="0"/>
              </w:rPr>
            </w:pPr>
          </w:p>
        </w:tc>
        <w:tc>
          <w:tcPr>
            <w:tcW w:w="7462" w:type="dxa"/>
            <w:tcMar>
              <w:left w:w="20" w:type="dxa"/>
              <w:right w:w="20" w:type="dxa"/>
            </w:tcMar>
            <w:hideMark/>
          </w:tcPr>
          <w:p w14:paraId="7AA768ED" w14:textId="77777777" w:rsidR="00A9062E" w:rsidRPr="00704B78" w:rsidRDefault="00A9062E" w:rsidP="006E2A77">
            <w:pPr>
              <w:pStyle w:val="COMTabletext"/>
              <w:keepNext w:val="0"/>
            </w:pPr>
            <w:r w:rsidRPr="00704B78">
              <w:t>At the time of the authority application, medical practitioners should request the appropriate number of vials to cover 3 maintenance doses based on the patient’s weight and as per the Product Information. Refer to the Product information for patient weight ranges for the 100mg/mL doses (consisting of 300 mg in 3 mL and 1.1 g in 11 mL vials).</w:t>
            </w:r>
          </w:p>
          <w:p w14:paraId="03713D05" w14:textId="77777777" w:rsidR="00A9062E" w:rsidRPr="00704B78" w:rsidRDefault="00A9062E" w:rsidP="006E2A77">
            <w:pPr>
              <w:pStyle w:val="COMTabletext"/>
              <w:keepNext w:val="0"/>
            </w:pPr>
            <w:r w:rsidRPr="00704B78">
              <w:t>Applications for treatment with this drug where the dose and dosing frequency exceeds that specified in the approved PI will not be approved.</w:t>
            </w:r>
          </w:p>
        </w:tc>
      </w:tr>
      <w:tr w:rsidR="00A9062E" w:rsidRPr="00704B78" w14:paraId="6B8006C1" w14:textId="77777777" w:rsidTr="3517B442">
        <w:tblPrEx>
          <w:jc w:val="left"/>
          <w:tblCellMar>
            <w:top w:w="0" w:type="dxa"/>
            <w:left w:w="108" w:type="dxa"/>
            <w:bottom w:w="0" w:type="dxa"/>
            <w:right w:w="108" w:type="dxa"/>
          </w:tblCellMar>
        </w:tblPrEx>
        <w:tc>
          <w:tcPr>
            <w:tcW w:w="1555" w:type="dxa"/>
            <w:vMerge/>
            <w:tcMar>
              <w:left w:w="20" w:type="dxa"/>
              <w:right w:w="20" w:type="dxa"/>
            </w:tcMar>
          </w:tcPr>
          <w:p w14:paraId="3D77CC82" w14:textId="77777777" w:rsidR="00A9062E" w:rsidRPr="00704B78" w:rsidRDefault="00A9062E" w:rsidP="006E2A77">
            <w:pPr>
              <w:pStyle w:val="COMTabletext"/>
              <w:keepNext w:val="0"/>
              <w:rPr>
                <w:b/>
                <w:bCs w:val="0"/>
              </w:rPr>
            </w:pPr>
          </w:p>
        </w:tc>
        <w:tc>
          <w:tcPr>
            <w:tcW w:w="7462" w:type="dxa"/>
            <w:tcMar>
              <w:left w:w="20" w:type="dxa"/>
              <w:right w:w="20" w:type="dxa"/>
            </w:tcMar>
          </w:tcPr>
          <w:p w14:paraId="37ED61A2" w14:textId="77777777" w:rsidR="00A9062E" w:rsidRPr="00704B78" w:rsidRDefault="00A9062E" w:rsidP="006E2A77">
            <w:pPr>
              <w:pStyle w:val="COMTabletext"/>
              <w:keepNext w:val="0"/>
            </w:pPr>
            <w:r w:rsidRPr="00704B78">
              <w:t>The authority application must be in writing and must include all the following:</w:t>
            </w:r>
          </w:p>
          <w:p w14:paraId="28C7457E" w14:textId="77777777" w:rsidR="00A9062E" w:rsidRPr="00704B78" w:rsidRDefault="00A9062E" w:rsidP="006E2A77">
            <w:pPr>
              <w:pStyle w:val="COMTabletext"/>
              <w:keepNext w:val="0"/>
            </w:pPr>
            <w:r w:rsidRPr="00704B78">
              <w:t>(1) A completed authority prescription form(s).</w:t>
            </w:r>
          </w:p>
          <w:p w14:paraId="7FC1AABE" w14:textId="77777777" w:rsidR="00A9062E" w:rsidRPr="00704B78" w:rsidRDefault="00A9062E" w:rsidP="006E2A77">
            <w:pPr>
              <w:pStyle w:val="COMTabletext"/>
              <w:keepNext w:val="0"/>
            </w:pPr>
            <w:r w:rsidRPr="00704B78">
              <w:t>(2) A completed authority application form relevant to the indication and treatment phase (the latest version is located on the website specified in the Administrative Advice).</w:t>
            </w:r>
          </w:p>
          <w:p w14:paraId="43C02F2A" w14:textId="77777777" w:rsidR="00A9062E" w:rsidRPr="00704B78" w:rsidRDefault="00A9062E" w:rsidP="006E2A77">
            <w:pPr>
              <w:pStyle w:val="COMTabletext"/>
              <w:keepNext w:val="0"/>
            </w:pPr>
            <w:r w:rsidRPr="00704B78">
              <w:t>(3) The baseline MG-ADL profile score</w:t>
            </w:r>
          </w:p>
          <w:p w14:paraId="3EDE26B7" w14:textId="77777777" w:rsidR="00A9062E" w:rsidRPr="00704B78" w:rsidRDefault="00A9062E" w:rsidP="006E2A77">
            <w:pPr>
              <w:pStyle w:val="COMTabletext"/>
              <w:keepNext w:val="0"/>
            </w:pPr>
            <w:r w:rsidRPr="00704B78">
              <w:t>(4) The current MG-ADL profile score</w:t>
            </w:r>
          </w:p>
        </w:tc>
      </w:tr>
      <w:tr w:rsidR="00D52E49" w:rsidRPr="00704B78" w14:paraId="4231DC5F" w14:textId="77777777" w:rsidTr="00611348">
        <w:tblPrEx>
          <w:jc w:val="left"/>
          <w:tblCellMar>
            <w:top w:w="0" w:type="dxa"/>
            <w:left w:w="108" w:type="dxa"/>
            <w:bottom w:w="0" w:type="dxa"/>
            <w:right w:w="108" w:type="dxa"/>
          </w:tblCellMar>
        </w:tblPrEx>
        <w:trPr>
          <w:trHeight w:val="454"/>
        </w:trPr>
        <w:tc>
          <w:tcPr>
            <w:tcW w:w="1555" w:type="dxa"/>
            <w:tcMar>
              <w:left w:w="20" w:type="dxa"/>
              <w:right w:w="20" w:type="dxa"/>
            </w:tcMar>
          </w:tcPr>
          <w:p w14:paraId="299016DF" w14:textId="77777777" w:rsidR="00D52E49" w:rsidRPr="00704B78" w:rsidRDefault="00D52E49" w:rsidP="006E2A77">
            <w:pPr>
              <w:pStyle w:val="COMTabletext"/>
              <w:keepNext w:val="0"/>
              <w:rPr>
                <w:b/>
                <w:bCs w:val="0"/>
              </w:rPr>
            </w:pPr>
            <w:r w:rsidRPr="00704B78">
              <w:rPr>
                <w:b/>
                <w:bCs w:val="0"/>
              </w:rPr>
              <w:t>Administrative Advice:</w:t>
            </w:r>
          </w:p>
        </w:tc>
        <w:tc>
          <w:tcPr>
            <w:tcW w:w="7462" w:type="dxa"/>
            <w:tcMar>
              <w:left w:w="20" w:type="dxa"/>
              <w:right w:w="20" w:type="dxa"/>
            </w:tcMar>
          </w:tcPr>
          <w:p w14:paraId="17CA2D20" w14:textId="0334CEC3" w:rsidR="00D52E49" w:rsidRPr="00704B78" w:rsidRDefault="00D52E49" w:rsidP="006E2A77">
            <w:pPr>
              <w:pStyle w:val="COMTabletext"/>
            </w:pPr>
            <w:r w:rsidRPr="00704B78">
              <w:t>No increase in the maximum number of repeats may be authorised.</w:t>
            </w:r>
          </w:p>
        </w:tc>
      </w:tr>
      <w:tr w:rsidR="00A9062E" w:rsidRPr="00704B78" w14:paraId="14A75A9D" w14:textId="77777777" w:rsidTr="3517B442">
        <w:tblPrEx>
          <w:jc w:val="left"/>
          <w:tblCellMar>
            <w:top w:w="0" w:type="dxa"/>
            <w:left w:w="108" w:type="dxa"/>
            <w:bottom w:w="0" w:type="dxa"/>
            <w:right w:w="108" w:type="dxa"/>
          </w:tblCellMar>
        </w:tblPrEx>
        <w:tc>
          <w:tcPr>
            <w:tcW w:w="1555" w:type="dxa"/>
            <w:tcMar>
              <w:left w:w="20" w:type="dxa"/>
              <w:right w:w="20" w:type="dxa"/>
            </w:tcMar>
          </w:tcPr>
          <w:p w14:paraId="3DC71747" w14:textId="77777777" w:rsidR="00A9062E" w:rsidRPr="00704B78" w:rsidRDefault="00A9062E" w:rsidP="006E2A77">
            <w:pPr>
              <w:pStyle w:val="COMTabletext"/>
              <w:keepNext w:val="0"/>
              <w:rPr>
                <w:b/>
                <w:bCs w:val="0"/>
              </w:rPr>
            </w:pPr>
            <w:r w:rsidRPr="00704B78">
              <w:rPr>
                <w:rFonts w:cs="Times New Roman"/>
                <w:b/>
                <w:bCs w:val="0"/>
                <w:szCs w:val="20"/>
                <w:lang w:eastAsia="en-US" w:bidi="en-US"/>
              </w:rPr>
              <w:t>Note:</w:t>
            </w:r>
          </w:p>
        </w:tc>
        <w:tc>
          <w:tcPr>
            <w:tcW w:w="7462" w:type="dxa"/>
            <w:tcMar>
              <w:left w:w="20" w:type="dxa"/>
              <w:right w:w="20" w:type="dxa"/>
            </w:tcMar>
          </w:tcPr>
          <w:p w14:paraId="19D4D2CA" w14:textId="7D1A3461" w:rsidR="00A9062E" w:rsidRPr="00704B78" w:rsidRDefault="00A9062E" w:rsidP="006E2A77">
            <w:pPr>
              <w:pStyle w:val="COMTabletext"/>
              <w:keepNext w:val="0"/>
            </w:pPr>
            <w:r w:rsidRPr="00704B78">
              <w:rPr>
                <w:rFonts w:cs="Times New Roman"/>
                <w:szCs w:val="20"/>
                <w:lang w:eastAsia="en-US" w:bidi="en-US"/>
              </w:rPr>
              <w:t xml:space="preserve">The MG-ADL profile score is available at: </w:t>
            </w:r>
            <w:hyperlink r:id="rId20" w:history="1">
              <w:r w:rsidRPr="00704B78">
                <w:rPr>
                  <w:rStyle w:val="Hyperlink"/>
                  <w:rFonts w:cs="Times New Roman"/>
                  <w:szCs w:val="20"/>
                  <w:lang w:eastAsia="en-US" w:bidi="en-US"/>
                </w:rPr>
                <w:t>https://ultomiris.com/-/media/Ultomiris_gMG/pdf/gMG-ULTOMIRIS-ADL-Tool.ashx</w:t>
              </w:r>
            </w:hyperlink>
          </w:p>
        </w:tc>
      </w:tr>
      <w:tr w:rsidR="00A9062E" w:rsidRPr="00704B78" w14:paraId="6778D805" w14:textId="77777777" w:rsidTr="3517B442">
        <w:tblPrEx>
          <w:jc w:val="left"/>
          <w:tblCellMar>
            <w:top w:w="0" w:type="dxa"/>
            <w:left w:w="108" w:type="dxa"/>
            <w:bottom w:w="0" w:type="dxa"/>
            <w:right w:w="108" w:type="dxa"/>
          </w:tblCellMar>
        </w:tblPrEx>
        <w:tc>
          <w:tcPr>
            <w:tcW w:w="1555" w:type="dxa"/>
            <w:tcMar>
              <w:left w:w="20" w:type="dxa"/>
              <w:right w:w="20" w:type="dxa"/>
            </w:tcMar>
          </w:tcPr>
          <w:p w14:paraId="734BFA98" w14:textId="77777777" w:rsidR="00A9062E" w:rsidRPr="00704B78" w:rsidRDefault="00A9062E" w:rsidP="006E2A77">
            <w:pPr>
              <w:pStyle w:val="COMTabletext"/>
              <w:keepNext w:val="0"/>
              <w:rPr>
                <w:b/>
                <w:bCs w:val="0"/>
              </w:rPr>
            </w:pPr>
            <w:r w:rsidRPr="00704B78">
              <w:rPr>
                <w:rFonts w:cs="Times New Roman"/>
                <w:b/>
                <w:bCs w:val="0"/>
                <w:szCs w:val="20"/>
                <w:lang w:eastAsia="en-US" w:bidi="en-US"/>
              </w:rPr>
              <w:t>Caution:</w:t>
            </w:r>
          </w:p>
        </w:tc>
        <w:tc>
          <w:tcPr>
            <w:tcW w:w="7462" w:type="dxa"/>
            <w:tcMar>
              <w:left w:w="20" w:type="dxa"/>
              <w:right w:w="20" w:type="dxa"/>
            </w:tcMar>
          </w:tcPr>
          <w:p w14:paraId="44D996F3" w14:textId="77777777" w:rsidR="00A9062E" w:rsidRPr="00704B78" w:rsidRDefault="00A9062E" w:rsidP="006E2A77">
            <w:pPr>
              <w:jc w:val="left"/>
              <w:rPr>
                <w:rFonts w:ascii="Arial Narrow" w:hAnsi="Arial Narrow" w:cs="Times New Roman"/>
                <w:sz w:val="20"/>
                <w:szCs w:val="20"/>
                <w:lang w:eastAsia="en-US" w:bidi="en-US"/>
              </w:rPr>
            </w:pPr>
            <w:r w:rsidRPr="00704B78">
              <w:rPr>
                <w:rFonts w:ascii="Arial Narrow" w:hAnsi="Arial Narrow" w:cs="Times New Roman"/>
                <w:sz w:val="20"/>
                <w:szCs w:val="20"/>
                <w:lang w:eastAsia="en-US" w:bidi="en-US"/>
              </w:rPr>
              <w:t>WARNING: This drug increases the risk of meningococcal infections (sepsis and/or meningitis).</w:t>
            </w:r>
          </w:p>
          <w:p w14:paraId="6A80BA52" w14:textId="77777777" w:rsidR="00A9062E" w:rsidRPr="00704B78" w:rsidRDefault="00A9062E" w:rsidP="006E2A77">
            <w:pPr>
              <w:pStyle w:val="COMTabletext"/>
              <w:keepNext w:val="0"/>
            </w:pPr>
            <w:r w:rsidRPr="00704B78">
              <w:rPr>
                <w:rFonts w:cs="Times New Roman"/>
                <w:szCs w:val="20"/>
                <w:lang w:eastAsia="en-US" w:bidi="en-US"/>
              </w:rPr>
              <w:t>Consult the approved PI for information about vaccination against meningococcal infection.</w:t>
            </w:r>
          </w:p>
        </w:tc>
      </w:tr>
    </w:tbl>
    <w:p w14:paraId="328E5162" w14:textId="09061140" w:rsidR="00B53C03" w:rsidRDefault="00B53C03" w:rsidP="006E2A77">
      <w:pPr>
        <w:pStyle w:val="COMexecsummnumbered"/>
      </w:pPr>
      <w:r w:rsidRPr="00704B78">
        <w:t xml:space="preserve">The resubmission proposed a special pricing arrangement for ravulizumab consisting of a </w:t>
      </w:r>
      <w:r w:rsidR="00F555BD" w:rsidRPr="00875704">
        <w:rPr>
          <w:color w:val="000000"/>
          <w:w w:val="15"/>
          <w:shd w:val="solid" w:color="000000" w:fill="000000"/>
          <w:fitText w:val="-20" w:id="-691350015"/>
          <w14:textFill>
            <w14:solidFill>
              <w14:srgbClr w14:val="000000">
                <w14:alpha w14:val="100000"/>
              </w14:srgbClr>
            </w14:solidFill>
          </w14:textFill>
        </w:rPr>
        <w:t>|</w:t>
      </w:r>
      <w:r w:rsidR="00D61CA6" w:rsidRPr="00875704">
        <w:rPr>
          <w:color w:val="000000"/>
          <w:w w:val="15"/>
          <w:shd w:val="solid" w:color="000000" w:fill="000000"/>
          <w:fitText w:val="-20" w:id="-691350015"/>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50015"/>
          <w14:textFill>
            <w14:solidFill>
              <w14:srgbClr w14:val="000000">
                <w14:alpha w14:val="100000"/>
              </w14:srgbClr>
            </w14:solidFill>
          </w14:textFill>
        </w:rPr>
        <w:t>|</w:t>
      </w:r>
      <w:r w:rsidRPr="00704B78">
        <w:t xml:space="preserve">% rebate on the published AEMP per vial (the March 2024 submission proposed a </w:t>
      </w:r>
      <w:r w:rsidR="00F555BD" w:rsidRPr="00875704">
        <w:rPr>
          <w:color w:val="000000"/>
          <w:w w:val="15"/>
          <w:shd w:val="solid" w:color="000000" w:fill="000000"/>
          <w:fitText w:val="-20" w:id="-691350014"/>
          <w14:textFill>
            <w14:solidFill>
              <w14:srgbClr w14:val="000000">
                <w14:alpha w14:val="100000"/>
              </w14:srgbClr>
            </w14:solidFill>
          </w14:textFill>
        </w:rPr>
        <w:t>|</w:t>
      </w:r>
      <w:r w:rsidR="00D61CA6" w:rsidRPr="00875704">
        <w:rPr>
          <w:color w:val="000000"/>
          <w:w w:val="15"/>
          <w:shd w:val="solid" w:color="000000" w:fill="000000"/>
          <w:fitText w:val="-20" w:id="-691350014"/>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50014"/>
          <w14:textFill>
            <w14:solidFill>
              <w14:srgbClr w14:val="000000">
                <w14:alpha w14:val="100000"/>
              </w14:srgbClr>
            </w14:solidFill>
          </w14:textFill>
        </w:rPr>
        <w:t>|</w:t>
      </w:r>
      <w:r w:rsidRPr="00704B78">
        <w:t>% rebate</w:t>
      </w:r>
      <w:r w:rsidR="000F6824" w:rsidRPr="00704B78">
        <w:t>)</w:t>
      </w:r>
      <w:r w:rsidR="002746F2" w:rsidRPr="00704B78">
        <w:t xml:space="preserve">. This represented a </w:t>
      </w:r>
      <w:r w:rsidR="00F555BD" w:rsidRPr="00875704">
        <w:rPr>
          <w:color w:val="000000"/>
          <w:w w:val="15"/>
          <w:shd w:val="solid" w:color="000000" w:fill="000000"/>
          <w:fitText w:val="-20" w:id="-691350013"/>
          <w14:textFill>
            <w14:solidFill>
              <w14:srgbClr w14:val="000000">
                <w14:alpha w14:val="100000"/>
              </w14:srgbClr>
            </w14:solidFill>
          </w14:textFill>
        </w:rPr>
        <w:t>|</w:t>
      </w:r>
      <w:r w:rsidR="00D61CA6" w:rsidRPr="00875704">
        <w:rPr>
          <w:color w:val="000000"/>
          <w:w w:val="15"/>
          <w:shd w:val="solid" w:color="000000" w:fill="000000"/>
          <w:fitText w:val="-20" w:id="-691350013"/>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50013"/>
          <w14:textFill>
            <w14:solidFill>
              <w14:srgbClr w14:val="000000">
                <w14:alpha w14:val="100000"/>
              </w14:srgbClr>
            </w14:solidFill>
          </w14:textFill>
        </w:rPr>
        <w:t>|</w:t>
      </w:r>
      <w:r w:rsidR="002746F2" w:rsidRPr="00704B78">
        <w:t>% reduction in the proposed effective price of ravulizumab compared to the previous submission</w:t>
      </w:r>
      <w:r w:rsidRPr="00704B78">
        <w:t>. The proposed published prices were unchanged.</w:t>
      </w:r>
    </w:p>
    <w:p w14:paraId="3CFA850D" w14:textId="0BA9CB28" w:rsidR="009929F7" w:rsidRPr="00704B78" w:rsidRDefault="00C11AB0" w:rsidP="006E2A77">
      <w:pPr>
        <w:pStyle w:val="COMexecsummnumbered"/>
        <w:numPr>
          <w:ilvl w:val="0"/>
          <w:numId w:val="0"/>
        </w:numPr>
      </w:pPr>
      <w:r w:rsidRPr="00704B78">
        <w:rPr>
          <w:rFonts w:ascii="Calibri" w:hAnsi="Calibri" w:cs="Calibri"/>
          <w:szCs w:val="24"/>
          <w:u w:val="single"/>
        </w:rPr>
        <w:t>Newly diagnosed/bridging setting</w:t>
      </w:r>
    </w:p>
    <w:p w14:paraId="527A67B9" w14:textId="2EA63AAF" w:rsidR="00445408" w:rsidRPr="00704B78" w:rsidRDefault="00445408" w:rsidP="006E2A77">
      <w:pPr>
        <w:pStyle w:val="COMexecsummnumbered"/>
      </w:pPr>
      <w:r w:rsidRPr="00704B78">
        <w:t xml:space="preserve">The proposed PBS restrictions for newly diagnosed patients limit treatment to patients within 2 years of diagnosis on the basis that this period is the most difficult for patients as most standard therapies require time for treatment optimisation. The </w:t>
      </w:r>
      <w:r w:rsidR="00F53DD1" w:rsidRPr="00704B78">
        <w:t xml:space="preserve">evaluation </w:t>
      </w:r>
      <w:r w:rsidR="00F53DD1" w:rsidRPr="00704B78">
        <w:lastRenderedPageBreak/>
        <w:t xml:space="preserve">considered that the </w:t>
      </w:r>
      <w:r w:rsidRPr="00704B78">
        <w:t xml:space="preserve">appropriateness of </w:t>
      </w:r>
      <w:proofErr w:type="gramStart"/>
      <w:r w:rsidRPr="00704B78">
        <w:t>this criteria</w:t>
      </w:r>
      <w:proofErr w:type="gramEnd"/>
      <w:r w:rsidRPr="00704B78">
        <w:t xml:space="preserve"> was unclear as it </w:t>
      </w:r>
      <w:r w:rsidR="00710ED1" w:rsidRPr="00704B78">
        <w:t>may be</w:t>
      </w:r>
      <w:r w:rsidRPr="00704B78">
        <w:t xml:space="preserve"> reasonable to allow ravulizumab to be used in any patient meeting the other clinical criteria who initiate therapy with slower acting </w:t>
      </w:r>
      <w:r w:rsidR="001D5ECE">
        <w:t>NS-ISTs</w:t>
      </w:r>
      <w:r w:rsidRPr="00704B78">
        <w:t xml:space="preserve"> and require bridging therapies for symptom control. In the key CHAMPION-MG trial, the average time to ravulizumab treatment in the newly diagnosed subgroup was 1.4 years (median 1.5 years) and these patients were not required to have prior </w:t>
      </w:r>
      <w:r w:rsidR="00B667A6" w:rsidRPr="00704B78">
        <w:t>intravenous immunoglobulin (</w:t>
      </w:r>
      <w:r w:rsidRPr="00704B78">
        <w:t>IVIg</w:t>
      </w:r>
      <w:r w:rsidR="00B667A6" w:rsidRPr="00704B78">
        <w:t>)</w:t>
      </w:r>
      <w:r w:rsidR="002F06DB" w:rsidRPr="00704B78">
        <w:t xml:space="preserve"> </w:t>
      </w:r>
      <w:r w:rsidRPr="00704B78">
        <w:t>/</w:t>
      </w:r>
      <w:r w:rsidR="00B667A6" w:rsidRPr="00704B78">
        <w:t xml:space="preserve"> plasma exchange (</w:t>
      </w:r>
      <w:r w:rsidRPr="00704B78">
        <w:t>PLEX</w:t>
      </w:r>
      <w:r w:rsidR="00B667A6" w:rsidRPr="00704B78">
        <w:t>)</w:t>
      </w:r>
      <w:r w:rsidRPr="00704B78">
        <w:t xml:space="preserve"> treatment failure as proposed in the requested restriction.</w:t>
      </w:r>
    </w:p>
    <w:p w14:paraId="7EF98953" w14:textId="36641FC2" w:rsidR="00F07D46" w:rsidRDefault="00445408" w:rsidP="006E2A77">
      <w:pPr>
        <w:pStyle w:val="COMexecsummnumbered"/>
      </w:pPr>
      <w:r w:rsidRPr="00704B78">
        <w:t>The proposed newly diagnosed restriction requires patients to have received prior immunosuppressive therapy with a stable dose of oral corticosteroids for at least 1</w:t>
      </w:r>
      <w:r w:rsidR="00743E62">
        <w:t> </w:t>
      </w:r>
      <w:r w:rsidRPr="00704B78">
        <w:t xml:space="preserve">month or a stable dose of </w:t>
      </w:r>
      <w:r w:rsidR="001D5ECE">
        <w:t>NS-ISTs</w:t>
      </w:r>
      <w:r w:rsidRPr="00704B78">
        <w:t xml:space="preserve"> for at least 3 months. The </w:t>
      </w:r>
      <w:r w:rsidR="00C27910" w:rsidRPr="00704B78">
        <w:t xml:space="preserve">evaluation considered that these </w:t>
      </w:r>
      <w:r w:rsidRPr="00704B78">
        <w:t>requirements were not adequately justified in the resubmission but were consistent with expert advice</w:t>
      </w:r>
      <w:r w:rsidR="00A02916" w:rsidRPr="00704B78">
        <w:t xml:space="preserve"> provided with the resubmission</w:t>
      </w:r>
      <w:r w:rsidRPr="00704B78">
        <w:t xml:space="preserve"> which suggested that clinicians would not wait an extensive time to optimise therapy if ravulizumab were available. The expert advice summary noted that there was some debate about the prior therapy timeframes as some clinicians would prefer no specified dose or duration. The experts noted that </w:t>
      </w:r>
      <w:r w:rsidR="001D5ECE">
        <w:t>NS-ISTs</w:t>
      </w:r>
      <w:r w:rsidRPr="00704B78">
        <w:t xml:space="preserve"> would not be expected to be effective within the nominated timeframes. Additionally, there was some discussion about the inclusion of a minimum dose requirement for prior corticosteroid therapy (prednisolone ≥ 10 mg/day).</w:t>
      </w:r>
      <w:r w:rsidR="0075447B" w:rsidRPr="00704B78">
        <w:t xml:space="preserve"> </w:t>
      </w:r>
    </w:p>
    <w:p w14:paraId="4CD8E582" w14:textId="090F67E1" w:rsidR="000C7B47" w:rsidRPr="00704B78" w:rsidRDefault="00A50290" w:rsidP="006E2A77">
      <w:pPr>
        <w:pStyle w:val="COMexecsummnumbered"/>
      </w:pPr>
      <w:r w:rsidRPr="00704B78">
        <w:t xml:space="preserve">As outlined in </w:t>
      </w:r>
      <w:r w:rsidR="00346F38">
        <w:t>Section 7</w:t>
      </w:r>
      <w:r w:rsidRPr="00704B78">
        <w:t>, the ESC considered that any PBS restriction for bridging therapy should require the patient to have trialled at least three months of combination therapy with all three of: a</w:t>
      </w:r>
      <w:r w:rsidR="001D5ECE">
        <w:t xml:space="preserve">n </w:t>
      </w:r>
      <w:r w:rsidRPr="00704B78">
        <w:t xml:space="preserve">NS-IST; </w:t>
      </w:r>
      <w:proofErr w:type="gramStart"/>
      <w:r w:rsidRPr="00704B78">
        <w:t>plus</w:t>
      </w:r>
      <w:proofErr w:type="gramEnd"/>
      <w:r w:rsidRPr="00704B78">
        <w:t xml:space="preserve"> an anti-cholinesterase; </w:t>
      </w:r>
      <w:proofErr w:type="gramStart"/>
      <w:r w:rsidRPr="00704B78">
        <w:t>plus</w:t>
      </w:r>
      <w:proofErr w:type="gramEnd"/>
      <w:r w:rsidRPr="00704B78">
        <w:t xml:space="preserve">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Further, the ESC considered that the intention would be for the NS-IST to be continued concurrently with the new gMG therapy (unless contraindicated or severely intolerant).</w:t>
      </w:r>
      <w:r w:rsidR="000C7B47" w:rsidRPr="00704B78">
        <w:t xml:space="preserve"> </w:t>
      </w:r>
    </w:p>
    <w:p w14:paraId="33181B03" w14:textId="27E70FF4" w:rsidR="00A50290" w:rsidRDefault="002254E4" w:rsidP="006E2A77">
      <w:pPr>
        <w:pStyle w:val="COMexecsummnumbered"/>
      </w:pPr>
      <w:r w:rsidRPr="00704B78">
        <w:t>The resubmission proposed a maximum treatment duration of 2 years for patients with newly diagnosed disease on the basis that this was a sufficient timeframe to optimise background immunosuppressive therapies. However,</w:t>
      </w:r>
      <w:r w:rsidR="00A50290" w:rsidRPr="00704B78">
        <w:t xml:space="preserve"> as outlined in </w:t>
      </w:r>
      <w:r w:rsidR="0055778B">
        <w:t>Section 7</w:t>
      </w:r>
      <w:r w:rsidR="00A50290" w:rsidRPr="00704B78">
        <w:t xml:space="preserve">, the ESC considered that, overall, the primary literature suggests that most patients generally respond to NS-ISTs within 12 months, with many patients responding within the first one to six months. The ESC considered that any PBS restriction for bridging therapy should require the patient to cease the new therapy after around six months of treatment. After three months of therapy cessation (i.e. a total of at least 12 months since NS-IST initiation), patients whose condition remains uncontrolled may recommence under the refractory listing. Overall, the maximum treatment duration in the bridging setting would be around six months. </w:t>
      </w:r>
    </w:p>
    <w:p w14:paraId="6CBB8F20" w14:textId="4825870E" w:rsidR="0055778B" w:rsidRPr="00704B78" w:rsidRDefault="0055778B" w:rsidP="006E2A77">
      <w:pPr>
        <w:pStyle w:val="COMexecsummnumbered"/>
      </w:pPr>
      <w:r>
        <w:lastRenderedPageBreak/>
        <w:t xml:space="preserve">The pre-PBAC response reiterated the submission’s requested treatment duration of 2 years, stating </w:t>
      </w:r>
      <w:r w:rsidRPr="0055778B">
        <w:t>NS-ISTs need 18-24 months to optimise and achieve symptom control</w:t>
      </w:r>
      <w:r>
        <w:t>.</w:t>
      </w:r>
    </w:p>
    <w:p w14:paraId="01A2B110" w14:textId="77777777" w:rsidR="009B445E" w:rsidRPr="00704B78" w:rsidRDefault="009B445E" w:rsidP="006E2A77">
      <w:pPr>
        <w:pStyle w:val="COMexecsummnumbered"/>
        <w:numPr>
          <w:ilvl w:val="0"/>
          <w:numId w:val="0"/>
        </w:numPr>
        <w:rPr>
          <w:rFonts w:ascii="Calibri" w:hAnsi="Calibri" w:cs="Calibri"/>
          <w:szCs w:val="24"/>
          <w:u w:val="single"/>
        </w:rPr>
      </w:pPr>
      <w:r w:rsidRPr="00704B78">
        <w:rPr>
          <w:rFonts w:ascii="Calibri" w:hAnsi="Calibri" w:cs="Calibri"/>
          <w:szCs w:val="24"/>
          <w:u w:val="single"/>
        </w:rPr>
        <w:t>Refractory setting</w:t>
      </w:r>
    </w:p>
    <w:p w14:paraId="50556A4C" w14:textId="736501E3" w:rsidR="00445408" w:rsidRPr="00704B78" w:rsidRDefault="00445408" w:rsidP="006E2A77">
      <w:pPr>
        <w:pStyle w:val="COMexecsummnumbered"/>
      </w:pPr>
      <w:r w:rsidRPr="00704B78">
        <w:t>The proposed treatment refractory restriction requires patients to have received prior immunosuppressive therapy with at least 2 immunosuppressive agents for at least 24</w:t>
      </w:r>
      <w:r w:rsidR="00743E62">
        <w:t> </w:t>
      </w:r>
      <w:r w:rsidRPr="00704B78">
        <w:t xml:space="preserve">months, either in combination or as monotherapy. The resubmission claimed this requirement was consistent with the definition of treatment refractory disease in international guidelines (Sanders 2016). However, this definition was not consistent with the </w:t>
      </w:r>
      <w:r w:rsidR="00C55529" w:rsidRPr="00704B78">
        <w:t xml:space="preserve">international </w:t>
      </w:r>
      <w:r w:rsidRPr="00704B78">
        <w:t xml:space="preserve">guidelines which suggest prior therapy with corticosteroids and at least 2 other immunosuppressive therapies used at adequate doses for adequate durations. The 2-year timeframe was not adequately justified in the resubmission but appears to be related to the duration of time required for </w:t>
      </w:r>
      <w:r w:rsidR="001D5ECE">
        <w:t>NS-ISTs</w:t>
      </w:r>
      <w:r w:rsidRPr="00704B78">
        <w:t xml:space="preserve"> to be optimised. Th</w:t>
      </w:r>
      <w:r w:rsidR="00C070AA" w:rsidRPr="00704B78">
        <w:t>e evaluation and the ESC considered that th</w:t>
      </w:r>
      <w:r w:rsidRPr="00704B78">
        <w:t xml:space="preserve">is duration was not consistent with the proposed </w:t>
      </w:r>
      <w:r w:rsidR="002F06DB" w:rsidRPr="00704B78">
        <w:t xml:space="preserve">disease management </w:t>
      </w:r>
      <w:r w:rsidRPr="00704B78">
        <w:t xml:space="preserve">algorithms provided </w:t>
      </w:r>
      <w:r w:rsidR="00274B46" w:rsidRPr="00704B78">
        <w:t xml:space="preserve">by the sponsor </w:t>
      </w:r>
      <w:r w:rsidRPr="00704B78">
        <w:t>to the clinical experts which proposed a 12-month prior treatment duration and was not consistent with the definition of treatment refractory disease used in the post hoc analysis of the key clinical trial (which used a 12-month prior treatment duration).</w:t>
      </w:r>
      <w:r w:rsidR="00C070AA" w:rsidRPr="00704B78">
        <w:t xml:space="preserve"> </w:t>
      </w:r>
    </w:p>
    <w:p w14:paraId="71E51DB7" w14:textId="3352682B" w:rsidR="006E368D" w:rsidRPr="00704B78" w:rsidRDefault="007D4571" w:rsidP="006E2A77">
      <w:pPr>
        <w:pStyle w:val="COMexecsummnumbered"/>
        <w:rPr>
          <w:rFonts w:ascii="Calibri" w:hAnsi="Calibri" w:cs="Calibri"/>
        </w:rPr>
      </w:pPr>
      <w:r w:rsidRPr="00704B78">
        <w:rPr>
          <w:rFonts w:ascii="Calibri" w:hAnsi="Calibri" w:cs="Calibri"/>
        </w:rPr>
        <w:t xml:space="preserve">As outlined in </w:t>
      </w:r>
      <w:r w:rsidR="00346F38">
        <w:rPr>
          <w:rFonts w:ascii="Calibri" w:hAnsi="Calibri" w:cs="Calibri"/>
        </w:rPr>
        <w:t>Section 7</w:t>
      </w:r>
      <w:r w:rsidRPr="00704B78">
        <w:rPr>
          <w:rFonts w:ascii="Calibri" w:hAnsi="Calibri" w:cs="Calibri"/>
        </w:rPr>
        <w:t xml:space="preserve">, the ESC considered any PBS restriction for the refractory setting should require the patient to have prior treatment for at least one year. The ESC considered that further work would be required to determine the specific therapies and durations. </w:t>
      </w:r>
    </w:p>
    <w:p w14:paraId="3A2AC16D" w14:textId="49A4A1DB" w:rsidR="007875C5" w:rsidRPr="00704B78" w:rsidRDefault="007875C5" w:rsidP="006E2A77">
      <w:pPr>
        <w:pStyle w:val="COMexecsummnumbered"/>
        <w:rPr>
          <w:rFonts w:ascii="Calibri" w:hAnsi="Calibri" w:cs="Calibri"/>
          <w:szCs w:val="24"/>
        </w:rPr>
      </w:pPr>
      <w:r w:rsidRPr="00704B78">
        <w:t>The resubmission did not propose a maximum treatment duration for patients with treatment refractory disease. This was not consistent with the economic model which assumed a maximum treatment duration of 8 years.</w:t>
      </w:r>
    </w:p>
    <w:p w14:paraId="44CE5063" w14:textId="516F5E6B" w:rsidR="00E12E1A" w:rsidRPr="00704B78" w:rsidRDefault="00E12E1A" w:rsidP="006E2A77">
      <w:pPr>
        <w:pStyle w:val="COMexecsummnumbered"/>
        <w:numPr>
          <w:ilvl w:val="0"/>
          <w:numId w:val="0"/>
        </w:numPr>
      </w:pPr>
      <w:r w:rsidRPr="00704B78">
        <w:rPr>
          <w:rFonts w:ascii="Calibri" w:hAnsi="Calibri" w:cs="Calibri"/>
          <w:szCs w:val="24"/>
          <w:u w:val="single"/>
        </w:rPr>
        <w:t>Both settings</w:t>
      </w:r>
    </w:p>
    <w:p w14:paraId="1D35CABA" w14:textId="412CC1F5" w:rsidR="004A2231" w:rsidRPr="00704B78" w:rsidRDefault="007D4571" w:rsidP="006E2A77">
      <w:pPr>
        <w:pStyle w:val="COMexecsummnumbered"/>
      </w:pPr>
      <w:bookmarkStart w:id="9" w:name="_Ref190268424"/>
      <w:r w:rsidRPr="00704B78">
        <w:t xml:space="preserve">As outlined in </w:t>
      </w:r>
      <w:r w:rsidR="00346F38">
        <w:t>Section 7</w:t>
      </w:r>
      <w:r w:rsidRPr="00704B78">
        <w:t>, t</w:t>
      </w:r>
      <w:r w:rsidR="004A2231" w:rsidRPr="00704B78">
        <w:t xml:space="preserve">he ESC noted that the National Blood Authority </w:t>
      </w:r>
      <w:r w:rsidR="00621D63">
        <w:t>(NBA)</w:t>
      </w:r>
      <w:r w:rsidR="004A2231" w:rsidRPr="00704B78">
        <w:t xml:space="preserve"> qualifying criteria for IVIg</w:t>
      </w:r>
      <w:r w:rsidR="00621D63" w:rsidRPr="00704B78">
        <w:rPr>
          <w:rStyle w:val="FootnoteReference"/>
          <w:rFonts w:ascii="Calibri" w:hAnsi="Calibri" w:cs="Calibri"/>
        </w:rPr>
        <w:footnoteReference w:id="2"/>
      </w:r>
      <w:r w:rsidR="004A2231" w:rsidRPr="00704B78">
        <w:t xml:space="preserve"> specifies that the patient has a Myasthenic Gravis Composite (MGC) of at least 4 points; and at least 2 other treatments are ineffective, contraindicated, unavailable or caused intolerable side effects. The ESC considered this was broad as the other treatments could comprise two of: an anti-cholinesterase; a corticosteroid; or thymectomy (i.e. there is no requirement for the patient to have trialled </w:t>
      </w:r>
      <w:r w:rsidR="001D5ECE">
        <w:t>an NS-IST</w:t>
      </w:r>
      <w:r w:rsidR="004A2231" w:rsidRPr="00704B78">
        <w:t xml:space="preserve">) and no time periods or doses are specified. </w:t>
      </w:r>
    </w:p>
    <w:p w14:paraId="431EB5EF" w14:textId="7A32C339" w:rsidR="00445408" w:rsidRPr="00704B78" w:rsidRDefault="00445408" w:rsidP="006E2A77">
      <w:pPr>
        <w:pStyle w:val="COMexecsummnumbered"/>
      </w:pPr>
      <w:bookmarkStart w:id="10" w:name="_Ref191366876"/>
      <w:bookmarkStart w:id="11" w:name="_Ref194574111"/>
      <w:r w:rsidRPr="00704B78">
        <w:t>Both the newly diagnosed and treatment refractory proposed restrictions require patients to be unable to access IVIg/PLEX or have an intolerance or inadequate response to these therapies. The expert advice provided with the resubmission indicated that IVIg is widely available in Australia. The resubmission did not provide any clinical data for ravulizumab in patients who are intolerant or experience an inadequate response to chronic IVIg/PLEX.</w:t>
      </w:r>
      <w:r w:rsidR="00B04EDE" w:rsidRPr="00704B78">
        <w:t xml:space="preserve"> Overall, the ESC considered that</w:t>
      </w:r>
      <w:r w:rsidR="006D333E" w:rsidRPr="00704B78">
        <w:t xml:space="preserve"> a key </w:t>
      </w:r>
      <w:r w:rsidR="0055778B">
        <w:lastRenderedPageBreak/>
        <w:t>benefit</w:t>
      </w:r>
      <w:r w:rsidR="0055778B" w:rsidRPr="00704B78">
        <w:t xml:space="preserve"> </w:t>
      </w:r>
      <w:r w:rsidR="006D333E" w:rsidRPr="00704B78">
        <w:t xml:space="preserve">of the </w:t>
      </w:r>
      <w:r w:rsidR="004B754B" w:rsidRPr="00704B78">
        <w:t>new</w:t>
      </w:r>
      <w:r w:rsidR="0055778B">
        <w:t xml:space="preserve"> gMG</w:t>
      </w:r>
      <w:r w:rsidR="004B754B" w:rsidRPr="00704B78">
        <w:t xml:space="preserve"> therapies would be to reduce IVIg use, and as such,</w:t>
      </w:r>
      <w:r w:rsidR="00B04EDE" w:rsidRPr="00704B78">
        <w:t xml:space="preserve"> </w:t>
      </w:r>
      <w:r w:rsidR="00C278D8" w:rsidRPr="00704B78">
        <w:t>there should be no requirement for the patient to have trialled (and have had an intolera</w:t>
      </w:r>
      <w:r w:rsidR="007C24F5" w:rsidRPr="00704B78">
        <w:t>nc</w:t>
      </w:r>
      <w:r w:rsidR="00C278D8" w:rsidRPr="00704B78">
        <w:t>e or inadequate response to) prior IVIg or PLEX.</w:t>
      </w:r>
      <w:r w:rsidR="00D514CA" w:rsidRPr="00704B78">
        <w:t xml:space="preserve"> </w:t>
      </w:r>
      <w:r w:rsidR="00933E5D" w:rsidRPr="00704B78">
        <w:t xml:space="preserve">Further, the ESC considered </w:t>
      </w:r>
      <w:r w:rsidR="00F36ACA" w:rsidRPr="00704B78">
        <w:t>that</w:t>
      </w:r>
      <w:r w:rsidR="003B304F" w:rsidRPr="00704B78">
        <w:t>: the</w:t>
      </w:r>
      <w:r w:rsidR="00F36ACA" w:rsidRPr="00704B78">
        <w:t xml:space="preserve"> </w:t>
      </w:r>
      <w:r w:rsidR="00913117" w:rsidRPr="00704B78">
        <w:t xml:space="preserve">submission’s proposed criteria </w:t>
      </w:r>
      <w:r w:rsidR="003B304F" w:rsidRPr="00704B78">
        <w:t xml:space="preserve">could encourage earlier use of IVIg/PLEX; and the criteria </w:t>
      </w:r>
      <w:r w:rsidR="00913117" w:rsidRPr="00704B78">
        <w:t>around ‘able to receive’ IVIg/PLEX were subjective.</w:t>
      </w:r>
      <w:bookmarkEnd w:id="9"/>
      <w:bookmarkEnd w:id="10"/>
      <w:r w:rsidR="00765210" w:rsidRPr="00704B78">
        <w:t xml:space="preserve"> </w:t>
      </w:r>
      <w:r w:rsidR="0055778B">
        <w:t xml:space="preserve">The pre-PBAC response stated this requirement was to target patients with the highest clinical need, however the PBAC agreed with ESC that </w:t>
      </w:r>
      <w:r w:rsidR="0055778B" w:rsidRPr="0055778B">
        <w:t>there should be no requirement for the patient to have trialled (and have had an intolerance or inadequate response to) prior IVIg or PLEX</w:t>
      </w:r>
      <w:r w:rsidR="0055778B">
        <w:t>.</w:t>
      </w:r>
      <w:bookmarkEnd w:id="11"/>
    </w:p>
    <w:p w14:paraId="04E63062" w14:textId="0FB596D7" w:rsidR="003B304F" w:rsidRPr="00704B78" w:rsidRDefault="004644FC" w:rsidP="006E2A77">
      <w:pPr>
        <w:pStyle w:val="COMexecsummnumbered"/>
        <w:rPr>
          <w:rFonts w:ascii="Calibri" w:hAnsi="Calibri" w:cs="Calibri"/>
        </w:rPr>
      </w:pPr>
      <w:r w:rsidRPr="00704B78">
        <w:t xml:space="preserve">Further, the ESC considered that the PBS restriction should state that </w:t>
      </w:r>
      <w:r w:rsidR="003B304F" w:rsidRPr="00704B78">
        <w:t xml:space="preserve">ravulizumab </w:t>
      </w:r>
      <w:r w:rsidRPr="00704B78">
        <w:t xml:space="preserve">should not be used in combination with </w:t>
      </w:r>
      <w:r w:rsidR="002C2B3F">
        <w:t xml:space="preserve">maintenance </w:t>
      </w:r>
      <w:r w:rsidRPr="00704B78">
        <w:t>IVIg.</w:t>
      </w:r>
      <w:r w:rsidR="003B304F" w:rsidRPr="00704B78">
        <w:t xml:space="preserve"> </w:t>
      </w:r>
      <w:r w:rsidR="003B304F" w:rsidRPr="00704B78">
        <w:rPr>
          <w:rFonts w:ascii="Calibri" w:hAnsi="Calibri" w:cs="Calibri"/>
        </w:rPr>
        <w:t>The ESC considered that in both settings, the new gMG therapies should substitute for intravenous immunoglobulin (IVIg) and plasma exchange (PLEX) rather than be added on to or used in combination with these modalities.</w:t>
      </w:r>
    </w:p>
    <w:p w14:paraId="7B7B4720" w14:textId="34E065F2" w:rsidR="000166D3" w:rsidRDefault="00445408" w:rsidP="006E2A77">
      <w:pPr>
        <w:pStyle w:val="COMexecsummnumbered"/>
      </w:pPr>
      <w:r w:rsidRPr="00704B78">
        <w:t>The resubmission proposed changing the continuation criterion from at least a 2-point reduction in MG-ADL score at 6 months in the March 2024 PBAC submission to at least a 3-point reduction in MG-ADL score at 12 weeks in the current resubmission. The resubmission noted that this change was consistent with expert advice from treating physicians and the May 2024 Myasthenia Gravis stakeholder meeting</w:t>
      </w:r>
      <w:r w:rsidR="00874F10" w:rsidRPr="00704B78">
        <w:rPr>
          <w:rStyle w:val="FootnoteReference"/>
          <w:rFonts w:ascii="Calibri" w:hAnsi="Calibri" w:cs="Calibri"/>
        </w:rPr>
        <w:footnoteReference w:id="3"/>
      </w:r>
      <w:r w:rsidRPr="00704B78">
        <w:t>. The resubmission noted that this change should also address PBAC’s concerns regarding the large placebo effects observed using a 2-point threshold.</w:t>
      </w:r>
      <w:r w:rsidR="000166D3" w:rsidRPr="00704B78">
        <w:t xml:space="preserve"> </w:t>
      </w:r>
      <w:r w:rsidR="008E687D">
        <w:t>The evaluation noted that w</w:t>
      </w:r>
      <w:r w:rsidR="000166D3" w:rsidRPr="00704B78">
        <w:t>hile</w:t>
      </w:r>
      <w:r w:rsidR="008C4E74" w:rsidRPr="00704B78">
        <w:t xml:space="preserve"> the change in threshold and timing of the assessment</w:t>
      </w:r>
      <w:r w:rsidR="000166D3" w:rsidRPr="00704B78">
        <w:t xml:space="preserve"> </w:t>
      </w:r>
      <w:r w:rsidR="008C4E74" w:rsidRPr="00704B78">
        <w:t xml:space="preserve">may individually </w:t>
      </w:r>
      <w:r w:rsidR="000166D3" w:rsidRPr="00704B78">
        <w:t xml:space="preserve">appear reasonable their combined effect </w:t>
      </w:r>
      <w:r w:rsidR="00AC47F2" w:rsidRPr="00704B78">
        <w:t xml:space="preserve">in the key trial </w:t>
      </w:r>
      <w:r w:rsidR="000166D3" w:rsidRPr="00704B78">
        <w:t>resulted in relatively small incremental differences in response rates between treatment arms (ravulizumab responders 52.3% versus placebo responders 46.5%) comparable to the original estimates raised as a concern by PBAC (ravulizumab responders 63.9% versus placebo responders 53.0%).</w:t>
      </w:r>
    </w:p>
    <w:p w14:paraId="0C98194D" w14:textId="6FE492AD" w:rsidR="00704B78" w:rsidRPr="00704B78" w:rsidRDefault="00704B78" w:rsidP="006E2A77">
      <w:pPr>
        <w:pStyle w:val="COMexecsummnumbered"/>
        <w:numPr>
          <w:ilvl w:val="0"/>
          <w:numId w:val="0"/>
        </w:numPr>
        <w:ind w:left="720"/>
      </w:pPr>
      <w:r w:rsidRPr="00C33D30">
        <w:rPr>
          <w:i/>
        </w:rPr>
        <w:t xml:space="preserve">For more detail on PBAC’s view, see section </w:t>
      </w:r>
      <w:r w:rsidR="000A1820">
        <w:rPr>
          <w:i/>
        </w:rPr>
        <w:t>8</w:t>
      </w:r>
      <w:r w:rsidRPr="00C33D30">
        <w:rPr>
          <w:i/>
        </w:rPr>
        <w:t xml:space="preserve"> PBAC outcome</w:t>
      </w:r>
      <w:r w:rsidR="007D34A6">
        <w:rPr>
          <w:i/>
        </w:rPr>
        <w:t>.</w:t>
      </w:r>
    </w:p>
    <w:p w14:paraId="7075B85C" w14:textId="62A47B7B" w:rsidR="00B50DB8" w:rsidRPr="00704B78" w:rsidDel="00195452" w:rsidRDefault="00203181" w:rsidP="006E2A77">
      <w:pPr>
        <w:pStyle w:val="COMH1-numbered"/>
        <w:numPr>
          <w:ilvl w:val="0"/>
          <w:numId w:val="1"/>
        </w:numPr>
      </w:pPr>
      <w:bookmarkStart w:id="12" w:name="_Toc188350823"/>
      <w:r w:rsidRPr="00704B78" w:rsidDel="00195452">
        <w:t xml:space="preserve">Population and </w:t>
      </w:r>
      <w:r w:rsidR="008E0D3C" w:rsidRPr="00704B78" w:rsidDel="00195452">
        <w:t>d</w:t>
      </w:r>
      <w:r w:rsidRPr="00704B78" w:rsidDel="00195452">
        <w:t>isease</w:t>
      </w:r>
      <w:bookmarkEnd w:id="12"/>
    </w:p>
    <w:p w14:paraId="55D43C4D" w14:textId="606B9BB6" w:rsidR="00FF6BDC" w:rsidRPr="00704B78" w:rsidRDefault="00FF6BDC" w:rsidP="006E2A77">
      <w:pPr>
        <w:pStyle w:val="COMexecsummnumbered"/>
      </w:pPr>
      <w:r w:rsidRPr="00704B78">
        <w:t xml:space="preserve">Myasthenia gravis is a chronic autoimmune disorder caused by antibodies attacking components of the neuromuscular junction leading to impaired signal transmission between nerves and muscles. Patients can be classified into subgroups based on the antibodies involved, with </w:t>
      </w:r>
      <w:proofErr w:type="gramStart"/>
      <w:r w:rsidRPr="00704B78">
        <w:t>the majority of</w:t>
      </w:r>
      <w:proofErr w:type="gramEnd"/>
      <w:r w:rsidRPr="00704B78">
        <w:t xml:space="preserve"> patients (approximately 80%) having autoantibodies against acetylcholine receptors. </w:t>
      </w:r>
    </w:p>
    <w:p w14:paraId="73594415" w14:textId="16C8A77C" w:rsidR="00FF6BDC" w:rsidRPr="00704B78" w:rsidRDefault="00FF6BDC" w:rsidP="006E2A77">
      <w:pPr>
        <w:pStyle w:val="COMexecsummnumbered"/>
      </w:pPr>
      <w:r w:rsidRPr="00704B78">
        <w:t xml:space="preserve">The disease is characterised by muscle weakness which may be localised to ocular muscles (ocular myasthenia gravis) or generalised to include other muscles such as limbs, bulbar and respiratory system (generalised myasthenia gravis). Typical symptoms associated with myasthenia gravis include drooping eyelids, blurred or </w:t>
      </w:r>
      <w:r w:rsidRPr="00704B78">
        <w:lastRenderedPageBreak/>
        <w:t xml:space="preserve">double vision, shortness of breath, difficulty chewing and swallowing, impaired speech, fatigue, pain, muscle spasms and general muscle weakness. </w:t>
      </w:r>
      <w:r w:rsidR="000176ED" w:rsidRPr="00704B78">
        <w:t xml:space="preserve">Transient periods of rapid symptom worsening are referred to as disease exacerbations. Of particular concern are myasthenic crises which are severe, life-threatening exacerbations that are due to weakness in respiratory muscles </w:t>
      </w:r>
      <w:r w:rsidR="00EC0DDE">
        <w:t>resulting</w:t>
      </w:r>
      <w:r w:rsidR="000176ED" w:rsidRPr="00704B78">
        <w:t xml:space="preserve"> in respiratory failure requiring mechanical ventilation</w:t>
      </w:r>
      <w:r w:rsidR="00C706EB">
        <w:t>.</w:t>
      </w:r>
    </w:p>
    <w:p w14:paraId="505FF943" w14:textId="3AF26203" w:rsidR="000176ED" w:rsidRPr="00704B78" w:rsidRDefault="000176ED" w:rsidP="006E2A77">
      <w:pPr>
        <w:pStyle w:val="COMexecsummnumbered"/>
      </w:pPr>
      <w:r w:rsidRPr="00704B78">
        <w:t>Patient perspectives included in the resubmission indicate that the fluctuating and unpredictable nature of myasthenia gravis has substantial impacts on activities of daily living, quality of life, workplace participation and carer burden. Impacts on physical functioning included an inability to participate in hobbies/sports, need for increased planning, and difficulties performing activities of daily living such as personal hygiene, cooking and driving. Many patients also reported emotional/social impacts including anxiety, fear, depression, frustration, embarrassment and feeling misunderstood. The resubmission highlighted that the treatments used to manage this condition may also have substantial negative impacts to patients, particularly the side-effects associated with the use of chronic corticosteroids.</w:t>
      </w:r>
    </w:p>
    <w:p w14:paraId="39A1792D" w14:textId="0B6E5F6D" w:rsidR="00FF6BDC" w:rsidRPr="00704B78" w:rsidRDefault="00FF6BDC" w:rsidP="006E2A77">
      <w:pPr>
        <w:pStyle w:val="COMexecsummnumbered"/>
      </w:pPr>
      <w:r w:rsidRPr="00704B78">
        <w:t xml:space="preserve">The symptoms of myasthenia gravis can develop at any age (including childhood) but more commonly impacts young adult women and older men. The intensity of muscle weakness can fluctuate from day to day and can be worsened due to fatigue, stress, current illness and other factors. Based on its natural history, the disease reaches maximum, or near maximum, severity in the first 2 years after onset of symptoms and most patients with ocular myasthenia gravis will develop generalised symptoms over time. The resubmission noted that the mortality of patients with myasthenia gravis has decreased over the </w:t>
      </w:r>
      <w:proofErr w:type="gramStart"/>
      <w:r w:rsidRPr="00704B78">
        <w:t>years</w:t>
      </w:r>
      <w:proofErr w:type="gramEnd"/>
      <w:r w:rsidRPr="00704B78">
        <w:t xml:space="preserve"> and most patients have a normal lifespan.</w:t>
      </w:r>
    </w:p>
    <w:p w14:paraId="6073C8E9" w14:textId="5FE679FD" w:rsidR="000176ED" w:rsidRPr="00704B78" w:rsidRDefault="000176ED" w:rsidP="006E2A77">
      <w:pPr>
        <w:pStyle w:val="COMexecsummnumbered"/>
      </w:pPr>
      <w:r w:rsidRPr="00704B78">
        <w:t>A recent systematic review and meta-analysis of myasthenia gravis epidemiology studies (Sciancalepore 2024) noted that that the global incidence has more than doubled from 8.7 cases per million person-years in the period 1967-2007 to 22.9</w:t>
      </w:r>
      <w:r w:rsidR="00743E62">
        <w:t> </w:t>
      </w:r>
      <w:r w:rsidRPr="00704B78">
        <w:t>cases per million person-years in the period 2008-2022; and prevalence has increased from 97.5 cases per million person-years in the period 1952-2007 to 220.1 cases per million person-years in the period 2008-2021</w:t>
      </w:r>
      <w:r w:rsidR="001F0F6E">
        <w:t>.</w:t>
      </w:r>
    </w:p>
    <w:p w14:paraId="6131E879" w14:textId="3F9B2F23" w:rsidR="0070018D" w:rsidRPr="00704B78" w:rsidRDefault="00FF6BDC" w:rsidP="006E2A77">
      <w:pPr>
        <w:pStyle w:val="COMexecsummnumbered"/>
      </w:pPr>
      <w:bookmarkStart w:id="13" w:name="_Ref190268619"/>
      <w:r w:rsidRPr="00704B78">
        <w:t xml:space="preserve">Current treatment guidelines recommend the use of anti-cholinesterases in most patients with AChR positive generalised myasthenia gravis. However, the guidelines note that </w:t>
      </w:r>
      <w:proofErr w:type="gramStart"/>
      <w:r w:rsidRPr="00704B78">
        <w:t>the majority of</w:t>
      </w:r>
      <w:proofErr w:type="gramEnd"/>
      <w:r w:rsidRPr="00704B78">
        <w:t xml:space="preserve"> patients will also require immunosuppressive therapy, with corticosteroids used as the main first-line treatment option. The guidelines state that other immunosuppressive agents may also be used as monotherapies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 The guidelines note that chronic </w:t>
      </w:r>
      <w:r w:rsidR="002F06DB" w:rsidRPr="00704B78">
        <w:t>IVIg/</w:t>
      </w:r>
      <w:r w:rsidRPr="00704B78">
        <w:t xml:space="preserve">PLEX can be used as bridging therapies while patients adjust to other slower-acting immunosuppressive agents. Patients with treatment-refractory disease (variable definitions in the literature) can receive treatment with chronic </w:t>
      </w:r>
      <w:r w:rsidR="002F06DB" w:rsidRPr="00704B78">
        <w:t>IVIg</w:t>
      </w:r>
      <w:r w:rsidRPr="00704B78">
        <w:t>/</w:t>
      </w:r>
      <w:r w:rsidR="002F06DB" w:rsidRPr="00704B78">
        <w:t>PLEX</w:t>
      </w:r>
      <w:r w:rsidRPr="00704B78">
        <w:t xml:space="preserve">, eculizumab (not registered </w:t>
      </w:r>
      <w:r w:rsidRPr="00704B78">
        <w:lastRenderedPageBreak/>
        <w:t>in Australia for myasthenia gravis), cyclophosphamide or rituximab. Acute management of exacerbations typically involves the use of high dose corticosteroids, IVIg or PLEX in the community or hospital setting depending on severity.</w:t>
      </w:r>
      <w:bookmarkEnd w:id="13"/>
    </w:p>
    <w:p w14:paraId="75FB9778" w14:textId="77777777" w:rsidR="000176ED" w:rsidRPr="00704B78" w:rsidRDefault="000176ED" w:rsidP="006E2A77">
      <w:pPr>
        <w:pStyle w:val="COMexecsummnumbered"/>
      </w:pPr>
      <w:r w:rsidRPr="00704B78">
        <w:t>Ravulizumab is a monoclonal antibody that binds to the C5 terminal complement protein and inhibits its cleavage into pro-inflammatory components (C5a and C5b). It is presumed that the therapeutic effects of ravulizumab are due to a reduction in inflammation (potentially by reducing membrane attack complex-mediated destruction of the neuromuscular junction) although the exact mechanism of action in generalised myasthenia gravis is currently unknown.</w:t>
      </w:r>
    </w:p>
    <w:p w14:paraId="0EBAA72A" w14:textId="2AEBC512" w:rsidR="000176ED" w:rsidRPr="00704B78" w:rsidRDefault="000176ED" w:rsidP="006E2A77">
      <w:pPr>
        <w:pStyle w:val="COMexecsummnumbered"/>
      </w:pPr>
      <w:r w:rsidRPr="00704B78">
        <w:t>The clinical management algorithm presented in the resubmission appeared to position ravulizumab as a new ‘</w:t>
      </w:r>
      <w:proofErr w:type="gramStart"/>
      <w:r w:rsidRPr="00704B78">
        <w:t>second-line</w:t>
      </w:r>
      <w:proofErr w:type="gramEnd"/>
      <w:r w:rsidRPr="00704B78">
        <w:t>’ bridging therapy in newly diagnosed patients with prior treatment failure (unable to access, intolerant or inadequate response) to IVIg/PLEX. The resubmission also appeared to position ravulizumab as a last-line therapy in patients with treatment refractory disease (after prior use of standard therapies, IVIg/PLEX, rituximab and cyclophosphamide).</w:t>
      </w:r>
    </w:p>
    <w:p w14:paraId="0EC9897F" w14:textId="536F836C" w:rsidR="00EA0568" w:rsidRPr="00704B78" w:rsidRDefault="00EA0568" w:rsidP="006E2A77">
      <w:pPr>
        <w:pStyle w:val="COMexecsummnumbered"/>
      </w:pPr>
      <w:r w:rsidRPr="00704B78">
        <w:t xml:space="preserve">However, the ESC considered </w:t>
      </w:r>
      <w:r w:rsidR="00311D69" w:rsidRPr="00704B78">
        <w:t>the requirement for patients to have previously</w:t>
      </w:r>
      <w:r w:rsidR="007E57FF" w:rsidRPr="00704B78">
        <w:t xml:space="preserve"> tried IVIg/PLEX was inappropriate (refer to paragraph</w:t>
      </w:r>
      <w:r w:rsidR="00D7567C" w:rsidRPr="00704B78">
        <w:t xml:space="preserve"> </w:t>
      </w:r>
      <w:r w:rsidR="00F07D46">
        <w:fldChar w:fldCharType="begin"/>
      </w:r>
      <w:r w:rsidR="00F07D46">
        <w:instrText xml:space="preserve"> REF _Ref194574111 \r \h </w:instrText>
      </w:r>
      <w:r w:rsidR="00F07D46">
        <w:fldChar w:fldCharType="separate"/>
      </w:r>
      <w:r w:rsidR="00875704">
        <w:t>3.11</w:t>
      </w:r>
      <w:r w:rsidR="00F07D46">
        <w:fldChar w:fldCharType="end"/>
      </w:r>
      <w:r w:rsidR="00CA539B" w:rsidRPr="00704B78">
        <w:t>).</w:t>
      </w:r>
    </w:p>
    <w:p w14:paraId="2D71E197" w14:textId="7FA6DDC9" w:rsidR="000176ED" w:rsidRDefault="000176ED" w:rsidP="006E2A77">
      <w:pPr>
        <w:pStyle w:val="COMexecsummnumbered"/>
      </w:pPr>
      <w:r w:rsidRPr="00704B78">
        <w:t xml:space="preserve">The </w:t>
      </w:r>
      <w:r w:rsidR="00A83083" w:rsidRPr="00704B78">
        <w:t xml:space="preserve">evaluation considered that the </w:t>
      </w:r>
      <w:r w:rsidRPr="00704B78">
        <w:t xml:space="preserve">clinical place in therapy for ravulizumab </w:t>
      </w:r>
      <w:r w:rsidR="00FD70E3" w:rsidRPr="00704B78">
        <w:t xml:space="preserve">was </w:t>
      </w:r>
      <w:r w:rsidRPr="00704B78">
        <w:t>unclear, particularly as the use of ravulizumab and other similar agents for the treatment of myasthenia gravis are yet to be incorporated into most treatment guidelines.</w:t>
      </w:r>
    </w:p>
    <w:p w14:paraId="769C2DBC" w14:textId="78D6F25D" w:rsidR="00704B78" w:rsidRPr="00704B78" w:rsidRDefault="00704B78" w:rsidP="006E2A77">
      <w:pPr>
        <w:pStyle w:val="COMexecsummnumbered"/>
        <w:numPr>
          <w:ilvl w:val="0"/>
          <w:numId w:val="0"/>
        </w:numPr>
        <w:ind w:left="720"/>
      </w:pPr>
      <w:r w:rsidRPr="00C33D30">
        <w:rPr>
          <w:i/>
        </w:rPr>
        <w:t xml:space="preserve">For more detail on PBAC’s view, see section </w:t>
      </w:r>
      <w:r w:rsidR="000A1820">
        <w:rPr>
          <w:i/>
        </w:rPr>
        <w:t>8</w:t>
      </w:r>
      <w:r w:rsidRPr="00C33D30">
        <w:rPr>
          <w:i/>
        </w:rPr>
        <w:t xml:space="preserve"> PBAC outcome</w:t>
      </w:r>
      <w:r w:rsidR="007D34A6">
        <w:rPr>
          <w:i/>
        </w:rPr>
        <w:t>.</w:t>
      </w:r>
    </w:p>
    <w:p w14:paraId="51E5AE96" w14:textId="136A63B1" w:rsidR="00B50DB8" w:rsidRPr="00704B78" w:rsidRDefault="00B50DB8" w:rsidP="006E2A77">
      <w:pPr>
        <w:pStyle w:val="COMH1-numbered"/>
        <w:numPr>
          <w:ilvl w:val="0"/>
          <w:numId w:val="1"/>
        </w:numPr>
      </w:pPr>
      <w:bookmarkStart w:id="14" w:name="_Toc188350824"/>
      <w:r w:rsidRPr="00704B78">
        <w:t>Comparator</w:t>
      </w:r>
      <w:bookmarkEnd w:id="14"/>
    </w:p>
    <w:p w14:paraId="090423B4" w14:textId="2C611D15" w:rsidR="00AD6A9E" w:rsidRPr="00704B78" w:rsidRDefault="00AD6A9E" w:rsidP="006E2A77">
      <w:pPr>
        <w:pStyle w:val="COMexecsummnumbered"/>
      </w:pPr>
      <w:r w:rsidRPr="00704B78">
        <w:t xml:space="preserve">The resubmission nominated placebo as the main comparator for newly diagnosed patients. The main argument provided in support of this nomination was that ravulizumab would be used as an add-on to standard therapy (consisting of anticholinesterases, corticosteroids and other immunosuppressive agents such as mycophenolate mofetil, azathioprine, methotrexate, tacrolimus, cyclosporin) in patients with prior treatment failure to IVIg/PLEX (unable to access, intolerant or inadequate response) and would not directly substitute for other therapies. This was inconsistent with the proposed treatment algorithm and economic model which indicated that use of ravulizumab as a new line of therapy in this population would displace the use of rituximab, cyclophosphamide and high dose corticosteroids. The </w:t>
      </w:r>
      <w:r w:rsidR="00BC536D" w:rsidRPr="00704B78">
        <w:t xml:space="preserve">evaluation considered that the </w:t>
      </w:r>
      <w:r w:rsidRPr="00704B78">
        <w:t xml:space="preserve">appropriate comparator in this population </w:t>
      </w:r>
      <w:r w:rsidR="00BC536D" w:rsidRPr="00704B78">
        <w:t xml:space="preserve">was </w:t>
      </w:r>
      <w:r w:rsidRPr="00704B78">
        <w:t xml:space="preserve">unclear as, in the absence of ravulizumab (which requires prior failure of IVIg/PLEX), it </w:t>
      </w:r>
      <w:r w:rsidR="00BC536D" w:rsidRPr="00704B78">
        <w:t xml:space="preserve">was </w:t>
      </w:r>
      <w:r w:rsidRPr="00704B78">
        <w:t>unclear whether patients would initiate IVIg/PLEX as early in the treatment pathway.</w:t>
      </w:r>
    </w:p>
    <w:p w14:paraId="1D8632AE" w14:textId="7A99F5FB" w:rsidR="00AD6A9E" w:rsidRPr="00704B78" w:rsidRDefault="00AD6A9E" w:rsidP="006E2A77">
      <w:pPr>
        <w:pStyle w:val="COMexecsummnumbered"/>
      </w:pPr>
      <w:r w:rsidRPr="00704B78">
        <w:t xml:space="preserve">The resubmission nominated placebo as the main comparator for treatment refractory patients. The main argument provided in support of this nomination was that ravulizumab would be used as a last-line therapy in this population. This was </w:t>
      </w:r>
      <w:r w:rsidRPr="00704B78">
        <w:lastRenderedPageBreak/>
        <w:t xml:space="preserve">consistent with the proposed treatment algorithm but was inconsistent with the economic analysis which </w:t>
      </w:r>
      <w:r w:rsidR="00CE60FD" w:rsidRPr="00704B78">
        <w:t xml:space="preserve">positioned </w:t>
      </w:r>
      <w:r w:rsidRPr="00704B78">
        <w:t xml:space="preserve">ravulizumab as a new line of therapy immediately prior to using rituximab and cyclophosphamide. Overall, </w:t>
      </w:r>
      <w:r w:rsidR="00735AEF" w:rsidRPr="00704B78">
        <w:t xml:space="preserve">the evaluation considered that </w:t>
      </w:r>
      <w:r w:rsidRPr="00704B78">
        <w:t xml:space="preserve">placebo </w:t>
      </w:r>
      <w:r w:rsidR="00735AEF" w:rsidRPr="00704B78">
        <w:t xml:space="preserve">would be </w:t>
      </w:r>
      <w:r w:rsidRPr="00704B78">
        <w:t>an appropriate comparator in patients who have failed all other treatment options (including rituximab and cyclophosphamide), but for treatment-refractory patients who have only failed prior IVIg/PLEX the appropriate comparators would be rituximab and cyclophosphamide.</w:t>
      </w:r>
    </w:p>
    <w:p w14:paraId="0EBBDA56" w14:textId="476B8FB3" w:rsidR="000132B3" w:rsidRPr="00704B78" w:rsidRDefault="003B304F" w:rsidP="006E2A77">
      <w:pPr>
        <w:pStyle w:val="COMexecsummnumbered"/>
        <w:rPr>
          <w:rFonts w:ascii="Calibri" w:eastAsia="Calibri" w:hAnsi="Calibri" w:cs="Calibri"/>
        </w:rPr>
      </w:pPr>
      <w:r w:rsidRPr="00704B78">
        <w:rPr>
          <w:rFonts w:ascii="Calibri" w:eastAsia="Calibri" w:hAnsi="Calibri" w:cs="Calibri"/>
        </w:rPr>
        <w:t>A</w:t>
      </w:r>
      <w:r w:rsidR="000132B3" w:rsidRPr="00704B78">
        <w:rPr>
          <w:rFonts w:ascii="Calibri" w:eastAsia="Calibri" w:hAnsi="Calibri" w:cs="Calibri"/>
        </w:rPr>
        <w:t xml:space="preserve">t its July 2024 meeting, 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ravulizumab in the refractory setting” (paragraph 7.10, ravulizumab </w:t>
      </w:r>
      <w:r w:rsidR="00A934B2" w:rsidRPr="00A934B2">
        <w:rPr>
          <w:rFonts w:ascii="Calibri" w:eastAsia="Calibri" w:hAnsi="Calibri" w:cs="Calibri"/>
        </w:rPr>
        <w:t xml:space="preserve">Public Summary Document </w:t>
      </w:r>
      <w:r w:rsidR="00A934B2">
        <w:rPr>
          <w:rFonts w:ascii="Calibri" w:eastAsia="Calibri" w:hAnsi="Calibri" w:cs="Calibri"/>
        </w:rPr>
        <w:t>(</w:t>
      </w:r>
      <w:r w:rsidR="000132B3" w:rsidRPr="00704B78">
        <w:rPr>
          <w:rFonts w:ascii="Calibri" w:eastAsia="Calibri" w:hAnsi="Calibri" w:cs="Calibri"/>
        </w:rPr>
        <w:t>PSD</w:t>
      </w:r>
      <w:r w:rsidR="00A934B2">
        <w:rPr>
          <w:rFonts w:ascii="Calibri" w:eastAsia="Calibri" w:hAnsi="Calibri" w:cs="Calibri"/>
        </w:rPr>
        <w:t>)</w:t>
      </w:r>
      <w:r w:rsidR="000132B3" w:rsidRPr="00704B78">
        <w:rPr>
          <w:rFonts w:ascii="Calibri" w:eastAsia="Calibri" w:hAnsi="Calibri" w:cs="Calibri"/>
        </w:rPr>
        <w:t xml:space="preserve">, July 2024 PBAC meeting). </w:t>
      </w:r>
    </w:p>
    <w:p w14:paraId="57B3BD54" w14:textId="6E4AE7ED" w:rsidR="000132B3" w:rsidRPr="00704B78" w:rsidRDefault="003B304F" w:rsidP="006E2A77">
      <w:pPr>
        <w:pStyle w:val="COMexecsummnumbered"/>
        <w:rPr>
          <w:rFonts w:ascii="Calibri" w:eastAsia="Calibri" w:hAnsi="Calibri" w:cs="Calibri"/>
        </w:rPr>
      </w:pPr>
      <w:r w:rsidRPr="00704B78">
        <w:rPr>
          <w:rFonts w:ascii="Calibri" w:eastAsia="Calibri" w:hAnsi="Calibri" w:cs="Calibri"/>
        </w:rPr>
        <w:t>As outlined in</w:t>
      </w:r>
      <w:r w:rsidR="00805182">
        <w:rPr>
          <w:rFonts w:ascii="Calibri" w:eastAsia="Calibri" w:hAnsi="Calibri" w:cs="Calibri"/>
        </w:rPr>
        <w:t xml:space="preserve"> </w:t>
      </w:r>
      <w:r w:rsidR="00346F38">
        <w:rPr>
          <w:rFonts w:ascii="Calibri" w:eastAsia="Calibri" w:hAnsi="Calibri" w:cs="Calibri"/>
        </w:rPr>
        <w:t>Section 7</w:t>
      </w:r>
      <w:r w:rsidR="000132B3" w:rsidRPr="00704B78">
        <w:rPr>
          <w:rFonts w:ascii="Calibri" w:eastAsia="Calibri" w:hAnsi="Calibri" w:cs="Calibri"/>
        </w:rPr>
        <w:t>, the ESC reiterated the PBAC’s previous advice that chronic IVIg was a relevant comparator for providing a frame of reference for interpreting the cost per patient of the newer gMG therapies in the refractory setting.</w:t>
      </w:r>
    </w:p>
    <w:p w14:paraId="708E0028" w14:textId="11B01B17" w:rsidR="00AD6A9E" w:rsidRDefault="00AD6A9E" w:rsidP="006E2A77">
      <w:pPr>
        <w:pStyle w:val="COMexecsummnumbered"/>
      </w:pPr>
      <w:r w:rsidRPr="00704B78">
        <w:t>The resubmission identified zilucoplan</w:t>
      </w:r>
      <w:r w:rsidR="00BF3105">
        <w:t xml:space="preserve"> (a complement inhibitor)</w:t>
      </w:r>
      <w:r w:rsidRPr="00704B78">
        <w:t xml:space="preserve">, </w:t>
      </w:r>
      <w:r w:rsidR="00BF3105">
        <w:t>and</w:t>
      </w:r>
      <w:r w:rsidRPr="00704B78">
        <w:t xml:space="preserve"> efgartigimod and rozanolixizumab </w:t>
      </w:r>
      <w:r w:rsidR="00BF3105">
        <w:t xml:space="preserve">(medicines that target the </w:t>
      </w:r>
      <w:r w:rsidR="009C5C70" w:rsidRPr="009C5C70">
        <w:t>neonatal Fc receptor </w:t>
      </w:r>
      <w:r w:rsidR="002B72DF">
        <w:t>(</w:t>
      </w:r>
      <w:r w:rsidR="0036712B">
        <w:t>FcRn))</w:t>
      </w:r>
      <w:r w:rsidR="009C5C70" w:rsidRPr="009C5C70">
        <w:t xml:space="preserve"> </w:t>
      </w:r>
      <w:r w:rsidRPr="00704B78">
        <w:t xml:space="preserve">as near-market comparators. This </w:t>
      </w:r>
      <w:r w:rsidR="0029770D" w:rsidRPr="00704B78">
        <w:t xml:space="preserve">evaluation and the ESC considered this </w:t>
      </w:r>
      <w:r w:rsidRPr="00704B78">
        <w:t xml:space="preserve">was appropriate. </w:t>
      </w:r>
      <w:r w:rsidR="00DD69F8">
        <w:t>Submissions for PBS listing of these additional therapies were also considered at the March 2025 PBAC meeting.</w:t>
      </w:r>
    </w:p>
    <w:p w14:paraId="24E13F72" w14:textId="27749982" w:rsidR="00704B78" w:rsidRPr="00704B78" w:rsidRDefault="00704B78" w:rsidP="006E2A77">
      <w:pPr>
        <w:pStyle w:val="COMexecsummnumbered"/>
        <w:numPr>
          <w:ilvl w:val="0"/>
          <w:numId w:val="0"/>
        </w:numPr>
        <w:ind w:left="720"/>
      </w:pPr>
      <w:r w:rsidRPr="00C33D30">
        <w:rPr>
          <w:i/>
        </w:rPr>
        <w:t xml:space="preserve">For more detail on PBAC’s view, see section </w:t>
      </w:r>
      <w:r w:rsidR="000A1820">
        <w:rPr>
          <w:i/>
        </w:rPr>
        <w:t>8</w:t>
      </w:r>
      <w:r w:rsidRPr="00C33D30">
        <w:rPr>
          <w:i/>
        </w:rPr>
        <w:t xml:space="preserve"> PBAC outcome</w:t>
      </w:r>
      <w:r w:rsidR="003A56BE">
        <w:rPr>
          <w:i/>
        </w:rPr>
        <w:t>.</w:t>
      </w:r>
    </w:p>
    <w:p w14:paraId="7F9C27C8" w14:textId="77777777" w:rsidR="00223D5A" w:rsidRPr="00704B78" w:rsidRDefault="00223D5A" w:rsidP="006E2A77">
      <w:pPr>
        <w:pStyle w:val="COMH1-numbered"/>
        <w:numPr>
          <w:ilvl w:val="0"/>
          <w:numId w:val="1"/>
        </w:numPr>
      </w:pPr>
      <w:bookmarkStart w:id="15" w:name="_Toc188350825"/>
      <w:bookmarkStart w:id="16" w:name="_Toc22897640"/>
      <w:r w:rsidRPr="00704B78">
        <w:t>Consideration of the evidence</w:t>
      </w:r>
      <w:bookmarkEnd w:id="15"/>
    </w:p>
    <w:p w14:paraId="1DE5D4B5" w14:textId="77777777" w:rsidR="00704B78" w:rsidRPr="00704B78" w:rsidRDefault="00704B78" w:rsidP="006E2A77">
      <w:pPr>
        <w:pStyle w:val="3-SubsectionHeading"/>
        <w:outlineLvl w:val="1"/>
        <w:rPr>
          <w:iCs/>
          <w:color w:val="auto"/>
        </w:rPr>
      </w:pPr>
      <w:bookmarkStart w:id="17" w:name="_Toc188350826"/>
      <w:r w:rsidRPr="00704B78">
        <w:rPr>
          <w:iCs/>
          <w:color w:val="auto"/>
        </w:rPr>
        <w:t>Sponsor hearing</w:t>
      </w:r>
    </w:p>
    <w:p w14:paraId="054A025B" w14:textId="7BFACDCC" w:rsidR="00750B9F" w:rsidRPr="00893AC9" w:rsidRDefault="00704B78" w:rsidP="006E2A77">
      <w:pPr>
        <w:numPr>
          <w:ilvl w:val="1"/>
          <w:numId w:val="1"/>
        </w:numPr>
        <w:spacing w:after="120"/>
        <w:rPr>
          <w:rFonts w:asciiTheme="minorHAnsi" w:hAnsiTheme="minorHAnsi"/>
          <w:bCs/>
          <w:snapToGrid w:val="0"/>
        </w:rPr>
      </w:pPr>
      <w:bookmarkStart w:id="18" w:name="_Hlk76382586"/>
      <w:r w:rsidRPr="00893AC9">
        <w:rPr>
          <w:rFonts w:asciiTheme="minorHAnsi" w:hAnsiTheme="minorHAnsi"/>
          <w:bCs/>
          <w:snapToGrid w:val="0"/>
        </w:rPr>
        <w:t xml:space="preserve">The sponsor requested a hearing for this item. The clinician </w:t>
      </w:r>
      <w:r w:rsidR="004861E4" w:rsidRPr="00893AC9">
        <w:rPr>
          <w:rFonts w:asciiTheme="minorHAnsi" w:hAnsiTheme="minorHAnsi"/>
          <w:bCs/>
          <w:snapToGrid w:val="0"/>
        </w:rPr>
        <w:t>outlined the high clinical need for new treatments for gMG</w:t>
      </w:r>
      <w:r w:rsidR="00750B9F" w:rsidRPr="00893AC9">
        <w:rPr>
          <w:rFonts w:asciiTheme="minorHAnsi" w:hAnsiTheme="minorHAnsi"/>
          <w:bCs/>
          <w:snapToGrid w:val="0"/>
        </w:rPr>
        <w:t xml:space="preserve"> and</w:t>
      </w:r>
      <w:r w:rsidR="004861E4" w:rsidRPr="00893AC9">
        <w:rPr>
          <w:rFonts w:asciiTheme="minorHAnsi" w:hAnsiTheme="minorHAnsi"/>
          <w:bCs/>
          <w:snapToGrid w:val="0"/>
        </w:rPr>
        <w:t xml:space="preserve"> the impact </w:t>
      </w:r>
      <w:r w:rsidR="00750B9F" w:rsidRPr="00893AC9">
        <w:rPr>
          <w:rFonts w:asciiTheme="minorHAnsi" w:hAnsiTheme="minorHAnsi"/>
          <w:bCs/>
          <w:snapToGrid w:val="0"/>
        </w:rPr>
        <w:t xml:space="preserve">the condition has on patient quality of life including the </w:t>
      </w:r>
      <w:r w:rsidR="004861E4" w:rsidRPr="00893AC9">
        <w:rPr>
          <w:rFonts w:asciiTheme="minorHAnsi" w:hAnsiTheme="minorHAnsi"/>
          <w:bCs/>
          <w:snapToGrid w:val="0"/>
        </w:rPr>
        <w:t>impact on employment</w:t>
      </w:r>
      <w:r w:rsidR="00750B9F" w:rsidRPr="00893AC9">
        <w:rPr>
          <w:rFonts w:asciiTheme="minorHAnsi" w:hAnsiTheme="minorHAnsi"/>
          <w:bCs/>
          <w:snapToGrid w:val="0"/>
        </w:rPr>
        <w:t xml:space="preserve"> and</w:t>
      </w:r>
      <w:r w:rsidR="00BA720F">
        <w:rPr>
          <w:rFonts w:asciiTheme="minorHAnsi" w:hAnsiTheme="minorHAnsi"/>
          <w:bCs/>
          <w:snapToGrid w:val="0"/>
        </w:rPr>
        <w:t xml:space="preserve"> </w:t>
      </w:r>
      <w:r w:rsidR="00750B9F" w:rsidRPr="00893AC9">
        <w:rPr>
          <w:rFonts w:asciiTheme="minorHAnsi" w:hAnsiTheme="minorHAnsi"/>
          <w:bCs/>
          <w:snapToGrid w:val="0"/>
        </w:rPr>
        <w:t>the</w:t>
      </w:r>
      <w:r w:rsidR="004861E4" w:rsidRPr="00893AC9">
        <w:rPr>
          <w:rFonts w:asciiTheme="minorHAnsi" w:hAnsiTheme="minorHAnsi"/>
          <w:bCs/>
          <w:snapToGrid w:val="0"/>
        </w:rPr>
        <w:t xml:space="preserve"> adverse effects of corticosteroids. </w:t>
      </w:r>
      <w:r w:rsidR="00750B9F" w:rsidRPr="00893AC9">
        <w:rPr>
          <w:rFonts w:asciiTheme="minorHAnsi" w:hAnsiTheme="minorHAnsi"/>
          <w:bCs/>
          <w:snapToGrid w:val="0"/>
        </w:rPr>
        <w:t xml:space="preserve">The clinician outlined that while </w:t>
      </w:r>
      <w:r w:rsidR="004861E4" w:rsidRPr="00893AC9">
        <w:rPr>
          <w:rFonts w:asciiTheme="minorHAnsi" w:hAnsiTheme="minorHAnsi"/>
          <w:bCs/>
          <w:snapToGrid w:val="0"/>
        </w:rPr>
        <w:t>IVIg is effective in some patients (though many patients do not respond or respond sub-optimally), particularly if high doses are used</w:t>
      </w:r>
      <w:r w:rsidR="00750B9F" w:rsidRPr="00893AC9">
        <w:rPr>
          <w:rFonts w:asciiTheme="minorHAnsi" w:hAnsiTheme="minorHAnsi"/>
          <w:bCs/>
          <w:snapToGrid w:val="0"/>
        </w:rPr>
        <w:t xml:space="preserve"> (higher doses than those generally used in Australian practice)</w:t>
      </w:r>
      <w:r w:rsidR="004861E4" w:rsidRPr="00893AC9">
        <w:rPr>
          <w:rFonts w:asciiTheme="minorHAnsi" w:hAnsiTheme="minorHAnsi"/>
          <w:bCs/>
          <w:snapToGrid w:val="0"/>
        </w:rPr>
        <w:t xml:space="preserve">, </w:t>
      </w:r>
      <w:r w:rsidR="00750B9F" w:rsidRPr="00893AC9">
        <w:rPr>
          <w:rFonts w:asciiTheme="minorHAnsi" w:hAnsiTheme="minorHAnsi"/>
          <w:bCs/>
          <w:snapToGrid w:val="0"/>
        </w:rPr>
        <w:t xml:space="preserve">the </w:t>
      </w:r>
      <w:r w:rsidR="004861E4" w:rsidRPr="00893AC9">
        <w:rPr>
          <w:rFonts w:asciiTheme="minorHAnsi" w:hAnsiTheme="minorHAnsi"/>
          <w:bCs/>
          <w:snapToGrid w:val="0"/>
        </w:rPr>
        <w:t>long infusion</w:t>
      </w:r>
      <w:r w:rsidR="00750B9F" w:rsidRPr="00893AC9">
        <w:rPr>
          <w:rFonts w:asciiTheme="minorHAnsi" w:hAnsiTheme="minorHAnsi"/>
          <w:bCs/>
          <w:snapToGrid w:val="0"/>
        </w:rPr>
        <w:t xml:space="preserve"> times are</w:t>
      </w:r>
      <w:r w:rsidR="004861E4" w:rsidRPr="00893AC9">
        <w:rPr>
          <w:rFonts w:asciiTheme="minorHAnsi" w:hAnsiTheme="minorHAnsi"/>
          <w:bCs/>
          <w:snapToGrid w:val="0"/>
        </w:rPr>
        <w:t xml:space="preserve"> not compatible with returning to work. </w:t>
      </w:r>
      <w:r w:rsidR="00750B9F" w:rsidRPr="00893AC9">
        <w:rPr>
          <w:rFonts w:asciiTheme="minorHAnsi" w:hAnsiTheme="minorHAnsi"/>
          <w:bCs/>
          <w:snapToGrid w:val="0"/>
        </w:rPr>
        <w:t>The n</w:t>
      </w:r>
      <w:r w:rsidR="004861E4" w:rsidRPr="00893AC9">
        <w:rPr>
          <w:rFonts w:asciiTheme="minorHAnsi" w:hAnsiTheme="minorHAnsi"/>
          <w:bCs/>
          <w:snapToGrid w:val="0"/>
        </w:rPr>
        <w:t>ew therapies (</w:t>
      </w:r>
      <w:r w:rsidR="00750B9F" w:rsidRPr="00893AC9">
        <w:rPr>
          <w:rFonts w:asciiTheme="minorHAnsi" w:hAnsiTheme="minorHAnsi"/>
          <w:bCs/>
          <w:snapToGrid w:val="0"/>
        </w:rPr>
        <w:t xml:space="preserve">both </w:t>
      </w:r>
      <w:r w:rsidR="004861E4" w:rsidRPr="00893AC9">
        <w:rPr>
          <w:rFonts w:asciiTheme="minorHAnsi" w:hAnsiTheme="minorHAnsi"/>
          <w:bCs/>
          <w:snapToGrid w:val="0"/>
        </w:rPr>
        <w:t>complement inhibitors</w:t>
      </w:r>
      <w:r w:rsidR="00750B9F" w:rsidRPr="00893AC9">
        <w:rPr>
          <w:rFonts w:asciiTheme="minorHAnsi" w:hAnsiTheme="minorHAnsi"/>
          <w:bCs/>
          <w:snapToGrid w:val="0"/>
        </w:rPr>
        <w:t xml:space="preserve"> and FcR</w:t>
      </w:r>
      <w:r w:rsidR="005B0AFF">
        <w:rPr>
          <w:rFonts w:asciiTheme="minorHAnsi" w:hAnsiTheme="minorHAnsi"/>
          <w:bCs/>
          <w:snapToGrid w:val="0"/>
        </w:rPr>
        <w:t>n</w:t>
      </w:r>
      <w:r w:rsidR="00750B9F" w:rsidRPr="00893AC9">
        <w:rPr>
          <w:rFonts w:asciiTheme="minorHAnsi" w:hAnsiTheme="minorHAnsi"/>
          <w:bCs/>
          <w:snapToGrid w:val="0"/>
        </w:rPr>
        <w:t xml:space="preserve"> blockers</w:t>
      </w:r>
      <w:r w:rsidR="004861E4" w:rsidRPr="00893AC9">
        <w:rPr>
          <w:rFonts w:asciiTheme="minorHAnsi" w:hAnsiTheme="minorHAnsi"/>
          <w:bCs/>
          <w:snapToGrid w:val="0"/>
        </w:rPr>
        <w:t xml:space="preserve">) are more practical from an administration perspective. </w:t>
      </w:r>
    </w:p>
    <w:p w14:paraId="151DD44F" w14:textId="24A34CAC" w:rsidR="00704B78" w:rsidRPr="00893AC9" w:rsidRDefault="00750B9F" w:rsidP="006E2A77">
      <w:pPr>
        <w:numPr>
          <w:ilvl w:val="1"/>
          <w:numId w:val="1"/>
        </w:numPr>
        <w:spacing w:after="120"/>
        <w:rPr>
          <w:rFonts w:asciiTheme="minorHAnsi" w:hAnsiTheme="minorHAnsi"/>
          <w:bCs/>
          <w:snapToGrid w:val="0"/>
        </w:rPr>
      </w:pPr>
      <w:r w:rsidRPr="00893AC9">
        <w:rPr>
          <w:rFonts w:asciiTheme="minorHAnsi" w:hAnsiTheme="minorHAnsi"/>
          <w:bCs/>
          <w:snapToGrid w:val="0"/>
        </w:rPr>
        <w:t>The clinician stated that neurologists would like both classes (complement inhibitors and FcR</w:t>
      </w:r>
      <w:r w:rsidR="005B0AFF">
        <w:rPr>
          <w:rFonts w:asciiTheme="minorHAnsi" w:hAnsiTheme="minorHAnsi"/>
          <w:bCs/>
          <w:snapToGrid w:val="0"/>
        </w:rPr>
        <w:t>n</w:t>
      </w:r>
      <w:r w:rsidRPr="00893AC9">
        <w:rPr>
          <w:rFonts w:asciiTheme="minorHAnsi" w:hAnsiTheme="minorHAnsi"/>
          <w:bCs/>
          <w:snapToGrid w:val="0"/>
        </w:rPr>
        <w:t xml:space="preserve"> blockers)</w:t>
      </w:r>
      <w:r w:rsidR="004861E4" w:rsidRPr="00893AC9">
        <w:rPr>
          <w:rFonts w:asciiTheme="minorHAnsi" w:hAnsiTheme="minorHAnsi"/>
          <w:bCs/>
          <w:snapToGrid w:val="0"/>
        </w:rPr>
        <w:t xml:space="preserve"> </w:t>
      </w:r>
      <w:r w:rsidRPr="00893AC9">
        <w:rPr>
          <w:rFonts w:asciiTheme="minorHAnsi" w:hAnsiTheme="minorHAnsi"/>
          <w:bCs/>
          <w:snapToGrid w:val="0"/>
        </w:rPr>
        <w:t xml:space="preserve">to be available, with the choice </w:t>
      </w:r>
      <w:r w:rsidR="00BA720F">
        <w:rPr>
          <w:rFonts w:asciiTheme="minorHAnsi" w:hAnsiTheme="minorHAnsi"/>
          <w:bCs/>
          <w:snapToGrid w:val="0"/>
        </w:rPr>
        <w:t>as to</w:t>
      </w:r>
      <w:r w:rsidRPr="00893AC9">
        <w:rPr>
          <w:rFonts w:asciiTheme="minorHAnsi" w:hAnsiTheme="minorHAnsi"/>
          <w:bCs/>
          <w:snapToGrid w:val="0"/>
        </w:rPr>
        <w:t xml:space="preserve"> which drug class to use in a particular circumstance to be </w:t>
      </w:r>
      <w:r w:rsidR="00BA720F">
        <w:rPr>
          <w:rFonts w:asciiTheme="minorHAnsi" w:hAnsiTheme="minorHAnsi"/>
          <w:bCs/>
          <w:snapToGrid w:val="0"/>
        </w:rPr>
        <w:t>left to</w:t>
      </w:r>
      <w:r w:rsidR="008F3AC4" w:rsidRPr="00893AC9">
        <w:rPr>
          <w:rFonts w:asciiTheme="minorHAnsi" w:hAnsiTheme="minorHAnsi"/>
          <w:bCs/>
          <w:snapToGrid w:val="0"/>
        </w:rPr>
        <w:t xml:space="preserve"> clinician </w:t>
      </w:r>
      <w:r w:rsidRPr="00893AC9">
        <w:rPr>
          <w:rFonts w:asciiTheme="minorHAnsi" w:hAnsiTheme="minorHAnsi"/>
          <w:bCs/>
          <w:snapToGrid w:val="0"/>
        </w:rPr>
        <w:t xml:space="preserve">discretion, </w:t>
      </w:r>
      <w:proofErr w:type="gramStart"/>
      <w:r w:rsidRPr="00893AC9">
        <w:rPr>
          <w:rFonts w:asciiTheme="minorHAnsi" w:hAnsiTheme="minorHAnsi"/>
          <w:bCs/>
          <w:snapToGrid w:val="0"/>
        </w:rPr>
        <w:t>t</w:t>
      </w:r>
      <w:r w:rsidR="00044789">
        <w:rPr>
          <w:rFonts w:asciiTheme="minorHAnsi" w:hAnsiTheme="minorHAnsi"/>
          <w:bCs/>
          <w:snapToGrid w:val="0"/>
        </w:rPr>
        <w:t>aking int</w:t>
      </w:r>
      <w:r w:rsidRPr="00893AC9">
        <w:rPr>
          <w:rFonts w:asciiTheme="minorHAnsi" w:hAnsiTheme="minorHAnsi"/>
          <w:bCs/>
          <w:snapToGrid w:val="0"/>
        </w:rPr>
        <w:t>o account</w:t>
      </w:r>
      <w:proofErr w:type="gramEnd"/>
      <w:r w:rsidRPr="00893AC9">
        <w:rPr>
          <w:rFonts w:asciiTheme="minorHAnsi" w:hAnsiTheme="minorHAnsi"/>
          <w:bCs/>
          <w:snapToGrid w:val="0"/>
        </w:rPr>
        <w:t xml:space="preserve"> individual </w:t>
      </w:r>
      <w:r w:rsidRPr="00893AC9">
        <w:rPr>
          <w:rFonts w:asciiTheme="minorHAnsi" w:hAnsiTheme="minorHAnsi"/>
          <w:bCs/>
          <w:snapToGrid w:val="0"/>
        </w:rPr>
        <w:lastRenderedPageBreak/>
        <w:t xml:space="preserve">patient circumstances (e.g. mode of administration). </w:t>
      </w:r>
      <w:r w:rsidR="008F3AC4" w:rsidRPr="00893AC9">
        <w:rPr>
          <w:rFonts w:asciiTheme="minorHAnsi" w:hAnsiTheme="minorHAnsi"/>
          <w:bCs/>
          <w:snapToGrid w:val="0"/>
        </w:rPr>
        <w:t>The clinician stated the e</w:t>
      </w:r>
      <w:r w:rsidRPr="00893AC9">
        <w:rPr>
          <w:rFonts w:asciiTheme="minorHAnsi" w:hAnsiTheme="minorHAnsi"/>
          <w:bCs/>
          <w:snapToGrid w:val="0"/>
        </w:rPr>
        <w:t xml:space="preserve">ligible population for the new therapies should be based on </w:t>
      </w:r>
      <w:r w:rsidR="008F3AC4" w:rsidRPr="00893AC9">
        <w:rPr>
          <w:rFonts w:asciiTheme="minorHAnsi" w:hAnsiTheme="minorHAnsi"/>
          <w:bCs/>
          <w:snapToGrid w:val="0"/>
        </w:rPr>
        <w:t>the clinical tr</w:t>
      </w:r>
      <w:r w:rsidRPr="00893AC9">
        <w:rPr>
          <w:rFonts w:asciiTheme="minorHAnsi" w:hAnsiTheme="minorHAnsi"/>
          <w:bCs/>
          <w:snapToGrid w:val="0"/>
        </w:rPr>
        <w:t>ial</w:t>
      </w:r>
      <w:r w:rsidR="008F3AC4" w:rsidRPr="00893AC9">
        <w:rPr>
          <w:rFonts w:asciiTheme="minorHAnsi" w:hAnsiTheme="minorHAnsi"/>
          <w:bCs/>
          <w:snapToGrid w:val="0"/>
        </w:rPr>
        <w:t>s</w:t>
      </w:r>
      <w:r w:rsidRPr="00893AC9">
        <w:rPr>
          <w:rFonts w:asciiTheme="minorHAnsi" w:hAnsiTheme="minorHAnsi"/>
          <w:bCs/>
          <w:snapToGrid w:val="0"/>
        </w:rPr>
        <w:t xml:space="preserve"> in terms of disease severity. While acknowledging the trials recruited a largely refractory cohort, the clinician also outlined the value of the new therapies in the bridging setting, particularly in </w:t>
      </w:r>
      <w:r w:rsidR="00893AC9" w:rsidRPr="00893AC9">
        <w:rPr>
          <w:rFonts w:asciiTheme="minorHAnsi" w:hAnsiTheme="minorHAnsi"/>
          <w:bCs/>
          <w:snapToGrid w:val="0"/>
        </w:rPr>
        <w:t>patients</w:t>
      </w:r>
      <w:r w:rsidRPr="00893AC9">
        <w:rPr>
          <w:rFonts w:asciiTheme="minorHAnsi" w:hAnsiTheme="minorHAnsi"/>
          <w:bCs/>
          <w:snapToGrid w:val="0"/>
        </w:rPr>
        <w:t xml:space="preserve"> </w:t>
      </w:r>
      <w:r w:rsidR="00BA720F">
        <w:rPr>
          <w:rFonts w:asciiTheme="minorHAnsi" w:hAnsiTheme="minorHAnsi"/>
          <w:bCs/>
          <w:snapToGrid w:val="0"/>
        </w:rPr>
        <w:t>receiving</w:t>
      </w:r>
      <w:r w:rsidRPr="00893AC9">
        <w:rPr>
          <w:rFonts w:asciiTheme="minorHAnsi" w:hAnsiTheme="minorHAnsi"/>
          <w:bCs/>
          <w:snapToGrid w:val="0"/>
        </w:rPr>
        <w:t xml:space="preserve"> </w:t>
      </w:r>
      <w:r w:rsidR="00893AC9" w:rsidRPr="00893AC9">
        <w:rPr>
          <w:rFonts w:asciiTheme="minorHAnsi" w:hAnsiTheme="minorHAnsi"/>
          <w:bCs/>
          <w:snapToGrid w:val="0"/>
        </w:rPr>
        <w:t xml:space="preserve">a </w:t>
      </w:r>
      <w:r w:rsidRPr="00893AC9">
        <w:rPr>
          <w:rFonts w:asciiTheme="minorHAnsi" w:hAnsiTheme="minorHAnsi"/>
          <w:bCs/>
          <w:snapToGrid w:val="0"/>
        </w:rPr>
        <w:t>corticosteroid</w:t>
      </w:r>
      <w:r w:rsidR="00893AC9" w:rsidRPr="00893AC9">
        <w:rPr>
          <w:rFonts w:asciiTheme="minorHAnsi" w:hAnsiTheme="minorHAnsi"/>
          <w:bCs/>
          <w:snapToGrid w:val="0"/>
        </w:rPr>
        <w:t xml:space="preserve"> and</w:t>
      </w:r>
      <w:r w:rsidRPr="00893AC9">
        <w:rPr>
          <w:rFonts w:asciiTheme="minorHAnsi" w:hAnsiTheme="minorHAnsi"/>
          <w:bCs/>
          <w:snapToGrid w:val="0"/>
        </w:rPr>
        <w:t xml:space="preserve"> NS-IST</w:t>
      </w:r>
      <w:r w:rsidR="00893AC9" w:rsidRPr="00893AC9">
        <w:rPr>
          <w:rFonts w:asciiTheme="minorHAnsi" w:hAnsiTheme="minorHAnsi"/>
          <w:bCs/>
          <w:snapToGrid w:val="0"/>
        </w:rPr>
        <w:t>,</w:t>
      </w:r>
      <w:r w:rsidRPr="00893AC9">
        <w:rPr>
          <w:rFonts w:asciiTheme="minorHAnsi" w:hAnsiTheme="minorHAnsi"/>
          <w:bCs/>
          <w:snapToGrid w:val="0"/>
        </w:rPr>
        <w:t xml:space="preserve"> and who have not responded to IVIg. </w:t>
      </w:r>
    </w:p>
    <w:bookmarkEnd w:id="18"/>
    <w:p w14:paraId="38E94FD8" w14:textId="77777777" w:rsidR="00704B78" w:rsidRPr="00704B78" w:rsidRDefault="00704B78" w:rsidP="006E2A77">
      <w:pPr>
        <w:pStyle w:val="3-SubsectionHeading"/>
        <w:outlineLvl w:val="1"/>
        <w:rPr>
          <w:iCs/>
          <w:color w:val="auto"/>
        </w:rPr>
      </w:pPr>
      <w:r w:rsidRPr="00704B78">
        <w:rPr>
          <w:iCs/>
          <w:color w:val="auto"/>
        </w:rPr>
        <w:t>Consumer comments</w:t>
      </w:r>
    </w:p>
    <w:p w14:paraId="6259175E" w14:textId="27D9F09E" w:rsidR="00A16B4F" w:rsidRPr="00A16B4F" w:rsidRDefault="00704B78" w:rsidP="006E2A77">
      <w:pPr>
        <w:pStyle w:val="COMexecsummnumbered"/>
        <w:rPr>
          <w:snapToGrid w:val="0"/>
        </w:rPr>
      </w:pPr>
      <w:bookmarkStart w:id="19" w:name="_Hlk193708156"/>
      <w:r w:rsidRPr="00A16B4F">
        <w:rPr>
          <w:snapToGrid w:val="0"/>
        </w:rPr>
        <w:t>The PBAC noted and welcomed the input from individuals (</w:t>
      </w:r>
      <w:r w:rsidR="00601270" w:rsidRPr="00A16B4F">
        <w:rPr>
          <w:snapToGrid w:val="0"/>
        </w:rPr>
        <w:t>16</w:t>
      </w:r>
      <w:r w:rsidRPr="00A16B4F">
        <w:rPr>
          <w:snapToGrid w:val="0"/>
        </w:rPr>
        <w:t>), health care professionals (</w:t>
      </w:r>
      <w:r w:rsidR="003E639A">
        <w:rPr>
          <w:snapToGrid w:val="0"/>
        </w:rPr>
        <w:t xml:space="preserve">1 individual clinician, plus </w:t>
      </w:r>
      <w:bookmarkStart w:id="20" w:name="_Hlk193708502"/>
      <w:r w:rsidR="003E639A">
        <w:rPr>
          <w:snapToGrid w:val="0"/>
        </w:rPr>
        <w:t>a group of 11 neurologists</w:t>
      </w:r>
      <w:bookmarkEnd w:id="20"/>
      <w:r w:rsidRPr="00A16B4F">
        <w:rPr>
          <w:snapToGrid w:val="0"/>
        </w:rPr>
        <w:t xml:space="preserve">) and </w:t>
      </w:r>
      <w:r w:rsidR="00A51474">
        <w:rPr>
          <w:snapToGrid w:val="0"/>
        </w:rPr>
        <w:t xml:space="preserve">an </w:t>
      </w:r>
      <w:r w:rsidRPr="00A16B4F">
        <w:rPr>
          <w:snapToGrid w:val="0"/>
        </w:rPr>
        <w:t>organisation (</w:t>
      </w:r>
      <w:bookmarkStart w:id="21" w:name="_Hlk194586997"/>
      <w:r w:rsidR="00F7368F" w:rsidRPr="00F7368F">
        <w:rPr>
          <w:snapToGrid w:val="0"/>
        </w:rPr>
        <w:t>Myasthenia Alliance Australia (MAA)</w:t>
      </w:r>
      <w:bookmarkEnd w:id="21"/>
      <w:r w:rsidRPr="00A16B4F">
        <w:rPr>
          <w:snapToGrid w:val="0"/>
        </w:rPr>
        <w:t>) via the Consumer Comments facility on the PBS website. The comments described</w:t>
      </w:r>
      <w:r w:rsidR="00A16B4F">
        <w:rPr>
          <w:snapToGrid w:val="0"/>
        </w:rPr>
        <w:t xml:space="preserve"> the</w:t>
      </w:r>
      <w:r w:rsidRPr="00A16B4F">
        <w:rPr>
          <w:snapToGrid w:val="0"/>
        </w:rPr>
        <w:t xml:space="preserve"> </w:t>
      </w:r>
      <w:r w:rsidR="00A16B4F" w:rsidRPr="00A16B4F">
        <w:rPr>
          <w:snapToGrid w:val="0"/>
        </w:rPr>
        <w:t>high unmet need</w:t>
      </w:r>
      <w:r w:rsidR="00A16B4F">
        <w:rPr>
          <w:snapToGrid w:val="0"/>
        </w:rPr>
        <w:t xml:space="preserve"> for new therapies to treat gMG. The </w:t>
      </w:r>
      <w:bookmarkStart w:id="22" w:name="_Hlk97141379"/>
      <w:r w:rsidR="00A16B4F">
        <w:rPr>
          <w:snapToGrid w:val="0"/>
        </w:rPr>
        <w:t>comments outlined</w:t>
      </w:r>
      <w:r w:rsidR="00601270" w:rsidRPr="00A16B4F">
        <w:rPr>
          <w:snapToGrid w:val="0"/>
        </w:rPr>
        <w:t xml:space="preserve"> the significant impact that gMG can have on quality of life such as an inability to perform daily tasks</w:t>
      </w:r>
      <w:r w:rsidR="00A16B4F">
        <w:rPr>
          <w:snapToGrid w:val="0"/>
        </w:rPr>
        <w:t>,</w:t>
      </w:r>
      <w:r w:rsidR="00601270" w:rsidRPr="00A16B4F">
        <w:rPr>
          <w:snapToGrid w:val="0"/>
        </w:rPr>
        <w:t xml:space="preserve"> work</w:t>
      </w:r>
      <w:r w:rsidR="00A16B4F">
        <w:rPr>
          <w:snapToGrid w:val="0"/>
        </w:rPr>
        <w:t>,</w:t>
      </w:r>
      <w:r w:rsidR="00601270" w:rsidRPr="00A16B4F">
        <w:rPr>
          <w:snapToGrid w:val="0"/>
        </w:rPr>
        <w:t xml:space="preserve"> study</w:t>
      </w:r>
      <w:r w:rsidR="00A16B4F">
        <w:rPr>
          <w:snapToGrid w:val="0"/>
        </w:rPr>
        <w:t>,</w:t>
      </w:r>
      <w:r w:rsidR="00601270" w:rsidRPr="00A16B4F">
        <w:rPr>
          <w:snapToGrid w:val="0"/>
        </w:rPr>
        <w:t xml:space="preserve"> drive or participate in social activities. </w:t>
      </w:r>
      <w:r w:rsidR="00525380">
        <w:rPr>
          <w:snapToGrid w:val="0"/>
        </w:rPr>
        <w:t>The comments also described the impact on family</w:t>
      </w:r>
      <w:r w:rsidR="009A5616">
        <w:rPr>
          <w:snapToGrid w:val="0"/>
        </w:rPr>
        <w:t>,</w:t>
      </w:r>
      <w:r w:rsidR="00525380">
        <w:rPr>
          <w:snapToGrid w:val="0"/>
        </w:rPr>
        <w:t xml:space="preserve"> a</w:t>
      </w:r>
      <w:r w:rsidR="009A5616">
        <w:rPr>
          <w:snapToGrid w:val="0"/>
        </w:rPr>
        <w:t>long with</w:t>
      </w:r>
      <w:r w:rsidR="00525380">
        <w:rPr>
          <w:snapToGrid w:val="0"/>
        </w:rPr>
        <w:t xml:space="preserve"> the financial burden associated with the condition. </w:t>
      </w:r>
      <w:r w:rsidR="00601270" w:rsidRPr="00A16B4F">
        <w:rPr>
          <w:snapToGrid w:val="0"/>
        </w:rPr>
        <w:t>The comments also described the limitations of currently available treatment options</w:t>
      </w:r>
      <w:r w:rsidR="00525380">
        <w:rPr>
          <w:snapToGrid w:val="0"/>
        </w:rPr>
        <w:t xml:space="preserve"> including adverse events and lengthy administration</w:t>
      </w:r>
      <w:r w:rsidR="009A5616">
        <w:rPr>
          <w:snapToGrid w:val="0"/>
        </w:rPr>
        <w:t xml:space="preserve"> times</w:t>
      </w:r>
      <w:r w:rsidR="00601270" w:rsidRPr="00A16B4F">
        <w:rPr>
          <w:snapToGrid w:val="0"/>
        </w:rPr>
        <w:t>.</w:t>
      </w:r>
      <w:r w:rsidR="00A16B4F" w:rsidRPr="00A16B4F">
        <w:t xml:space="preserve"> </w:t>
      </w:r>
      <w:r w:rsidR="00A16B4F">
        <w:t xml:space="preserve">The comments </w:t>
      </w:r>
      <w:r w:rsidR="00BA720F">
        <w:t>outlined</w:t>
      </w:r>
      <w:r w:rsidR="00A16B4F" w:rsidRPr="00A16B4F">
        <w:rPr>
          <w:rFonts w:eastAsia="Times New Roman" w:cs="Arial"/>
          <w:bCs/>
          <w:snapToGrid w:val="0"/>
          <w:szCs w:val="24"/>
        </w:rPr>
        <w:t xml:space="preserve"> a hope that </w:t>
      </w:r>
      <w:r w:rsidR="00A16B4F">
        <w:rPr>
          <w:rFonts w:eastAsia="Times New Roman" w:cs="Arial"/>
          <w:bCs/>
          <w:snapToGrid w:val="0"/>
          <w:szCs w:val="24"/>
        </w:rPr>
        <w:t xml:space="preserve">the new therapies </w:t>
      </w:r>
      <w:r w:rsidR="00A16B4F" w:rsidRPr="00A16B4F">
        <w:rPr>
          <w:rFonts w:eastAsia="Times New Roman" w:cs="Arial"/>
          <w:bCs/>
          <w:snapToGrid w:val="0"/>
          <w:szCs w:val="24"/>
        </w:rPr>
        <w:t>will reduce gMG symptoms, reduce the need for other medications and associated side-effects, and reduce hospital visits, contributing to an overall improved quality of life.</w:t>
      </w:r>
    </w:p>
    <w:p w14:paraId="31FA527B" w14:textId="36634B93" w:rsidR="00601270" w:rsidRPr="00A16B4F" w:rsidRDefault="00601270" w:rsidP="006E2A77">
      <w:pPr>
        <w:pStyle w:val="COMexecsummnumbered"/>
        <w:rPr>
          <w:snapToGrid w:val="0"/>
        </w:rPr>
      </w:pPr>
      <w:r w:rsidRPr="00A16B4F">
        <w:rPr>
          <w:snapToGrid w:val="0"/>
        </w:rPr>
        <w:t xml:space="preserve">The comments noted the efficacy associated with ravulizumab and the rapid onset of action. </w:t>
      </w:r>
      <w:r w:rsidR="00A16B4F" w:rsidRPr="00A16B4F">
        <w:rPr>
          <w:snapToGrid w:val="0"/>
        </w:rPr>
        <w:t>The in</w:t>
      </w:r>
      <w:r w:rsidR="00A16B4F" w:rsidRPr="00A16B4F">
        <w:rPr>
          <w:rFonts w:eastAsia="Times New Roman"/>
          <w:snapToGrid w:val="0"/>
          <w:szCs w:val="24"/>
        </w:rPr>
        <w:t xml:space="preserve">put outlined the risk of infection associated with ravulizumab including the risk of meningococcal infection. However, </w:t>
      </w:r>
      <w:proofErr w:type="gramStart"/>
      <w:r w:rsidR="00A16B4F" w:rsidRPr="00A16B4F">
        <w:rPr>
          <w:rFonts w:eastAsia="Times New Roman"/>
          <w:snapToGrid w:val="0"/>
          <w:szCs w:val="24"/>
        </w:rPr>
        <w:t>the majority of</w:t>
      </w:r>
      <w:proofErr w:type="gramEnd"/>
      <w:r w:rsidR="00A16B4F" w:rsidRPr="00A16B4F">
        <w:rPr>
          <w:rFonts w:eastAsia="Times New Roman"/>
          <w:snapToGrid w:val="0"/>
          <w:szCs w:val="24"/>
        </w:rPr>
        <w:t xml:space="preserve"> contributors expressed an enthusiasm to try ravulizumab regardless of </w:t>
      </w:r>
      <w:r w:rsidR="001F5F89">
        <w:rPr>
          <w:rFonts w:eastAsia="Times New Roman"/>
          <w:snapToGrid w:val="0"/>
          <w:szCs w:val="24"/>
        </w:rPr>
        <w:t>potential adverse events</w:t>
      </w:r>
      <w:r w:rsidR="00A16B4F" w:rsidRPr="00A16B4F">
        <w:rPr>
          <w:rFonts w:eastAsia="Times New Roman"/>
          <w:snapToGrid w:val="0"/>
          <w:szCs w:val="24"/>
        </w:rPr>
        <w:t xml:space="preserve"> due to its reported efficacy.</w:t>
      </w:r>
      <w:r w:rsidR="009A5616">
        <w:rPr>
          <w:rFonts w:eastAsia="Times New Roman"/>
          <w:snapToGrid w:val="0"/>
          <w:szCs w:val="24"/>
        </w:rPr>
        <w:t xml:space="preserve"> An individual currently accessing ravulizumab outlined the substantial improvement in their quality of life since commencing the drug.</w:t>
      </w:r>
    </w:p>
    <w:p w14:paraId="3960D4E6" w14:textId="60D75F3E" w:rsidR="00601270" w:rsidRDefault="00601270" w:rsidP="006E2A77">
      <w:pPr>
        <w:numPr>
          <w:ilvl w:val="1"/>
          <w:numId w:val="1"/>
        </w:numPr>
        <w:spacing w:after="120"/>
        <w:rPr>
          <w:rFonts w:asciiTheme="minorHAnsi" w:hAnsiTheme="minorHAnsi"/>
          <w:bCs/>
          <w:snapToGrid w:val="0"/>
        </w:rPr>
      </w:pPr>
      <w:bookmarkStart w:id="23" w:name="_Hlk194587018"/>
      <w:r>
        <w:rPr>
          <w:rFonts w:asciiTheme="minorHAnsi" w:hAnsiTheme="minorHAnsi"/>
          <w:bCs/>
          <w:snapToGrid w:val="0"/>
        </w:rPr>
        <w:t xml:space="preserve">Advice from </w:t>
      </w:r>
      <w:r w:rsidR="00805182">
        <w:rPr>
          <w:rFonts w:asciiTheme="minorHAnsi" w:hAnsiTheme="minorHAnsi"/>
          <w:bCs/>
          <w:snapToGrid w:val="0"/>
        </w:rPr>
        <w:t xml:space="preserve">MAA </w:t>
      </w:r>
      <w:r w:rsidR="001050B7">
        <w:rPr>
          <w:rFonts w:asciiTheme="minorHAnsi" w:hAnsiTheme="minorHAnsi"/>
          <w:bCs/>
          <w:snapToGrid w:val="0"/>
        </w:rPr>
        <w:t>stat</w:t>
      </w:r>
      <w:r w:rsidR="00E11CE2">
        <w:rPr>
          <w:rFonts w:asciiTheme="minorHAnsi" w:hAnsiTheme="minorHAnsi"/>
          <w:bCs/>
          <w:snapToGrid w:val="0"/>
        </w:rPr>
        <w:t xml:space="preserve">ed its aim </w:t>
      </w:r>
      <w:r w:rsidR="001050B7">
        <w:rPr>
          <w:rFonts w:asciiTheme="minorHAnsi" w:hAnsiTheme="minorHAnsi"/>
          <w:bCs/>
          <w:snapToGrid w:val="0"/>
        </w:rPr>
        <w:t xml:space="preserve">is </w:t>
      </w:r>
      <w:r w:rsidR="00E11CE2">
        <w:rPr>
          <w:rFonts w:asciiTheme="minorHAnsi" w:hAnsiTheme="minorHAnsi"/>
          <w:bCs/>
          <w:snapToGrid w:val="0"/>
        </w:rPr>
        <w:t xml:space="preserve">for each patient to have equitable and timely access to the best available treatment that most benefits them. </w:t>
      </w:r>
      <w:r w:rsidR="00805182">
        <w:rPr>
          <w:rFonts w:asciiTheme="minorHAnsi" w:hAnsiTheme="minorHAnsi"/>
          <w:bCs/>
          <w:snapToGrid w:val="0"/>
        </w:rPr>
        <w:t>MAA</w:t>
      </w:r>
      <w:r w:rsidR="00E11CE2" w:rsidRPr="00601270">
        <w:rPr>
          <w:rFonts w:asciiTheme="minorHAnsi" w:hAnsiTheme="minorHAnsi"/>
          <w:bCs/>
          <w:snapToGrid w:val="0"/>
        </w:rPr>
        <w:t xml:space="preserve"> </w:t>
      </w:r>
      <w:r w:rsidR="001F5F89">
        <w:rPr>
          <w:rFonts w:asciiTheme="minorHAnsi" w:hAnsiTheme="minorHAnsi"/>
          <w:bCs/>
          <w:snapToGrid w:val="0"/>
        </w:rPr>
        <w:t xml:space="preserve">supported access to the new therapies across the disease severities and settings </w:t>
      </w:r>
      <w:proofErr w:type="gramStart"/>
      <w:r w:rsidR="001F5F89">
        <w:rPr>
          <w:rFonts w:asciiTheme="minorHAnsi" w:hAnsiTheme="minorHAnsi"/>
          <w:bCs/>
          <w:snapToGrid w:val="0"/>
        </w:rPr>
        <w:t>including early</w:t>
      </w:r>
      <w:r w:rsidR="00893AC9">
        <w:rPr>
          <w:rFonts w:asciiTheme="minorHAnsi" w:hAnsiTheme="minorHAnsi"/>
          <w:bCs/>
          <w:snapToGrid w:val="0"/>
        </w:rPr>
        <w:t>,</w:t>
      </w:r>
      <w:proofErr w:type="gramEnd"/>
      <w:r w:rsidR="00893AC9">
        <w:rPr>
          <w:rFonts w:asciiTheme="minorHAnsi" w:hAnsiTheme="minorHAnsi"/>
          <w:bCs/>
          <w:snapToGrid w:val="0"/>
        </w:rPr>
        <w:t xml:space="preserve"> </w:t>
      </w:r>
      <w:r w:rsidR="001F5F89">
        <w:rPr>
          <w:rFonts w:asciiTheme="minorHAnsi" w:hAnsiTheme="minorHAnsi"/>
          <w:bCs/>
          <w:snapToGrid w:val="0"/>
        </w:rPr>
        <w:t>upfront</w:t>
      </w:r>
      <w:r w:rsidR="00893AC9">
        <w:rPr>
          <w:rFonts w:asciiTheme="minorHAnsi" w:hAnsiTheme="minorHAnsi"/>
          <w:bCs/>
          <w:snapToGrid w:val="0"/>
        </w:rPr>
        <w:t xml:space="preserve"> access</w:t>
      </w:r>
      <w:r w:rsidR="001F5F89">
        <w:rPr>
          <w:rFonts w:asciiTheme="minorHAnsi" w:hAnsiTheme="minorHAnsi"/>
          <w:bCs/>
          <w:snapToGrid w:val="0"/>
        </w:rPr>
        <w:t xml:space="preserve"> </w:t>
      </w:r>
      <w:proofErr w:type="gramStart"/>
      <w:r w:rsidR="001F5F89">
        <w:rPr>
          <w:rFonts w:asciiTheme="minorHAnsi" w:hAnsiTheme="minorHAnsi"/>
          <w:bCs/>
          <w:snapToGrid w:val="0"/>
        </w:rPr>
        <w:t>and also</w:t>
      </w:r>
      <w:proofErr w:type="gramEnd"/>
      <w:r w:rsidR="001F5F89">
        <w:rPr>
          <w:rFonts w:asciiTheme="minorHAnsi" w:hAnsiTheme="minorHAnsi"/>
          <w:bCs/>
          <w:snapToGrid w:val="0"/>
        </w:rPr>
        <w:t xml:space="preserve"> in patients with refractory disease</w:t>
      </w:r>
      <w:r w:rsidR="0051482F">
        <w:rPr>
          <w:rFonts w:asciiTheme="minorHAnsi" w:hAnsiTheme="minorHAnsi"/>
          <w:bCs/>
          <w:snapToGrid w:val="0"/>
        </w:rPr>
        <w:t xml:space="preserve">, noting that refractory patients have </w:t>
      </w:r>
      <w:r w:rsidR="00893AC9">
        <w:rPr>
          <w:rFonts w:asciiTheme="minorHAnsi" w:hAnsiTheme="minorHAnsi"/>
          <w:bCs/>
          <w:snapToGrid w:val="0"/>
        </w:rPr>
        <w:t xml:space="preserve">a </w:t>
      </w:r>
      <w:r w:rsidR="0051482F">
        <w:rPr>
          <w:rFonts w:asciiTheme="minorHAnsi" w:hAnsiTheme="minorHAnsi"/>
          <w:bCs/>
          <w:snapToGrid w:val="0"/>
        </w:rPr>
        <w:t>higher unmet need</w:t>
      </w:r>
      <w:r w:rsidR="00754054">
        <w:rPr>
          <w:rFonts w:asciiTheme="minorHAnsi" w:hAnsiTheme="minorHAnsi"/>
          <w:bCs/>
          <w:snapToGrid w:val="0"/>
        </w:rPr>
        <w:t>.</w:t>
      </w:r>
      <w:r w:rsidR="001F5F89">
        <w:rPr>
          <w:rFonts w:asciiTheme="minorHAnsi" w:hAnsiTheme="minorHAnsi"/>
          <w:bCs/>
          <w:snapToGrid w:val="0"/>
        </w:rPr>
        <w:t xml:space="preserve"> </w:t>
      </w:r>
      <w:r w:rsidR="00805182">
        <w:rPr>
          <w:rFonts w:asciiTheme="minorHAnsi" w:hAnsiTheme="minorHAnsi"/>
          <w:bCs/>
          <w:snapToGrid w:val="0"/>
        </w:rPr>
        <w:t>MAA</w:t>
      </w:r>
      <w:r w:rsidR="001F5F89">
        <w:rPr>
          <w:rFonts w:asciiTheme="minorHAnsi" w:hAnsiTheme="minorHAnsi"/>
          <w:bCs/>
          <w:snapToGrid w:val="0"/>
        </w:rPr>
        <w:t xml:space="preserve"> </w:t>
      </w:r>
      <w:r w:rsidR="00525380">
        <w:rPr>
          <w:rFonts w:asciiTheme="minorHAnsi" w:hAnsiTheme="minorHAnsi"/>
          <w:bCs/>
          <w:snapToGrid w:val="0"/>
        </w:rPr>
        <w:t xml:space="preserve">strongly supported access to a broad range of treatment options. </w:t>
      </w:r>
      <w:r w:rsidR="00805182">
        <w:rPr>
          <w:rFonts w:asciiTheme="minorHAnsi" w:hAnsiTheme="minorHAnsi"/>
          <w:bCs/>
          <w:snapToGrid w:val="0"/>
        </w:rPr>
        <w:t>The input received from MAA, and from individual consumers</w:t>
      </w:r>
      <w:r w:rsidR="00924536">
        <w:rPr>
          <w:rFonts w:asciiTheme="minorHAnsi" w:hAnsiTheme="minorHAnsi"/>
          <w:bCs/>
          <w:snapToGrid w:val="0"/>
        </w:rPr>
        <w:t>,</w:t>
      </w:r>
      <w:r w:rsidR="00805182">
        <w:rPr>
          <w:rFonts w:asciiTheme="minorHAnsi" w:hAnsiTheme="minorHAnsi"/>
          <w:bCs/>
          <w:snapToGrid w:val="0"/>
        </w:rPr>
        <w:t xml:space="preserve"> indicated that the mode of administration is </w:t>
      </w:r>
      <w:r w:rsidR="00805182" w:rsidRPr="00805182">
        <w:rPr>
          <w:rFonts w:asciiTheme="minorHAnsi" w:hAnsiTheme="minorHAnsi"/>
          <w:bCs/>
          <w:snapToGrid w:val="0"/>
        </w:rPr>
        <w:t>important to consumers</w:t>
      </w:r>
      <w:r w:rsidR="00805182">
        <w:rPr>
          <w:rFonts w:asciiTheme="minorHAnsi" w:hAnsiTheme="minorHAnsi"/>
          <w:bCs/>
          <w:snapToGrid w:val="0"/>
        </w:rPr>
        <w:t>, with 63% of participants in a recent survey indicating they are seeking a more manageable or flexible treatment option.</w:t>
      </w:r>
      <w:r w:rsidR="00805182" w:rsidRPr="00805182">
        <w:rPr>
          <w:rFonts w:asciiTheme="minorHAnsi" w:hAnsiTheme="minorHAnsi"/>
          <w:bCs/>
          <w:snapToGrid w:val="0"/>
        </w:rPr>
        <w:t xml:space="preserve"> </w:t>
      </w:r>
      <w:r w:rsidR="008F3F6F">
        <w:rPr>
          <w:rFonts w:asciiTheme="minorHAnsi" w:hAnsiTheme="minorHAnsi"/>
          <w:bCs/>
          <w:snapToGrid w:val="0"/>
        </w:rPr>
        <w:t>MAA</w:t>
      </w:r>
      <w:r w:rsidR="008F3F6F" w:rsidRPr="00601270">
        <w:rPr>
          <w:rFonts w:asciiTheme="minorHAnsi" w:hAnsiTheme="minorHAnsi"/>
          <w:bCs/>
          <w:snapToGrid w:val="0"/>
        </w:rPr>
        <w:t xml:space="preserve"> </w:t>
      </w:r>
      <w:r w:rsidR="008F3F6F">
        <w:rPr>
          <w:rFonts w:asciiTheme="minorHAnsi" w:hAnsiTheme="minorHAnsi"/>
          <w:bCs/>
          <w:snapToGrid w:val="0"/>
        </w:rPr>
        <w:t xml:space="preserve">outlined that the new therapies represent a substantial improvement in administration time compared with IVIg, </w:t>
      </w:r>
      <w:proofErr w:type="gramStart"/>
      <w:r w:rsidR="008F3F6F">
        <w:rPr>
          <w:rFonts w:asciiTheme="minorHAnsi" w:hAnsiTheme="minorHAnsi"/>
          <w:bCs/>
          <w:snapToGrid w:val="0"/>
        </w:rPr>
        <w:t>and also</w:t>
      </w:r>
      <w:proofErr w:type="gramEnd"/>
      <w:r w:rsidR="008F3F6F">
        <w:rPr>
          <w:rFonts w:asciiTheme="minorHAnsi" w:hAnsiTheme="minorHAnsi"/>
          <w:bCs/>
          <w:snapToGrid w:val="0"/>
        </w:rPr>
        <w:t xml:space="preserve"> shorter travel distances for patients outside metropolitan areas. </w:t>
      </w:r>
      <w:r w:rsidR="00805182">
        <w:rPr>
          <w:rFonts w:asciiTheme="minorHAnsi" w:hAnsiTheme="minorHAnsi"/>
          <w:bCs/>
          <w:snapToGrid w:val="0"/>
        </w:rPr>
        <w:t>MAA</w:t>
      </w:r>
      <w:r w:rsidR="00893AC9">
        <w:rPr>
          <w:rFonts w:asciiTheme="minorHAnsi" w:hAnsiTheme="minorHAnsi"/>
          <w:bCs/>
          <w:snapToGrid w:val="0"/>
        </w:rPr>
        <w:t xml:space="preserve"> </w:t>
      </w:r>
      <w:r w:rsidR="001F5F89">
        <w:rPr>
          <w:rFonts w:asciiTheme="minorHAnsi" w:hAnsiTheme="minorHAnsi"/>
          <w:bCs/>
          <w:snapToGrid w:val="0"/>
        </w:rPr>
        <w:t xml:space="preserve">highlighted that continuous and reliable treatments </w:t>
      </w:r>
      <w:r w:rsidR="00893AC9">
        <w:rPr>
          <w:rFonts w:asciiTheme="minorHAnsi" w:hAnsiTheme="minorHAnsi"/>
          <w:bCs/>
          <w:snapToGrid w:val="0"/>
        </w:rPr>
        <w:t>are important</w:t>
      </w:r>
      <w:r w:rsidR="001F5F89">
        <w:rPr>
          <w:rFonts w:asciiTheme="minorHAnsi" w:hAnsiTheme="minorHAnsi"/>
          <w:bCs/>
          <w:snapToGrid w:val="0"/>
        </w:rPr>
        <w:t xml:space="preserve"> for patients </w:t>
      </w:r>
      <w:r w:rsidR="008F3F6F">
        <w:rPr>
          <w:rFonts w:asciiTheme="minorHAnsi" w:hAnsiTheme="minorHAnsi"/>
          <w:bCs/>
          <w:snapToGrid w:val="0"/>
        </w:rPr>
        <w:t>and that</w:t>
      </w:r>
      <w:r w:rsidR="00044789">
        <w:rPr>
          <w:rFonts w:asciiTheme="minorHAnsi" w:hAnsiTheme="minorHAnsi"/>
          <w:bCs/>
          <w:snapToGrid w:val="0"/>
        </w:rPr>
        <w:t xml:space="preserve"> a meaningful response would comprise</w:t>
      </w:r>
      <w:r w:rsidR="00525380">
        <w:rPr>
          <w:rFonts w:asciiTheme="minorHAnsi" w:hAnsiTheme="minorHAnsi"/>
          <w:bCs/>
          <w:snapToGrid w:val="0"/>
        </w:rPr>
        <w:t xml:space="preserve"> well-controlled symptoms within a reasonably quick timeframe. The comments outlined that even a small improvement in the MG-ADL score can </w:t>
      </w:r>
      <w:r w:rsidR="00044789">
        <w:rPr>
          <w:rFonts w:asciiTheme="minorHAnsi" w:hAnsiTheme="minorHAnsi"/>
          <w:bCs/>
          <w:snapToGrid w:val="0"/>
        </w:rPr>
        <w:t xml:space="preserve">be meaningful for patients </w:t>
      </w:r>
      <w:r w:rsidR="00044789">
        <w:rPr>
          <w:rFonts w:asciiTheme="minorHAnsi" w:hAnsiTheme="minorHAnsi"/>
          <w:bCs/>
          <w:snapToGrid w:val="0"/>
        </w:rPr>
        <w:lastRenderedPageBreak/>
        <w:t xml:space="preserve">e.g. it may </w:t>
      </w:r>
      <w:r w:rsidR="00525380">
        <w:rPr>
          <w:rFonts w:asciiTheme="minorHAnsi" w:hAnsiTheme="minorHAnsi"/>
          <w:bCs/>
          <w:snapToGrid w:val="0"/>
        </w:rPr>
        <w:t xml:space="preserve">represent a capacity to perform </w:t>
      </w:r>
      <w:r w:rsidR="00044789">
        <w:rPr>
          <w:rFonts w:asciiTheme="minorHAnsi" w:hAnsiTheme="minorHAnsi"/>
          <w:bCs/>
          <w:snapToGrid w:val="0"/>
        </w:rPr>
        <w:t xml:space="preserve">a </w:t>
      </w:r>
      <w:r w:rsidR="00525380">
        <w:rPr>
          <w:rFonts w:asciiTheme="minorHAnsi" w:hAnsiTheme="minorHAnsi"/>
          <w:bCs/>
          <w:snapToGrid w:val="0"/>
        </w:rPr>
        <w:t>daily activit</w:t>
      </w:r>
      <w:r w:rsidR="00044789">
        <w:rPr>
          <w:rFonts w:asciiTheme="minorHAnsi" w:hAnsiTheme="minorHAnsi"/>
          <w:bCs/>
          <w:snapToGrid w:val="0"/>
        </w:rPr>
        <w:t>y</w:t>
      </w:r>
      <w:r w:rsidR="00525380">
        <w:rPr>
          <w:rFonts w:asciiTheme="minorHAnsi" w:hAnsiTheme="minorHAnsi"/>
          <w:bCs/>
          <w:snapToGrid w:val="0"/>
        </w:rPr>
        <w:t xml:space="preserve"> the patient was previously unable to perform. </w:t>
      </w:r>
    </w:p>
    <w:p w14:paraId="69A8F379" w14:textId="77C8A382" w:rsidR="00704B78" w:rsidRPr="003D2352" w:rsidRDefault="00601270" w:rsidP="006E2A77">
      <w:pPr>
        <w:pStyle w:val="COMexecsummnumbered"/>
        <w:rPr>
          <w:snapToGrid w:val="0"/>
        </w:rPr>
      </w:pPr>
      <w:bookmarkStart w:id="24" w:name="_Ref193199135"/>
      <w:bookmarkEnd w:id="23"/>
      <w:r w:rsidRPr="003D2352">
        <w:rPr>
          <w:snapToGrid w:val="0"/>
        </w:rPr>
        <w:t xml:space="preserve">Advice from a group of 11 neurologists </w:t>
      </w:r>
      <w:bookmarkEnd w:id="22"/>
      <w:r w:rsidR="001050B7" w:rsidRPr="003D2352">
        <w:rPr>
          <w:snapToGrid w:val="0"/>
        </w:rPr>
        <w:t xml:space="preserve">highlighted the significant unmet need for patients with moderate to severe </w:t>
      </w:r>
      <w:r w:rsidR="00717716">
        <w:rPr>
          <w:snapToGrid w:val="0"/>
        </w:rPr>
        <w:t>g</w:t>
      </w:r>
      <w:r w:rsidR="001050B7" w:rsidRPr="003D2352">
        <w:rPr>
          <w:snapToGrid w:val="0"/>
        </w:rPr>
        <w:t>MG, including the need for more modes of rapid onset treatments.</w:t>
      </w:r>
      <w:r w:rsidR="003D2352" w:rsidRPr="003D2352">
        <w:t xml:space="preserve"> </w:t>
      </w:r>
      <w:r w:rsidR="003D2352">
        <w:t>The neurologists outlined that “</w:t>
      </w:r>
      <w:r w:rsidR="003D2352" w:rsidRPr="003D2352">
        <w:rPr>
          <w:rFonts w:eastAsia="Times New Roman" w:cs="Arial"/>
          <w:bCs/>
          <w:snapToGrid w:val="0"/>
          <w:szCs w:val="24"/>
        </w:rPr>
        <w:t xml:space="preserve">combination therapy right from the start of treatment of a moderate to severe </w:t>
      </w:r>
      <w:r w:rsidR="00717716">
        <w:rPr>
          <w:rFonts w:eastAsia="Times New Roman" w:cs="Arial"/>
          <w:bCs/>
          <w:snapToGrid w:val="0"/>
          <w:szCs w:val="24"/>
        </w:rPr>
        <w:t>g</w:t>
      </w:r>
      <w:r w:rsidR="003D2352" w:rsidRPr="003D2352">
        <w:rPr>
          <w:rFonts w:eastAsia="Times New Roman" w:cs="Arial"/>
          <w:bCs/>
          <w:snapToGrid w:val="0"/>
          <w:szCs w:val="24"/>
        </w:rPr>
        <w:t>MG patient is the norm including the use of quick onset pathogenic antibody treatments, currently principally IVIg. Whether in an individual patient one would use IVIG, PLEX; or an FcRn or a complement inhibitor if all were equally available would probably depend on individual benefit first, and ease, tolerance and accessibility a significant second.” The neurologists acknowledged that the trials largely included patients with long</w:t>
      </w:r>
      <w:r w:rsidR="00BA720F">
        <w:rPr>
          <w:rFonts w:eastAsia="Times New Roman" w:cs="Arial"/>
          <w:bCs/>
          <w:snapToGrid w:val="0"/>
          <w:szCs w:val="24"/>
        </w:rPr>
        <w:t>-</w:t>
      </w:r>
      <w:r w:rsidR="003D2352" w:rsidRPr="003D2352">
        <w:rPr>
          <w:rFonts w:eastAsia="Times New Roman" w:cs="Arial"/>
          <w:bCs/>
          <w:snapToGrid w:val="0"/>
          <w:szCs w:val="24"/>
        </w:rPr>
        <w:t xml:space="preserve">standing </w:t>
      </w:r>
      <w:r w:rsidR="00BA720F">
        <w:rPr>
          <w:rFonts w:eastAsia="Times New Roman" w:cs="Arial"/>
          <w:bCs/>
          <w:snapToGrid w:val="0"/>
          <w:szCs w:val="24"/>
        </w:rPr>
        <w:t>g</w:t>
      </w:r>
      <w:r w:rsidR="003D2352" w:rsidRPr="003D2352">
        <w:rPr>
          <w:rFonts w:eastAsia="Times New Roman" w:cs="Arial"/>
          <w:bCs/>
          <w:snapToGrid w:val="0"/>
          <w:szCs w:val="24"/>
        </w:rPr>
        <w:t xml:space="preserve">MG and significant use of prior </w:t>
      </w:r>
      <w:proofErr w:type="gramStart"/>
      <w:r w:rsidR="003D2352" w:rsidRPr="003D2352">
        <w:rPr>
          <w:rFonts w:eastAsia="Times New Roman" w:cs="Arial"/>
          <w:bCs/>
          <w:snapToGrid w:val="0"/>
          <w:szCs w:val="24"/>
        </w:rPr>
        <w:t>treatments</w:t>
      </w:r>
      <w:r w:rsidR="003D2352">
        <w:rPr>
          <w:rFonts w:eastAsia="Times New Roman" w:cs="Arial"/>
          <w:bCs/>
          <w:snapToGrid w:val="0"/>
          <w:szCs w:val="24"/>
        </w:rPr>
        <w:t>, but</w:t>
      </w:r>
      <w:proofErr w:type="gramEnd"/>
      <w:r w:rsidR="003D2352">
        <w:rPr>
          <w:rFonts w:eastAsia="Times New Roman" w:cs="Arial"/>
          <w:bCs/>
          <w:snapToGrid w:val="0"/>
          <w:szCs w:val="24"/>
        </w:rPr>
        <w:t xml:space="preserve"> stated this</w:t>
      </w:r>
      <w:r w:rsidR="003D2352" w:rsidRPr="003D2352">
        <w:t xml:space="preserve"> </w:t>
      </w:r>
      <w:r w:rsidR="003D2352" w:rsidRPr="003D2352">
        <w:rPr>
          <w:rFonts w:eastAsia="Times New Roman" w:cs="Arial"/>
          <w:bCs/>
          <w:snapToGrid w:val="0"/>
          <w:szCs w:val="24"/>
        </w:rPr>
        <w:t>should not be the only group able to access these new treatments</w:t>
      </w:r>
      <w:r w:rsidR="003D2352">
        <w:rPr>
          <w:rFonts w:eastAsia="Times New Roman" w:cs="Arial"/>
          <w:bCs/>
          <w:snapToGrid w:val="0"/>
          <w:szCs w:val="24"/>
        </w:rPr>
        <w:t>. In terms of value optimisation, the neurologists proposed the following:</w:t>
      </w:r>
      <w:bookmarkEnd w:id="24"/>
      <w:r w:rsidR="003D2352">
        <w:rPr>
          <w:rFonts w:eastAsia="Times New Roman" w:cs="Arial"/>
          <w:bCs/>
          <w:snapToGrid w:val="0"/>
          <w:szCs w:val="24"/>
        </w:rPr>
        <w:t xml:space="preserve"> </w:t>
      </w:r>
    </w:p>
    <w:p w14:paraId="3FB50C6D" w14:textId="226A4470" w:rsidR="003D2352" w:rsidRDefault="003D2352" w:rsidP="006E2A77">
      <w:pPr>
        <w:pStyle w:val="COMexecsummbulletlist"/>
        <w:numPr>
          <w:ilvl w:val="0"/>
          <w:numId w:val="21"/>
        </w:numPr>
        <w:ind w:left="1276" w:hanging="425"/>
      </w:pPr>
      <w:r w:rsidRPr="003D2352">
        <w:t xml:space="preserve">These therapies </w:t>
      </w:r>
      <w:r w:rsidR="00BA720F">
        <w:t xml:space="preserve">should </w:t>
      </w:r>
      <w:r w:rsidRPr="003D2352">
        <w:t xml:space="preserve">be restricted to </w:t>
      </w:r>
      <w:r w:rsidR="00BA720F">
        <w:t>g</w:t>
      </w:r>
      <w:r w:rsidRPr="003D2352">
        <w:t xml:space="preserve">MG patients with AChR </w:t>
      </w:r>
      <w:proofErr w:type="gramStart"/>
      <w:r w:rsidRPr="003D2352">
        <w:t>antibodies</w:t>
      </w:r>
      <w:r>
        <w:t>;</w:t>
      </w:r>
      <w:proofErr w:type="gramEnd"/>
    </w:p>
    <w:p w14:paraId="3A062B50" w14:textId="0FDD50CD" w:rsidR="003D2352" w:rsidRPr="00356261" w:rsidRDefault="003D2352" w:rsidP="006E2A77">
      <w:pPr>
        <w:pStyle w:val="COMexecsummbulletlist"/>
        <w:numPr>
          <w:ilvl w:val="0"/>
          <w:numId w:val="21"/>
        </w:numPr>
        <w:ind w:left="1276" w:hanging="425"/>
      </w:pPr>
      <w:bookmarkStart w:id="25" w:name="_Ref193199650"/>
      <w:r w:rsidRPr="00356261">
        <w:t xml:space="preserve">The severity of MG at commencement </w:t>
      </w:r>
      <w:r w:rsidR="00BA720F">
        <w:t xml:space="preserve">should </w:t>
      </w:r>
      <w:r w:rsidRPr="00356261">
        <w:t xml:space="preserve">be </w:t>
      </w:r>
      <w:proofErr w:type="gramStart"/>
      <w:r w:rsidRPr="00356261">
        <w:t>similar to</w:t>
      </w:r>
      <w:proofErr w:type="gramEnd"/>
      <w:r w:rsidRPr="00356261">
        <w:t xml:space="preserve"> the trial populations</w:t>
      </w:r>
      <w:r w:rsidR="00BA720F">
        <w:t xml:space="preserve"> </w:t>
      </w:r>
      <w:r w:rsidR="00BA720F" w:rsidRPr="00356261">
        <w:t>(MG-ADL of 5-6</w:t>
      </w:r>
      <w:r w:rsidR="00BA720F">
        <w:t>)</w:t>
      </w:r>
      <w:r w:rsidRPr="00356261">
        <w:t xml:space="preserve">, which is more severe than </w:t>
      </w:r>
      <w:r w:rsidR="00A3148B">
        <w:t xml:space="preserve">the NBA criteria for IVIg. </w:t>
      </w:r>
      <w:r w:rsidR="00356261" w:rsidRPr="00356261">
        <w:t xml:space="preserve">There should be a </w:t>
      </w:r>
      <w:r w:rsidRPr="00356261">
        <w:t>clinician</w:t>
      </w:r>
      <w:r w:rsidR="00356261" w:rsidRPr="00356261">
        <w:t>-</w:t>
      </w:r>
      <w:r w:rsidRPr="00356261">
        <w:t xml:space="preserve">reported component to assessing </w:t>
      </w:r>
      <w:r w:rsidR="00356261" w:rsidRPr="00356261">
        <w:t xml:space="preserve">the </w:t>
      </w:r>
      <w:r w:rsidRPr="00356261">
        <w:t xml:space="preserve">need for therapy and response. </w:t>
      </w:r>
      <w:r w:rsidR="00356261">
        <w:t>The clinician letter stated “t</w:t>
      </w:r>
      <w:r w:rsidRPr="00356261">
        <w:t>his means also using MGC</w:t>
      </w:r>
      <w:r w:rsidR="00684D9B">
        <w:t xml:space="preserve"> [</w:t>
      </w:r>
      <w:r w:rsidR="004F1704">
        <w:t>M</w:t>
      </w:r>
      <w:r w:rsidR="00684D9B" w:rsidRPr="00704B78">
        <w:t xml:space="preserve">yasthenia </w:t>
      </w:r>
      <w:r w:rsidR="004F1704">
        <w:t>G</w:t>
      </w:r>
      <w:r w:rsidR="00684D9B" w:rsidRPr="00704B78">
        <w:t xml:space="preserve">ravis </w:t>
      </w:r>
      <w:r w:rsidR="004F1704">
        <w:t>C</w:t>
      </w:r>
      <w:r w:rsidR="00684D9B" w:rsidRPr="00704B78">
        <w:t>omposite score</w:t>
      </w:r>
      <w:r w:rsidR="00684D9B">
        <w:t>]</w:t>
      </w:r>
      <w:r w:rsidRPr="00356261">
        <w:t>. Corresponding values MG</w:t>
      </w:r>
      <w:r w:rsidR="0014114A">
        <w:t>-</w:t>
      </w:r>
      <w:r w:rsidRPr="00356261">
        <w:t>ADL</w:t>
      </w:r>
      <w:r w:rsidR="0014114A">
        <w:t xml:space="preserve"> </w:t>
      </w:r>
      <w:r w:rsidRPr="00356261">
        <w:t>5-6 are MGC 10-12</w:t>
      </w:r>
      <w:r w:rsidR="00356261">
        <w:t>”</w:t>
      </w:r>
      <w:r w:rsidRPr="00356261">
        <w:t xml:space="preserve"> </w:t>
      </w:r>
      <w:r w:rsidR="0014114A">
        <w:t xml:space="preserve">noting </w:t>
      </w:r>
      <w:r w:rsidR="00A3148B">
        <w:t>the 95% confidence intervals for MGC values in patients entering the pivotal RCTs could help improve accuracy of the correlation</w:t>
      </w:r>
      <w:r w:rsidR="00356261">
        <w:t>.</w:t>
      </w:r>
      <w:bookmarkEnd w:id="25"/>
      <w:r w:rsidR="00356261">
        <w:t xml:space="preserve"> </w:t>
      </w:r>
    </w:p>
    <w:p w14:paraId="7852D33B" w14:textId="2B2BAB41" w:rsidR="003D2352" w:rsidRDefault="00356261" w:rsidP="006E2A77">
      <w:pPr>
        <w:pStyle w:val="COMexecsummbulletlist"/>
        <w:numPr>
          <w:ilvl w:val="0"/>
          <w:numId w:val="21"/>
        </w:numPr>
        <w:ind w:left="1276" w:hanging="425"/>
      </w:pPr>
      <w:bookmarkStart w:id="26" w:name="_Ref193199117"/>
      <w:r w:rsidRPr="00356261">
        <w:t>The therapy should be co-administered with two other therapies with remission induction intent, including corticosteroids and NS-ISTs. This does include therapeutic thymectomy which should be treated as equivalent to an NS</w:t>
      </w:r>
      <w:r w:rsidR="00A46388">
        <w:t>-</w:t>
      </w:r>
      <w:r w:rsidRPr="00356261">
        <w:t>IST. This does not include pyridostigmine or other cholinesterase inhibitors</w:t>
      </w:r>
      <w:r>
        <w:t>.</w:t>
      </w:r>
      <w:bookmarkEnd w:id="26"/>
    </w:p>
    <w:p w14:paraId="04F7CBC7" w14:textId="531A5376" w:rsidR="00356261" w:rsidRDefault="00356261" w:rsidP="006E2A77">
      <w:pPr>
        <w:pStyle w:val="COMexecsummbulletlist"/>
        <w:numPr>
          <w:ilvl w:val="0"/>
          <w:numId w:val="21"/>
        </w:numPr>
        <w:ind w:left="1276" w:hanging="425"/>
      </w:pPr>
      <w:r w:rsidRPr="00356261">
        <w:t>Patients should either have had an adequate dose AND duration of these two other therapies, perhaps one year; OR be taking an adequate dose of these two other therapies without requiring a set duration AND have failed a loading course of IVI</w:t>
      </w:r>
      <w:r>
        <w:t>g</w:t>
      </w:r>
      <w:r w:rsidRPr="00356261">
        <w:t xml:space="preserve"> or plasma exchange</w:t>
      </w:r>
      <w:r w:rsidR="00EF2599">
        <w:t>.</w:t>
      </w:r>
    </w:p>
    <w:p w14:paraId="273E5644" w14:textId="20C20A53" w:rsidR="00356261" w:rsidRDefault="00356261" w:rsidP="006E2A77">
      <w:pPr>
        <w:pStyle w:val="COMexecsummbulletlist"/>
        <w:numPr>
          <w:ilvl w:val="0"/>
          <w:numId w:val="21"/>
        </w:numPr>
        <w:ind w:left="1276" w:hanging="425"/>
      </w:pPr>
      <w:bookmarkStart w:id="27" w:name="_Ref193201006"/>
      <w:r w:rsidRPr="00356261">
        <w:t xml:space="preserve">Response to therapy should be assessed and the therapy only continued if there is a clear response, at least minimal clinically important differences (MCID) values of MG-ADL improvement by </w:t>
      </w:r>
      <w:r w:rsidR="009B4815">
        <w:rPr>
          <w:rFonts w:cstheme="minorHAnsi"/>
        </w:rPr>
        <w:t>≥</w:t>
      </w:r>
      <w:r w:rsidR="009B4815">
        <w:t xml:space="preserve"> </w:t>
      </w:r>
      <w:r w:rsidRPr="00356261">
        <w:t xml:space="preserve">2 points, MGC by </w:t>
      </w:r>
      <w:r w:rsidR="009B4815">
        <w:rPr>
          <w:rFonts w:cstheme="minorHAnsi"/>
        </w:rPr>
        <w:t xml:space="preserve">≥ </w:t>
      </w:r>
      <w:r w:rsidRPr="00356261">
        <w:t>3 points. The timing of the test of response to therapy should be early</w:t>
      </w:r>
      <w:r w:rsidR="009B4815">
        <w:t xml:space="preserve"> </w:t>
      </w:r>
      <w:r>
        <w:t>(at 2-16 weeks).</w:t>
      </w:r>
      <w:bookmarkEnd w:id="27"/>
    </w:p>
    <w:p w14:paraId="740E216F" w14:textId="682CBCEB" w:rsidR="00356261" w:rsidRDefault="002049D6" w:rsidP="006E2A77">
      <w:pPr>
        <w:pStyle w:val="COMexecsummbulletlist"/>
        <w:numPr>
          <w:ilvl w:val="0"/>
          <w:numId w:val="21"/>
        </w:numPr>
        <w:ind w:left="1276" w:hanging="425"/>
      </w:pPr>
      <w:bookmarkStart w:id="28" w:name="_Ref193200938"/>
      <w:r>
        <w:t>“</w:t>
      </w:r>
      <w:r w:rsidR="00356261" w:rsidRPr="00356261">
        <w:t>FcRn inhibitors are naturally stopped after 4 (efgartigimod) to 6 (rozanolixizumab) weeks of therapy. These therapies can be restarted if the severity of MG worsens to the minimum commencement threshold.</w:t>
      </w:r>
      <w:r>
        <w:t xml:space="preserve"> Note on second or subsequent cycles the starting severity score while at or above threshold might be better, the same or worse than the first cycle – the underlying MG severity can worsen over time in some patients. Over the course </w:t>
      </w:r>
      <w:r>
        <w:lastRenderedPageBreak/>
        <w:t>of 6 months therapy these gaps in treatment can be considered intermittent trials of suspension of therapy.”</w:t>
      </w:r>
      <w:bookmarkEnd w:id="28"/>
    </w:p>
    <w:p w14:paraId="14CBB394" w14:textId="74BB4A4D" w:rsidR="00356261" w:rsidRDefault="009B4815" w:rsidP="006E2A77">
      <w:pPr>
        <w:pStyle w:val="COMexecsummbulletlist"/>
        <w:numPr>
          <w:ilvl w:val="0"/>
          <w:numId w:val="21"/>
        </w:numPr>
        <w:ind w:left="1276" w:hanging="425"/>
      </w:pPr>
      <w:r>
        <w:t>C</w:t>
      </w:r>
      <w:r w:rsidR="00356261" w:rsidRPr="00356261">
        <w:t>omplement</w:t>
      </w:r>
      <w:r w:rsidR="00356261" w:rsidRPr="00356261">
        <w:rPr>
          <w:rFonts w:eastAsiaTheme="minorHAnsi" w:cstheme="minorBidi"/>
          <w:szCs w:val="22"/>
        </w:rPr>
        <w:t xml:space="preserve"> inhibitors </w:t>
      </w:r>
      <w:r>
        <w:rPr>
          <w:rFonts w:eastAsiaTheme="minorHAnsi" w:cstheme="minorBidi"/>
          <w:szCs w:val="22"/>
        </w:rPr>
        <w:t xml:space="preserve">should </w:t>
      </w:r>
      <w:r w:rsidR="00356261" w:rsidRPr="00356261">
        <w:rPr>
          <w:rFonts w:eastAsiaTheme="minorHAnsi" w:cstheme="minorBidi"/>
          <w:szCs w:val="22"/>
        </w:rPr>
        <w:t xml:space="preserve">be </w:t>
      </w:r>
      <w:proofErr w:type="gramStart"/>
      <w:r w:rsidR="00356261" w:rsidRPr="00356261">
        <w:rPr>
          <w:rFonts w:eastAsiaTheme="minorHAnsi" w:cstheme="minorBidi"/>
          <w:szCs w:val="22"/>
        </w:rPr>
        <w:t>temporarily suspended</w:t>
      </w:r>
      <w:proofErr w:type="gramEnd"/>
      <w:r w:rsidR="00356261" w:rsidRPr="00356261">
        <w:t xml:space="preserve"> </w:t>
      </w:r>
      <w:r w:rsidR="00356261" w:rsidRPr="00356261">
        <w:rPr>
          <w:rFonts w:eastAsiaTheme="minorHAnsi" w:cstheme="minorBidi"/>
          <w:szCs w:val="22"/>
        </w:rPr>
        <w:t>to see if they are still needed after a suitable period of therapy, perhaps one year in the first</w:t>
      </w:r>
      <w:r w:rsidR="00356261" w:rsidRPr="00356261">
        <w:t xml:space="preserve"> instance and perhaps two years if a patient deteriorates on the initial suspension. “Complement inhibitors should not in our view be continued if they are not needed. There is no good reason to suppose the risks of temporarily stopping complement inhibitors are any greater than the risks of temporarily stopping IVI</w:t>
      </w:r>
      <w:r w:rsidR="00717716">
        <w:t>g</w:t>
      </w:r>
      <w:r w:rsidR="00356261" w:rsidRPr="00356261">
        <w:t xml:space="preserve">, PLEX or FcRn inhibitors all of which routinely stopped. There is little published data on stopping complement inhibitors for </w:t>
      </w:r>
      <w:proofErr w:type="gramStart"/>
      <w:r w:rsidR="00356261" w:rsidRPr="00356261">
        <w:t>MG</w:t>
      </w:r>
      <w:proofErr w:type="gramEnd"/>
      <w:r w:rsidR="00356261" w:rsidRPr="00356261">
        <w:t xml:space="preserve"> but we are aware that international colleagues have stopped complement inhibitors in MG patients without ill effects</w:t>
      </w:r>
      <w:r w:rsidR="00356261">
        <w:t>”</w:t>
      </w:r>
      <w:r w:rsidR="00356261" w:rsidRPr="00356261">
        <w:t>.</w:t>
      </w:r>
    </w:p>
    <w:p w14:paraId="664FE79E" w14:textId="4AB05B38" w:rsidR="00356261" w:rsidRPr="00356261" w:rsidRDefault="009B4815" w:rsidP="006E2A77">
      <w:pPr>
        <w:pStyle w:val="COMexecsummbulletlist"/>
        <w:numPr>
          <w:ilvl w:val="0"/>
          <w:numId w:val="21"/>
        </w:numPr>
        <w:ind w:left="1276" w:hanging="425"/>
      </w:pPr>
      <w:r>
        <w:t>F</w:t>
      </w:r>
      <w:r w:rsidR="00356261" w:rsidRPr="00356261">
        <w:t xml:space="preserve">inal restriction discussions should include input from a broader range of neurologists </w:t>
      </w:r>
      <w:proofErr w:type="gramStart"/>
      <w:r w:rsidR="00356261" w:rsidRPr="00356261">
        <w:t>and also</w:t>
      </w:r>
      <w:proofErr w:type="gramEnd"/>
      <w:r w:rsidR="00356261" w:rsidRPr="00356261">
        <w:t xml:space="preserve"> the patient association</w:t>
      </w:r>
      <w:r w:rsidR="00356261">
        <w:t>.</w:t>
      </w:r>
    </w:p>
    <w:bookmarkEnd w:id="19"/>
    <w:p w14:paraId="609C0765" w14:textId="56F4203F" w:rsidR="00B60939" w:rsidRPr="00704B78" w:rsidRDefault="00B60939" w:rsidP="006E2A77">
      <w:pPr>
        <w:pStyle w:val="COMH2-non-numbered"/>
        <w:rPr>
          <w:iCs/>
        </w:rPr>
      </w:pPr>
      <w:r w:rsidRPr="00704B78">
        <w:rPr>
          <w:iCs/>
        </w:rPr>
        <w:t xml:space="preserve">Clinical </w:t>
      </w:r>
      <w:r w:rsidR="00D5243B" w:rsidRPr="00704B78">
        <w:rPr>
          <w:iCs/>
        </w:rPr>
        <w:t>studies</w:t>
      </w:r>
      <w:bookmarkEnd w:id="16"/>
      <w:bookmarkEnd w:id="17"/>
    </w:p>
    <w:p w14:paraId="04BB575B" w14:textId="008B0C60" w:rsidR="00613FC6" w:rsidRPr="00704B78" w:rsidRDefault="00613FC6" w:rsidP="006E2A77">
      <w:pPr>
        <w:pStyle w:val="COMexecsummnumbered"/>
      </w:pPr>
      <w:r w:rsidRPr="00704B78">
        <w:t>Compared to the March 2024 submission, the clinical evidence in the current resubmission was updated with new analys</w:t>
      </w:r>
      <w:r w:rsidR="009F4D6E" w:rsidRPr="00704B78">
        <w:t>e</w:t>
      </w:r>
      <w:r w:rsidRPr="00704B78">
        <w:t>s of study outcomes at 12 weeks, additional post hoc subgroup analyses of newly diagnosed and treatment refractory subgroups in the CHAMPION-MG trial as well as longer term data from the final analysis of the open-label extension study and the most recent Periodic Benefit Risk Evaluation Report.</w:t>
      </w:r>
      <w:r w:rsidR="00D61CA6">
        <w:t xml:space="preserve"> </w:t>
      </w:r>
    </w:p>
    <w:p w14:paraId="5747F5F6" w14:textId="27563631" w:rsidR="00AD6A9E" w:rsidRPr="00704B78" w:rsidRDefault="00AD6A9E" w:rsidP="006E2A77">
      <w:pPr>
        <w:pStyle w:val="COMexecsummnumbered"/>
      </w:pPr>
      <w:r w:rsidRPr="00704B78">
        <w:t xml:space="preserve">The resubmission was based on one head-to-head randomised trial comparing ravulizumab to placebo in patients with generalised myasthenia gravis (CHAMPION-MG). </w:t>
      </w:r>
    </w:p>
    <w:p w14:paraId="072E8AB2" w14:textId="58BE05F6" w:rsidR="00AD6A9E" w:rsidRPr="00704B78" w:rsidRDefault="00AD6A9E" w:rsidP="006E2A77">
      <w:pPr>
        <w:pStyle w:val="COMexecsummnumbered"/>
      </w:pPr>
      <w:r w:rsidRPr="00704B78">
        <w:t xml:space="preserve">Details of the included studies are provided in </w:t>
      </w:r>
      <w:r w:rsidR="00F17503" w:rsidRPr="00704B78">
        <w:fldChar w:fldCharType="begin"/>
      </w:r>
      <w:r w:rsidR="00F17503" w:rsidRPr="00704B78">
        <w:instrText xml:space="preserve"> REF _Ref187651784 \h </w:instrText>
      </w:r>
      <w:r w:rsidR="004577BE" w:rsidRPr="00704B78">
        <w:instrText xml:space="preserve"> \* MERGEFORMAT </w:instrText>
      </w:r>
      <w:r w:rsidR="00F17503" w:rsidRPr="00704B78">
        <w:fldChar w:fldCharType="separate"/>
      </w:r>
      <w:r w:rsidR="00875704" w:rsidRPr="00704B78">
        <w:t xml:space="preserve">Table </w:t>
      </w:r>
      <w:r w:rsidR="00875704">
        <w:rPr>
          <w:noProof/>
        </w:rPr>
        <w:t>3</w:t>
      </w:r>
      <w:r w:rsidR="00F17503" w:rsidRPr="00704B78">
        <w:fldChar w:fldCharType="end"/>
      </w:r>
      <w:r w:rsidRPr="00704B78">
        <w:t>.</w:t>
      </w:r>
    </w:p>
    <w:p w14:paraId="53DEF48A" w14:textId="39E0BA7F" w:rsidR="00AD6A9E" w:rsidRPr="00704B78" w:rsidRDefault="00F17503" w:rsidP="006E2A77">
      <w:pPr>
        <w:pStyle w:val="COMtablefigcaption"/>
        <w:keepLines/>
        <w:rPr>
          <w:rStyle w:val="CommentReference"/>
          <w:b/>
          <w:szCs w:val="22"/>
        </w:rPr>
      </w:pPr>
      <w:bookmarkStart w:id="29" w:name="_Ref187651784"/>
      <w:r w:rsidRPr="00704B78">
        <w:lastRenderedPageBreak/>
        <w:t xml:space="preserve">Table </w:t>
      </w:r>
      <w:r w:rsidRPr="00704B78">
        <w:fldChar w:fldCharType="begin"/>
      </w:r>
      <w:r w:rsidRPr="00704B78">
        <w:instrText>SEQ Table \* ARABIC</w:instrText>
      </w:r>
      <w:r w:rsidRPr="00704B78">
        <w:fldChar w:fldCharType="separate"/>
      </w:r>
      <w:r w:rsidR="00875704">
        <w:rPr>
          <w:noProof/>
        </w:rPr>
        <w:t>3</w:t>
      </w:r>
      <w:r w:rsidRPr="00704B78">
        <w:fldChar w:fldCharType="end"/>
      </w:r>
      <w:bookmarkEnd w:id="29"/>
      <w:r w:rsidR="00AD6A9E" w:rsidRPr="00704B78">
        <w:rPr>
          <w:rStyle w:val="CommentReference"/>
          <w:b/>
          <w:szCs w:val="22"/>
        </w:rPr>
        <w:t xml:space="preserve">: Studies and associated reports presented in the </w:t>
      </w:r>
      <w:r w:rsidRPr="00704B78">
        <w:rPr>
          <w:rStyle w:val="CommentReference"/>
          <w:b/>
          <w:szCs w:val="22"/>
        </w:rPr>
        <w:t>re</w:t>
      </w:r>
      <w:r w:rsidR="00AD6A9E" w:rsidRPr="00704B78">
        <w:rPr>
          <w:rStyle w:val="CommentReference"/>
          <w:b/>
          <w:szCs w:val="22"/>
        </w:rPr>
        <w:t>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resubmission"/>
      </w:tblPr>
      <w:tblGrid>
        <w:gridCol w:w="1725"/>
        <w:gridCol w:w="5358"/>
        <w:gridCol w:w="2082"/>
      </w:tblGrid>
      <w:tr w:rsidR="00AD6A9E" w:rsidRPr="00704B78" w14:paraId="244FD1CA" w14:textId="77777777" w:rsidTr="3517B442">
        <w:trPr>
          <w:tblHeader/>
        </w:trPr>
        <w:tc>
          <w:tcPr>
            <w:tcW w:w="941" w:type="pct"/>
            <w:tcBorders>
              <w:bottom w:val="single" w:sz="4" w:space="0" w:color="auto"/>
            </w:tcBorders>
            <w:vAlign w:val="center"/>
          </w:tcPr>
          <w:p w14:paraId="2B5832B8" w14:textId="77777777" w:rsidR="00AD6A9E" w:rsidRPr="00704B78" w:rsidRDefault="00AD6A9E" w:rsidP="006E2A77">
            <w:pPr>
              <w:pStyle w:val="Tabletext0"/>
              <w:keepNext/>
              <w:keepLines/>
              <w:rPr>
                <w:b/>
              </w:rPr>
            </w:pPr>
            <w:r w:rsidRPr="00704B78">
              <w:rPr>
                <w:b/>
              </w:rPr>
              <w:t>Trial ID</w:t>
            </w:r>
          </w:p>
        </w:tc>
        <w:tc>
          <w:tcPr>
            <w:tcW w:w="2923" w:type="pct"/>
            <w:tcBorders>
              <w:bottom w:val="single" w:sz="4" w:space="0" w:color="auto"/>
            </w:tcBorders>
            <w:vAlign w:val="center"/>
          </w:tcPr>
          <w:p w14:paraId="719E757D" w14:textId="77777777" w:rsidR="00AD6A9E" w:rsidRPr="00704B78" w:rsidRDefault="00AD6A9E" w:rsidP="006E2A77">
            <w:pPr>
              <w:pStyle w:val="Tabletext0"/>
              <w:keepNext/>
              <w:keepLines/>
              <w:jc w:val="center"/>
              <w:rPr>
                <w:b/>
              </w:rPr>
            </w:pPr>
            <w:r w:rsidRPr="00704B78">
              <w:rPr>
                <w:b/>
              </w:rPr>
              <w:t>Protocol title/ Publication title</w:t>
            </w:r>
          </w:p>
        </w:tc>
        <w:tc>
          <w:tcPr>
            <w:tcW w:w="1136" w:type="pct"/>
            <w:tcBorders>
              <w:bottom w:val="single" w:sz="4" w:space="0" w:color="auto"/>
            </w:tcBorders>
            <w:vAlign w:val="center"/>
          </w:tcPr>
          <w:p w14:paraId="670E2289" w14:textId="77777777" w:rsidR="00AD6A9E" w:rsidRPr="00704B78" w:rsidRDefault="00AD6A9E" w:rsidP="006E2A77">
            <w:pPr>
              <w:pStyle w:val="Tabletext0"/>
              <w:keepNext/>
              <w:keepLines/>
              <w:jc w:val="center"/>
              <w:rPr>
                <w:b/>
              </w:rPr>
            </w:pPr>
            <w:r w:rsidRPr="00704B78">
              <w:rPr>
                <w:b/>
              </w:rPr>
              <w:t>Publication citation</w:t>
            </w:r>
          </w:p>
        </w:tc>
      </w:tr>
      <w:tr w:rsidR="00AD6A9E" w:rsidRPr="00704B78" w14:paraId="5F3890BB" w14:textId="77777777" w:rsidTr="3517B442">
        <w:tc>
          <w:tcPr>
            <w:tcW w:w="941" w:type="pct"/>
            <w:vMerge w:val="restart"/>
            <w:tcBorders>
              <w:top w:val="single" w:sz="4" w:space="0" w:color="auto"/>
              <w:left w:val="single" w:sz="4" w:space="0" w:color="auto"/>
              <w:right w:val="single" w:sz="4" w:space="0" w:color="auto"/>
            </w:tcBorders>
            <w:vAlign w:val="center"/>
          </w:tcPr>
          <w:p w14:paraId="252FFB11" w14:textId="77777777" w:rsidR="00AD6A9E" w:rsidRPr="00704B78" w:rsidRDefault="00AD6A9E" w:rsidP="006E2A77">
            <w:pPr>
              <w:pStyle w:val="Tabletext0"/>
              <w:keepNext/>
              <w:keepLines/>
            </w:pPr>
            <w:r w:rsidRPr="00704B78">
              <w:t>ALXN1210-MG-306</w:t>
            </w:r>
          </w:p>
          <w:p w14:paraId="3CBF75FF" w14:textId="77777777" w:rsidR="00AD6A9E" w:rsidRPr="00704B78" w:rsidRDefault="00AD6A9E" w:rsidP="006E2A77">
            <w:pPr>
              <w:pStyle w:val="Tabletext0"/>
              <w:keepNext/>
              <w:keepLines/>
            </w:pPr>
            <w:r w:rsidRPr="00704B78">
              <w:t>(CHAMPION-MG)</w:t>
            </w:r>
          </w:p>
        </w:tc>
        <w:tc>
          <w:tcPr>
            <w:tcW w:w="2923" w:type="pct"/>
            <w:tcBorders>
              <w:top w:val="single" w:sz="4" w:space="0" w:color="auto"/>
              <w:left w:val="single" w:sz="4" w:space="0" w:color="auto"/>
              <w:bottom w:val="nil"/>
              <w:right w:val="single" w:sz="4" w:space="0" w:color="auto"/>
            </w:tcBorders>
            <w:vAlign w:val="center"/>
          </w:tcPr>
          <w:p w14:paraId="181E81AB" w14:textId="77777777" w:rsidR="00AD6A9E" w:rsidRPr="00704B78" w:rsidRDefault="00AD6A9E" w:rsidP="006E2A77">
            <w:pPr>
              <w:pStyle w:val="Tabletext0"/>
              <w:keepNext/>
              <w:keepLines/>
            </w:pPr>
            <w:r w:rsidRPr="00704B78">
              <w:t>Alexion (2021). A phase 3, randomized, double-blind, placebo-controlled, multicenter study to evaluate the safety and efficacy of ravulizumab in complement-inhibitor-naïve adult patients with generalized myasthenia gravis.</w:t>
            </w:r>
          </w:p>
        </w:tc>
        <w:tc>
          <w:tcPr>
            <w:tcW w:w="1136" w:type="pct"/>
            <w:tcBorders>
              <w:top w:val="single" w:sz="4" w:space="0" w:color="auto"/>
              <w:left w:val="single" w:sz="4" w:space="0" w:color="auto"/>
              <w:bottom w:val="nil"/>
              <w:right w:val="single" w:sz="4" w:space="0" w:color="auto"/>
            </w:tcBorders>
          </w:tcPr>
          <w:p w14:paraId="65614247" w14:textId="77777777" w:rsidR="00AD6A9E" w:rsidRPr="00704B78" w:rsidRDefault="00AD6A9E" w:rsidP="006E2A77">
            <w:pPr>
              <w:pStyle w:val="Tabletext0"/>
              <w:keepNext/>
              <w:keepLines/>
            </w:pPr>
            <w:r w:rsidRPr="00704B78">
              <w:t>Internal study report</w:t>
            </w:r>
          </w:p>
        </w:tc>
      </w:tr>
      <w:tr w:rsidR="00AD6A9E" w:rsidRPr="00704B78" w14:paraId="3749FC92" w14:textId="77777777" w:rsidTr="3517B442">
        <w:tc>
          <w:tcPr>
            <w:tcW w:w="941" w:type="pct"/>
            <w:vMerge/>
            <w:vAlign w:val="center"/>
          </w:tcPr>
          <w:p w14:paraId="18154834" w14:textId="77777777" w:rsidR="00AD6A9E" w:rsidRPr="00704B78" w:rsidRDefault="00AD6A9E" w:rsidP="006E2A77">
            <w:pPr>
              <w:pStyle w:val="Tabletext0"/>
              <w:keepNext/>
              <w:keepLines/>
            </w:pPr>
          </w:p>
        </w:tc>
        <w:tc>
          <w:tcPr>
            <w:tcW w:w="2923" w:type="pct"/>
            <w:tcBorders>
              <w:top w:val="nil"/>
              <w:left w:val="single" w:sz="4" w:space="0" w:color="auto"/>
              <w:bottom w:val="nil"/>
              <w:right w:val="single" w:sz="4" w:space="0" w:color="auto"/>
            </w:tcBorders>
            <w:vAlign w:val="center"/>
          </w:tcPr>
          <w:p w14:paraId="037FA672" w14:textId="77777777" w:rsidR="00AD6A9E" w:rsidRPr="00704B78" w:rsidRDefault="00AD6A9E" w:rsidP="006E2A77">
            <w:pPr>
              <w:pStyle w:val="Tabletext0"/>
              <w:keepNext/>
              <w:keepLines/>
            </w:pPr>
            <w:r w:rsidRPr="00704B78">
              <w:t xml:space="preserve">Alexion (2022). A phase 3, randomized, double-blind, placebo-controlled, multicenter study to evaluate the safety and efficacy of ravulizumab in complement-inhibitor-naïve adult patients with generalized myasthenia gravis. Clinical study report addendum (60-week data). </w:t>
            </w:r>
          </w:p>
        </w:tc>
        <w:tc>
          <w:tcPr>
            <w:tcW w:w="1136" w:type="pct"/>
            <w:tcBorders>
              <w:top w:val="nil"/>
              <w:left w:val="single" w:sz="4" w:space="0" w:color="auto"/>
              <w:bottom w:val="nil"/>
              <w:right w:val="single" w:sz="4" w:space="0" w:color="auto"/>
            </w:tcBorders>
          </w:tcPr>
          <w:p w14:paraId="532115B1" w14:textId="77777777" w:rsidR="00AD6A9E" w:rsidRPr="00704B78" w:rsidRDefault="00AD6A9E" w:rsidP="006E2A77">
            <w:pPr>
              <w:pStyle w:val="Tabletext0"/>
              <w:keepNext/>
              <w:keepLines/>
            </w:pPr>
            <w:r w:rsidRPr="00704B78">
              <w:t>Internal study report</w:t>
            </w:r>
          </w:p>
        </w:tc>
      </w:tr>
      <w:tr w:rsidR="00AD6A9E" w:rsidRPr="00704B78" w14:paraId="0C616795" w14:textId="77777777" w:rsidTr="3517B442">
        <w:tc>
          <w:tcPr>
            <w:tcW w:w="941" w:type="pct"/>
            <w:vMerge/>
            <w:vAlign w:val="center"/>
          </w:tcPr>
          <w:p w14:paraId="2C6B3BA4" w14:textId="77777777" w:rsidR="00AD6A9E" w:rsidRPr="00704B78" w:rsidRDefault="00AD6A9E" w:rsidP="006E2A77">
            <w:pPr>
              <w:pStyle w:val="Tabletext0"/>
              <w:keepNext/>
              <w:keepLines/>
            </w:pPr>
          </w:p>
        </w:tc>
        <w:tc>
          <w:tcPr>
            <w:tcW w:w="2923" w:type="pct"/>
            <w:tcBorders>
              <w:top w:val="nil"/>
              <w:left w:val="single" w:sz="4" w:space="0" w:color="auto"/>
              <w:bottom w:val="nil"/>
              <w:right w:val="single" w:sz="4" w:space="0" w:color="auto"/>
            </w:tcBorders>
            <w:vAlign w:val="center"/>
          </w:tcPr>
          <w:p w14:paraId="28DBCAD0" w14:textId="77777777" w:rsidR="00AD6A9E" w:rsidRPr="00704B78" w:rsidRDefault="00AD6A9E" w:rsidP="006E2A77">
            <w:pPr>
              <w:pStyle w:val="Tabletext0"/>
              <w:keepNext/>
              <w:keepLines/>
            </w:pPr>
            <w:r w:rsidRPr="00704B78">
              <w:t>Alexion (2023). A phase 3, randomized, double-blind, placebo-controlled, multicenter study to evaluate the safety and efficacy of ravulizumab in complement-inhibitor-naïve adult patients with generalized myasthenia gravis. End of study clinical study report addendum.</w:t>
            </w:r>
          </w:p>
        </w:tc>
        <w:tc>
          <w:tcPr>
            <w:tcW w:w="1136" w:type="pct"/>
            <w:tcBorders>
              <w:top w:val="nil"/>
              <w:left w:val="single" w:sz="4" w:space="0" w:color="auto"/>
              <w:bottom w:val="nil"/>
              <w:right w:val="single" w:sz="4" w:space="0" w:color="auto"/>
            </w:tcBorders>
          </w:tcPr>
          <w:p w14:paraId="130044F0" w14:textId="77777777" w:rsidR="00AD6A9E" w:rsidRPr="00704B78" w:rsidRDefault="00AD6A9E" w:rsidP="006E2A77">
            <w:pPr>
              <w:pStyle w:val="Tabletext0"/>
              <w:keepNext/>
              <w:keepLines/>
            </w:pPr>
            <w:r w:rsidRPr="00704B78">
              <w:t>Internal study report</w:t>
            </w:r>
          </w:p>
        </w:tc>
      </w:tr>
      <w:tr w:rsidR="00AD6A9E" w:rsidRPr="00704B78" w14:paraId="17ED1A66" w14:textId="77777777" w:rsidTr="3517B442">
        <w:tc>
          <w:tcPr>
            <w:tcW w:w="941" w:type="pct"/>
            <w:vMerge/>
            <w:vAlign w:val="center"/>
          </w:tcPr>
          <w:p w14:paraId="0FCF820B" w14:textId="77777777" w:rsidR="00AD6A9E" w:rsidRPr="00704B78" w:rsidRDefault="00AD6A9E" w:rsidP="006E2A77">
            <w:pPr>
              <w:pStyle w:val="Tabletext0"/>
              <w:keepNext/>
              <w:keepLines/>
            </w:pPr>
          </w:p>
        </w:tc>
        <w:tc>
          <w:tcPr>
            <w:tcW w:w="2923" w:type="pct"/>
            <w:tcBorders>
              <w:top w:val="nil"/>
              <w:left w:val="single" w:sz="4" w:space="0" w:color="auto"/>
              <w:bottom w:val="nil"/>
              <w:right w:val="single" w:sz="4" w:space="0" w:color="auto"/>
            </w:tcBorders>
            <w:vAlign w:val="center"/>
          </w:tcPr>
          <w:p w14:paraId="26BC9B57" w14:textId="77777777" w:rsidR="00AD6A9E" w:rsidRPr="00704B78" w:rsidRDefault="00AD6A9E" w:rsidP="006E2A77">
            <w:pPr>
              <w:pStyle w:val="Tabletext0"/>
              <w:keepNext/>
              <w:keepLines/>
              <w:rPr>
                <w:szCs w:val="18"/>
              </w:rPr>
            </w:pPr>
            <w:r w:rsidRPr="00704B78">
              <w:rPr>
                <w:szCs w:val="18"/>
              </w:rPr>
              <w:t>Howard et al (2024). Efficacy of ravulizumab in patients with generalized myasthenia gravis by time from diagnosis: a post hoc subgroup analysis of the CHAMPION MG study.</w:t>
            </w:r>
          </w:p>
        </w:tc>
        <w:tc>
          <w:tcPr>
            <w:tcW w:w="1136" w:type="pct"/>
            <w:tcBorders>
              <w:top w:val="nil"/>
              <w:left w:val="single" w:sz="4" w:space="0" w:color="auto"/>
              <w:bottom w:val="nil"/>
              <w:right w:val="single" w:sz="4" w:space="0" w:color="auto"/>
            </w:tcBorders>
          </w:tcPr>
          <w:p w14:paraId="2CA02D0D" w14:textId="77777777" w:rsidR="00AD6A9E" w:rsidRPr="00704B78" w:rsidRDefault="00AD6A9E" w:rsidP="006E2A77">
            <w:pPr>
              <w:pStyle w:val="Tabletext0"/>
              <w:keepNext/>
              <w:keepLines/>
            </w:pPr>
            <w:r w:rsidRPr="00704B78">
              <w:t>Muscle &amp; Nerve 69:</w:t>
            </w:r>
            <w:r w:rsidRPr="00704B78">
              <w:br/>
              <w:t>556-565.</w:t>
            </w:r>
          </w:p>
        </w:tc>
      </w:tr>
      <w:tr w:rsidR="00AD6A9E" w:rsidRPr="00704B78" w14:paraId="316F8F48" w14:textId="77777777" w:rsidTr="3517B442">
        <w:tc>
          <w:tcPr>
            <w:tcW w:w="941" w:type="pct"/>
            <w:vMerge/>
            <w:vAlign w:val="center"/>
          </w:tcPr>
          <w:p w14:paraId="7E1A8A40" w14:textId="77777777" w:rsidR="00AD6A9E" w:rsidRPr="00704B78" w:rsidRDefault="00AD6A9E" w:rsidP="006E2A77">
            <w:pPr>
              <w:pStyle w:val="Tabletext0"/>
              <w:keepNext/>
              <w:keepLines/>
            </w:pPr>
          </w:p>
        </w:tc>
        <w:tc>
          <w:tcPr>
            <w:tcW w:w="2923" w:type="pct"/>
            <w:tcBorders>
              <w:top w:val="nil"/>
              <w:left w:val="single" w:sz="4" w:space="0" w:color="auto"/>
              <w:bottom w:val="nil"/>
              <w:right w:val="single" w:sz="4" w:space="0" w:color="auto"/>
            </w:tcBorders>
            <w:vAlign w:val="center"/>
          </w:tcPr>
          <w:p w14:paraId="5B36B93A" w14:textId="1F8166B3" w:rsidR="00AD6A9E" w:rsidRPr="00704B78" w:rsidRDefault="00AD6A9E" w:rsidP="006E2A77">
            <w:pPr>
              <w:pStyle w:val="Tabletext0"/>
              <w:keepNext/>
              <w:keepLines/>
              <w:rPr>
                <w:szCs w:val="18"/>
              </w:rPr>
            </w:pPr>
            <w:r w:rsidRPr="00704B78">
              <w:rPr>
                <w:szCs w:val="18"/>
              </w:rPr>
              <w:t>Meisel et al (2023). Long-term efficacy and safety of ravulizumab in adults with anti-acetylcholine receptor antibody-positive generalized myasthenia gravis: results from the phase 3 CHAMPION MG open-label extension</w:t>
            </w:r>
            <w:r w:rsidR="008C36C0">
              <w:rPr>
                <w:szCs w:val="18"/>
              </w:rPr>
              <w:t>.</w:t>
            </w:r>
          </w:p>
        </w:tc>
        <w:tc>
          <w:tcPr>
            <w:tcW w:w="1136" w:type="pct"/>
            <w:tcBorders>
              <w:top w:val="nil"/>
              <w:left w:val="single" w:sz="4" w:space="0" w:color="auto"/>
              <w:bottom w:val="nil"/>
              <w:right w:val="single" w:sz="4" w:space="0" w:color="auto"/>
            </w:tcBorders>
          </w:tcPr>
          <w:p w14:paraId="5D6CC933" w14:textId="77777777" w:rsidR="00AD6A9E" w:rsidRPr="00704B78" w:rsidRDefault="00AD6A9E" w:rsidP="006E2A77">
            <w:pPr>
              <w:pStyle w:val="Tabletext0"/>
              <w:keepNext/>
              <w:keepLines/>
            </w:pPr>
            <w:r w:rsidRPr="00704B78">
              <w:t>Journal of Neurology 270: 3862-3875</w:t>
            </w:r>
          </w:p>
        </w:tc>
      </w:tr>
      <w:tr w:rsidR="00AD6A9E" w:rsidRPr="00704B78" w14:paraId="62DF241C" w14:textId="77777777" w:rsidTr="3517B442">
        <w:tc>
          <w:tcPr>
            <w:tcW w:w="941" w:type="pct"/>
            <w:vMerge/>
            <w:vAlign w:val="center"/>
          </w:tcPr>
          <w:p w14:paraId="1FD88A42" w14:textId="77777777" w:rsidR="00AD6A9E" w:rsidRPr="00704B78" w:rsidRDefault="00AD6A9E" w:rsidP="006E2A77">
            <w:pPr>
              <w:pStyle w:val="Tabletext0"/>
              <w:keepNext/>
              <w:keepLines/>
            </w:pPr>
          </w:p>
        </w:tc>
        <w:tc>
          <w:tcPr>
            <w:tcW w:w="2923" w:type="pct"/>
            <w:tcBorders>
              <w:top w:val="nil"/>
              <w:left w:val="single" w:sz="4" w:space="0" w:color="auto"/>
              <w:bottom w:val="nil"/>
              <w:right w:val="single" w:sz="4" w:space="0" w:color="auto"/>
            </w:tcBorders>
            <w:vAlign w:val="center"/>
          </w:tcPr>
          <w:p w14:paraId="513CDC4B" w14:textId="580C3758" w:rsidR="00AD6A9E" w:rsidRPr="00704B78" w:rsidRDefault="00AD6A9E" w:rsidP="006E2A77">
            <w:pPr>
              <w:pStyle w:val="Tabletext0"/>
              <w:keepNext/>
              <w:keepLines/>
              <w:rPr>
                <w:szCs w:val="18"/>
              </w:rPr>
            </w:pPr>
            <w:r w:rsidRPr="00704B78">
              <w:rPr>
                <w:szCs w:val="18"/>
              </w:rPr>
              <w:t>Vu et al (2023). Ravulizumab pharmacokinetics and pharmacodynamics in patients with generalized myasthenia gravis</w:t>
            </w:r>
            <w:r w:rsidR="008C36C0">
              <w:rPr>
                <w:szCs w:val="18"/>
              </w:rPr>
              <w:t>.</w:t>
            </w:r>
          </w:p>
        </w:tc>
        <w:tc>
          <w:tcPr>
            <w:tcW w:w="1136" w:type="pct"/>
            <w:tcBorders>
              <w:top w:val="nil"/>
              <w:left w:val="single" w:sz="4" w:space="0" w:color="auto"/>
              <w:bottom w:val="nil"/>
              <w:right w:val="single" w:sz="4" w:space="0" w:color="auto"/>
            </w:tcBorders>
          </w:tcPr>
          <w:p w14:paraId="26DC0CAE" w14:textId="77777777" w:rsidR="00AD6A9E" w:rsidRPr="00704B78" w:rsidRDefault="00AD6A9E" w:rsidP="006E2A77">
            <w:pPr>
              <w:pStyle w:val="Tabletext0"/>
              <w:keepNext/>
              <w:keepLines/>
            </w:pPr>
            <w:r w:rsidRPr="00704B78">
              <w:t>Journal of Neurology 270: 3129-3137</w:t>
            </w:r>
          </w:p>
        </w:tc>
      </w:tr>
      <w:tr w:rsidR="00AD6A9E" w:rsidRPr="00704B78" w14:paraId="4B646C65" w14:textId="77777777" w:rsidTr="3517B442">
        <w:tc>
          <w:tcPr>
            <w:tcW w:w="941" w:type="pct"/>
            <w:vMerge/>
            <w:vAlign w:val="center"/>
          </w:tcPr>
          <w:p w14:paraId="25792927" w14:textId="77777777" w:rsidR="00AD6A9E" w:rsidRPr="00704B78" w:rsidRDefault="00AD6A9E" w:rsidP="006E2A77">
            <w:pPr>
              <w:pStyle w:val="Tabletext0"/>
              <w:keepNext/>
              <w:keepLines/>
            </w:pPr>
          </w:p>
        </w:tc>
        <w:tc>
          <w:tcPr>
            <w:tcW w:w="2923" w:type="pct"/>
            <w:tcBorders>
              <w:top w:val="nil"/>
              <w:left w:val="single" w:sz="4" w:space="0" w:color="auto"/>
              <w:bottom w:val="single" w:sz="4" w:space="0" w:color="auto"/>
              <w:right w:val="single" w:sz="4" w:space="0" w:color="auto"/>
            </w:tcBorders>
            <w:vAlign w:val="center"/>
          </w:tcPr>
          <w:p w14:paraId="342C94FC" w14:textId="77777777" w:rsidR="00AD6A9E" w:rsidRPr="00704B78" w:rsidRDefault="00AD6A9E" w:rsidP="006E2A77">
            <w:pPr>
              <w:pStyle w:val="Tabletext0"/>
              <w:keepNext/>
              <w:keepLines/>
              <w:rPr>
                <w:szCs w:val="18"/>
              </w:rPr>
            </w:pPr>
            <w:r w:rsidRPr="00704B78">
              <w:rPr>
                <w:szCs w:val="18"/>
              </w:rPr>
              <w:t>Vu et al (2022). Terminal complement inhibitor ravulizumab in generalized myasthenia gravis.</w:t>
            </w:r>
          </w:p>
        </w:tc>
        <w:tc>
          <w:tcPr>
            <w:tcW w:w="1136" w:type="pct"/>
            <w:tcBorders>
              <w:top w:val="nil"/>
              <w:left w:val="single" w:sz="4" w:space="0" w:color="auto"/>
              <w:bottom w:val="single" w:sz="4" w:space="0" w:color="auto"/>
              <w:right w:val="single" w:sz="4" w:space="0" w:color="auto"/>
            </w:tcBorders>
          </w:tcPr>
          <w:p w14:paraId="2D5C5CE4" w14:textId="77777777" w:rsidR="00AD6A9E" w:rsidRPr="00704B78" w:rsidRDefault="00AD6A9E" w:rsidP="006E2A77">
            <w:pPr>
              <w:pStyle w:val="Tabletext0"/>
              <w:keepNext/>
              <w:keepLines/>
            </w:pPr>
            <w:r w:rsidRPr="00704B78">
              <w:t>New England Journal of Medicine Evidence 1(5)</w:t>
            </w:r>
          </w:p>
        </w:tc>
      </w:tr>
    </w:tbl>
    <w:p w14:paraId="669F492A" w14:textId="77777777" w:rsidR="00AD6A9E" w:rsidRPr="00704B78" w:rsidRDefault="00AD6A9E" w:rsidP="006E2A77">
      <w:pPr>
        <w:pStyle w:val="COMTablefooter"/>
        <w:keepNext/>
        <w:keepLines/>
      </w:pPr>
      <w:r w:rsidRPr="00704B78">
        <w:t>Source: Table 2A-3, p70 of the resubmission</w:t>
      </w:r>
    </w:p>
    <w:p w14:paraId="74E36D24" w14:textId="4355FE45" w:rsidR="00AD6A9E" w:rsidRPr="00704B78" w:rsidRDefault="00AD6A9E" w:rsidP="006E2A77">
      <w:pPr>
        <w:pStyle w:val="COMTablefooter"/>
        <w:keepLines/>
        <w:rPr>
          <w:sz w:val="20"/>
        </w:rPr>
      </w:pPr>
      <w:r w:rsidRPr="00704B78">
        <w:t>Note: Abstracts of studies with full publications are not presented</w:t>
      </w:r>
    </w:p>
    <w:p w14:paraId="51D8173A" w14:textId="3CBC9CAB" w:rsidR="008E0D3C" w:rsidRPr="00704B78" w:rsidRDefault="00AD6A9E" w:rsidP="006E2A77">
      <w:pPr>
        <w:pStyle w:val="COMexecsummnumbered"/>
      </w:pPr>
      <w:r w:rsidRPr="00704B78">
        <w:t xml:space="preserve">The key features of the CHAMPION-MG trial are summarised in </w:t>
      </w:r>
      <w:r w:rsidR="00230DA0" w:rsidRPr="00704B78">
        <w:fldChar w:fldCharType="begin"/>
      </w:r>
      <w:r w:rsidR="00230DA0" w:rsidRPr="00704B78">
        <w:instrText xml:space="preserve"> REF _Ref187651864 \h </w:instrText>
      </w:r>
      <w:r w:rsidR="00704B78" w:rsidRPr="00704B78">
        <w:instrText xml:space="preserve"> \* MERGEFORMAT </w:instrText>
      </w:r>
      <w:r w:rsidR="00230DA0" w:rsidRPr="00704B78">
        <w:fldChar w:fldCharType="separate"/>
      </w:r>
      <w:r w:rsidR="00875704" w:rsidRPr="00704B78">
        <w:t xml:space="preserve">Table </w:t>
      </w:r>
      <w:r w:rsidR="00875704">
        <w:rPr>
          <w:noProof/>
        </w:rPr>
        <w:t>4</w:t>
      </w:r>
      <w:r w:rsidR="00230DA0" w:rsidRPr="00704B78">
        <w:fldChar w:fldCharType="end"/>
      </w:r>
      <w:r w:rsidRPr="00704B78">
        <w:t>.</w:t>
      </w:r>
    </w:p>
    <w:p w14:paraId="355E2F15" w14:textId="657AEC3A" w:rsidR="007F1017" w:rsidRPr="00704B78" w:rsidRDefault="00230DA0" w:rsidP="006E2A77">
      <w:pPr>
        <w:pStyle w:val="COMtablefigcaption"/>
      </w:pPr>
      <w:bookmarkStart w:id="30" w:name="_Ref187651864"/>
      <w:r w:rsidRPr="00704B78">
        <w:t xml:space="preserve">Table </w:t>
      </w:r>
      <w:r w:rsidRPr="00704B78">
        <w:fldChar w:fldCharType="begin"/>
      </w:r>
      <w:r w:rsidRPr="00704B78">
        <w:instrText>SEQ Table \* ARABIC</w:instrText>
      </w:r>
      <w:r w:rsidRPr="00704B78">
        <w:fldChar w:fldCharType="separate"/>
      </w:r>
      <w:r w:rsidR="00875704">
        <w:rPr>
          <w:noProof/>
        </w:rPr>
        <w:t>4</w:t>
      </w:r>
      <w:r w:rsidRPr="00704B78">
        <w:fldChar w:fldCharType="end"/>
      </w:r>
      <w:bookmarkEnd w:id="30"/>
      <w:r w:rsidR="00D6076E" w:rsidRPr="00704B78">
        <w:t xml:space="preserve">: </w:t>
      </w:r>
      <w:r w:rsidR="007F1017" w:rsidRPr="00704B78">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435"/>
        <w:gridCol w:w="544"/>
        <w:gridCol w:w="1443"/>
        <w:gridCol w:w="700"/>
        <w:gridCol w:w="1470"/>
        <w:gridCol w:w="1890"/>
        <w:gridCol w:w="1535"/>
      </w:tblGrid>
      <w:tr w:rsidR="00B41614" w:rsidRPr="00704B78" w14:paraId="53DD7CC6" w14:textId="77777777" w:rsidTr="0030742E">
        <w:trPr>
          <w:cantSplit/>
          <w:tblHeader/>
        </w:trPr>
        <w:tc>
          <w:tcPr>
            <w:tcW w:w="796" w:type="pct"/>
            <w:vAlign w:val="center"/>
          </w:tcPr>
          <w:p w14:paraId="794116BC" w14:textId="77777777" w:rsidR="007F1017" w:rsidRPr="00704B78" w:rsidRDefault="007F1017" w:rsidP="006E2A77">
            <w:pPr>
              <w:pStyle w:val="COMTableheadingrow"/>
              <w:jc w:val="center"/>
            </w:pPr>
            <w:r w:rsidRPr="00704B78">
              <w:t>Trial</w:t>
            </w:r>
          </w:p>
        </w:tc>
        <w:tc>
          <w:tcPr>
            <w:tcW w:w="302" w:type="pct"/>
            <w:vAlign w:val="center"/>
          </w:tcPr>
          <w:p w14:paraId="51122FE5" w14:textId="77777777" w:rsidR="007F1017" w:rsidRPr="00704B78" w:rsidRDefault="007F1017" w:rsidP="006E2A77">
            <w:pPr>
              <w:pStyle w:val="COMTableheadingrow"/>
              <w:jc w:val="center"/>
            </w:pPr>
            <w:r w:rsidRPr="00704B78">
              <w:t>N</w:t>
            </w:r>
          </w:p>
        </w:tc>
        <w:tc>
          <w:tcPr>
            <w:tcW w:w="800" w:type="pct"/>
            <w:vAlign w:val="center"/>
          </w:tcPr>
          <w:p w14:paraId="41C438EF" w14:textId="7846B250" w:rsidR="007F1017" w:rsidRPr="00704B78" w:rsidRDefault="007F1017" w:rsidP="006E2A77">
            <w:pPr>
              <w:pStyle w:val="COMTableheadingrow"/>
              <w:jc w:val="center"/>
            </w:pPr>
            <w:r w:rsidRPr="00704B78">
              <w:t>Design/duration</w:t>
            </w:r>
          </w:p>
        </w:tc>
        <w:tc>
          <w:tcPr>
            <w:tcW w:w="388" w:type="pct"/>
            <w:vAlign w:val="center"/>
          </w:tcPr>
          <w:p w14:paraId="1FC91360" w14:textId="77777777" w:rsidR="007F1017" w:rsidRPr="00704B78" w:rsidRDefault="007F1017" w:rsidP="006E2A77">
            <w:pPr>
              <w:pStyle w:val="COMTableheadingrow"/>
              <w:jc w:val="center"/>
            </w:pPr>
            <w:r w:rsidRPr="00704B78">
              <w:t>Risk of bias</w:t>
            </w:r>
          </w:p>
        </w:tc>
        <w:tc>
          <w:tcPr>
            <w:tcW w:w="815" w:type="pct"/>
            <w:vAlign w:val="center"/>
          </w:tcPr>
          <w:p w14:paraId="7FF90896" w14:textId="77777777" w:rsidR="007F1017" w:rsidRPr="00704B78" w:rsidRDefault="007F1017" w:rsidP="006E2A77">
            <w:pPr>
              <w:pStyle w:val="COMTableheadingrow"/>
              <w:jc w:val="center"/>
            </w:pPr>
            <w:r w:rsidRPr="00704B78">
              <w:t>Patient population</w:t>
            </w:r>
          </w:p>
        </w:tc>
        <w:tc>
          <w:tcPr>
            <w:tcW w:w="1048" w:type="pct"/>
            <w:vAlign w:val="center"/>
          </w:tcPr>
          <w:p w14:paraId="0FCB63F9" w14:textId="4E837770" w:rsidR="007F1017" w:rsidRPr="00704B78" w:rsidRDefault="007F1017" w:rsidP="006E2A77">
            <w:pPr>
              <w:pStyle w:val="COMTableheadingrow"/>
              <w:jc w:val="center"/>
            </w:pPr>
            <w:r w:rsidRPr="00704B78">
              <w:t>Outcomes</w:t>
            </w:r>
          </w:p>
        </w:tc>
        <w:tc>
          <w:tcPr>
            <w:tcW w:w="850" w:type="pct"/>
            <w:vAlign w:val="center"/>
          </w:tcPr>
          <w:p w14:paraId="08C6F624" w14:textId="77777777" w:rsidR="007F1017" w:rsidRPr="00704B78" w:rsidRDefault="007F1017" w:rsidP="006E2A77">
            <w:pPr>
              <w:pStyle w:val="COMTableheadingrow"/>
              <w:jc w:val="center"/>
            </w:pPr>
            <w:r w:rsidRPr="00704B78">
              <w:t>Use in modelled evaluation</w:t>
            </w:r>
          </w:p>
        </w:tc>
      </w:tr>
      <w:tr w:rsidR="007F1017" w:rsidRPr="00704B78" w14:paraId="2A03CD4B" w14:textId="77777777" w:rsidTr="00682BA6">
        <w:trPr>
          <w:cantSplit/>
        </w:trPr>
        <w:tc>
          <w:tcPr>
            <w:tcW w:w="5000" w:type="pct"/>
            <w:gridSpan w:val="7"/>
            <w:vAlign w:val="center"/>
          </w:tcPr>
          <w:p w14:paraId="73088C85" w14:textId="1E524179" w:rsidR="007F1017" w:rsidRPr="00704B78" w:rsidRDefault="0030742E" w:rsidP="006E2A77">
            <w:pPr>
              <w:pStyle w:val="COMTableheadingrow"/>
            </w:pPr>
            <w:r w:rsidRPr="00704B78">
              <w:t>Ravulizumab vs. placebo</w:t>
            </w:r>
          </w:p>
        </w:tc>
      </w:tr>
      <w:tr w:rsidR="00B41614" w:rsidRPr="00704B78" w14:paraId="4EE88DCB" w14:textId="77777777" w:rsidTr="0030742E">
        <w:trPr>
          <w:cantSplit/>
        </w:trPr>
        <w:tc>
          <w:tcPr>
            <w:tcW w:w="796" w:type="pct"/>
            <w:vAlign w:val="center"/>
          </w:tcPr>
          <w:p w14:paraId="6EE77D33" w14:textId="107550B3" w:rsidR="007F1017" w:rsidRPr="00704B78" w:rsidRDefault="0030742E" w:rsidP="006E2A77">
            <w:pPr>
              <w:pStyle w:val="COMTabletext"/>
            </w:pPr>
            <w:r w:rsidRPr="00704B78">
              <w:t>CHAMPION-MG</w:t>
            </w:r>
          </w:p>
        </w:tc>
        <w:tc>
          <w:tcPr>
            <w:tcW w:w="302" w:type="pct"/>
            <w:vAlign w:val="center"/>
          </w:tcPr>
          <w:p w14:paraId="41BB0E41" w14:textId="615ABC7D" w:rsidR="007F1017" w:rsidRPr="00704B78" w:rsidRDefault="0030742E" w:rsidP="006E2A77">
            <w:pPr>
              <w:pStyle w:val="COMTabletext"/>
              <w:jc w:val="center"/>
            </w:pPr>
            <w:r w:rsidRPr="00704B78">
              <w:t>175</w:t>
            </w:r>
          </w:p>
        </w:tc>
        <w:tc>
          <w:tcPr>
            <w:tcW w:w="800" w:type="pct"/>
            <w:vAlign w:val="center"/>
          </w:tcPr>
          <w:p w14:paraId="7ED595D1" w14:textId="77777777" w:rsidR="0030742E" w:rsidRPr="00704B78" w:rsidRDefault="0030742E" w:rsidP="006E2A77">
            <w:pPr>
              <w:pStyle w:val="TableText"/>
              <w:widowControl/>
              <w:jc w:val="center"/>
            </w:pPr>
            <w:r w:rsidRPr="00704B78">
              <w:t xml:space="preserve">MC, R, DB, PC, </w:t>
            </w:r>
          </w:p>
          <w:p w14:paraId="744D08AC" w14:textId="27F0B52B" w:rsidR="007F1017" w:rsidRPr="00704B78" w:rsidRDefault="0030742E" w:rsidP="006E2A77">
            <w:pPr>
              <w:pStyle w:val="COMTabletext"/>
              <w:jc w:val="center"/>
            </w:pPr>
            <w:r w:rsidRPr="00704B78">
              <w:t>26 weeks duration with open-label extension to 4 years (mean exposure 2.33 years)</w:t>
            </w:r>
          </w:p>
        </w:tc>
        <w:tc>
          <w:tcPr>
            <w:tcW w:w="388" w:type="pct"/>
            <w:vAlign w:val="center"/>
          </w:tcPr>
          <w:p w14:paraId="4A529D74" w14:textId="58630AF6" w:rsidR="007F1017" w:rsidRPr="00704B78" w:rsidRDefault="007F1017" w:rsidP="006E2A77">
            <w:pPr>
              <w:pStyle w:val="COMTabletext"/>
              <w:jc w:val="center"/>
              <w:rPr>
                <w:vertAlign w:val="superscript"/>
              </w:rPr>
            </w:pPr>
            <w:r w:rsidRPr="00704B78">
              <w:t>Low</w:t>
            </w:r>
            <w:r w:rsidR="0030742E" w:rsidRPr="00704B78">
              <w:rPr>
                <w:vertAlign w:val="superscript"/>
              </w:rPr>
              <w:t>a</w:t>
            </w:r>
          </w:p>
        </w:tc>
        <w:tc>
          <w:tcPr>
            <w:tcW w:w="815" w:type="pct"/>
            <w:vAlign w:val="center"/>
          </w:tcPr>
          <w:p w14:paraId="5E6F456D" w14:textId="786421A7" w:rsidR="007F1017" w:rsidRPr="00704B78" w:rsidRDefault="0030742E" w:rsidP="006E2A77">
            <w:pPr>
              <w:pStyle w:val="COMTabletext"/>
              <w:jc w:val="center"/>
            </w:pPr>
            <w:r w:rsidRPr="00704B78">
              <w:t>AChR+ generalised myasthenia gravis with functional impairment (MG-ADL ≥ 6) with stable background therapy</w:t>
            </w:r>
          </w:p>
        </w:tc>
        <w:tc>
          <w:tcPr>
            <w:tcW w:w="1048" w:type="pct"/>
            <w:vAlign w:val="center"/>
          </w:tcPr>
          <w:p w14:paraId="706318F4" w14:textId="77777777" w:rsidR="0030742E" w:rsidRPr="00704B78" w:rsidRDefault="0030742E" w:rsidP="006E2A77">
            <w:pPr>
              <w:pStyle w:val="COMTabletext"/>
              <w:jc w:val="center"/>
            </w:pPr>
            <w:r w:rsidRPr="00704B78">
              <w:t>Primary: Change in MG-ADL score</w:t>
            </w:r>
          </w:p>
          <w:p w14:paraId="24C13FC7" w14:textId="77777777" w:rsidR="0030742E" w:rsidRPr="00704B78" w:rsidRDefault="0030742E" w:rsidP="006E2A77">
            <w:pPr>
              <w:pStyle w:val="COMTabletext"/>
              <w:jc w:val="center"/>
            </w:pPr>
            <w:r w:rsidRPr="00704B78">
              <w:t xml:space="preserve"> </w:t>
            </w:r>
          </w:p>
          <w:p w14:paraId="6DC76214" w14:textId="24B887F1" w:rsidR="007F1017" w:rsidRPr="00704B78" w:rsidRDefault="0030742E" w:rsidP="006E2A77">
            <w:pPr>
              <w:pStyle w:val="COMTabletext"/>
              <w:jc w:val="center"/>
            </w:pPr>
            <w:r w:rsidRPr="00704B78">
              <w:t>Other outcomes: Change in other functional measures (MGC, QMG), global assessments (MGFA-PIS), quality of life (EQ-5D-5L, MG-QoL15r, Neuro-QoL Fatigue) and incidence of clinical deterioration events</w:t>
            </w:r>
          </w:p>
        </w:tc>
        <w:tc>
          <w:tcPr>
            <w:tcW w:w="850" w:type="pct"/>
            <w:vAlign w:val="center"/>
          </w:tcPr>
          <w:p w14:paraId="150A804C" w14:textId="3F86AB3A" w:rsidR="007F1017" w:rsidRPr="00704B78" w:rsidRDefault="0030742E" w:rsidP="006E2A77">
            <w:pPr>
              <w:pStyle w:val="COMTabletext"/>
              <w:jc w:val="center"/>
            </w:pPr>
            <w:r w:rsidRPr="00704B78">
              <w:t>Baseline characteristics, treatment response, treatment discontinuations, adverse events, clinical events, and utility values for clinical events and health states</w:t>
            </w:r>
          </w:p>
        </w:tc>
      </w:tr>
    </w:tbl>
    <w:p w14:paraId="560080D2" w14:textId="162E2A20" w:rsidR="00045017" w:rsidRPr="00704B78" w:rsidRDefault="00045017" w:rsidP="006E2A77">
      <w:pPr>
        <w:pStyle w:val="COMTablefooter"/>
      </w:pPr>
      <w:r w:rsidRPr="00704B78">
        <w:t xml:space="preserve">Source: </w:t>
      </w:r>
      <w:r w:rsidR="0030742E" w:rsidRPr="00704B78">
        <w:t>Table 2A-4, p74; Section 2A.4, pp80-85 of the resubmission</w:t>
      </w:r>
    </w:p>
    <w:p w14:paraId="74946914" w14:textId="77777777" w:rsidR="0030742E" w:rsidRPr="00704B78" w:rsidRDefault="0030742E" w:rsidP="006E2A77">
      <w:pPr>
        <w:pStyle w:val="COMTablefooter"/>
      </w:pPr>
      <w:r w:rsidRPr="00704B78">
        <w:t>Abbreviations: AChR+, anti-acetylcholine receptor antibody positive; DB, double-blind; MC, multicentre; MG-ADL, Myasthenia Gravis Activities of Daily Living; MGC, myasthenia gravis composite score; MGFA-PIS, modified Myasthenia Gravis Foundation of America Post-Intervention Status; MG-QoL15r, revised Myasthenia Gravis Quality of Life; Neuro-QoL Fatigue, Quality of Life in Neurological Disorders Fatigue subscale; PC, placebo-controlled; QMG, Quantitative Myasthenia Gravis score; R, randomised.</w:t>
      </w:r>
    </w:p>
    <w:p w14:paraId="7C90188D" w14:textId="0F86837E" w:rsidR="0030742E" w:rsidRPr="00704B78" w:rsidRDefault="0030742E" w:rsidP="006E2A77">
      <w:pPr>
        <w:pStyle w:val="COMTablefooter"/>
      </w:pPr>
      <w:proofErr w:type="spellStart"/>
      <w:r w:rsidRPr="00704B78">
        <w:rPr>
          <w:vertAlign w:val="superscript"/>
        </w:rPr>
        <w:t>a</w:t>
      </w:r>
      <w:proofErr w:type="spellEnd"/>
      <w:r w:rsidRPr="00704B78">
        <w:rPr>
          <w:vertAlign w:val="superscript"/>
        </w:rPr>
        <w:t xml:space="preserve"> </w:t>
      </w:r>
      <w:proofErr w:type="gramStart"/>
      <w:r w:rsidRPr="00704B78">
        <w:t>The</w:t>
      </w:r>
      <w:proofErr w:type="gramEnd"/>
      <w:r w:rsidRPr="00704B78">
        <w:t xml:space="preserve"> CHAMPION-MG trial had a low risk of bias. However, the extension study, in which all patients received ravulizumab treatment, was at high risk of bias given the observational study design.</w:t>
      </w:r>
    </w:p>
    <w:p w14:paraId="4A4FE085" w14:textId="1C5613CC" w:rsidR="00B60939" w:rsidRPr="00704B78" w:rsidRDefault="00B60939" w:rsidP="006E2A77">
      <w:pPr>
        <w:pStyle w:val="COMH2-non-numbered"/>
        <w:rPr>
          <w:iCs/>
        </w:rPr>
      </w:pPr>
      <w:bookmarkStart w:id="31" w:name="_Toc22897641"/>
      <w:bookmarkStart w:id="32" w:name="_Toc188350827"/>
      <w:r w:rsidRPr="00704B78">
        <w:rPr>
          <w:iCs/>
        </w:rPr>
        <w:lastRenderedPageBreak/>
        <w:t>Comparative effectiveness</w:t>
      </w:r>
      <w:bookmarkEnd w:id="31"/>
      <w:bookmarkEnd w:id="32"/>
    </w:p>
    <w:p w14:paraId="29768C0D" w14:textId="48705D51" w:rsidR="00532D7A" w:rsidRPr="00704B78" w:rsidRDefault="00532D7A" w:rsidP="006E2A77">
      <w:pPr>
        <w:pStyle w:val="COMexecsummnumbered"/>
      </w:pPr>
      <w:r w:rsidRPr="00704B78">
        <w:t xml:space="preserve">The mean change in MG-ADL score from baseline with ravulizumab and placebo in the CHAMPION-MG trial is summarised in </w:t>
      </w:r>
      <w:r w:rsidR="00051A52" w:rsidRPr="00704B78">
        <w:fldChar w:fldCharType="begin"/>
      </w:r>
      <w:r w:rsidR="00051A52" w:rsidRPr="00704B78">
        <w:instrText xml:space="preserve"> REF _Ref187651928 \h </w:instrText>
      </w:r>
      <w:r w:rsidR="00704B78" w:rsidRPr="00704B78">
        <w:instrText xml:space="preserve"> \* MERGEFORMAT </w:instrText>
      </w:r>
      <w:r w:rsidR="00051A52" w:rsidRPr="00704B78">
        <w:fldChar w:fldCharType="separate"/>
      </w:r>
      <w:r w:rsidR="00875704" w:rsidRPr="00704B78">
        <w:t xml:space="preserve">Table </w:t>
      </w:r>
      <w:r w:rsidR="00875704">
        <w:rPr>
          <w:noProof/>
        </w:rPr>
        <w:t>5</w:t>
      </w:r>
      <w:r w:rsidR="00051A52" w:rsidRPr="00704B78">
        <w:fldChar w:fldCharType="end"/>
      </w:r>
      <w:r w:rsidRPr="00704B78">
        <w:t>.</w:t>
      </w:r>
    </w:p>
    <w:p w14:paraId="48EF05F1" w14:textId="41FE4A0F" w:rsidR="00532D7A" w:rsidRPr="00704B78" w:rsidRDefault="00051A52" w:rsidP="006E2A77">
      <w:pPr>
        <w:pStyle w:val="COMtablefigcaption"/>
        <w:rPr>
          <w:rStyle w:val="CommentReference"/>
          <w:b/>
          <w:szCs w:val="24"/>
        </w:rPr>
      </w:pPr>
      <w:bookmarkStart w:id="33" w:name="_Ref187651928"/>
      <w:r w:rsidRPr="00704B78">
        <w:t xml:space="preserve">Table </w:t>
      </w:r>
      <w:r w:rsidRPr="00704B78">
        <w:fldChar w:fldCharType="begin"/>
      </w:r>
      <w:r w:rsidRPr="00704B78">
        <w:instrText>SEQ Table \* ARABIC</w:instrText>
      </w:r>
      <w:r w:rsidRPr="00704B78">
        <w:fldChar w:fldCharType="separate"/>
      </w:r>
      <w:r w:rsidR="00875704">
        <w:rPr>
          <w:noProof/>
        </w:rPr>
        <w:t>5</w:t>
      </w:r>
      <w:r w:rsidRPr="00704B78">
        <w:fldChar w:fldCharType="end"/>
      </w:r>
      <w:bookmarkEnd w:id="33"/>
      <w:r w:rsidR="00532D7A" w:rsidRPr="00704B78">
        <w:rPr>
          <w:rStyle w:val="CommentReference"/>
          <w:b/>
          <w:szCs w:val="24"/>
        </w:rPr>
        <w:t>: Mean change in MG-ADL scores from baseline with ravulizumab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Mean change in MG-ADL scores from baseline with ravulizumab and placebo"/>
      </w:tblPr>
      <w:tblGrid>
        <w:gridCol w:w="2268"/>
        <w:gridCol w:w="1559"/>
        <w:gridCol w:w="1560"/>
        <w:gridCol w:w="1701"/>
        <w:gridCol w:w="1929"/>
      </w:tblGrid>
      <w:tr w:rsidR="00010575" w:rsidRPr="00704B78" w14:paraId="5CBC42EE" w14:textId="77777777">
        <w:trPr>
          <w:trHeight w:val="76"/>
          <w:tblHeader/>
        </w:trPr>
        <w:tc>
          <w:tcPr>
            <w:tcW w:w="2268" w:type="dxa"/>
            <w:vAlign w:val="center"/>
          </w:tcPr>
          <w:p w14:paraId="14C3CDB6" w14:textId="77777777" w:rsidR="00532D7A" w:rsidRPr="00704B78" w:rsidRDefault="00532D7A" w:rsidP="006E2A77">
            <w:pPr>
              <w:pStyle w:val="COMTableheadingrow"/>
              <w:rPr>
                <w:lang w:val="en-AU"/>
              </w:rPr>
            </w:pPr>
            <w:r w:rsidRPr="00704B78">
              <w:rPr>
                <w:lang w:val="en-AU"/>
              </w:rPr>
              <w:t>Treatment arm</w:t>
            </w:r>
          </w:p>
        </w:tc>
        <w:tc>
          <w:tcPr>
            <w:tcW w:w="1559" w:type="dxa"/>
            <w:vAlign w:val="center"/>
          </w:tcPr>
          <w:p w14:paraId="36B78CD2" w14:textId="77777777" w:rsidR="00532D7A" w:rsidRPr="00704B78" w:rsidRDefault="00532D7A" w:rsidP="006E2A77">
            <w:pPr>
              <w:pStyle w:val="COMTableheadingrow"/>
              <w:jc w:val="center"/>
              <w:rPr>
                <w:lang w:val="en-AU"/>
              </w:rPr>
            </w:pPr>
            <w:r w:rsidRPr="00704B78">
              <w:rPr>
                <w:lang w:val="en-AU"/>
              </w:rPr>
              <w:t>Baseline,</w:t>
            </w:r>
          </w:p>
          <w:p w14:paraId="3AA215A1" w14:textId="77777777" w:rsidR="00532D7A" w:rsidRPr="00704B78" w:rsidRDefault="00532D7A" w:rsidP="006E2A77">
            <w:pPr>
              <w:pStyle w:val="COMTableheadingrow"/>
              <w:jc w:val="center"/>
              <w:rPr>
                <w:lang w:val="en-AU"/>
              </w:rPr>
            </w:pPr>
            <w:r w:rsidRPr="00704B78">
              <w:rPr>
                <w:lang w:val="en-AU"/>
              </w:rPr>
              <w:t>Mean (SD)</w:t>
            </w:r>
          </w:p>
        </w:tc>
        <w:tc>
          <w:tcPr>
            <w:tcW w:w="1560" w:type="dxa"/>
            <w:vAlign w:val="center"/>
          </w:tcPr>
          <w:p w14:paraId="772483F2" w14:textId="77777777" w:rsidR="00532D7A" w:rsidRPr="00704B78" w:rsidRDefault="00532D7A" w:rsidP="006E2A77">
            <w:pPr>
              <w:pStyle w:val="COMTableheadingrow"/>
              <w:jc w:val="center"/>
              <w:rPr>
                <w:lang w:val="en-AU"/>
              </w:rPr>
            </w:pPr>
            <w:r w:rsidRPr="00704B78">
              <w:rPr>
                <w:lang w:val="en-AU"/>
              </w:rPr>
              <w:t>Final,</w:t>
            </w:r>
          </w:p>
          <w:p w14:paraId="4EE6DF89" w14:textId="77777777" w:rsidR="00532D7A" w:rsidRPr="00704B78" w:rsidRDefault="00532D7A" w:rsidP="006E2A77">
            <w:pPr>
              <w:pStyle w:val="COMTableheadingrow"/>
              <w:jc w:val="center"/>
              <w:rPr>
                <w:lang w:val="en-AU"/>
              </w:rPr>
            </w:pPr>
            <w:r w:rsidRPr="00704B78">
              <w:rPr>
                <w:lang w:val="en-AU"/>
              </w:rPr>
              <w:t>Mean (SD)</w:t>
            </w:r>
          </w:p>
        </w:tc>
        <w:tc>
          <w:tcPr>
            <w:tcW w:w="1701" w:type="dxa"/>
            <w:vAlign w:val="center"/>
          </w:tcPr>
          <w:p w14:paraId="0A1A7818" w14:textId="77777777" w:rsidR="00532D7A" w:rsidRPr="00704B78" w:rsidRDefault="00532D7A" w:rsidP="006E2A77">
            <w:pPr>
              <w:pStyle w:val="COMTableheadingrow"/>
              <w:jc w:val="center"/>
              <w:rPr>
                <w:lang w:val="en-AU"/>
              </w:rPr>
            </w:pPr>
            <w:r w:rsidRPr="00704B78">
              <w:rPr>
                <w:lang w:val="en-AU"/>
              </w:rPr>
              <w:t>LS mean change (95% CI)</w:t>
            </w:r>
          </w:p>
        </w:tc>
        <w:tc>
          <w:tcPr>
            <w:tcW w:w="1929" w:type="dxa"/>
            <w:vAlign w:val="center"/>
          </w:tcPr>
          <w:p w14:paraId="347DE4B8" w14:textId="77777777" w:rsidR="00532D7A" w:rsidRPr="00704B78" w:rsidRDefault="00532D7A" w:rsidP="006E2A77">
            <w:pPr>
              <w:pStyle w:val="COMTableheadingrow"/>
              <w:jc w:val="center"/>
              <w:rPr>
                <w:lang w:val="en-AU"/>
              </w:rPr>
            </w:pPr>
            <w:r w:rsidRPr="00704B78">
              <w:rPr>
                <w:lang w:val="en-AU"/>
              </w:rPr>
              <w:t>Treatment difference (95% CI)</w:t>
            </w:r>
          </w:p>
        </w:tc>
      </w:tr>
      <w:tr w:rsidR="00790C83" w:rsidRPr="00704B78" w14:paraId="3B35F1FF" w14:textId="77777777">
        <w:trPr>
          <w:trHeight w:val="70"/>
        </w:trPr>
        <w:tc>
          <w:tcPr>
            <w:tcW w:w="9017" w:type="dxa"/>
            <w:gridSpan w:val="5"/>
            <w:vAlign w:val="center"/>
          </w:tcPr>
          <w:p w14:paraId="3D60875E" w14:textId="77777777" w:rsidR="00532D7A" w:rsidRPr="00704B78" w:rsidRDefault="00532D7A" w:rsidP="006E2A77">
            <w:pPr>
              <w:pStyle w:val="COMTableheadingrow"/>
              <w:rPr>
                <w:lang w:val="en-AU"/>
              </w:rPr>
            </w:pPr>
            <w:r w:rsidRPr="00704B78">
              <w:rPr>
                <w:lang w:val="en-AU"/>
              </w:rPr>
              <w:t>Change from baseline to Week 12</w:t>
            </w:r>
          </w:p>
        </w:tc>
      </w:tr>
      <w:tr w:rsidR="00010575" w:rsidRPr="00704B78" w14:paraId="1FBD086C" w14:textId="77777777">
        <w:trPr>
          <w:trHeight w:val="70"/>
        </w:trPr>
        <w:tc>
          <w:tcPr>
            <w:tcW w:w="2268" w:type="dxa"/>
            <w:vAlign w:val="center"/>
          </w:tcPr>
          <w:p w14:paraId="1F919D1A" w14:textId="77777777" w:rsidR="00532D7A" w:rsidRPr="00704B78" w:rsidRDefault="00532D7A" w:rsidP="006E2A77">
            <w:pPr>
              <w:pStyle w:val="COMTabletext"/>
            </w:pPr>
            <w:r w:rsidRPr="00704B78">
              <w:t>Ravulizumab N = 83</w:t>
            </w:r>
          </w:p>
        </w:tc>
        <w:tc>
          <w:tcPr>
            <w:tcW w:w="1559" w:type="dxa"/>
            <w:vAlign w:val="center"/>
          </w:tcPr>
          <w:p w14:paraId="3044C3A4" w14:textId="77777777" w:rsidR="00532D7A" w:rsidRPr="00704B78" w:rsidRDefault="00532D7A" w:rsidP="006E2A77">
            <w:pPr>
              <w:pStyle w:val="COMTabletext"/>
              <w:jc w:val="center"/>
            </w:pPr>
            <w:r w:rsidRPr="00704B78">
              <w:t>9.2 (2.65)</w:t>
            </w:r>
          </w:p>
        </w:tc>
        <w:tc>
          <w:tcPr>
            <w:tcW w:w="1560" w:type="dxa"/>
            <w:vAlign w:val="center"/>
          </w:tcPr>
          <w:p w14:paraId="59123235" w14:textId="77777777" w:rsidR="00532D7A" w:rsidRPr="00704B78" w:rsidRDefault="00532D7A" w:rsidP="006E2A77">
            <w:pPr>
              <w:pStyle w:val="COMTabletext"/>
              <w:jc w:val="center"/>
            </w:pPr>
            <w:r w:rsidRPr="00704B78">
              <w:t>5.8 (3.87)</w:t>
            </w:r>
          </w:p>
        </w:tc>
        <w:tc>
          <w:tcPr>
            <w:tcW w:w="1701" w:type="dxa"/>
            <w:vAlign w:val="center"/>
          </w:tcPr>
          <w:p w14:paraId="2A1D0DF9" w14:textId="77777777" w:rsidR="00532D7A" w:rsidRPr="00704B78" w:rsidRDefault="00532D7A" w:rsidP="006E2A77">
            <w:pPr>
              <w:pStyle w:val="COMTabletext"/>
              <w:jc w:val="center"/>
            </w:pPr>
            <w:r w:rsidRPr="00704B78">
              <w:t>-3.3 (-3.9, -2.6)</w:t>
            </w:r>
          </w:p>
        </w:tc>
        <w:tc>
          <w:tcPr>
            <w:tcW w:w="1929" w:type="dxa"/>
            <w:vMerge w:val="restart"/>
            <w:vAlign w:val="center"/>
          </w:tcPr>
          <w:p w14:paraId="37ADC075" w14:textId="77777777" w:rsidR="00532D7A" w:rsidRPr="00704B78" w:rsidRDefault="00532D7A" w:rsidP="006E2A77">
            <w:pPr>
              <w:pStyle w:val="COMTabletext"/>
              <w:jc w:val="center"/>
            </w:pPr>
            <w:r w:rsidRPr="00704B78">
              <w:t>-1.0 (-1.9, -0.2)</w:t>
            </w:r>
          </w:p>
        </w:tc>
      </w:tr>
      <w:tr w:rsidR="00010575" w:rsidRPr="00704B78" w14:paraId="0EDF2D67" w14:textId="77777777">
        <w:trPr>
          <w:trHeight w:val="70"/>
        </w:trPr>
        <w:tc>
          <w:tcPr>
            <w:tcW w:w="2268" w:type="dxa"/>
            <w:vAlign w:val="center"/>
          </w:tcPr>
          <w:p w14:paraId="31F8C863" w14:textId="77777777" w:rsidR="00532D7A" w:rsidRPr="00704B78" w:rsidRDefault="00532D7A" w:rsidP="006E2A77">
            <w:pPr>
              <w:pStyle w:val="COMTabletext"/>
            </w:pPr>
            <w:r w:rsidRPr="00704B78">
              <w:t>Placebo N = 84</w:t>
            </w:r>
          </w:p>
        </w:tc>
        <w:tc>
          <w:tcPr>
            <w:tcW w:w="1559" w:type="dxa"/>
            <w:vAlign w:val="center"/>
          </w:tcPr>
          <w:p w14:paraId="302C5DCD" w14:textId="77777777" w:rsidR="00532D7A" w:rsidRPr="00704B78" w:rsidRDefault="00532D7A" w:rsidP="006E2A77">
            <w:pPr>
              <w:pStyle w:val="COMTabletext"/>
              <w:jc w:val="center"/>
            </w:pPr>
            <w:r w:rsidRPr="00704B78">
              <w:t>8.9 (2.23)</w:t>
            </w:r>
          </w:p>
        </w:tc>
        <w:tc>
          <w:tcPr>
            <w:tcW w:w="1560" w:type="dxa"/>
            <w:vAlign w:val="center"/>
          </w:tcPr>
          <w:p w14:paraId="3117412A" w14:textId="77777777" w:rsidR="00532D7A" w:rsidRPr="00704B78" w:rsidRDefault="00532D7A" w:rsidP="006E2A77">
            <w:pPr>
              <w:pStyle w:val="COMTabletext"/>
              <w:jc w:val="center"/>
            </w:pPr>
            <w:r w:rsidRPr="00704B78">
              <w:t>6.6 (3.49)</w:t>
            </w:r>
          </w:p>
        </w:tc>
        <w:tc>
          <w:tcPr>
            <w:tcW w:w="1701" w:type="dxa"/>
            <w:vAlign w:val="center"/>
          </w:tcPr>
          <w:p w14:paraId="642BAADE" w14:textId="77777777" w:rsidR="00532D7A" w:rsidRPr="00704B78" w:rsidRDefault="00532D7A" w:rsidP="006E2A77">
            <w:pPr>
              <w:pStyle w:val="COMTabletext"/>
              <w:jc w:val="center"/>
            </w:pPr>
            <w:r w:rsidRPr="00704B78">
              <w:t>-2.2 (-2.9, -1.5)</w:t>
            </w:r>
          </w:p>
        </w:tc>
        <w:tc>
          <w:tcPr>
            <w:tcW w:w="1929" w:type="dxa"/>
            <w:vMerge/>
            <w:vAlign w:val="center"/>
          </w:tcPr>
          <w:p w14:paraId="7A46F2D7" w14:textId="77777777" w:rsidR="00532D7A" w:rsidRPr="00704B78" w:rsidRDefault="00532D7A" w:rsidP="006E2A77">
            <w:pPr>
              <w:pStyle w:val="COMTabletext"/>
            </w:pPr>
          </w:p>
        </w:tc>
      </w:tr>
      <w:tr w:rsidR="00790C83" w:rsidRPr="00704B78" w14:paraId="2403E798" w14:textId="77777777">
        <w:trPr>
          <w:trHeight w:val="70"/>
        </w:trPr>
        <w:tc>
          <w:tcPr>
            <w:tcW w:w="9017" w:type="dxa"/>
            <w:gridSpan w:val="5"/>
            <w:vAlign w:val="center"/>
          </w:tcPr>
          <w:p w14:paraId="22DD6F4F" w14:textId="77777777" w:rsidR="00532D7A" w:rsidRPr="00704B78" w:rsidRDefault="00532D7A" w:rsidP="006E2A77">
            <w:pPr>
              <w:pStyle w:val="COMTabletext"/>
              <w:rPr>
                <w:b/>
                <w:bCs w:val="0"/>
              </w:rPr>
            </w:pPr>
            <w:r w:rsidRPr="00704B78">
              <w:rPr>
                <w:b/>
                <w:bCs w:val="0"/>
              </w:rPr>
              <w:t>Change from baseline to Week 26</w:t>
            </w:r>
          </w:p>
        </w:tc>
      </w:tr>
      <w:tr w:rsidR="00010575" w:rsidRPr="00704B78" w14:paraId="6C8D871B" w14:textId="77777777">
        <w:trPr>
          <w:trHeight w:val="70"/>
        </w:trPr>
        <w:tc>
          <w:tcPr>
            <w:tcW w:w="2268" w:type="dxa"/>
            <w:vAlign w:val="center"/>
          </w:tcPr>
          <w:p w14:paraId="44D8670B" w14:textId="77777777" w:rsidR="00532D7A" w:rsidRPr="00704B78" w:rsidRDefault="00532D7A" w:rsidP="006E2A77">
            <w:pPr>
              <w:pStyle w:val="COMTabletext"/>
            </w:pPr>
            <w:r w:rsidRPr="00704B78">
              <w:t>Ravulizumab N = 78</w:t>
            </w:r>
          </w:p>
        </w:tc>
        <w:tc>
          <w:tcPr>
            <w:tcW w:w="1559" w:type="dxa"/>
            <w:vAlign w:val="center"/>
          </w:tcPr>
          <w:p w14:paraId="3CF5ED02" w14:textId="77777777" w:rsidR="00532D7A" w:rsidRPr="00704B78" w:rsidRDefault="00532D7A" w:rsidP="006E2A77">
            <w:pPr>
              <w:pStyle w:val="COMTabletext"/>
              <w:jc w:val="center"/>
            </w:pPr>
            <w:r w:rsidRPr="00704B78">
              <w:t>9.2 (2.63)</w:t>
            </w:r>
          </w:p>
        </w:tc>
        <w:tc>
          <w:tcPr>
            <w:tcW w:w="1560" w:type="dxa"/>
            <w:vAlign w:val="center"/>
          </w:tcPr>
          <w:p w14:paraId="419241AA" w14:textId="77777777" w:rsidR="00532D7A" w:rsidRPr="00704B78" w:rsidRDefault="00532D7A" w:rsidP="006E2A77">
            <w:pPr>
              <w:pStyle w:val="COMTabletext"/>
              <w:jc w:val="center"/>
            </w:pPr>
            <w:r w:rsidRPr="00704B78">
              <w:t>5.9 (4.00)</w:t>
            </w:r>
          </w:p>
        </w:tc>
        <w:tc>
          <w:tcPr>
            <w:tcW w:w="1701" w:type="dxa"/>
            <w:vAlign w:val="center"/>
          </w:tcPr>
          <w:p w14:paraId="22EDEBBB" w14:textId="77777777" w:rsidR="00532D7A" w:rsidRPr="00704B78" w:rsidRDefault="00532D7A" w:rsidP="006E2A77">
            <w:pPr>
              <w:pStyle w:val="COMTabletext"/>
              <w:jc w:val="center"/>
            </w:pPr>
            <w:r w:rsidRPr="00704B78">
              <w:t>-3.1 (-3.8, -2.3)</w:t>
            </w:r>
          </w:p>
        </w:tc>
        <w:tc>
          <w:tcPr>
            <w:tcW w:w="1929" w:type="dxa"/>
            <w:vMerge w:val="restart"/>
            <w:vAlign w:val="center"/>
          </w:tcPr>
          <w:p w14:paraId="1C7917AA" w14:textId="77777777" w:rsidR="00532D7A" w:rsidRPr="00704B78" w:rsidRDefault="00532D7A" w:rsidP="006E2A77">
            <w:pPr>
              <w:pStyle w:val="COMTabletext"/>
              <w:jc w:val="center"/>
            </w:pPr>
            <w:r w:rsidRPr="00704B78">
              <w:t>-1.6 (-2.6, -0.7)</w:t>
            </w:r>
          </w:p>
        </w:tc>
      </w:tr>
      <w:tr w:rsidR="00010575" w:rsidRPr="00704B78" w14:paraId="2BEE8B08" w14:textId="77777777">
        <w:trPr>
          <w:trHeight w:val="70"/>
        </w:trPr>
        <w:tc>
          <w:tcPr>
            <w:tcW w:w="2268" w:type="dxa"/>
            <w:vAlign w:val="center"/>
          </w:tcPr>
          <w:p w14:paraId="0C851969" w14:textId="77777777" w:rsidR="00532D7A" w:rsidRPr="00704B78" w:rsidRDefault="00532D7A" w:rsidP="006E2A77">
            <w:pPr>
              <w:pStyle w:val="COMTabletext"/>
            </w:pPr>
            <w:r w:rsidRPr="00704B78">
              <w:t>Placebo N = 82</w:t>
            </w:r>
          </w:p>
        </w:tc>
        <w:tc>
          <w:tcPr>
            <w:tcW w:w="1559" w:type="dxa"/>
            <w:vAlign w:val="center"/>
          </w:tcPr>
          <w:p w14:paraId="692C9BB2" w14:textId="77777777" w:rsidR="00532D7A" w:rsidRPr="00704B78" w:rsidRDefault="00532D7A" w:rsidP="006E2A77">
            <w:pPr>
              <w:pStyle w:val="COMTabletext"/>
              <w:jc w:val="center"/>
            </w:pPr>
            <w:r w:rsidRPr="00704B78">
              <w:t>8.8 (2.07)</w:t>
            </w:r>
          </w:p>
        </w:tc>
        <w:tc>
          <w:tcPr>
            <w:tcW w:w="1560" w:type="dxa"/>
            <w:vAlign w:val="center"/>
          </w:tcPr>
          <w:p w14:paraId="6F5DF199" w14:textId="77777777" w:rsidR="00532D7A" w:rsidRPr="00704B78" w:rsidRDefault="00532D7A" w:rsidP="006E2A77">
            <w:pPr>
              <w:pStyle w:val="COMTabletext"/>
              <w:jc w:val="center"/>
            </w:pPr>
            <w:r w:rsidRPr="00704B78">
              <w:t>7.3 (3.82)</w:t>
            </w:r>
          </w:p>
        </w:tc>
        <w:tc>
          <w:tcPr>
            <w:tcW w:w="1701" w:type="dxa"/>
            <w:vAlign w:val="center"/>
          </w:tcPr>
          <w:p w14:paraId="020A770B" w14:textId="77777777" w:rsidR="00532D7A" w:rsidRPr="00704B78" w:rsidRDefault="00532D7A" w:rsidP="006E2A77">
            <w:pPr>
              <w:pStyle w:val="COMTabletext"/>
              <w:jc w:val="center"/>
            </w:pPr>
            <w:r w:rsidRPr="00704B78">
              <w:t>-1.4 (-2.1, -0.7)</w:t>
            </w:r>
          </w:p>
        </w:tc>
        <w:tc>
          <w:tcPr>
            <w:tcW w:w="1929" w:type="dxa"/>
            <w:vMerge/>
            <w:vAlign w:val="center"/>
          </w:tcPr>
          <w:p w14:paraId="6685893B" w14:textId="77777777" w:rsidR="00532D7A" w:rsidRPr="00704B78" w:rsidRDefault="00532D7A" w:rsidP="006E2A77">
            <w:pPr>
              <w:pStyle w:val="COMTabletext"/>
            </w:pPr>
          </w:p>
        </w:tc>
      </w:tr>
    </w:tbl>
    <w:p w14:paraId="79588047" w14:textId="77777777" w:rsidR="00532D7A" w:rsidRPr="00704B78" w:rsidRDefault="00532D7A" w:rsidP="006E2A77">
      <w:pPr>
        <w:pStyle w:val="COMTablefooter"/>
      </w:pPr>
      <w:r w:rsidRPr="00704B78">
        <w:t>Source: Table 2A-21, p102 of the resubmission; Table 14.2.1.1.2.1, pp701-702, Table 14.2.1.1.15.1, pp719-721 of the CHAMPION-MG trial report</w:t>
      </w:r>
    </w:p>
    <w:p w14:paraId="533E23D8" w14:textId="77777777" w:rsidR="00532D7A" w:rsidRPr="00704B78" w:rsidRDefault="00532D7A" w:rsidP="006E2A77">
      <w:pPr>
        <w:pStyle w:val="COMTablefooter"/>
      </w:pPr>
      <w:r w:rsidRPr="00704B78">
        <w:t>Abbreviations: CI, confidence interval; LS, least squares; MG-ADL, Myasthenia Gravis Activities of Daily Living; MMRM, mixed model for repeated measures; SD, standard deviation</w:t>
      </w:r>
    </w:p>
    <w:p w14:paraId="11F1FFA5" w14:textId="77777777" w:rsidR="00532D7A" w:rsidRPr="00704B78" w:rsidRDefault="00532D7A" w:rsidP="006E2A77">
      <w:pPr>
        <w:pStyle w:val="COMTablefooter"/>
      </w:pPr>
      <w:r w:rsidRPr="00704B78">
        <w:t>Note: MG-ADL scores range from 0 to 24 with lower scores indicating better functional outcomes</w:t>
      </w:r>
    </w:p>
    <w:p w14:paraId="13DE0EEB" w14:textId="4A4CA162" w:rsidR="00532D7A" w:rsidRPr="00704B78" w:rsidRDefault="00532D7A" w:rsidP="006E2A77">
      <w:pPr>
        <w:pStyle w:val="COMTablefooter"/>
      </w:pPr>
      <w:r w:rsidRPr="00704B78">
        <w:t>Note: Results based on the MMRM full analysis set that includes treatment group, stratification factor region and MG-ADL total score at baseline, study visit, and study visit by treatment group interaction.</w:t>
      </w:r>
    </w:p>
    <w:p w14:paraId="17C014F2" w14:textId="0211CF28" w:rsidR="00532D7A" w:rsidRPr="00704B78" w:rsidRDefault="00532D7A" w:rsidP="006E2A77">
      <w:pPr>
        <w:pStyle w:val="COMexecsummnumbered"/>
      </w:pPr>
      <w:r w:rsidRPr="00704B78">
        <w:t>Treatment with ravulizumab was associated with a small but nominally significant improvement in MG-ADL scores compared to placebo over 12 weeks (difference of 1.0</w:t>
      </w:r>
      <w:r w:rsidR="002E3C9C">
        <w:t> </w:t>
      </w:r>
      <w:r w:rsidRPr="00704B78">
        <w:t xml:space="preserve">point on a 25-point scale). The difference between treatment arms improved slightly at 26 weeks (difference of 1.6 points) primarily due to a smaller reduction in MG-ADL scores from baseline in the placebo arm. </w:t>
      </w:r>
    </w:p>
    <w:p w14:paraId="05007EF4" w14:textId="02CA9209" w:rsidR="00532D7A" w:rsidRPr="00704B78" w:rsidRDefault="00532D7A" w:rsidP="006E2A77">
      <w:pPr>
        <w:pStyle w:val="COMexecsummnumbered"/>
      </w:pPr>
      <w:r w:rsidRPr="00704B78">
        <w:t>Differences between treatment arms in mean MG-ADL scores were observed by Week 1 and were maintained over the 26-week randomised treatment period. Data from the final analysis of the extension study suggest that the improvement in MG-ADL scores observed with ravulizumab treatment may be sustained over the longer term, with follow-up data indicating no loss of effect for up to 164 weeks (least squares mean change at Week 164: -4.0, 95% CI -5.3, -2.8).</w:t>
      </w:r>
      <w:r w:rsidR="00D61CA6">
        <w:t xml:space="preserve"> </w:t>
      </w:r>
    </w:p>
    <w:p w14:paraId="63B0B423" w14:textId="3600BAD0" w:rsidR="00532D7A" w:rsidRPr="00704B78" w:rsidRDefault="00532D7A" w:rsidP="006E2A77">
      <w:pPr>
        <w:pStyle w:val="COMexecsummnumbered"/>
      </w:pPr>
      <w:r w:rsidRPr="00704B78">
        <w:t xml:space="preserve">A similar pattern of results was also observed using </w:t>
      </w:r>
      <w:r w:rsidR="00F03395" w:rsidRPr="00704B78">
        <w:t>other functional measures</w:t>
      </w:r>
      <w:r w:rsidRPr="00704B78">
        <w:t xml:space="preserve"> </w:t>
      </w:r>
      <w:r w:rsidR="00F03395" w:rsidRPr="00704B78">
        <w:t>(</w:t>
      </w:r>
      <w:r w:rsidRPr="00704B78">
        <w:t>QMG and MGC instruments</w:t>
      </w:r>
      <w:r w:rsidR="00F03395" w:rsidRPr="00704B78">
        <w:t>)</w:t>
      </w:r>
      <w:r w:rsidRPr="00704B78">
        <w:t>.</w:t>
      </w:r>
    </w:p>
    <w:p w14:paraId="4F7255B5" w14:textId="77DE90B5" w:rsidR="00532D7A" w:rsidRPr="00704B78" w:rsidRDefault="00F03395" w:rsidP="006E2A77">
      <w:pPr>
        <w:pStyle w:val="COMexecsummnumbered"/>
      </w:pPr>
      <w:r w:rsidRPr="00704B78">
        <w:t xml:space="preserve">The proportion of patients achieving different MG-ADL response thresholds is summarised in </w:t>
      </w:r>
      <w:r w:rsidR="00051A52" w:rsidRPr="00704B78">
        <w:fldChar w:fldCharType="begin"/>
      </w:r>
      <w:r w:rsidR="00051A52" w:rsidRPr="00704B78">
        <w:instrText xml:space="preserve"> REF _Ref187651981 \h </w:instrText>
      </w:r>
      <w:r w:rsidR="00704B78" w:rsidRPr="00704B78">
        <w:instrText xml:space="preserve"> \* MERGEFORMAT </w:instrText>
      </w:r>
      <w:r w:rsidR="00051A52" w:rsidRPr="00704B78">
        <w:fldChar w:fldCharType="separate"/>
      </w:r>
      <w:r w:rsidR="00875704" w:rsidRPr="00704B78">
        <w:t xml:space="preserve">Table </w:t>
      </w:r>
      <w:r w:rsidR="00875704">
        <w:rPr>
          <w:noProof/>
        </w:rPr>
        <w:t>6</w:t>
      </w:r>
      <w:r w:rsidR="00051A52" w:rsidRPr="00704B78">
        <w:fldChar w:fldCharType="end"/>
      </w:r>
      <w:r w:rsidRPr="00704B78">
        <w:t>.</w:t>
      </w:r>
    </w:p>
    <w:p w14:paraId="5E42DEFB" w14:textId="1A52D637" w:rsidR="00F03395" w:rsidRPr="00704B78" w:rsidRDefault="00051A52" w:rsidP="006E2A77">
      <w:pPr>
        <w:pStyle w:val="COMtablefigcaption"/>
      </w:pPr>
      <w:bookmarkStart w:id="34" w:name="_Ref187651981"/>
      <w:r w:rsidRPr="00704B78">
        <w:lastRenderedPageBreak/>
        <w:t xml:space="preserve">Table </w:t>
      </w:r>
      <w:r w:rsidRPr="00704B78">
        <w:fldChar w:fldCharType="begin"/>
      </w:r>
      <w:r w:rsidRPr="00704B78">
        <w:instrText>SEQ Table \* ARABIC</w:instrText>
      </w:r>
      <w:r w:rsidRPr="00704B78">
        <w:fldChar w:fldCharType="separate"/>
      </w:r>
      <w:r w:rsidR="00875704">
        <w:rPr>
          <w:noProof/>
        </w:rPr>
        <w:t>6</w:t>
      </w:r>
      <w:r w:rsidRPr="00704B78">
        <w:fldChar w:fldCharType="end"/>
      </w:r>
      <w:bookmarkEnd w:id="34"/>
      <w:r w:rsidR="00F03395" w:rsidRPr="00704B78">
        <w:t>: Responder analysis of MG-ADL scores from baseline with ravulizumab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Responder analysis of MG-ADL scores from baseline with ravulizumab and placebo"/>
      </w:tblPr>
      <w:tblGrid>
        <w:gridCol w:w="2977"/>
        <w:gridCol w:w="3020"/>
        <w:gridCol w:w="3020"/>
      </w:tblGrid>
      <w:tr w:rsidR="00010575" w:rsidRPr="00704B78" w14:paraId="73C77CD5" w14:textId="77777777">
        <w:trPr>
          <w:trHeight w:val="76"/>
          <w:tblHeader/>
        </w:trPr>
        <w:tc>
          <w:tcPr>
            <w:tcW w:w="2977" w:type="dxa"/>
            <w:vAlign w:val="center"/>
          </w:tcPr>
          <w:p w14:paraId="4671347A" w14:textId="77777777" w:rsidR="00F03395" w:rsidRPr="00704B78" w:rsidRDefault="00F03395" w:rsidP="006E2A77">
            <w:pPr>
              <w:pStyle w:val="COMTableheadingrow"/>
              <w:rPr>
                <w:lang w:val="en-AU"/>
              </w:rPr>
            </w:pPr>
            <w:r w:rsidRPr="00704B78">
              <w:rPr>
                <w:lang w:val="en-AU"/>
              </w:rPr>
              <w:t>Treatment arm</w:t>
            </w:r>
          </w:p>
        </w:tc>
        <w:tc>
          <w:tcPr>
            <w:tcW w:w="3020" w:type="dxa"/>
            <w:vAlign w:val="center"/>
          </w:tcPr>
          <w:p w14:paraId="7FF6F85E" w14:textId="77777777" w:rsidR="00F03395" w:rsidRPr="00704B78" w:rsidRDefault="00F03395" w:rsidP="006E2A77">
            <w:pPr>
              <w:pStyle w:val="COMTableheadingrow"/>
              <w:jc w:val="center"/>
              <w:rPr>
                <w:lang w:val="en-AU"/>
              </w:rPr>
            </w:pPr>
            <w:r w:rsidRPr="00704B78">
              <w:rPr>
                <w:lang w:val="en-AU"/>
              </w:rPr>
              <w:t>Adjusted %</w:t>
            </w:r>
          </w:p>
          <w:p w14:paraId="40A33C5D" w14:textId="77777777" w:rsidR="00F03395" w:rsidRPr="00704B78" w:rsidRDefault="00F03395" w:rsidP="006E2A77">
            <w:pPr>
              <w:pStyle w:val="COMTableheadingrow"/>
              <w:jc w:val="center"/>
              <w:rPr>
                <w:lang w:val="en-AU"/>
              </w:rPr>
            </w:pPr>
            <w:r w:rsidRPr="00704B78">
              <w:rPr>
                <w:lang w:val="en-AU"/>
              </w:rPr>
              <w:t>(95% CI)</w:t>
            </w:r>
          </w:p>
        </w:tc>
        <w:tc>
          <w:tcPr>
            <w:tcW w:w="3020" w:type="dxa"/>
            <w:vAlign w:val="center"/>
          </w:tcPr>
          <w:p w14:paraId="514F8C55" w14:textId="77777777" w:rsidR="00F03395" w:rsidRPr="00704B78" w:rsidRDefault="00F03395" w:rsidP="006E2A77">
            <w:pPr>
              <w:pStyle w:val="COMTableheadingrow"/>
              <w:jc w:val="center"/>
              <w:rPr>
                <w:color w:val="808080" w:themeColor="background1" w:themeShade="80"/>
                <w:lang w:val="en-AU"/>
              </w:rPr>
            </w:pPr>
            <w:r w:rsidRPr="00704B78">
              <w:rPr>
                <w:lang w:val="en-AU"/>
              </w:rPr>
              <w:t>Odds Ratio (95% CI)</w:t>
            </w:r>
          </w:p>
        </w:tc>
      </w:tr>
      <w:tr w:rsidR="00790C83" w:rsidRPr="00704B78" w14:paraId="53894EA8" w14:textId="77777777">
        <w:trPr>
          <w:trHeight w:val="70"/>
        </w:trPr>
        <w:tc>
          <w:tcPr>
            <w:tcW w:w="9017" w:type="dxa"/>
            <w:gridSpan w:val="3"/>
            <w:vAlign w:val="center"/>
          </w:tcPr>
          <w:p w14:paraId="470CDD0E" w14:textId="77777777" w:rsidR="00F03395" w:rsidRPr="00704B78" w:rsidRDefault="00F03395" w:rsidP="006E2A77">
            <w:pPr>
              <w:pStyle w:val="COMTableheadingrow"/>
              <w:rPr>
                <w:lang w:val="en-AU"/>
              </w:rPr>
            </w:pPr>
            <w:r w:rsidRPr="00704B78">
              <w:rPr>
                <w:lang w:val="en-AU"/>
              </w:rPr>
              <w:t>Proportion of patients with ≥ 3-point reduction on MG-ADL score at Week 12</w:t>
            </w:r>
          </w:p>
        </w:tc>
      </w:tr>
      <w:tr w:rsidR="00010575" w:rsidRPr="00704B78" w14:paraId="2FACE870" w14:textId="77777777">
        <w:trPr>
          <w:trHeight w:val="70"/>
        </w:trPr>
        <w:tc>
          <w:tcPr>
            <w:tcW w:w="2977" w:type="dxa"/>
            <w:vAlign w:val="center"/>
          </w:tcPr>
          <w:p w14:paraId="559B6470" w14:textId="77777777" w:rsidR="00F03395" w:rsidRPr="00704B78" w:rsidRDefault="00F03395" w:rsidP="006E2A77">
            <w:pPr>
              <w:pStyle w:val="COMTabletext"/>
            </w:pPr>
            <w:r w:rsidRPr="00704B78">
              <w:t>Ravulizumab N = 83</w:t>
            </w:r>
          </w:p>
        </w:tc>
        <w:tc>
          <w:tcPr>
            <w:tcW w:w="3020" w:type="dxa"/>
            <w:vAlign w:val="center"/>
          </w:tcPr>
          <w:p w14:paraId="4568FB9F" w14:textId="77777777" w:rsidR="00F03395" w:rsidRPr="00704B78" w:rsidRDefault="00F03395" w:rsidP="006E2A77">
            <w:pPr>
              <w:pStyle w:val="COMTabletext"/>
              <w:jc w:val="center"/>
            </w:pPr>
            <w:r w:rsidRPr="00704B78">
              <w:t>52.3 (40.2, 64.1)</w:t>
            </w:r>
          </w:p>
        </w:tc>
        <w:tc>
          <w:tcPr>
            <w:tcW w:w="3020" w:type="dxa"/>
            <w:vMerge w:val="restart"/>
            <w:vAlign w:val="center"/>
          </w:tcPr>
          <w:p w14:paraId="6789E1EB" w14:textId="77777777" w:rsidR="00F03395" w:rsidRPr="00704B78" w:rsidRDefault="00F03395" w:rsidP="006E2A77">
            <w:pPr>
              <w:pStyle w:val="COMTabletext"/>
              <w:jc w:val="center"/>
            </w:pPr>
            <w:r w:rsidRPr="00704B78">
              <w:t>1.259 (0.679, 2.335)</w:t>
            </w:r>
          </w:p>
        </w:tc>
      </w:tr>
      <w:tr w:rsidR="00010575" w:rsidRPr="00704B78" w14:paraId="1506D5EF" w14:textId="77777777">
        <w:trPr>
          <w:trHeight w:val="70"/>
        </w:trPr>
        <w:tc>
          <w:tcPr>
            <w:tcW w:w="2977" w:type="dxa"/>
            <w:vAlign w:val="center"/>
          </w:tcPr>
          <w:p w14:paraId="175DD207" w14:textId="77777777" w:rsidR="00F03395" w:rsidRPr="00704B78" w:rsidRDefault="00F03395" w:rsidP="006E2A77">
            <w:pPr>
              <w:pStyle w:val="COMTabletext"/>
            </w:pPr>
            <w:r w:rsidRPr="00704B78">
              <w:t>Placebo N = 84</w:t>
            </w:r>
          </w:p>
        </w:tc>
        <w:tc>
          <w:tcPr>
            <w:tcW w:w="3020" w:type="dxa"/>
            <w:vAlign w:val="center"/>
          </w:tcPr>
          <w:p w14:paraId="054F1902" w14:textId="77777777" w:rsidR="00F03395" w:rsidRPr="00704B78" w:rsidRDefault="00F03395" w:rsidP="006E2A77">
            <w:pPr>
              <w:pStyle w:val="COMTabletext"/>
              <w:jc w:val="center"/>
            </w:pPr>
            <w:r w:rsidRPr="00704B78">
              <w:t>46.5 (34.9, 58.5)</w:t>
            </w:r>
          </w:p>
        </w:tc>
        <w:tc>
          <w:tcPr>
            <w:tcW w:w="3020" w:type="dxa"/>
            <w:vMerge/>
            <w:vAlign w:val="center"/>
          </w:tcPr>
          <w:p w14:paraId="467F199F" w14:textId="77777777" w:rsidR="00F03395" w:rsidRPr="00704B78" w:rsidRDefault="00F03395" w:rsidP="006E2A77">
            <w:pPr>
              <w:pStyle w:val="COMTabletext"/>
            </w:pPr>
          </w:p>
        </w:tc>
      </w:tr>
      <w:tr w:rsidR="00790C83" w:rsidRPr="00704B78" w14:paraId="2BABC195" w14:textId="77777777">
        <w:trPr>
          <w:trHeight w:val="70"/>
        </w:trPr>
        <w:tc>
          <w:tcPr>
            <w:tcW w:w="9017" w:type="dxa"/>
            <w:gridSpan w:val="3"/>
            <w:vAlign w:val="center"/>
          </w:tcPr>
          <w:p w14:paraId="4249FE40" w14:textId="77777777" w:rsidR="00F03395" w:rsidRPr="00704B78" w:rsidRDefault="00F03395" w:rsidP="006E2A77">
            <w:pPr>
              <w:pStyle w:val="COMTabletext"/>
              <w:rPr>
                <w:b/>
                <w:bCs w:val="0"/>
              </w:rPr>
            </w:pPr>
            <w:r w:rsidRPr="00704B78">
              <w:rPr>
                <w:b/>
                <w:bCs w:val="0"/>
              </w:rPr>
              <w:t>Proportion of patients with ≥ 3-point reduction on MG-ADL score at Week 26</w:t>
            </w:r>
          </w:p>
        </w:tc>
      </w:tr>
      <w:tr w:rsidR="00010575" w:rsidRPr="00704B78" w14:paraId="1487B102" w14:textId="77777777">
        <w:trPr>
          <w:trHeight w:val="70"/>
        </w:trPr>
        <w:tc>
          <w:tcPr>
            <w:tcW w:w="2977" w:type="dxa"/>
            <w:vAlign w:val="center"/>
          </w:tcPr>
          <w:p w14:paraId="772E2CEB" w14:textId="77777777" w:rsidR="00F03395" w:rsidRPr="00704B78" w:rsidRDefault="00F03395" w:rsidP="006E2A77">
            <w:pPr>
              <w:pStyle w:val="COMTabletext"/>
            </w:pPr>
            <w:r w:rsidRPr="00704B78">
              <w:t>Ravulizumab N = 78</w:t>
            </w:r>
          </w:p>
        </w:tc>
        <w:tc>
          <w:tcPr>
            <w:tcW w:w="3020" w:type="dxa"/>
            <w:vAlign w:val="center"/>
          </w:tcPr>
          <w:p w14:paraId="417E31A0" w14:textId="77777777" w:rsidR="00F03395" w:rsidRPr="00704B78" w:rsidRDefault="00F03395" w:rsidP="006E2A77">
            <w:pPr>
              <w:pStyle w:val="COMTabletext"/>
              <w:jc w:val="center"/>
            </w:pPr>
            <w:r w:rsidRPr="00704B78">
              <w:t>56.7 (44.3, 68.3)</w:t>
            </w:r>
          </w:p>
        </w:tc>
        <w:tc>
          <w:tcPr>
            <w:tcW w:w="3020" w:type="dxa"/>
            <w:vMerge w:val="restart"/>
            <w:vAlign w:val="center"/>
          </w:tcPr>
          <w:p w14:paraId="2142A384" w14:textId="77777777" w:rsidR="00F03395" w:rsidRPr="00704B78" w:rsidRDefault="00F03395" w:rsidP="006E2A77">
            <w:pPr>
              <w:pStyle w:val="COMTabletext"/>
              <w:jc w:val="center"/>
            </w:pPr>
            <w:r w:rsidRPr="00704B78">
              <w:t>2.526 (1.330, 4.799)</w:t>
            </w:r>
          </w:p>
        </w:tc>
      </w:tr>
      <w:tr w:rsidR="00010575" w:rsidRPr="00704B78" w14:paraId="52B7407E" w14:textId="77777777">
        <w:trPr>
          <w:trHeight w:val="70"/>
        </w:trPr>
        <w:tc>
          <w:tcPr>
            <w:tcW w:w="2977" w:type="dxa"/>
            <w:vAlign w:val="center"/>
          </w:tcPr>
          <w:p w14:paraId="349E5A17" w14:textId="77777777" w:rsidR="00F03395" w:rsidRPr="00704B78" w:rsidRDefault="00F03395" w:rsidP="006E2A77">
            <w:pPr>
              <w:pStyle w:val="COMTabletext"/>
            </w:pPr>
            <w:r w:rsidRPr="00704B78">
              <w:t>Placebo N = 82</w:t>
            </w:r>
          </w:p>
        </w:tc>
        <w:tc>
          <w:tcPr>
            <w:tcW w:w="3020" w:type="dxa"/>
            <w:vAlign w:val="center"/>
          </w:tcPr>
          <w:p w14:paraId="39F2FF52" w14:textId="77777777" w:rsidR="00F03395" w:rsidRPr="00704B78" w:rsidRDefault="00F03395" w:rsidP="006E2A77">
            <w:pPr>
              <w:pStyle w:val="COMTabletext"/>
              <w:jc w:val="center"/>
            </w:pPr>
            <w:r w:rsidRPr="00704B78">
              <w:t>34.1 (23.8, 46.1)</w:t>
            </w:r>
          </w:p>
        </w:tc>
        <w:tc>
          <w:tcPr>
            <w:tcW w:w="3020" w:type="dxa"/>
            <w:vMerge/>
            <w:vAlign w:val="center"/>
          </w:tcPr>
          <w:p w14:paraId="3A39B3E6" w14:textId="77777777" w:rsidR="00F03395" w:rsidRPr="00704B78" w:rsidRDefault="00F03395" w:rsidP="006E2A77">
            <w:pPr>
              <w:pStyle w:val="COMTabletext"/>
            </w:pPr>
          </w:p>
        </w:tc>
      </w:tr>
      <w:tr w:rsidR="00790C83" w:rsidRPr="00704B78" w14:paraId="26A8920E" w14:textId="77777777">
        <w:trPr>
          <w:trHeight w:val="70"/>
        </w:trPr>
        <w:tc>
          <w:tcPr>
            <w:tcW w:w="9017" w:type="dxa"/>
            <w:gridSpan w:val="3"/>
            <w:vAlign w:val="center"/>
          </w:tcPr>
          <w:p w14:paraId="5B31F59E" w14:textId="77777777" w:rsidR="00F03395" w:rsidRPr="00704B78" w:rsidRDefault="00F03395" w:rsidP="006E2A77">
            <w:pPr>
              <w:pStyle w:val="COMTabletext"/>
            </w:pPr>
            <w:r w:rsidRPr="00704B78">
              <w:rPr>
                <w:b/>
                <w:bCs w:val="0"/>
              </w:rPr>
              <w:t>Proportion of patients with ≥ 2-point reduction on MG-ADL score at Week 26</w:t>
            </w:r>
          </w:p>
        </w:tc>
      </w:tr>
      <w:tr w:rsidR="00010575" w:rsidRPr="00704B78" w14:paraId="412A48D6" w14:textId="77777777">
        <w:trPr>
          <w:trHeight w:val="70"/>
        </w:trPr>
        <w:tc>
          <w:tcPr>
            <w:tcW w:w="2977" w:type="dxa"/>
            <w:vAlign w:val="center"/>
          </w:tcPr>
          <w:p w14:paraId="2BF7ECE4" w14:textId="77777777" w:rsidR="00F03395" w:rsidRPr="00704B78" w:rsidRDefault="00F03395" w:rsidP="006E2A77">
            <w:pPr>
              <w:pStyle w:val="COMTabletext"/>
            </w:pPr>
            <w:r w:rsidRPr="00704B78">
              <w:t>Ravulizumab N = 78</w:t>
            </w:r>
          </w:p>
        </w:tc>
        <w:tc>
          <w:tcPr>
            <w:tcW w:w="3020" w:type="dxa"/>
            <w:vAlign w:val="center"/>
          </w:tcPr>
          <w:p w14:paraId="6147BD72" w14:textId="77777777" w:rsidR="00F03395" w:rsidRPr="00704B78" w:rsidRDefault="00F03395" w:rsidP="006E2A77">
            <w:pPr>
              <w:pStyle w:val="COMTabletext"/>
              <w:jc w:val="center"/>
            </w:pPr>
            <w:r w:rsidRPr="00704B78">
              <w:t>63.9 (51.7, 74.6)</w:t>
            </w:r>
          </w:p>
        </w:tc>
        <w:tc>
          <w:tcPr>
            <w:tcW w:w="3020" w:type="dxa"/>
            <w:vMerge w:val="restart"/>
            <w:vAlign w:val="center"/>
          </w:tcPr>
          <w:p w14:paraId="183B975B" w14:textId="77777777" w:rsidR="00F03395" w:rsidRPr="00704B78" w:rsidRDefault="00F03395" w:rsidP="006E2A77">
            <w:pPr>
              <w:pStyle w:val="COMTabletext"/>
              <w:jc w:val="center"/>
            </w:pPr>
            <w:r w:rsidRPr="00704B78">
              <w:t>1.569 (0.833, 2.955)</w:t>
            </w:r>
          </w:p>
        </w:tc>
      </w:tr>
      <w:tr w:rsidR="00010575" w:rsidRPr="00704B78" w14:paraId="28BA824E" w14:textId="77777777">
        <w:trPr>
          <w:trHeight w:val="70"/>
        </w:trPr>
        <w:tc>
          <w:tcPr>
            <w:tcW w:w="2977" w:type="dxa"/>
            <w:vAlign w:val="center"/>
          </w:tcPr>
          <w:p w14:paraId="0E391E39" w14:textId="77777777" w:rsidR="00F03395" w:rsidRPr="00704B78" w:rsidRDefault="00F03395" w:rsidP="006E2A77">
            <w:pPr>
              <w:pStyle w:val="COMTabletext"/>
            </w:pPr>
            <w:r w:rsidRPr="00704B78">
              <w:t>Placebo N = 82</w:t>
            </w:r>
          </w:p>
        </w:tc>
        <w:tc>
          <w:tcPr>
            <w:tcW w:w="3020" w:type="dxa"/>
            <w:vAlign w:val="center"/>
          </w:tcPr>
          <w:p w14:paraId="40493A70" w14:textId="77777777" w:rsidR="00F03395" w:rsidRPr="00704B78" w:rsidRDefault="00F03395" w:rsidP="006E2A77">
            <w:pPr>
              <w:pStyle w:val="COMTabletext"/>
              <w:jc w:val="center"/>
            </w:pPr>
            <w:r w:rsidRPr="00704B78">
              <w:t>53.0 (41.1, 64.6)</w:t>
            </w:r>
          </w:p>
        </w:tc>
        <w:tc>
          <w:tcPr>
            <w:tcW w:w="3020" w:type="dxa"/>
            <w:vMerge/>
            <w:vAlign w:val="center"/>
          </w:tcPr>
          <w:p w14:paraId="5453AA56" w14:textId="77777777" w:rsidR="00F03395" w:rsidRPr="00704B78" w:rsidRDefault="00F03395" w:rsidP="006E2A77">
            <w:pPr>
              <w:pStyle w:val="COMTabletext"/>
            </w:pPr>
          </w:p>
        </w:tc>
      </w:tr>
    </w:tbl>
    <w:p w14:paraId="1625B4BE" w14:textId="77777777" w:rsidR="00F03395" w:rsidRPr="00704B78" w:rsidRDefault="00F03395" w:rsidP="006E2A77">
      <w:pPr>
        <w:pStyle w:val="COMTablefooter"/>
      </w:pPr>
      <w:r w:rsidRPr="00704B78">
        <w:t>Source: Table 14.2.2.5.1.1.1, p955; Table 14.2.2.5.1.2.1, p958 of the CHAMPION-MG trial report</w:t>
      </w:r>
    </w:p>
    <w:p w14:paraId="3F939EA9" w14:textId="77777777" w:rsidR="00F03395" w:rsidRPr="00704B78" w:rsidRDefault="00F03395" w:rsidP="006E2A77">
      <w:pPr>
        <w:pStyle w:val="COMTablefooter"/>
      </w:pPr>
      <w:r w:rsidRPr="00704B78">
        <w:t>Abbreviations: CI, confidence interval; GLMM, generalised linear mixed model; MG-ADL, Myasthenia Gravis Activities of Daily Living</w:t>
      </w:r>
    </w:p>
    <w:p w14:paraId="1D3A97BB" w14:textId="77777777" w:rsidR="00F03395" w:rsidRPr="00704B78" w:rsidRDefault="00F03395" w:rsidP="006E2A77">
      <w:pPr>
        <w:pStyle w:val="COMTablefooter"/>
      </w:pPr>
      <w:r w:rsidRPr="00704B78">
        <w:t>Note: MG-ADL scores range from 0 to 24 with lower scores indicating better functional outcomes</w:t>
      </w:r>
    </w:p>
    <w:p w14:paraId="0372EDD4" w14:textId="320AAD40" w:rsidR="00D1412E" w:rsidRPr="00D1412E" w:rsidRDefault="00F03395" w:rsidP="006E2A77">
      <w:pPr>
        <w:pStyle w:val="COMTablefooter"/>
      </w:pPr>
      <w:r w:rsidRPr="00704B78">
        <w:t>Note: Estimates are based on a GLMM that includes treatment group, stratification factor region and MG-ADL total score at baseline, study visit, and study visit by treatment group interaction. An unstructured covariance structure was used.</w:t>
      </w:r>
      <w:r w:rsidR="00D61CA6">
        <w:t xml:space="preserve"> </w:t>
      </w:r>
    </w:p>
    <w:p w14:paraId="2A391E54" w14:textId="47D2F7A2" w:rsidR="00F03395" w:rsidRPr="00704B78" w:rsidRDefault="00F03395" w:rsidP="006E2A77">
      <w:pPr>
        <w:pStyle w:val="COMexecsummnumbered"/>
      </w:pPr>
      <w:r w:rsidRPr="00704B78">
        <w:t>There was no statistically significant difference in the proportion of treatment responders between arms based on a 2-point difference at 26 weeks or 3-point difference in MG-ADL score at 12 weeks. However, treatment with ravulizumab was associated with a nominally significant increase in the proportion of treatment responders based on a 3-point difference in MG-ADL score at 26 weeks (OR 2.526, 95% CI 1.330, 4.799).</w:t>
      </w:r>
    </w:p>
    <w:p w14:paraId="2C0B9B6B" w14:textId="0C727685" w:rsidR="00F03395" w:rsidRPr="00704B78" w:rsidRDefault="00F03395" w:rsidP="006E2A77">
      <w:pPr>
        <w:pStyle w:val="COMexecsummnumbered"/>
      </w:pPr>
      <w:r w:rsidRPr="00704B78">
        <w:t xml:space="preserve">There was no statistically significant difference in </w:t>
      </w:r>
      <w:r w:rsidR="00AC7C4D" w:rsidRPr="00704B78">
        <w:t>quality-of-life</w:t>
      </w:r>
      <w:r w:rsidRPr="00704B78">
        <w:t xml:space="preserve"> outcomes or clinical deterioration events between treatment arms although results numerically favoured ravulizumab.</w:t>
      </w:r>
    </w:p>
    <w:p w14:paraId="62687425" w14:textId="79037385" w:rsidR="00AC7C4D" w:rsidRPr="00704B78" w:rsidRDefault="00AC7C4D" w:rsidP="006E2A77">
      <w:pPr>
        <w:pStyle w:val="COMexecsummnumbered"/>
      </w:pPr>
      <w:r w:rsidRPr="00704B78">
        <w:t>The resubmission presented additional post hoc subgroup analyses of newly diagnosed and treatment refractory populations based on the following definitions:</w:t>
      </w:r>
    </w:p>
    <w:p w14:paraId="0494FFAC" w14:textId="76CF0DE3" w:rsidR="00AC7C4D" w:rsidRPr="00704B78" w:rsidRDefault="00AC7C4D" w:rsidP="006E2A77">
      <w:pPr>
        <w:pStyle w:val="COMexecsummnumbered"/>
        <w:numPr>
          <w:ilvl w:val="0"/>
          <w:numId w:val="8"/>
        </w:numPr>
      </w:pPr>
      <w:r w:rsidRPr="00704B78">
        <w:t>Newly diagnosed population: Patients who were diagnosed with myasthenia gravis (ocular or generalised) in the previous 2 years AND have functional impairment (MG-ADL ≥ 6) despite no therapy or stable immunosuppressive therapy.</w:t>
      </w:r>
    </w:p>
    <w:p w14:paraId="51F7C9AF" w14:textId="05CAC0D5" w:rsidR="00AC7C4D" w:rsidRPr="00704B78" w:rsidRDefault="00AC7C4D" w:rsidP="006E2A77">
      <w:pPr>
        <w:pStyle w:val="COMexecsummnumbered"/>
        <w:numPr>
          <w:ilvl w:val="0"/>
          <w:numId w:val="8"/>
        </w:numPr>
      </w:pPr>
      <w:r w:rsidRPr="00704B78">
        <w:t>Treatment refractory population: Patients who have a prior history of using at least 2 immunosuppressant therapies as monotherapy or in combination for at least 12 months OR patients with a prior history of using at least 1 immunosuppressant therapy and chronic IVIG/PLEX for at least 12 months AND have functional impairment (MG-ADL ≥ 6) despite current stable treatment with at least 1 immunosuppressant therapy.</w:t>
      </w:r>
    </w:p>
    <w:p w14:paraId="75FC69CE" w14:textId="5F1FDFCD" w:rsidR="00AC7C4D" w:rsidRPr="00704B78" w:rsidRDefault="00AC7C4D" w:rsidP="006E2A77">
      <w:pPr>
        <w:pStyle w:val="COMexecsummnumbered"/>
      </w:pPr>
      <w:r w:rsidRPr="00704B78">
        <w:t>There was overlap between the treatment refractory and newly diagnosed subgroup definitions, however the extent of the overlap could not be determined.</w:t>
      </w:r>
    </w:p>
    <w:p w14:paraId="51AA675F" w14:textId="11D4946A" w:rsidR="00AC7C4D" w:rsidRPr="00704B78" w:rsidRDefault="00AC7C4D" w:rsidP="006E2A77">
      <w:pPr>
        <w:pStyle w:val="COMexecsummnumbered"/>
      </w:pPr>
      <w:r w:rsidRPr="00704B78">
        <w:t xml:space="preserve">The definitions were not consistent with the target PBS populations </w:t>
      </w:r>
      <w:r w:rsidR="008D3484" w:rsidRPr="00704B78">
        <w:t>as the resubmission’s proposed PBS restriction</w:t>
      </w:r>
      <w:r w:rsidRPr="00704B78">
        <w:t xml:space="preserve"> </w:t>
      </w:r>
      <w:r w:rsidR="00F47904" w:rsidRPr="00704B78">
        <w:t xml:space="preserve">would </w:t>
      </w:r>
      <w:r w:rsidRPr="00704B78">
        <w:t xml:space="preserve">require a more extensive history of prior treatment use for both subgroup populations (newly diagnosed patients need to have trialled at least 1 immunosuppressive therapy and failed prior IVIg/PLEX while </w:t>
      </w:r>
      <w:r w:rsidRPr="00704B78">
        <w:lastRenderedPageBreak/>
        <w:t>treatment refractory patients need to have trialled immunosuppressive therapies for at least 2 years and failed prior IVIg/PLEX).</w:t>
      </w:r>
    </w:p>
    <w:p w14:paraId="375D995D" w14:textId="73872315" w:rsidR="00103710" w:rsidRPr="00704B78" w:rsidRDefault="00103710" w:rsidP="006E2A77">
      <w:pPr>
        <w:pStyle w:val="COMexecsummnumbered"/>
      </w:pPr>
      <w:bookmarkStart w:id="35" w:name="_Ref190347346"/>
      <w:r w:rsidRPr="00704B78">
        <w:t xml:space="preserve">The newly diagnosed subgroup population had a higher proportion of male patients with an older average age at diagnosis compared to the complement subgroup. Patients also had a shorter average disease duration but were more likely to have received treatment with corticosteroids only and less likely to have received combination immunosuppressive therapy compared to other patients. Additionally, due to the small patient numbers included in the newly diagnosed subgroup there were imbalances in patient characteristics between treatment arms particularly </w:t>
      </w:r>
      <w:proofErr w:type="gramStart"/>
      <w:r w:rsidR="00C90F89" w:rsidRPr="00704B78">
        <w:t>in regard to</w:t>
      </w:r>
      <w:proofErr w:type="gramEnd"/>
      <w:r w:rsidRPr="00704B78">
        <w:t xml:space="preserve"> severity of muscle weakness, prior history of exacerbations and baseline immunosuppressive therapy.</w:t>
      </w:r>
      <w:bookmarkEnd w:id="35"/>
    </w:p>
    <w:p w14:paraId="22FF0CE2" w14:textId="7D521DA9" w:rsidR="00487F89" w:rsidRPr="00704B78" w:rsidRDefault="00487F89" w:rsidP="006E2A77">
      <w:pPr>
        <w:pStyle w:val="COMexecsummnumbered"/>
      </w:pPr>
      <w:r w:rsidRPr="00704B78">
        <w:t xml:space="preserve">The </w:t>
      </w:r>
      <w:r w:rsidR="00AB6403" w:rsidRPr="00AB6403">
        <w:t xml:space="preserve">Pre-Sub-Committee Response </w:t>
      </w:r>
      <w:r w:rsidR="00AB6403">
        <w:t>(</w:t>
      </w:r>
      <w:r w:rsidRPr="00704B78">
        <w:t>PSCR</w:t>
      </w:r>
      <w:r w:rsidR="00AB6403">
        <w:t>)</w:t>
      </w:r>
      <w:r w:rsidRPr="00704B78">
        <w:t xml:space="preserve"> </w:t>
      </w:r>
      <w:r w:rsidR="00612F50" w:rsidRPr="00704B78">
        <w:t xml:space="preserve">acknowledged the limitations of the subgroup </w:t>
      </w:r>
      <w:proofErr w:type="gramStart"/>
      <w:r w:rsidR="00612F50" w:rsidRPr="00704B78">
        <w:t>analyses, but</w:t>
      </w:r>
      <w:proofErr w:type="gramEnd"/>
      <w:r w:rsidR="00612F50" w:rsidRPr="00704B78">
        <w:t xml:space="preserve"> stated that the resubmission </w:t>
      </w:r>
      <w:r w:rsidR="0020223E" w:rsidRPr="00704B78">
        <w:t>“</w:t>
      </w:r>
      <w:r w:rsidR="00612F50" w:rsidRPr="00704B78">
        <w:t>provide</w:t>
      </w:r>
      <w:r w:rsidR="0020223E" w:rsidRPr="00704B78">
        <w:t>d</w:t>
      </w:r>
      <w:r w:rsidR="00612F50" w:rsidRPr="00704B78">
        <w:t xml:space="preserve"> the best available evidence for this rare disease to support informed decision-making</w:t>
      </w:r>
      <w:r w:rsidR="0020223E" w:rsidRPr="00704B78">
        <w:t>”</w:t>
      </w:r>
      <w:r w:rsidR="00612F50" w:rsidRPr="00704B78">
        <w:t>.</w:t>
      </w:r>
    </w:p>
    <w:p w14:paraId="62031680" w14:textId="11C4F0E9" w:rsidR="00776438" w:rsidRPr="00704B78" w:rsidRDefault="00B75CD8" w:rsidP="006E2A77">
      <w:pPr>
        <w:pStyle w:val="COMexecsummnumbered"/>
      </w:pPr>
      <w:r w:rsidRPr="00704B78">
        <w:fldChar w:fldCharType="begin"/>
      </w:r>
      <w:r w:rsidRPr="00704B78">
        <w:instrText xml:space="preserve"> REF _Ref187652032 \h </w:instrText>
      </w:r>
      <w:r w:rsidR="004577BE" w:rsidRPr="00704B78">
        <w:instrText xml:space="preserve"> \* MERGEFORMAT </w:instrText>
      </w:r>
      <w:r w:rsidRPr="00704B78">
        <w:fldChar w:fldCharType="separate"/>
      </w:r>
      <w:r w:rsidR="00875704" w:rsidRPr="00704B78">
        <w:t xml:space="preserve">Table </w:t>
      </w:r>
      <w:r w:rsidR="00875704">
        <w:rPr>
          <w:noProof/>
        </w:rPr>
        <w:t>7</w:t>
      </w:r>
      <w:r w:rsidRPr="00704B78">
        <w:fldChar w:fldCharType="end"/>
      </w:r>
      <w:r w:rsidR="00776438" w:rsidRPr="00704B78">
        <w:t xml:space="preserve"> summarises the change in MG-ADL score with ravulizumab and placebo in the subgroup populations of the CHAMPION-MG trial.</w:t>
      </w:r>
    </w:p>
    <w:p w14:paraId="6A26669C" w14:textId="2FA80BF4" w:rsidR="00776438" w:rsidRPr="00704B78" w:rsidRDefault="00B75CD8" w:rsidP="006E2A77">
      <w:pPr>
        <w:pStyle w:val="COMtablefigcaption"/>
        <w:jc w:val="both"/>
      </w:pPr>
      <w:bookmarkStart w:id="36" w:name="_Ref187652032"/>
      <w:r w:rsidRPr="00704B78">
        <w:t xml:space="preserve">Table </w:t>
      </w:r>
      <w:r w:rsidRPr="00704B78">
        <w:fldChar w:fldCharType="begin"/>
      </w:r>
      <w:r w:rsidRPr="00704B78">
        <w:instrText>SEQ Table \* ARABIC</w:instrText>
      </w:r>
      <w:r w:rsidRPr="00704B78">
        <w:fldChar w:fldCharType="separate"/>
      </w:r>
      <w:r w:rsidR="00875704">
        <w:rPr>
          <w:noProof/>
        </w:rPr>
        <w:t>7</w:t>
      </w:r>
      <w:r w:rsidRPr="00704B78">
        <w:fldChar w:fldCharType="end"/>
      </w:r>
      <w:bookmarkEnd w:id="36"/>
      <w:r w:rsidR="00776438" w:rsidRPr="00704B78">
        <w:t>: Mean change in MG-ADL scores from baseline with ravulizumab and placebo in post hoc subgroup populations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7: Mean change in MG-ADL scores from baseline with ravulizumab and placebo in post hoc subgroup populations"/>
      </w:tblPr>
      <w:tblGrid>
        <w:gridCol w:w="2410"/>
        <w:gridCol w:w="1701"/>
        <w:gridCol w:w="1843"/>
        <w:gridCol w:w="1531"/>
        <w:gridCol w:w="1532"/>
      </w:tblGrid>
      <w:tr w:rsidR="00010575" w:rsidRPr="00704B78" w14:paraId="418458C8" w14:textId="77777777">
        <w:trPr>
          <w:trHeight w:val="162"/>
          <w:tblHeader/>
        </w:trPr>
        <w:tc>
          <w:tcPr>
            <w:tcW w:w="2410" w:type="dxa"/>
            <w:vAlign w:val="center"/>
          </w:tcPr>
          <w:p w14:paraId="5E3B679B" w14:textId="77777777" w:rsidR="00776438" w:rsidRPr="00704B78" w:rsidRDefault="00776438" w:rsidP="006E2A77">
            <w:pPr>
              <w:pStyle w:val="COMTableheadingrow"/>
              <w:rPr>
                <w:highlight w:val="yellow"/>
                <w:lang w:val="en-AU"/>
              </w:rPr>
            </w:pPr>
            <w:r w:rsidRPr="00704B78">
              <w:rPr>
                <w:lang w:val="en-AU"/>
              </w:rPr>
              <w:t>Population</w:t>
            </w:r>
          </w:p>
        </w:tc>
        <w:tc>
          <w:tcPr>
            <w:tcW w:w="1701" w:type="dxa"/>
            <w:vAlign w:val="center"/>
          </w:tcPr>
          <w:p w14:paraId="28028598" w14:textId="77777777" w:rsidR="00776438" w:rsidRPr="00704B78" w:rsidRDefault="00776438" w:rsidP="006E2A77">
            <w:pPr>
              <w:pStyle w:val="COMTableheadingrow"/>
              <w:jc w:val="center"/>
              <w:rPr>
                <w:lang w:val="en-AU"/>
              </w:rPr>
            </w:pPr>
            <w:r w:rsidRPr="00704B78">
              <w:rPr>
                <w:lang w:val="en-AU"/>
              </w:rPr>
              <w:t>Ravulizumab</w:t>
            </w:r>
          </w:p>
        </w:tc>
        <w:tc>
          <w:tcPr>
            <w:tcW w:w="1843" w:type="dxa"/>
            <w:vAlign w:val="center"/>
          </w:tcPr>
          <w:p w14:paraId="03CBDB5C" w14:textId="77777777" w:rsidR="00776438" w:rsidRPr="00704B78" w:rsidRDefault="00776438" w:rsidP="006E2A77">
            <w:pPr>
              <w:pStyle w:val="COMTableheadingrow"/>
              <w:jc w:val="center"/>
              <w:rPr>
                <w:lang w:val="en-AU"/>
              </w:rPr>
            </w:pPr>
            <w:r w:rsidRPr="00704B78">
              <w:rPr>
                <w:lang w:val="en-AU"/>
              </w:rPr>
              <w:t>Placebo</w:t>
            </w:r>
          </w:p>
        </w:tc>
        <w:tc>
          <w:tcPr>
            <w:tcW w:w="1531" w:type="dxa"/>
            <w:vAlign w:val="center"/>
          </w:tcPr>
          <w:p w14:paraId="77FBF679" w14:textId="77777777" w:rsidR="00776438" w:rsidRPr="00704B78" w:rsidRDefault="00776438" w:rsidP="006E2A77">
            <w:pPr>
              <w:pStyle w:val="COMTableheadingrow"/>
              <w:jc w:val="center"/>
              <w:rPr>
                <w:lang w:val="en-AU"/>
              </w:rPr>
            </w:pPr>
            <w:r w:rsidRPr="00704B78">
              <w:rPr>
                <w:lang w:val="en-AU"/>
              </w:rPr>
              <w:t>Treatment difference</w:t>
            </w:r>
          </w:p>
        </w:tc>
        <w:tc>
          <w:tcPr>
            <w:tcW w:w="1532" w:type="dxa"/>
            <w:vAlign w:val="center"/>
          </w:tcPr>
          <w:p w14:paraId="50492070" w14:textId="77777777" w:rsidR="00B63264" w:rsidRPr="00704B78" w:rsidRDefault="00776438" w:rsidP="006E2A77">
            <w:pPr>
              <w:pStyle w:val="COMTableheadingrow"/>
              <w:jc w:val="center"/>
            </w:pPr>
            <w:r w:rsidRPr="00704B78">
              <w:t xml:space="preserve">Treatment interaction </w:t>
            </w:r>
          </w:p>
          <w:p w14:paraId="3EAB024F" w14:textId="107AC0F5" w:rsidR="00776438" w:rsidRPr="00704B78" w:rsidRDefault="00776438" w:rsidP="006E2A77">
            <w:pPr>
              <w:pStyle w:val="COMTableheadingrow"/>
              <w:jc w:val="center"/>
              <w:rPr>
                <w:lang w:val="en-AU"/>
              </w:rPr>
            </w:pPr>
            <w:r w:rsidRPr="00704B78">
              <w:t>p-value</w:t>
            </w:r>
          </w:p>
        </w:tc>
      </w:tr>
      <w:tr w:rsidR="00010575" w:rsidRPr="00704B78" w14:paraId="213A0D24" w14:textId="77777777">
        <w:trPr>
          <w:trHeight w:val="76"/>
          <w:tblHeader/>
        </w:trPr>
        <w:tc>
          <w:tcPr>
            <w:tcW w:w="9017" w:type="dxa"/>
            <w:gridSpan w:val="5"/>
            <w:vAlign w:val="center"/>
          </w:tcPr>
          <w:p w14:paraId="0D4EC075" w14:textId="77777777" w:rsidR="00776438" w:rsidRPr="00704B78" w:rsidRDefault="00776438" w:rsidP="006E2A77">
            <w:pPr>
              <w:pStyle w:val="COMTableheadingrow"/>
              <w:rPr>
                <w:lang w:val="en-AU"/>
              </w:rPr>
            </w:pPr>
            <w:r w:rsidRPr="00704B78">
              <w:rPr>
                <w:lang w:val="en-AU"/>
              </w:rPr>
              <w:t>Least squares mean change (95% CI) in MG-ADL score from baseline to Week 12</w:t>
            </w:r>
          </w:p>
        </w:tc>
      </w:tr>
      <w:tr w:rsidR="00790C83" w:rsidRPr="00704B78" w14:paraId="4DF9FD89" w14:textId="77777777">
        <w:trPr>
          <w:trHeight w:val="70"/>
        </w:trPr>
        <w:tc>
          <w:tcPr>
            <w:tcW w:w="2410" w:type="dxa"/>
            <w:vAlign w:val="center"/>
          </w:tcPr>
          <w:p w14:paraId="4B16E03D" w14:textId="77777777" w:rsidR="00776438" w:rsidRPr="00704B78" w:rsidRDefault="00776438" w:rsidP="006E2A77">
            <w:pPr>
              <w:pStyle w:val="COMTabletext"/>
            </w:pPr>
            <w:r w:rsidRPr="00704B78">
              <w:t>Overall population</w:t>
            </w:r>
          </w:p>
        </w:tc>
        <w:tc>
          <w:tcPr>
            <w:tcW w:w="1701" w:type="dxa"/>
            <w:vAlign w:val="center"/>
          </w:tcPr>
          <w:p w14:paraId="47A56CE9" w14:textId="77777777" w:rsidR="00776438" w:rsidRPr="00704B78" w:rsidRDefault="00776438" w:rsidP="006E2A77">
            <w:pPr>
              <w:pStyle w:val="COMTabletext"/>
              <w:jc w:val="center"/>
            </w:pPr>
            <w:r w:rsidRPr="00704B78">
              <w:t>-3.3 (-3.9, -2.6)</w:t>
            </w:r>
          </w:p>
          <w:p w14:paraId="304FFDF0" w14:textId="77777777" w:rsidR="00776438" w:rsidRPr="00704B78" w:rsidRDefault="00776438" w:rsidP="006E2A77">
            <w:pPr>
              <w:pStyle w:val="COMTabletext"/>
              <w:jc w:val="center"/>
            </w:pPr>
            <w:r w:rsidRPr="00704B78">
              <w:t>N = 83</w:t>
            </w:r>
          </w:p>
        </w:tc>
        <w:tc>
          <w:tcPr>
            <w:tcW w:w="1843" w:type="dxa"/>
            <w:vAlign w:val="center"/>
          </w:tcPr>
          <w:p w14:paraId="07CDAB1F" w14:textId="77777777" w:rsidR="00776438" w:rsidRPr="00704B78" w:rsidRDefault="00776438" w:rsidP="006E2A77">
            <w:pPr>
              <w:pStyle w:val="COMTabletext"/>
              <w:jc w:val="center"/>
            </w:pPr>
            <w:r w:rsidRPr="00704B78">
              <w:t>-2.2 (-2.9, -1.5)</w:t>
            </w:r>
          </w:p>
          <w:p w14:paraId="782A69F3" w14:textId="77777777" w:rsidR="00776438" w:rsidRPr="00704B78" w:rsidRDefault="00776438" w:rsidP="006E2A77">
            <w:pPr>
              <w:pStyle w:val="COMTabletext"/>
              <w:jc w:val="center"/>
            </w:pPr>
            <w:r w:rsidRPr="00704B78">
              <w:t>N = 84</w:t>
            </w:r>
          </w:p>
        </w:tc>
        <w:tc>
          <w:tcPr>
            <w:tcW w:w="1531" w:type="dxa"/>
            <w:vAlign w:val="center"/>
          </w:tcPr>
          <w:p w14:paraId="3823880F" w14:textId="77777777" w:rsidR="00776438" w:rsidRPr="00704B78" w:rsidRDefault="00776438" w:rsidP="006E2A77">
            <w:pPr>
              <w:pStyle w:val="COMTabletext"/>
              <w:jc w:val="center"/>
            </w:pPr>
            <w:r w:rsidRPr="00704B78">
              <w:t>-1.0 (-1.9, -0.2)</w:t>
            </w:r>
          </w:p>
        </w:tc>
        <w:tc>
          <w:tcPr>
            <w:tcW w:w="1532" w:type="dxa"/>
            <w:vAlign w:val="center"/>
          </w:tcPr>
          <w:p w14:paraId="0E2F7722" w14:textId="2D2BB49F" w:rsidR="00776438" w:rsidRPr="00704B78" w:rsidRDefault="00776438" w:rsidP="006E2A77">
            <w:pPr>
              <w:pStyle w:val="COMTabletext"/>
              <w:jc w:val="center"/>
            </w:pPr>
            <w:r w:rsidRPr="00704B78">
              <w:t>-</w:t>
            </w:r>
          </w:p>
        </w:tc>
      </w:tr>
      <w:tr w:rsidR="00010575" w:rsidRPr="00704B78" w14:paraId="69F66654" w14:textId="77777777">
        <w:trPr>
          <w:trHeight w:val="70"/>
        </w:trPr>
        <w:tc>
          <w:tcPr>
            <w:tcW w:w="2410" w:type="dxa"/>
            <w:vAlign w:val="center"/>
          </w:tcPr>
          <w:p w14:paraId="0A8054BA" w14:textId="77777777" w:rsidR="00776438" w:rsidRPr="00704B78" w:rsidRDefault="00776438" w:rsidP="006E2A77">
            <w:pPr>
              <w:pStyle w:val="COMTabletext"/>
            </w:pPr>
            <w:r w:rsidRPr="00704B78">
              <w:t>Newly diagnosed subgroup</w:t>
            </w:r>
          </w:p>
        </w:tc>
        <w:tc>
          <w:tcPr>
            <w:tcW w:w="1701" w:type="dxa"/>
            <w:vAlign w:val="center"/>
          </w:tcPr>
          <w:p w14:paraId="783F22E2" w14:textId="77777777" w:rsidR="00776438" w:rsidRPr="00704B78" w:rsidRDefault="00776438" w:rsidP="006E2A77">
            <w:pPr>
              <w:pStyle w:val="COMTabletext"/>
              <w:jc w:val="center"/>
            </w:pPr>
            <w:r w:rsidRPr="00704B78">
              <w:t>-4.3 (-5.7, -2.8)</w:t>
            </w:r>
          </w:p>
          <w:p w14:paraId="292A2499" w14:textId="77777777" w:rsidR="00776438" w:rsidRPr="00704B78" w:rsidRDefault="00776438" w:rsidP="006E2A77">
            <w:pPr>
              <w:pStyle w:val="COMTabletext"/>
              <w:jc w:val="center"/>
            </w:pPr>
            <w:r w:rsidRPr="00704B78">
              <w:t>N = 19</w:t>
            </w:r>
          </w:p>
        </w:tc>
        <w:tc>
          <w:tcPr>
            <w:tcW w:w="1843" w:type="dxa"/>
            <w:vAlign w:val="center"/>
          </w:tcPr>
          <w:p w14:paraId="50CADC05" w14:textId="77777777" w:rsidR="00776438" w:rsidRPr="00704B78" w:rsidRDefault="00776438" w:rsidP="006E2A77">
            <w:pPr>
              <w:pStyle w:val="COMTabletext"/>
              <w:jc w:val="center"/>
            </w:pPr>
            <w:r w:rsidRPr="00704B78">
              <w:t>-1.7 (-3.2, -0.1)</w:t>
            </w:r>
          </w:p>
          <w:p w14:paraId="11678EE0" w14:textId="77777777" w:rsidR="00776438" w:rsidRPr="00704B78" w:rsidRDefault="00776438" w:rsidP="006E2A77">
            <w:pPr>
              <w:pStyle w:val="COMTabletext"/>
              <w:jc w:val="center"/>
            </w:pPr>
            <w:r w:rsidRPr="00704B78">
              <w:t>N = 14</w:t>
            </w:r>
          </w:p>
        </w:tc>
        <w:tc>
          <w:tcPr>
            <w:tcW w:w="1531" w:type="dxa"/>
            <w:vAlign w:val="center"/>
          </w:tcPr>
          <w:p w14:paraId="3D42E936" w14:textId="77777777" w:rsidR="00776438" w:rsidRPr="00704B78" w:rsidRDefault="00776438" w:rsidP="006E2A77">
            <w:pPr>
              <w:pStyle w:val="COMTabletext"/>
              <w:jc w:val="center"/>
            </w:pPr>
            <w:r w:rsidRPr="00704B78">
              <w:t>-2.6 (-4.6, -0.6)</w:t>
            </w:r>
          </w:p>
        </w:tc>
        <w:tc>
          <w:tcPr>
            <w:tcW w:w="1532" w:type="dxa"/>
            <w:vMerge w:val="restart"/>
            <w:vAlign w:val="center"/>
          </w:tcPr>
          <w:p w14:paraId="4CE0DFCC" w14:textId="119E975C" w:rsidR="00776438" w:rsidRPr="00704B78" w:rsidRDefault="00776438" w:rsidP="006E2A77">
            <w:pPr>
              <w:pStyle w:val="COMTabletext"/>
              <w:jc w:val="center"/>
            </w:pPr>
            <w:r w:rsidRPr="00704B78">
              <w:t>0.0793</w:t>
            </w:r>
          </w:p>
        </w:tc>
      </w:tr>
      <w:tr w:rsidR="00010575" w:rsidRPr="00704B78" w14:paraId="4725E663" w14:textId="77777777">
        <w:trPr>
          <w:trHeight w:val="70"/>
        </w:trPr>
        <w:tc>
          <w:tcPr>
            <w:tcW w:w="2410" w:type="dxa"/>
            <w:vAlign w:val="center"/>
          </w:tcPr>
          <w:p w14:paraId="2CC0A0D3" w14:textId="77777777" w:rsidR="00776438" w:rsidRPr="00704B78" w:rsidRDefault="00776438" w:rsidP="006E2A77">
            <w:pPr>
              <w:pStyle w:val="COMTabletext"/>
            </w:pPr>
            <w:r w:rsidRPr="00704B78">
              <w:t>Complement established disease subgroup</w:t>
            </w:r>
          </w:p>
        </w:tc>
        <w:tc>
          <w:tcPr>
            <w:tcW w:w="1701" w:type="dxa"/>
            <w:vAlign w:val="center"/>
          </w:tcPr>
          <w:p w14:paraId="74E67F3D" w14:textId="77777777" w:rsidR="00776438" w:rsidRPr="00704B78" w:rsidRDefault="00776438" w:rsidP="006E2A77">
            <w:pPr>
              <w:pStyle w:val="COMTabletext"/>
              <w:jc w:val="center"/>
            </w:pPr>
            <w:r w:rsidRPr="00704B78">
              <w:t>-3.0 (-3.7, -2.2)</w:t>
            </w:r>
          </w:p>
          <w:p w14:paraId="49AC3707" w14:textId="77777777" w:rsidR="00776438" w:rsidRPr="00704B78" w:rsidRDefault="00776438" w:rsidP="006E2A77">
            <w:pPr>
              <w:pStyle w:val="COMTabletext"/>
              <w:jc w:val="center"/>
            </w:pPr>
            <w:r w:rsidRPr="00704B78">
              <w:t>N = 64</w:t>
            </w:r>
          </w:p>
        </w:tc>
        <w:tc>
          <w:tcPr>
            <w:tcW w:w="1843" w:type="dxa"/>
            <w:vAlign w:val="center"/>
          </w:tcPr>
          <w:p w14:paraId="6EC7E8B9" w14:textId="77777777" w:rsidR="00776438" w:rsidRPr="00704B78" w:rsidRDefault="00776438" w:rsidP="006E2A77">
            <w:pPr>
              <w:pStyle w:val="COMTabletext"/>
              <w:jc w:val="center"/>
            </w:pPr>
            <w:r w:rsidRPr="00704B78">
              <w:t>-2.4 (-3.1, -1.6)</w:t>
            </w:r>
          </w:p>
          <w:p w14:paraId="0637F19A" w14:textId="77777777" w:rsidR="00776438" w:rsidRPr="00704B78" w:rsidRDefault="00776438" w:rsidP="006E2A77">
            <w:pPr>
              <w:pStyle w:val="COMTabletext"/>
              <w:jc w:val="center"/>
            </w:pPr>
            <w:r w:rsidRPr="00704B78">
              <w:t>N = 70</w:t>
            </w:r>
          </w:p>
        </w:tc>
        <w:tc>
          <w:tcPr>
            <w:tcW w:w="1531" w:type="dxa"/>
            <w:vAlign w:val="center"/>
          </w:tcPr>
          <w:p w14:paraId="4C089FF7" w14:textId="77777777" w:rsidR="00776438" w:rsidRPr="00704B78" w:rsidRDefault="00776438" w:rsidP="006E2A77">
            <w:pPr>
              <w:pStyle w:val="COMTabletext"/>
              <w:jc w:val="center"/>
            </w:pPr>
            <w:r w:rsidRPr="00704B78">
              <w:t>-0.6 (-1.6, 0.4)</w:t>
            </w:r>
          </w:p>
        </w:tc>
        <w:tc>
          <w:tcPr>
            <w:tcW w:w="1532" w:type="dxa"/>
            <w:vMerge/>
            <w:vAlign w:val="center"/>
          </w:tcPr>
          <w:p w14:paraId="2B3C661B" w14:textId="5BF11D94" w:rsidR="00776438" w:rsidRPr="00704B78" w:rsidRDefault="00776438" w:rsidP="006E2A77">
            <w:pPr>
              <w:pStyle w:val="COMTabletext"/>
              <w:jc w:val="center"/>
            </w:pPr>
          </w:p>
        </w:tc>
      </w:tr>
      <w:tr w:rsidR="00010575" w:rsidRPr="00704B78" w14:paraId="6ED154D9" w14:textId="77777777">
        <w:trPr>
          <w:trHeight w:val="70"/>
        </w:trPr>
        <w:tc>
          <w:tcPr>
            <w:tcW w:w="2410" w:type="dxa"/>
            <w:vAlign w:val="center"/>
          </w:tcPr>
          <w:p w14:paraId="249C6CAB" w14:textId="0874F52D" w:rsidR="006A7653" w:rsidRPr="00704B78" w:rsidRDefault="006A7653" w:rsidP="006E2A77">
            <w:pPr>
              <w:pStyle w:val="COMTabletext"/>
            </w:pPr>
            <w:r w:rsidRPr="00704B78">
              <w:t>Treatment refractory subgroup</w:t>
            </w:r>
          </w:p>
        </w:tc>
        <w:tc>
          <w:tcPr>
            <w:tcW w:w="1701" w:type="dxa"/>
            <w:vAlign w:val="center"/>
          </w:tcPr>
          <w:p w14:paraId="09EE7C0B" w14:textId="77777777" w:rsidR="006A7653" w:rsidRPr="00704B78" w:rsidRDefault="006A7653" w:rsidP="006E2A77">
            <w:pPr>
              <w:pStyle w:val="COMTabletext"/>
              <w:jc w:val="center"/>
            </w:pPr>
            <w:r w:rsidRPr="00704B78">
              <w:t>-3.1 (-4.1, -2.2)</w:t>
            </w:r>
          </w:p>
          <w:p w14:paraId="200196B8" w14:textId="1D196A6B" w:rsidR="006A7653" w:rsidRPr="00704B78" w:rsidRDefault="006A7653" w:rsidP="006E2A77">
            <w:pPr>
              <w:pStyle w:val="COMTabletext"/>
              <w:jc w:val="center"/>
            </w:pPr>
            <w:r w:rsidRPr="00704B78">
              <w:t>N = 38</w:t>
            </w:r>
          </w:p>
        </w:tc>
        <w:tc>
          <w:tcPr>
            <w:tcW w:w="1843" w:type="dxa"/>
            <w:vAlign w:val="center"/>
          </w:tcPr>
          <w:p w14:paraId="73145C17" w14:textId="77777777" w:rsidR="006A7653" w:rsidRPr="00704B78" w:rsidRDefault="006A7653" w:rsidP="006E2A77">
            <w:pPr>
              <w:pStyle w:val="COMTabletext"/>
              <w:jc w:val="center"/>
            </w:pPr>
            <w:r w:rsidRPr="00704B78">
              <w:t>-2.1 (-2.9, -1.2)</w:t>
            </w:r>
          </w:p>
          <w:p w14:paraId="77FFC5F7" w14:textId="6F1DDAA9" w:rsidR="006A7653" w:rsidRPr="00704B78" w:rsidRDefault="006A7653" w:rsidP="006E2A77">
            <w:pPr>
              <w:pStyle w:val="COMTabletext"/>
              <w:jc w:val="center"/>
            </w:pPr>
            <w:r w:rsidRPr="00704B78">
              <w:t>N = 47</w:t>
            </w:r>
          </w:p>
        </w:tc>
        <w:tc>
          <w:tcPr>
            <w:tcW w:w="1531" w:type="dxa"/>
            <w:vAlign w:val="center"/>
          </w:tcPr>
          <w:p w14:paraId="7753911B" w14:textId="675A6C6B" w:rsidR="006A7653" w:rsidRPr="00704B78" w:rsidRDefault="006A7653" w:rsidP="006E2A77">
            <w:pPr>
              <w:pStyle w:val="COMTabletext"/>
              <w:jc w:val="center"/>
            </w:pPr>
            <w:r w:rsidRPr="00704B78">
              <w:t>-1.1 (-2.3, 0.2)</w:t>
            </w:r>
          </w:p>
        </w:tc>
        <w:tc>
          <w:tcPr>
            <w:tcW w:w="1532" w:type="dxa"/>
            <w:vMerge w:val="restart"/>
            <w:vAlign w:val="center"/>
          </w:tcPr>
          <w:p w14:paraId="2A5A8C9E" w14:textId="5920DBA1" w:rsidR="006A7653" w:rsidRPr="00704B78" w:rsidRDefault="006A7653" w:rsidP="006E2A77">
            <w:pPr>
              <w:pStyle w:val="COMTabletext"/>
              <w:jc w:val="center"/>
            </w:pPr>
            <w:r w:rsidRPr="00704B78">
              <w:t>0.8262</w:t>
            </w:r>
          </w:p>
        </w:tc>
      </w:tr>
      <w:tr w:rsidR="00010575" w:rsidRPr="00704B78" w14:paraId="5F06633C" w14:textId="77777777">
        <w:trPr>
          <w:trHeight w:val="70"/>
        </w:trPr>
        <w:tc>
          <w:tcPr>
            <w:tcW w:w="2410" w:type="dxa"/>
            <w:vAlign w:val="center"/>
          </w:tcPr>
          <w:p w14:paraId="52BB5C9B" w14:textId="12FE3BC9" w:rsidR="006A7653" w:rsidRPr="00704B78" w:rsidRDefault="006A7653" w:rsidP="006E2A77">
            <w:pPr>
              <w:pStyle w:val="COMTabletext"/>
            </w:pPr>
            <w:r w:rsidRPr="00704B78">
              <w:t>Complement non-refractory subgroup</w:t>
            </w:r>
          </w:p>
        </w:tc>
        <w:tc>
          <w:tcPr>
            <w:tcW w:w="1701" w:type="dxa"/>
            <w:vAlign w:val="center"/>
          </w:tcPr>
          <w:p w14:paraId="3E484B9C" w14:textId="77777777" w:rsidR="006A7653" w:rsidRPr="00704B78" w:rsidRDefault="006A7653" w:rsidP="006E2A77">
            <w:pPr>
              <w:pStyle w:val="COMTabletext"/>
              <w:jc w:val="center"/>
            </w:pPr>
            <w:r w:rsidRPr="00704B78">
              <w:t>-3.3 (-4.2, -2.4)</w:t>
            </w:r>
          </w:p>
          <w:p w14:paraId="78DC9486" w14:textId="76898559" w:rsidR="006A7653" w:rsidRPr="00704B78" w:rsidRDefault="006A7653" w:rsidP="006E2A77">
            <w:pPr>
              <w:pStyle w:val="COMTabletext"/>
              <w:jc w:val="center"/>
            </w:pPr>
            <w:r w:rsidRPr="00704B78">
              <w:t>N = 45</w:t>
            </w:r>
          </w:p>
        </w:tc>
        <w:tc>
          <w:tcPr>
            <w:tcW w:w="1843" w:type="dxa"/>
            <w:vAlign w:val="center"/>
          </w:tcPr>
          <w:p w14:paraId="14CD93D5" w14:textId="77777777" w:rsidR="006A7653" w:rsidRPr="00704B78" w:rsidRDefault="006A7653" w:rsidP="006E2A77">
            <w:pPr>
              <w:pStyle w:val="COMTabletext"/>
              <w:jc w:val="center"/>
            </w:pPr>
            <w:r w:rsidRPr="00704B78">
              <w:t>-2.5 (-3.4, -1.5)</w:t>
            </w:r>
          </w:p>
          <w:p w14:paraId="413AE04D" w14:textId="2DAD0675" w:rsidR="006A7653" w:rsidRPr="00704B78" w:rsidRDefault="006A7653" w:rsidP="006E2A77">
            <w:pPr>
              <w:pStyle w:val="COMTabletext"/>
              <w:jc w:val="center"/>
            </w:pPr>
            <w:r w:rsidRPr="00704B78">
              <w:t>N = 37</w:t>
            </w:r>
          </w:p>
        </w:tc>
        <w:tc>
          <w:tcPr>
            <w:tcW w:w="1531" w:type="dxa"/>
            <w:vAlign w:val="center"/>
          </w:tcPr>
          <w:p w14:paraId="6E65FBC6" w14:textId="61DD7332" w:rsidR="006A7653" w:rsidRPr="00704B78" w:rsidRDefault="006A7653" w:rsidP="006E2A77">
            <w:pPr>
              <w:pStyle w:val="COMTabletext"/>
              <w:jc w:val="center"/>
            </w:pPr>
            <w:r w:rsidRPr="00704B78">
              <w:t>-0.9 (-2.1, 0.4)</w:t>
            </w:r>
          </w:p>
        </w:tc>
        <w:tc>
          <w:tcPr>
            <w:tcW w:w="1532" w:type="dxa"/>
            <w:vMerge/>
            <w:vAlign w:val="center"/>
          </w:tcPr>
          <w:p w14:paraId="0ABBBB20" w14:textId="7151E909" w:rsidR="006A7653" w:rsidRPr="00704B78" w:rsidRDefault="006A7653" w:rsidP="006E2A77">
            <w:pPr>
              <w:pStyle w:val="COMTabletext"/>
              <w:jc w:val="center"/>
            </w:pPr>
          </w:p>
        </w:tc>
      </w:tr>
      <w:tr w:rsidR="00010575" w:rsidRPr="00704B78" w14:paraId="4C8F0B1D" w14:textId="77777777">
        <w:trPr>
          <w:trHeight w:val="76"/>
          <w:tblHeader/>
        </w:trPr>
        <w:tc>
          <w:tcPr>
            <w:tcW w:w="9017" w:type="dxa"/>
            <w:gridSpan w:val="5"/>
            <w:vAlign w:val="center"/>
          </w:tcPr>
          <w:p w14:paraId="3DE31AFC" w14:textId="77777777" w:rsidR="006A7653" w:rsidRPr="00704B78" w:rsidRDefault="006A7653" w:rsidP="006E2A77">
            <w:pPr>
              <w:pStyle w:val="COMTableheadingrow"/>
              <w:rPr>
                <w:lang w:val="en-AU"/>
              </w:rPr>
            </w:pPr>
            <w:r w:rsidRPr="00704B78">
              <w:rPr>
                <w:lang w:val="en-AU"/>
              </w:rPr>
              <w:t>Least squares mean change (95% CI) in MG-ADL score from baseline to Week 26</w:t>
            </w:r>
          </w:p>
        </w:tc>
      </w:tr>
      <w:tr w:rsidR="00790C83" w:rsidRPr="00704B78" w14:paraId="20BACD1D" w14:textId="77777777">
        <w:trPr>
          <w:trHeight w:val="70"/>
        </w:trPr>
        <w:tc>
          <w:tcPr>
            <w:tcW w:w="2410" w:type="dxa"/>
            <w:vAlign w:val="center"/>
          </w:tcPr>
          <w:p w14:paraId="26AA4203" w14:textId="77777777" w:rsidR="006A7653" w:rsidRPr="00704B78" w:rsidRDefault="006A7653" w:rsidP="006E2A77">
            <w:pPr>
              <w:pStyle w:val="COMTabletext"/>
            </w:pPr>
            <w:r w:rsidRPr="00704B78">
              <w:t>Overall population</w:t>
            </w:r>
          </w:p>
        </w:tc>
        <w:tc>
          <w:tcPr>
            <w:tcW w:w="1701" w:type="dxa"/>
            <w:vAlign w:val="center"/>
          </w:tcPr>
          <w:p w14:paraId="6CB324D6" w14:textId="77777777" w:rsidR="006A7653" w:rsidRPr="00704B78" w:rsidRDefault="006A7653" w:rsidP="006E2A77">
            <w:pPr>
              <w:pStyle w:val="COMTabletext"/>
              <w:jc w:val="center"/>
            </w:pPr>
            <w:r w:rsidRPr="00704B78">
              <w:t>-3.1 (-3.8, -2.3)</w:t>
            </w:r>
          </w:p>
          <w:p w14:paraId="2F9904FA" w14:textId="77777777" w:rsidR="006A7653" w:rsidRPr="00704B78" w:rsidRDefault="006A7653" w:rsidP="006E2A77">
            <w:pPr>
              <w:pStyle w:val="COMTabletext"/>
              <w:jc w:val="center"/>
            </w:pPr>
            <w:r w:rsidRPr="00704B78">
              <w:t>N = 78</w:t>
            </w:r>
          </w:p>
        </w:tc>
        <w:tc>
          <w:tcPr>
            <w:tcW w:w="1843" w:type="dxa"/>
            <w:vAlign w:val="center"/>
          </w:tcPr>
          <w:p w14:paraId="1C60BF91" w14:textId="77777777" w:rsidR="006A7653" w:rsidRPr="00704B78" w:rsidRDefault="006A7653" w:rsidP="006E2A77">
            <w:pPr>
              <w:pStyle w:val="COMTabletext"/>
              <w:jc w:val="center"/>
            </w:pPr>
            <w:r w:rsidRPr="00704B78">
              <w:t>-1.4 (-2.1, -0.7)</w:t>
            </w:r>
          </w:p>
          <w:p w14:paraId="46A1E1DC" w14:textId="77777777" w:rsidR="006A7653" w:rsidRPr="00704B78" w:rsidRDefault="006A7653" w:rsidP="006E2A77">
            <w:pPr>
              <w:pStyle w:val="COMTabletext"/>
              <w:jc w:val="center"/>
            </w:pPr>
            <w:r w:rsidRPr="00704B78">
              <w:t>N = 82</w:t>
            </w:r>
          </w:p>
        </w:tc>
        <w:tc>
          <w:tcPr>
            <w:tcW w:w="1531" w:type="dxa"/>
            <w:vAlign w:val="center"/>
          </w:tcPr>
          <w:p w14:paraId="430CC78E" w14:textId="77777777" w:rsidR="006A7653" w:rsidRPr="00704B78" w:rsidRDefault="006A7653" w:rsidP="006E2A77">
            <w:pPr>
              <w:pStyle w:val="COMTabletext"/>
              <w:jc w:val="center"/>
            </w:pPr>
            <w:r w:rsidRPr="00704B78">
              <w:t>-1.6 (-2.6, -0.7)</w:t>
            </w:r>
          </w:p>
        </w:tc>
        <w:tc>
          <w:tcPr>
            <w:tcW w:w="1532" w:type="dxa"/>
            <w:vAlign w:val="center"/>
          </w:tcPr>
          <w:p w14:paraId="4B629A00" w14:textId="7AB9BD13" w:rsidR="006A7653" w:rsidRPr="00704B78" w:rsidRDefault="006A7653" w:rsidP="006E2A77">
            <w:pPr>
              <w:pStyle w:val="COMTabletext"/>
              <w:jc w:val="center"/>
            </w:pPr>
            <w:r w:rsidRPr="00704B78">
              <w:t>-</w:t>
            </w:r>
          </w:p>
        </w:tc>
      </w:tr>
      <w:tr w:rsidR="00010575" w:rsidRPr="00704B78" w14:paraId="04B79A9C" w14:textId="77777777">
        <w:trPr>
          <w:trHeight w:val="70"/>
        </w:trPr>
        <w:tc>
          <w:tcPr>
            <w:tcW w:w="2410" w:type="dxa"/>
            <w:vAlign w:val="center"/>
          </w:tcPr>
          <w:p w14:paraId="395BA694" w14:textId="77777777" w:rsidR="006A7653" w:rsidRPr="00704B78" w:rsidRDefault="006A7653" w:rsidP="006E2A77">
            <w:pPr>
              <w:pStyle w:val="COMTabletext"/>
            </w:pPr>
            <w:r w:rsidRPr="00704B78">
              <w:t>Newly diagnosed subgroup</w:t>
            </w:r>
          </w:p>
        </w:tc>
        <w:tc>
          <w:tcPr>
            <w:tcW w:w="1701" w:type="dxa"/>
            <w:vAlign w:val="center"/>
          </w:tcPr>
          <w:p w14:paraId="0C125BD4" w14:textId="77777777" w:rsidR="006A7653" w:rsidRPr="00704B78" w:rsidRDefault="006A7653" w:rsidP="006E2A77">
            <w:pPr>
              <w:pStyle w:val="COMTabletext"/>
              <w:jc w:val="center"/>
            </w:pPr>
            <w:r w:rsidRPr="00704B78">
              <w:t>-4.3 (-5.8, -2.7)</w:t>
            </w:r>
          </w:p>
          <w:p w14:paraId="3759823F" w14:textId="77777777" w:rsidR="006A7653" w:rsidRPr="00704B78" w:rsidRDefault="006A7653" w:rsidP="006E2A77">
            <w:pPr>
              <w:pStyle w:val="COMTabletext"/>
              <w:jc w:val="center"/>
            </w:pPr>
            <w:r w:rsidRPr="00704B78">
              <w:t>N = 17</w:t>
            </w:r>
          </w:p>
        </w:tc>
        <w:tc>
          <w:tcPr>
            <w:tcW w:w="1843" w:type="dxa"/>
            <w:vAlign w:val="center"/>
          </w:tcPr>
          <w:p w14:paraId="7FE6877F" w14:textId="77777777" w:rsidR="006A7653" w:rsidRPr="00704B78" w:rsidRDefault="006A7653" w:rsidP="006E2A77">
            <w:pPr>
              <w:pStyle w:val="COMTabletext"/>
              <w:jc w:val="center"/>
            </w:pPr>
            <w:r w:rsidRPr="00704B78">
              <w:t>-1.4 (-3.1, 0.3)</w:t>
            </w:r>
          </w:p>
          <w:p w14:paraId="49E90075" w14:textId="77777777" w:rsidR="006A7653" w:rsidRPr="00704B78" w:rsidRDefault="006A7653" w:rsidP="006E2A77">
            <w:pPr>
              <w:pStyle w:val="COMTabletext"/>
              <w:jc w:val="center"/>
            </w:pPr>
            <w:r w:rsidRPr="00704B78">
              <w:t>N = 13</w:t>
            </w:r>
          </w:p>
        </w:tc>
        <w:tc>
          <w:tcPr>
            <w:tcW w:w="1531" w:type="dxa"/>
            <w:vAlign w:val="center"/>
          </w:tcPr>
          <w:p w14:paraId="2AD28A31" w14:textId="77777777" w:rsidR="006A7653" w:rsidRPr="00704B78" w:rsidRDefault="006A7653" w:rsidP="006E2A77">
            <w:pPr>
              <w:pStyle w:val="COMTabletext"/>
              <w:jc w:val="center"/>
            </w:pPr>
            <w:r w:rsidRPr="00704B78">
              <w:t>-2.9 (-5.1, -0.7)</w:t>
            </w:r>
          </w:p>
        </w:tc>
        <w:tc>
          <w:tcPr>
            <w:tcW w:w="1532" w:type="dxa"/>
            <w:vMerge w:val="restart"/>
            <w:vAlign w:val="center"/>
          </w:tcPr>
          <w:p w14:paraId="0AC362F2" w14:textId="30C8C262" w:rsidR="006A7653" w:rsidRPr="00704B78" w:rsidRDefault="006A7653" w:rsidP="006E2A77">
            <w:pPr>
              <w:pStyle w:val="COMTabletext"/>
              <w:jc w:val="center"/>
            </w:pPr>
            <w:r w:rsidRPr="00704B78">
              <w:t>0.1994</w:t>
            </w:r>
          </w:p>
        </w:tc>
      </w:tr>
      <w:tr w:rsidR="00010575" w:rsidRPr="00704B78" w14:paraId="1AF7C63F" w14:textId="77777777">
        <w:trPr>
          <w:trHeight w:val="70"/>
        </w:trPr>
        <w:tc>
          <w:tcPr>
            <w:tcW w:w="2410" w:type="dxa"/>
            <w:vAlign w:val="center"/>
          </w:tcPr>
          <w:p w14:paraId="12B30B19" w14:textId="77777777" w:rsidR="006A7653" w:rsidRPr="00704B78" w:rsidRDefault="006A7653" w:rsidP="006E2A77">
            <w:pPr>
              <w:pStyle w:val="COMTabletext"/>
            </w:pPr>
            <w:r w:rsidRPr="00704B78">
              <w:t>Complement established disease subgroup</w:t>
            </w:r>
          </w:p>
        </w:tc>
        <w:tc>
          <w:tcPr>
            <w:tcW w:w="1701" w:type="dxa"/>
            <w:vAlign w:val="center"/>
          </w:tcPr>
          <w:p w14:paraId="79BD68F0" w14:textId="77777777" w:rsidR="006A7653" w:rsidRPr="00704B78" w:rsidRDefault="006A7653" w:rsidP="006E2A77">
            <w:pPr>
              <w:pStyle w:val="COMTabletext"/>
              <w:jc w:val="center"/>
            </w:pPr>
            <w:r w:rsidRPr="00704B78">
              <w:t>-2.7 (-3.5, -1.9)</w:t>
            </w:r>
          </w:p>
          <w:p w14:paraId="726FBB7E" w14:textId="77777777" w:rsidR="006A7653" w:rsidRPr="00704B78" w:rsidRDefault="006A7653" w:rsidP="006E2A77">
            <w:pPr>
              <w:pStyle w:val="COMTabletext"/>
              <w:jc w:val="center"/>
            </w:pPr>
            <w:r w:rsidRPr="00704B78">
              <w:t>N = 61</w:t>
            </w:r>
          </w:p>
        </w:tc>
        <w:tc>
          <w:tcPr>
            <w:tcW w:w="1843" w:type="dxa"/>
            <w:vAlign w:val="center"/>
          </w:tcPr>
          <w:p w14:paraId="4378B7CD" w14:textId="77777777" w:rsidR="006A7653" w:rsidRPr="00704B78" w:rsidRDefault="006A7653" w:rsidP="006E2A77">
            <w:pPr>
              <w:pStyle w:val="COMTabletext"/>
              <w:jc w:val="center"/>
            </w:pPr>
            <w:r w:rsidRPr="00704B78">
              <w:t>-1.4 (-2.2, -0.7)</w:t>
            </w:r>
          </w:p>
          <w:p w14:paraId="09300406" w14:textId="77777777" w:rsidR="006A7653" w:rsidRPr="00704B78" w:rsidRDefault="006A7653" w:rsidP="006E2A77">
            <w:pPr>
              <w:pStyle w:val="COMTabletext"/>
              <w:jc w:val="center"/>
            </w:pPr>
            <w:r w:rsidRPr="00704B78">
              <w:t>N = 69</w:t>
            </w:r>
          </w:p>
        </w:tc>
        <w:tc>
          <w:tcPr>
            <w:tcW w:w="1531" w:type="dxa"/>
            <w:vAlign w:val="center"/>
          </w:tcPr>
          <w:p w14:paraId="27F781A4" w14:textId="77777777" w:rsidR="006A7653" w:rsidRPr="00704B78" w:rsidRDefault="006A7653" w:rsidP="006E2A77">
            <w:pPr>
              <w:pStyle w:val="COMTabletext"/>
              <w:jc w:val="center"/>
            </w:pPr>
            <w:r w:rsidRPr="00704B78">
              <w:t>-1.3 (-2.3, -0.2)</w:t>
            </w:r>
          </w:p>
        </w:tc>
        <w:tc>
          <w:tcPr>
            <w:tcW w:w="1532" w:type="dxa"/>
            <w:vMerge/>
            <w:vAlign w:val="center"/>
          </w:tcPr>
          <w:p w14:paraId="121717C6" w14:textId="75ADCF52" w:rsidR="006A7653" w:rsidRPr="00704B78" w:rsidRDefault="006A7653" w:rsidP="006E2A77">
            <w:pPr>
              <w:pStyle w:val="COMTabletext"/>
              <w:jc w:val="center"/>
            </w:pPr>
          </w:p>
        </w:tc>
      </w:tr>
      <w:tr w:rsidR="00010575" w:rsidRPr="00704B78" w14:paraId="6E19B95D" w14:textId="77777777">
        <w:trPr>
          <w:trHeight w:val="70"/>
        </w:trPr>
        <w:tc>
          <w:tcPr>
            <w:tcW w:w="2410" w:type="dxa"/>
            <w:vAlign w:val="center"/>
          </w:tcPr>
          <w:p w14:paraId="58B15E0F" w14:textId="55DB4E21" w:rsidR="00B63264" w:rsidRPr="00704B78" w:rsidRDefault="00B63264" w:rsidP="006E2A77">
            <w:pPr>
              <w:pStyle w:val="COMTabletext"/>
            </w:pPr>
            <w:r w:rsidRPr="00704B78">
              <w:t>Treatment refractory subgroup</w:t>
            </w:r>
          </w:p>
        </w:tc>
        <w:tc>
          <w:tcPr>
            <w:tcW w:w="1701" w:type="dxa"/>
            <w:vAlign w:val="center"/>
          </w:tcPr>
          <w:p w14:paraId="595119A9" w14:textId="77777777" w:rsidR="00B63264" w:rsidRPr="00704B78" w:rsidRDefault="00B63264" w:rsidP="006E2A77">
            <w:pPr>
              <w:pStyle w:val="COMTabletext"/>
              <w:jc w:val="center"/>
            </w:pPr>
            <w:r w:rsidRPr="00704B78">
              <w:t>-3.0 (-4.1, -1.9)</w:t>
            </w:r>
          </w:p>
          <w:p w14:paraId="277259BD" w14:textId="175241C9" w:rsidR="00B63264" w:rsidRPr="00704B78" w:rsidRDefault="00B63264" w:rsidP="006E2A77">
            <w:pPr>
              <w:pStyle w:val="COMTabletext"/>
              <w:jc w:val="center"/>
            </w:pPr>
            <w:r w:rsidRPr="00704B78">
              <w:t>N = 34</w:t>
            </w:r>
          </w:p>
        </w:tc>
        <w:tc>
          <w:tcPr>
            <w:tcW w:w="1843" w:type="dxa"/>
            <w:vAlign w:val="center"/>
          </w:tcPr>
          <w:p w14:paraId="49B28A3F" w14:textId="77777777" w:rsidR="00B63264" w:rsidRPr="00704B78" w:rsidRDefault="00B63264" w:rsidP="006E2A77">
            <w:pPr>
              <w:pStyle w:val="COMTabletext"/>
              <w:jc w:val="center"/>
            </w:pPr>
            <w:r w:rsidRPr="00704B78">
              <w:t>-1.3 (-2.2, -0.3)</w:t>
            </w:r>
          </w:p>
          <w:p w14:paraId="68E97DE7" w14:textId="616E5EA3" w:rsidR="00B63264" w:rsidRPr="00704B78" w:rsidRDefault="00B63264" w:rsidP="006E2A77">
            <w:pPr>
              <w:pStyle w:val="COMTabletext"/>
              <w:jc w:val="center"/>
            </w:pPr>
            <w:r w:rsidRPr="00704B78">
              <w:t>N = 46</w:t>
            </w:r>
          </w:p>
        </w:tc>
        <w:tc>
          <w:tcPr>
            <w:tcW w:w="1531" w:type="dxa"/>
            <w:vAlign w:val="center"/>
          </w:tcPr>
          <w:p w14:paraId="608FE361" w14:textId="6231858E" w:rsidR="00B63264" w:rsidRPr="00704B78" w:rsidRDefault="00B63264" w:rsidP="006E2A77">
            <w:pPr>
              <w:pStyle w:val="COMTabletext"/>
              <w:jc w:val="center"/>
            </w:pPr>
            <w:r w:rsidRPr="00704B78">
              <w:t>-1.7 (-3.1, -0.4)</w:t>
            </w:r>
          </w:p>
        </w:tc>
        <w:tc>
          <w:tcPr>
            <w:tcW w:w="1532" w:type="dxa"/>
            <w:vMerge w:val="restart"/>
            <w:vAlign w:val="center"/>
          </w:tcPr>
          <w:p w14:paraId="0B12DFA0" w14:textId="6CD22E16" w:rsidR="00B63264" w:rsidRPr="00704B78" w:rsidRDefault="00B63264" w:rsidP="006E2A77">
            <w:pPr>
              <w:pStyle w:val="COMTabletext"/>
              <w:jc w:val="center"/>
            </w:pPr>
            <w:r w:rsidRPr="00704B78">
              <w:t>0.7858</w:t>
            </w:r>
          </w:p>
        </w:tc>
      </w:tr>
      <w:tr w:rsidR="00010575" w:rsidRPr="00704B78" w14:paraId="0AD34401" w14:textId="77777777">
        <w:trPr>
          <w:trHeight w:val="70"/>
        </w:trPr>
        <w:tc>
          <w:tcPr>
            <w:tcW w:w="2410" w:type="dxa"/>
            <w:vAlign w:val="center"/>
          </w:tcPr>
          <w:p w14:paraId="0E3D60EE" w14:textId="20DD7978" w:rsidR="00B63264" w:rsidRPr="00704B78" w:rsidRDefault="00B63264" w:rsidP="006E2A77">
            <w:pPr>
              <w:pStyle w:val="COMTabletext"/>
            </w:pPr>
            <w:r w:rsidRPr="00704B78">
              <w:t>Complement non-refractory subgroup</w:t>
            </w:r>
          </w:p>
        </w:tc>
        <w:tc>
          <w:tcPr>
            <w:tcW w:w="1701" w:type="dxa"/>
            <w:vAlign w:val="center"/>
          </w:tcPr>
          <w:p w14:paraId="6B89C51C" w14:textId="77777777" w:rsidR="00B63264" w:rsidRPr="00704B78" w:rsidRDefault="00B63264" w:rsidP="006E2A77">
            <w:pPr>
              <w:pStyle w:val="COMTabletext"/>
              <w:jc w:val="center"/>
            </w:pPr>
            <w:r w:rsidRPr="00704B78">
              <w:t>-3.1 (-4.1, -2.1)</w:t>
            </w:r>
          </w:p>
          <w:p w14:paraId="63BC5251" w14:textId="1F5BBF2E" w:rsidR="00B63264" w:rsidRPr="00704B78" w:rsidRDefault="00B63264" w:rsidP="006E2A77">
            <w:pPr>
              <w:pStyle w:val="COMTabletext"/>
              <w:jc w:val="center"/>
            </w:pPr>
            <w:r w:rsidRPr="00704B78">
              <w:t>N = 44</w:t>
            </w:r>
          </w:p>
        </w:tc>
        <w:tc>
          <w:tcPr>
            <w:tcW w:w="1843" w:type="dxa"/>
            <w:vAlign w:val="center"/>
          </w:tcPr>
          <w:p w14:paraId="1DC212DE" w14:textId="77777777" w:rsidR="00B63264" w:rsidRPr="00704B78" w:rsidRDefault="00B63264" w:rsidP="006E2A77">
            <w:pPr>
              <w:pStyle w:val="COMTabletext"/>
              <w:jc w:val="center"/>
            </w:pPr>
            <w:r w:rsidRPr="00704B78">
              <w:t>-1.6 (-2.7, -0.6)</w:t>
            </w:r>
          </w:p>
          <w:p w14:paraId="4AAECEAF" w14:textId="395A893E" w:rsidR="00B63264" w:rsidRPr="00704B78" w:rsidRDefault="00B63264" w:rsidP="006E2A77">
            <w:pPr>
              <w:pStyle w:val="COMTabletext"/>
              <w:jc w:val="center"/>
            </w:pPr>
            <w:r w:rsidRPr="00704B78">
              <w:t>N = 36</w:t>
            </w:r>
          </w:p>
        </w:tc>
        <w:tc>
          <w:tcPr>
            <w:tcW w:w="1531" w:type="dxa"/>
            <w:vAlign w:val="center"/>
          </w:tcPr>
          <w:p w14:paraId="2F3BE093" w14:textId="614FEB02" w:rsidR="00B63264" w:rsidRPr="00704B78" w:rsidRDefault="00B63264" w:rsidP="006E2A77">
            <w:pPr>
              <w:pStyle w:val="COMTabletext"/>
              <w:jc w:val="center"/>
            </w:pPr>
            <w:r w:rsidRPr="00704B78">
              <w:t>-1.5 (-2.8, -0.1)</w:t>
            </w:r>
          </w:p>
        </w:tc>
        <w:tc>
          <w:tcPr>
            <w:tcW w:w="1532" w:type="dxa"/>
            <w:vMerge/>
            <w:vAlign w:val="center"/>
          </w:tcPr>
          <w:p w14:paraId="27232871" w14:textId="77777777" w:rsidR="00B63264" w:rsidRPr="00704B78" w:rsidRDefault="00B63264" w:rsidP="006E2A77">
            <w:pPr>
              <w:pStyle w:val="COMTabletext"/>
              <w:jc w:val="center"/>
            </w:pPr>
          </w:p>
        </w:tc>
      </w:tr>
    </w:tbl>
    <w:p w14:paraId="28D841E8" w14:textId="60400072" w:rsidR="00776438" w:rsidRPr="00704B78" w:rsidRDefault="00776438" w:rsidP="006E2A77">
      <w:pPr>
        <w:pStyle w:val="COMTablefooter"/>
      </w:pPr>
      <w:r w:rsidRPr="00704B78">
        <w:t>Source: Table 2A-21, p102; Table 2A-22, p103 of the resubmission; Table 14.2.1.1.2.1, pp701-702, Table 14.2.1.1.15.1, pp719-721</w:t>
      </w:r>
      <w:r w:rsidR="006A7653" w:rsidRPr="00704B78">
        <w:t>; Table 2B-13, p175; Table 2B-14, p176 of the resubmission; Table 14.2.1.1.2.1, pp701-702, Table 14.2.1.1.15.1, pp719-721 of CHAMPION-MG trial report.</w:t>
      </w:r>
    </w:p>
    <w:p w14:paraId="6073DCCA" w14:textId="08D7C5C7" w:rsidR="00776438" w:rsidRPr="00704B78" w:rsidRDefault="00776438" w:rsidP="006E2A77">
      <w:pPr>
        <w:pStyle w:val="COMTablefooter"/>
      </w:pPr>
      <w:r w:rsidRPr="00704B78">
        <w:t>Abbreviations: CI, confidence interval; MG-ADL, Myasthenia Gravis Activities of Daily Living score; MMRM, mixed model for repeated measures</w:t>
      </w:r>
    </w:p>
    <w:p w14:paraId="215D976A" w14:textId="668A1B5B" w:rsidR="00B63264" w:rsidRPr="00704B78" w:rsidRDefault="00B63264" w:rsidP="006E2A77">
      <w:pPr>
        <w:pStyle w:val="COMexecsummnumbered"/>
      </w:pPr>
      <w:r w:rsidRPr="00704B78">
        <w:lastRenderedPageBreak/>
        <w:t>There was no statistically significant treatment interaction by time since diagnosis or treatment refractory status although the treatment difference between ravulizumab and placebo was numerically larger in the newly diagnosed patient subgroup.</w:t>
      </w:r>
    </w:p>
    <w:p w14:paraId="234F2BD5" w14:textId="205908D0" w:rsidR="00D25142" w:rsidRPr="00704B78" w:rsidRDefault="00D25142" w:rsidP="006E2A77">
      <w:pPr>
        <w:pStyle w:val="COMexecsummnumbered"/>
      </w:pPr>
      <w:r w:rsidRPr="00704B78">
        <w:t xml:space="preserve">The proportion of patients achieving a 3-point reduction in MG-ADL scores from baseline in the subgroup populations are summarised in </w:t>
      </w:r>
      <w:r w:rsidR="00440338" w:rsidRPr="00704B78">
        <w:fldChar w:fldCharType="begin"/>
      </w:r>
      <w:r w:rsidR="00440338" w:rsidRPr="00704B78">
        <w:instrText xml:space="preserve"> REF _Ref187652095 \h </w:instrText>
      </w:r>
      <w:r w:rsidR="004577BE" w:rsidRPr="00704B78">
        <w:instrText xml:space="preserve"> \* MERGEFORMAT </w:instrText>
      </w:r>
      <w:r w:rsidR="00440338" w:rsidRPr="00704B78">
        <w:fldChar w:fldCharType="separate"/>
      </w:r>
      <w:r w:rsidR="00875704" w:rsidRPr="00704B78">
        <w:t xml:space="preserve">Table </w:t>
      </w:r>
      <w:r w:rsidR="00875704">
        <w:rPr>
          <w:noProof/>
        </w:rPr>
        <w:t>8</w:t>
      </w:r>
      <w:r w:rsidR="00440338" w:rsidRPr="00704B78">
        <w:fldChar w:fldCharType="end"/>
      </w:r>
      <w:r w:rsidRPr="00704B78">
        <w:t>.</w:t>
      </w:r>
    </w:p>
    <w:p w14:paraId="4A8FD903" w14:textId="76EA8AF7" w:rsidR="00D25142" w:rsidRPr="00704B78" w:rsidRDefault="00440338" w:rsidP="006E2A77">
      <w:pPr>
        <w:pStyle w:val="COMtablefigcaption"/>
      </w:pPr>
      <w:bookmarkStart w:id="37" w:name="_Ref187652095"/>
      <w:r w:rsidRPr="00704B78">
        <w:t xml:space="preserve">Table </w:t>
      </w:r>
      <w:r w:rsidRPr="00704B78">
        <w:fldChar w:fldCharType="begin"/>
      </w:r>
      <w:r w:rsidRPr="00704B78">
        <w:instrText>SEQ Table \* ARABIC</w:instrText>
      </w:r>
      <w:r w:rsidRPr="00704B78">
        <w:fldChar w:fldCharType="separate"/>
      </w:r>
      <w:r w:rsidR="00875704">
        <w:rPr>
          <w:noProof/>
        </w:rPr>
        <w:t>8</w:t>
      </w:r>
      <w:r w:rsidRPr="00704B78">
        <w:fldChar w:fldCharType="end"/>
      </w:r>
      <w:bookmarkEnd w:id="37"/>
      <w:r w:rsidR="00D25142" w:rsidRPr="00704B78">
        <w:t>: Responder analysis with ravulizumab and placebo in post hoc subgroup populations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8: Responder analysis with ravulizumab and placebo in post hoc subgroup populations"/>
      </w:tblPr>
      <w:tblGrid>
        <w:gridCol w:w="2422"/>
        <w:gridCol w:w="1694"/>
        <w:gridCol w:w="1833"/>
        <w:gridCol w:w="1534"/>
        <w:gridCol w:w="1534"/>
      </w:tblGrid>
      <w:tr w:rsidR="00010575" w:rsidRPr="00704B78" w14:paraId="12F92B93" w14:textId="77777777">
        <w:trPr>
          <w:trHeight w:val="162"/>
          <w:tblHeader/>
        </w:trPr>
        <w:tc>
          <w:tcPr>
            <w:tcW w:w="2422" w:type="dxa"/>
            <w:vAlign w:val="center"/>
          </w:tcPr>
          <w:p w14:paraId="0B853291" w14:textId="77777777" w:rsidR="00D25142" w:rsidRPr="00704B78" w:rsidRDefault="00D25142" w:rsidP="006E2A77">
            <w:pPr>
              <w:pStyle w:val="COMTableheadingrow"/>
              <w:rPr>
                <w:highlight w:val="yellow"/>
                <w:lang w:val="en-AU"/>
              </w:rPr>
            </w:pPr>
            <w:r w:rsidRPr="00704B78">
              <w:rPr>
                <w:lang w:val="en-AU"/>
              </w:rPr>
              <w:t>Population</w:t>
            </w:r>
          </w:p>
        </w:tc>
        <w:tc>
          <w:tcPr>
            <w:tcW w:w="1694" w:type="dxa"/>
            <w:vAlign w:val="center"/>
          </w:tcPr>
          <w:p w14:paraId="0FF19C6D" w14:textId="77777777" w:rsidR="00D25142" w:rsidRPr="00704B78" w:rsidRDefault="00D25142" w:rsidP="006E2A77">
            <w:pPr>
              <w:pStyle w:val="COMTableheadingrow"/>
              <w:jc w:val="center"/>
              <w:rPr>
                <w:lang w:val="en-AU"/>
              </w:rPr>
            </w:pPr>
            <w:r w:rsidRPr="00704B78">
              <w:rPr>
                <w:lang w:val="en-AU"/>
              </w:rPr>
              <w:t>Ravulizumab</w:t>
            </w:r>
          </w:p>
        </w:tc>
        <w:tc>
          <w:tcPr>
            <w:tcW w:w="1833" w:type="dxa"/>
            <w:vAlign w:val="center"/>
          </w:tcPr>
          <w:p w14:paraId="430ABA78" w14:textId="77777777" w:rsidR="00D25142" w:rsidRPr="00704B78" w:rsidRDefault="00D25142" w:rsidP="006E2A77">
            <w:pPr>
              <w:pStyle w:val="COMTableheadingrow"/>
              <w:jc w:val="center"/>
              <w:rPr>
                <w:lang w:val="en-AU"/>
              </w:rPr>
            </w:pPr>
            <w:r w:rsidRPr="00704B78">
              <w:rPr>
                <w:lang w:val="en-AU"/>
              </w:rPr>
              <w:t>Placebo</w:t>
            </w:r>
          </w:p>
        </w:tc>
        <w:tc>
          <w:tcPr>
            <w:tcW w:w="1534" w:type="dxa"/>
            <w:vAlign w:val="center"/>
          </w:tcPr>
          <w:p w14:paraId="158DE0D5" w14:textId="77777777" w:rsidR="00D25142" w:rsidRPr="00704B78" w:rsidRDefault="00D25142" w:rsidP="006E2A77">
            <w:pPr>
              <w:pStyle w:val="COMTableheadingrow"/>
              <w:jc w:val="center"/>
              <w:rPr>
                <w:lang w:val="en-AU"/>
              </w:rPr>
            </w:pPr>
            <w:r w:rsidRPr="00704B78">
              <w:rPr>
                <w:lang w:val="en-AU"/>
              </w:rPr>
              <w:t>Treatment difference</w:t>
            </w:r>
          </w:p>
        </w:tc>
        <w:tc>
          <w:tcPr>
            <w:tcW w:w="1534" w:type="dxa"/>
            <w:vAlign w:val="center"/>
          </w:tcPr>
          <w:p w14:paraId="264CC902" w14:textId="77777777" w:rsidR="00D25142" w:rsidRPr="00704B78" w:rsidRDefault="00D25142" w:rsidP="006E2A77">
            <w:pPr>
              <w:pStyle w:val="COMTableheadingrow"/>
              <w:jc w:val="center"/>
            </w:pPr>
            <w:r w:rsidRPr="00704B78">
              <w:t xml:space="preserve">Treatment interaction </w:t>
            </w:r>
          </w:p>
          <w:p w14:paraId="5CE687EB" w14:textId="6AC829B1" w:rsidR="00D25142" w:rsidRPr="00704B78" w:rsidRDefault="00D25142" w:rsidP="006E2A77">
            <w:pPr>
              <w:pStyle w:val="COMTableheadingrow"/>
              <w:jc w:val="center"/>
              <w:rPr>
                <w:lang w:val="en-AU"/>
              </w:rPr>
            </w:pPr>
            <w:r w:rsidRPr="00704B78">
              <w:t>p-value</w:t>
            </w:r>
          </w:p>
        </w:tc>
      </w:tr>
      <w:tr w:rsidR="00010575" w:rsidRPr="00704B78" w14:paraId="0DEC5CDD" w14:textId="77777777">
        <w:trPr>
          <w:trHeight w:val="76"/>
          <w:tblHeader/>
        </w:trPr>
        <w:tc>
          <w:tcPr>
            <w:tcW w:w="9017" w:type="dxa"/>
            <w:gridSpan w:val="5"/>
            <w:vAlign w:val="center"/>
          </w:tcPr>
          <w:p w14:paraId="7C095AC6" w14:textId="77777777" w:rsidR="00D25142" w:rsidRPr="00704B78" w:rsidRDefault="00D25142" w:rsidP="006E2A77">
            <w:pPr>
              <w:pStyle w:val="COMTableheadingrow"/>
              <w:rPr>
                <w:lang w:val="en-AU"/>
              </w:rPr>
            </w:pPr>
            <w:r w:rsidRPr="00704B78">
              <w:rPr>
                <w:lang w:val="en-AU"/>
              </w:rPr>
              <w:t>Proportion of patients with ≥ 3-point reduction on MG-ADL score at Week 12</w:t>
            </w:r>
          </w:p>
        </w:tc>
      </w:tr>
      <w:tr w:rsidR="00790C83" w:rsidRPr="00704B78" w14:paraId="6EE4BF2A" w14:textId="77777777">
        <w:trPr>
          <w:trHeight w:val="70"/>
        </w:trPr>
        <w:tc>
          <w:tcPr>
            <w:tcW w:w="2422" w:type="dxa"/>
            <w:vAlign w:val="center"/>
          </w:tcPr>
          <w:p w14:paraId="3FB3325F" w14:textId="77777777" w:rsidR="000F478D" w:rsidRPr="00704B78" w:rsidRDefault="000F478D" w:rsidP="006E2A77">
            <w:pPr>
              <w:pStyle w:val="COMTabletext"/>
            </w:pPr>
            <w:r w:rsidRPr="00704B78">
              <w:t>Overall population</w:t>
            </w:r>
          </w:p>
        </w:tc>
        <w:tc>
          <w:tcPr>
            <w:tcW w:w="1694" w:type="dxa"/>
            <w:vAlign w:val="center"/>
          </w:tcPr>
          <w:p w14:paraId="3694F68D" w14:textId="77777777" w:rsidR="000F478D" w:rsidRPr="00704B78" w:rsidRDefault="000F478D" w:rsidP="006E2A77">
            <w:pPr>
              <w:pStyle w:val="COMTabletext"/>
              <w:jc w:val="center"/>
            </w:pPr>
            <w:r w:rsidRPr="00704B78">
              <w:t>52.3% (40.2, 64.1)</w:t>
            </w:r>
          </w:p>
          <w:p w14:paraId="17D7229A" w14:textId="0BC3498E" w:rsidR="000F478D" w:rsidRPr="00704B78" w:rsidRDefault="000F478D" w:rsidP="006E2A77">
            <w:pPr>
              <w:pStyle w:val="COMTabletext"/>
              <w:jc w:val="center"/>
            </w:pPr>
            <w:r w:rsidRPr="00704B78">
              <w:t>N = 83</w:t>
            </w:r>
          </w:p>
        </w:tc>
        <w:tc>
          <w:tcPr>
            <w:tcW w:w="1833" w:type="dxa"/>
            <w:vAlign w:val="center"/>
          </w:tcPr>
          <w:p w14:paraId="62F6AB11" w14:textId="77777777" w:rsidR="000F478D" w:rsidRPr="00704B78" w:rsidRDefault="000F478D" w:rsidP="006E2A77">
            <w:pPr>
              <w:pStyle w:val="COMTabletext"/>
              <w:jc w:val="center"/>
            </w:pPr>
            <w:r w:rsidRPr="00704B78">
              <w:t>46.5% (34.9, 58.5)</w:t>
            </w:r>
          </w:p>
          <w:p w14:paraId="31E34FD0" w14:textId="2C0D9EF1" w:rsidR="000F478D" w:rsidRPr="00704B78" w:rsidRDefault="000F478D" w:rsidP="006E2A77">
            <w:pPr>
              <w:pStyle w:val="COMTabletext"/>
              <w:jc w:val="center"/>
            </w:pPr>
            <w:r w:rsidRPr="00704B78">
              <w:t>N = 84</w:t>
            </w:r>
          </w:p>
        </w:tc>
        <w:tc>
          <w:tcPr>
            <w:tcW w:w="1534" w:type="dxa"/>
            <w:vAlign w:val="center"/>
          </w:tcPr>
          <w:p w14:paraId="31CAC578" w14:textId="77777777" w:rsidR="000F478D" w:rsidRPr="00704B78" w:rsidRDefault="000F478D" w:rsidP="006E2A77">
            <w:pPr>
              <w:pStyle w:val="COMTabletext"/>
              <w:jc w:val="center"/>
            </w:pPr>
            <w:r w:rsidRPr="00704B78">
              <w:t xml:space="preserve">OR 1.259 </w:t>
            </w:r>
          </w:p>
          <w:p w14:paraId="2973B363" w14:textId="5B2EE9C3" w:rsidR="000F478D" w:rsidRPr="00704B78" w:rsidRDefault="000F478D" w:rsidP="006E2A77">
            <w:pPr>
              <w:pStyle w:val="COMTabletext"/>
              <w:jc w:val="center"/>
            </w:pPr>
            <w:r w:rsidRPr="00704B78">
              <w:t>(0.679, 2.335)</w:t>
            </w:r>
          </w:p>
        </w:tc>
        <w:tc>
          <w:tcPr>
            <w:tcW w:w="1534" w:type="dxa"/>
            <w:vAlign w:val="center"/>
          </w:tcPr>
          <w:p w14:paraId="6C7F68CF" w14:textId="1BF44E95" w:rsidR="000F478D" w:rsidRPr="00704B78" w:rsidRDefault="000F478D" w:rsidP="006E2A77">
            <w:pPr>
              <w:pStyle w:val="COMTabletext"/>
              <w:jc w:val="center"/>
            </w:pPr>
            <w:r w:rsidRPr="00704B78">
              <w:t>-</w:t>
            </w:r>
          </w:p>
        </w:tc>
      </w:tr>
      <w:tr w:rsidR="00010575" w:rsidRPr="00704B78" w14:paraId="4C3FB9B1" w14:textId="77777777">
        <w:trPr>
          <w:trHeight w:val="70"/>
        </w:trPr>
        <w:tc>
          <w:tcPr>
            <w:tcW w:w="2422" w:type="dxa"/>
            <w:vAlign w:val="center"/>
          </w:tcPr>
          <w:p w14:paraId="588692BC" w14:textId="77777777" w:rsidR="000F478D" w:rsidRPr="00704B78" w:rsidRDefault="000F478D" w:rsidP="006E2A77">
            <w:pPr>
              <w:pStyle w:val="COMTabletext"/>
            </w:pPr>
            <w:r w:rsidRPr="00704B78">
              <w:t>Newly diagnosed subgroup</w:t>
            </w:r>
          </w:p>
        </w:tc>
        <w:tc>
          <w:tcPr>
            <w:tcW w:w="1694" w:type="dxa"/>
            <w:vAlign w:val="center"/>
          </w:tcPr>
          <w:p w14:paraId="3DB82677" w14:textId="77777777" w:rsidR="000F478D" w:rsidRPr="00704B78" w:rsidRDefault="000F478D" w:rsidP="006E2A77">
            <w:pPr>
              <w:pStyle w:val="COMTabletext"/>
              <w:jc w:val="center"/>
            </w:pPr>
            <w:r w:rsidRPr="00704B78">
              <w:t>73.7%</w:t>
            </w:r>
          </w:p>
          <w:p w14:paraId="5CA879D9" w14:textId="77777777" w:rsidR="000F478D" w:rsidRPr="00704B78" w:rsidRDefault="000F478D" w:rsidP="006E2A77">
            <w:pPr>
              <w:pStyle w:val="COMTabletext"/>
              <w:jc w:val="center"/>
            </w:pPr>
            <w:r w:rsidRPr="00704B78">
              <w:t>N = 19</w:t>
            </w:r>
          </w:p>
        </w:tc>
        <w:tc>
          <w:tcPr>
            <w:tcW w:w="1833" w:type="dxa"/>
            <w:vAlign w:val="center"/>
          </w:tcPr>
          <w:p w14:paraId="465752C6" w14:textId="77777777" w:rsidR="000F478D" w:rsidRPr="00704B78" w:rsidRDefault="000F478D" w:rsidP="006E2A77">
            <w:pPr>
              <w:pStyle w:val="COMTabletext"/>
              <w:jc w:val="center"/>
            </w:pPr>
            <w:r w:rsidRPr="00704B78">
              <w:t>35.7%</w:t>
            </w:r>
          </w:p>
          <w:p w14:paraId="1F0F40B6" w14:textId="77777777" w:rsidR="000F478D" w:rsidRPr="00704B78" w:rsidRDefault="000F478D" w:rsidP="006E2A77">
            <w:pPr>
              <w:pStyle w:val="COMTabletext"/>
              <w:jc w:val="center"/>
            </w:pPr>
            <w:r w:rsidRPr="00704B78">
              <w:t>N = 14</w:t>
            </w:r>
          </w:p>
        </w:tc>
        <w:tc>
          <w:tcPr>
            <w:tcW w:w="1534" w:type="dxa"/>
            <w:vAlign w:val="center"/>
          </w:tcPr>
          <w:p w14:paraId="3E5C9F4D" w14:textId="77777777" w:rsidR="000F478D" w:rsidRPr="00704B78" w:rsidRDefault="000F478D" w:rsidP="006E2A77">
            <w:pPr>
              <w:pStyle w:val="COMTabletext"/>
              <w:jc w:val="center"/>
            </w:pPr>
            <w:r w:rsidRPr="00704B78">
              <w:t xml:space="preserve">38.0% </w:t>
            </w:r>
          </w:p>
          <w:p w14:paraId="30C41A84" w14:textId="02581AC1" w:rsidR="000F478D" w:rsidRPr="00704B78" w:rsidRDefault="000F478D" w:rsidP="006E2A77">
            <w:pPr>
              <w:pStyle w:val="COMTabletext"/>
              <w:jc w:val="center"/>
            </w:pPr>
            <w:r w:rsidRPr="00704B78">
              <w:t>(6.0, 69.9)</w:t>
            </w:r>
          </w:p>
        </w:tc>
        <w:tc>
          <w:tcPr>
            <w:tcW w:w="1534" w:type="dxa"/>
            <w:vMerge w:val="restart"/>
            <w:vAlign w:val="center"/>
          </w:tcPr>
          <w:p w14:paraId="4E707B87" w14:textId="314C4B95" w:rsidR="000F478D" w:rsidRPr="00704B78" w:rsidRDefault="000F478D" w:rsidP="006E2A77">
            <w:pPr>
              <w:pStyle w:val="COMTabletext"/>
              <w:jc w:val="center"/>
            </w:pPr>
            <w:r w:rsidRPr="00704B78">
              <w:t>NR</w:t>
            </w:r>
          </w:p>
        </w:tc>
      </w:tr>
      <w:tr w:rsidR="00010575" w:rsidRPr="00704B78" w14:paraId="38EFE142" w14:textId="77777777">
        <w:trPr>
          <w:trHeight w:val="70"/>
        </w:trPr>
        <w:tc>
          <w:tcPr>
            <w:tcW w:w="2422" w:type="dxa"/>
            <w:vAlign w:val="center"/>
          </w:tcPr>
          <w:p w14:paraId="43C3985D" w14:textId="77777777" w:rsidR="000F478D" w:rsidRPr="00704B78" w:rsidRDefault="000F478D" w:rsidP="006E2A77">
            <w:pPr>
              <w:pStyle w:val="COMTabletext"/>
            </w:pPr>
            <w:r w:rsidRPr="00704B78">
              <w:t>Complement established disease subgroup</w:t>
            </w:r>
          </w:p>
        </w:tc>
        <w:tc>
          <w:tcPr>
            <w:tcW w:w="1694" w:type="dxa"/>
            <w:vAlign w:val="center"/>
          </w:tcPr>
          <w:p w14:paraId="41B8F230" w14:textId="77777777" w:rsidR="000F478D" w:rsidRPr="00704B78" w:rsidRDefault="000F478D" w:rsidP="006E2A77">
            <w:pPr>
              <w:pStyle w:val="COMTabletext"/>
              <w:jc w:val="center"/>
            </w:pPr>
            <w:r w:rsidRPr="00704B78">
              <w:t>50.0%</w:t>
            </w:r>
          </w:p>
          <w:p w14:paraId="6F30036F" w14:textId="77777777" w:rsidR="000F478D" w:rsidRPr="00704B78" w:rsidRDefault="000F478D" w:rsidP="006E2A77">
            <w:pPr>
              <w:pStyle w:val="COMTabletext"/>
              <w:jc w:val="center"/>
            </w:pPr>
            <w:r w:rsidRPr="00704B78">
              <w:t>N = 64</w:t>
            </w:r>
          </w:p>
        </w:tc>
        <w:tc>
          <w:tcPr>
            <w:tcW w:w="1833" w:type="dxa"/>
            <w:vAlign w:val="center"/>
          </w:tcPr>
          <w:p w14:paraId="2000BE06" w14:textId="77777777" w:rsidR="000F478D" w:rsidRPr="00704B78" w:rsidRDefault="000F478D" w:rsidP="006E2A77">
            <w:pPr>
              <w:pStyle w:val="COMTabletext"/>
              <w:jc w:val="center"/>
            </w:pPr>
            <w:r w:rsidRPr="00704B78">
              <w:t>51.4%</w:t>
            </w:r>
          </w:p>
          <w:p w14:paraId="5786BA07" w14:textId="77777777" w:rsidR="000F478D" w:rsidRPr="00704B78" w:rsidRDefault="000F478D" w:rsidP="006E2A77">
            <w:pPr>
              <w:pStyle w:val="COMTabletext"/>
              <w:jc w:val="center"/>
            </w:pPr>
            <w:r w:rsidRPr="00704B78">
              <w:t>N = 70</w:t>
            </w:r>
          </w:p>
        </w:tc>
        <w:tc>
          <w:tcPr>
            <w:tcW w:w="1534" w:type="dxa"/>
            <w:vAlign w:val="center"/>
          </w:tcPr>
          <w:p w14:paraId="0907000F" w14:textId="77777777" w:rsidR="000F478D" w:rsidRPr="00704B78" w:rsidRDefault="000F478D" w:rsidP="006E2A77">
            <w:pPr>
              <w:pStyle w:val="COMTabletext"/>
              <w:jc w:val="center"/>
            </w:pPr>
            <w:r w:rsidRPr="00704B78">
              <w:t xml:space="preserve">-1.4% </w:t>
            </w:r>
          </w:p>
          <w:p w14:paraId="27FFD1E0" w14:textId="6C99FDCA" w:rsidR="000F478D" w:rsidRPr="00704B78" w:rsidRDefault="000F478D" w:rsidP="006E2A77">
            <w:pPr>
              <w:pStyle w:val="COMTabletext"/>
              <w:jc w:val="center"/>
            </w:pPr>
            <w:r w:rsidRPr="00704B78">
              <w:t>(-18.4, 15.5)</w:t>
            </w:r>
          </w:p>
        </w:tc>
        <w:tc>
          <w:tcPr>
            <w:tcW w:w="1534" w:type="dxa"/>
            <w:vMerge/>
            <w:vAlign w:val="center"/>
          </w:tcPr>
          <w:p w14:paraId="7990894A" w14:textId="6686B19F" w:rsidR="000F478D" w:rsidRPr="00704B78" w:rsidRDefault="000F478D" w:rsidP="006E2A77">
            <w:pPr>
              <w:pStyle w:val="COMTabletext"/>
              <w:jc w:val="center"/>
            </w:pPr>
          </w:p>
        </w:tc>
      </w:tr>
      <w:tr w:rsidR="00010575" w:rsidRPr="00704B78" w14:paraId="0FD56DAC" w14:textId="77777777">
        <w:trPr>
          <w:trHeight w:val="70"/>
        </w:trPr>
        <w:tc>
          <w:tcPr>
            <w:tcW w:w="2422" w:type="dxa"/>
            <w:vAlign w:val="center"/>
          </w:tcPr>
          <w:p w14:paraId="7F3F8B74" w14:textId="50E7B5CA" w:rsidR="000F478D" w:rsidRPr="00704B78" w:rsidRDefault="000F478D" w:rsidP="006E2A77">
            <w:pPr>
              <w:pStyle w:val="COMTabletext"/>
            </w:pPr>
            <w:r w:rsidRPr="00704B78">
              <w:t>Treatment refractory subgroup</w:t>
            </w:r>
          </w:p>
        </w:tc>
        <w:tc>
          <w:tcPr>
            <w:tcW w:w="1694" w:type="dxa"/>
            <w:vAlign w:val="center"/>
          </w:tcPr>
          <w:p w14:paraId="596FC6EF" w14:textId="77777777" w:rsidR="000F478D" w:rsidRPr="00704B78" w:rsidRDefault="000F478D" w:rsidP="006E2A77">
            <w:pPr>
              <w:pStyle w:val="COMTabletext"/>
              <w:jc w:val="center"/>
            </w:pPr>
            <w:r w:rsidRPr="00704B78">
              <w:t>55.2% (36.9, 72.1)</w:t>
            </w:r>
          </w:p>
          <w:p w14:paraId="43D5E564" w14:textId="302FA5C7" w:rsidR="000F478D" w:rsidRPr="00704B78" w:rsidRDefault="000F478D" w:rsidP="006E2A77">
            <w:pPr>
              <w:pStyle w:val="COMTabletext"/>
              <w:jc w:val="center"/>
            </w:pPr>
            <w:r w:rsidRPr="00704B78">
              <w:t>N = 38</w:t>
            </w:r>
          </w:p>
        </w:tc>
        <w:tc>
          <w:tcPr>
            <w:tcW w:w="1833" w:type="dxa"/>
            <w:vAlign w:val="center"/>
          </w:tcPr>
          <w:p w14:paraId="2EF78CCD" w14:textId="77777777" w:rsidR="000F478D" w:rsidRPr="00704B78" w:rsidRDefault="000F478D" w:rsidP="006E2A77">
            <w:pPr>
              <w:pStyle w:val="COMTabletext"/>
              <w:jc w:val="center"/>
            </w:pPr>
            <w:r w:rsidRPr="00704B78">
              <w:t>46.8% (30.9, 63.4)</w:t>
            </w:r>
          </w:p>
          <w:p w14:paraId="7FCDF7BA" w14:textId="69E14F37" w:rsidR="000F478D" w:rsidRPr="00704B78" w:rsidRDefault="000F478D" w:rsidP="006E2A77">
            <w:pPr>
              <w:pStyle w:val="COMTabletext"/>
              <w:jc w:val="center"/>
            </w:pPr>
            <w:r w:rsidRPr="00704B78">
              <w:t>N = 47</w:t>
            </w:r>
          </w:p>
        </w:tc>
        <w:tc>
          <w:tcPr>
            <w:tcW w:w="1534" w:type="dxa"/>
            <w:vAlign w:val="center"/>
          </w:tcPr>
          <w:p w14:paraId="0F9557B1" w14:textId="77777777" w:rsidR="000F478D" w:rsidRPr="00704B78" w:rsidRDefault="000F478D" w:rsidP="006E2A77">
            <w:pPr>
              <w:pStyle w:val="COMTabletext"/>
              <w:jc w:val="center"/>
            </w:pPr>
            <w:r w:rsidRPr="00704B78">
              <w:t xml:space="preserve">OR 1.397 </w:t>
            </w:r>
          </w:p>
          <w:p w14:paraId="1BA5A8F0" w14:textId="6428E2E5" w:rsidR="000F478D" w:rsidRPr="00704B78" w:rsidRDefault="000F478D" w:rsidP="006E2A77">
            <w:pPr>
              <w:pStyle w:val="COMTabletext"/>
              <w:jc w:val="center"/>
            </w:pPr>
            <w:r w:rsidRPr="00704B78">
              <w:t>(0.569, 3.432)</w:t>
            </w:r>
          </w:p>
        </w:tc>
        <w:tc>
          <w:tcPr>
            <w:tcW w:w="1534" w:type="dxa"/>
            <w:vMerge w:val="restart"/>
            <w:vAlign w:val="center"/>
          </w:tcPr>
          <w:p w14:paraId="3D4EB729" w14:textId="1541D34B" w:rsidR="000F478D" w:rsidRPr="00704B78" w:rsidRDefault="000F478D" w:rsidP="006E2A77">
            <w:pPr>
              <w:pStyle w:val="COMTabletext"/>
              <w:jc w:val="center"/>
            </w:pPr>
            <w:r w:rsidRPr="00704B78">
              <w:t>NR</w:t>
            </w:r>
          </w:p>
        </w:tc>
      </w:tr>
      <w:tr w:rsidR="00010575" w:rsidRPr="00704B78" w14:paraId="2DB1FEA9" w14:textId="77777777">
        <w:trPr>
          <w:trHeight w:val="70"/>
        </w:trPr>
        <w:tc>
          <w:tcPr>
            <w:tcW w:w="2422" w:type="dxa"/>
            <w:vAlign w:val="center"/>
          </w:tcPr>
          <w:p w14:paraId="5139928E" w14:textId="2E384AFE" w:rsidR="000F478D" w:rsidRPr="00704B78" w:rsidRDefault="000F478D" w:rsidP="006E2A77">
            <w:pPr>
              <w:pStyle w:val="COMTabletext"/>
            </w:pPr>
            <w:r w:rsidRPr="00704B78">
              <w:t>Complement non-refractory subgroup</w:t>
            </w:r>
          </w:p>
        </w:tc>
        <w:tc>
          <w:tcPr>
            <w:tcW w:w="1694" w:type="dxa"/>
            <w:vAlign w:val="center"/>
          </w:tcPr>
          <w:p w14:paraId="03A8DA69" w14:textId="77777777" w:rsidR="000F478D" w:rsidRPr="00704B78" w:rsidRDefault="000F478D" w:rsidP="006E2A77">
            <w:pPr>
              <w:pStyle w:val="COMTabletext"/>
              <w:jc w:val="center"/>
            </w:pPr>
            <w:r w:rsidRPr="00704B78">
              <w:t>50.6% (34.3, 66.9)</w:t>
            </w:r>
          </w:p>
          <w:p w14:paraId="28B820DD" w14:textId="7FCF910F" w:rsidR="000F478D" w:rsidRPr="00704B78" w:rsidRDefault="000F478D" w:rsidP="006E2A77">
            <w:pPr>
              <w:pStyle w:val="COMTabletext"/>
              <w:jc w:val="center"/>
            </w:pPr>
            <w:r w:rsidRPr="00704B78">
              <w:t>N = 46</w:t>
            </w:r>
          </w:p>
        </w:tc>
        <w:tc>
          <w:tcPr>
            <w:tcW w:w="1833" w:type="dxa"/>
            <w:vAlign w:val="center"/>
          </w:tcPr>
          <w:p w14:paraId="58FCDF03" w14:textId="77777777" w:rsidR="000F478D" w:rsidRPr="00704B78" w:rsidRDefault="000F478D" w:rsidP="006E2A77">
            <w:pPr>
              <w:pStyle w:val="COMTabletext"/>
              <w:jc w:val="center"/>
            </w:pPr>
            <w:r w:rsidRPr="00704B78">
              <w:t>47.3% (30.2, 65.2)</w:t>
            </w:r>
          </w:p>
          <w:p w14:paraId="3AD17881" w14:textId="78046BF3" w:rsidR="000F478D" w:rsidRPr="00704B78" w:rsidRDefault="000F478D" w:rsidP="006E2A77">
            <w:pPr>
              <w:pStyle w:val="COMTabletext"/>
              <w:jc w:val="center"/>
            </w:pPr>
            <w:r w:rsidRPr="00704B78">
              <w:t>N = 37</w:t>
            </w:r>
          </w:p>
        </w:tc>
        <w:tc>
          <w:tcPr>
            <w:tcW w:w="1534" w:type="dxa"/>
            <w:vAlign w:val="center"/>
          </w:tcPr>
          <w:p w14:paraId="24B2A4E6" w14:textId="77777777" w:rsidR="000F478D" w:rsidRPr="00704B78" w:rsidRDefault="000F478D" w:rsidP="006E2A77">
            <w:pPr>
              <w:pStyle w:val="COMTabletext"/>
              <w:jc w:val="center"/>
            </w:pPr>
            <w:r w:rsidRPr="00704B78">
              <w:t xml:space="preserve">OR 1.142 </w:t>
            </w:r>
          </w:p>
          <w:p w14:paraId="1108CBE0" w14:textId="3F6F1CDA" w:rsidR="000F478D" w:rsidRPr="00704B78" w:rsidRDefault="000F478D" w:rsidP="006E2A77">
            <w:pPr>
              <w:pStyle w:val="COMTabletext"/>
              <w:jc w:val="center"/>
            </w:pPr>
            <w:r w:rsidRPr="00704B78">
              <w:t>(0.464, 2.813)</w:t>
            </w:r>
          </w:p>
        </w:tc>
        <w:tc>
          <w:tcPr>
            <w:tcW w:w="1534" w:type="dxa"/>
            <w:vMerge/>
            <w:vAlign w:val="center"/>
          </w:tcPr>
          <w:p w14:paraId="19821024" w14:textId="77777777" w:rsidR="000F478D" w:rsidRPr="00704B78" w:rsidRDefault="000F478D" w:rsidP="006E2A77">
            <w:pPr>
              <w:pStyle w:val="COMTabletext"/>
              <w:jc w:val="center"/>
            </w:pPr>
          </w:p>
        </w:tc>
      </w:tr>
      <w:tr w:rsidR="00010575" w:rsidRPr="00704B78" w14:paraId="6991C5C9" w14:textId="77777777">
        <w:trPr>
          <w:trHeight w:val="76"/>
          <w:tblHeader/>
        </w:trPr>
        <w:tc>
          <w:tcPr>
            <w:tcW w:w="9017" w:type="dxa"/>
            <w:gridSpan w:val="5"/>
            <w:vAlign w:val="center"/>
          </w:tcPr>
          <w:p w14:paraId="04CDE333" w14:textId="77777777" w:rsidR="000F478D" w:rsidRPr="00704B78" w:rsidRDefault="000F478D" w:rsidP="006E2A77">
            <w:pPr>
              <w:pStyle w:val="COMTableheadingrow"/>
              <w:rPr>
                <w:lang w:val="en-AU"/>
              </w:rPr>
            </w:pPr>
            <w:r w:rsidRPr="00704B78">
              <w:rPr>
                <w:lang w:val="en-AU"/>
              </w:rPr>
              <w:t>Proportion of patients with ≥ 3-point reduction on MG-ADL score at Week 26</w:t>
            </w:r>
          </w:p>
        </w:tc>
      </w:tr>
      <w:tr w:rsidR="00790C83" w:rsidRPr="00704B78" w14:paraId="3B1D62EC" w14:textId="77777777">
        <w:trPr>
          <w:trHeight w:val="70"/>
        </w:trPr>
        <w:tc>
          <w:tcPr>
            <w:tcW w:w="2422" w:type="dxa"/>
            <w:vAlign w:val="center"/>
          </w:tcPr>
          <w:p w14:paraId="185D9AF2" w14:textId="77777777" w:rsidR="000F478D" w:rsidRPr="00704B78" w:rsidRDefault="000F478D" w:rsidP="006E2A77">
            <w:pPr>
              <w:pStyle w:val="COMTabletext"/>
            </w:pPr>
            <w:r w:rsidRPr="00704B78">
              <w:t>Overall population</w:t>
            </w:r>
          </w:p>
        </w:tc>
        <w:tc>
          <w:tcPr>
            <w:tcW w:w="1694" w:type="dxa"/>
            <w:vAlign w:val="center"/>
          </w:tcPr>
          <w:p w14:paraId="5A0DF11B" w14:textId="77777777" w:rsidR="000F478D" w:rsidRPr="00704B78" w:rsidRDefault="000F478D" w:rsidP="006E2A77">
            <w:pPr>
              <w:pStyle w:val="COMTabletext"/>
              <w:jc w:val="center"/>
            </w:pPr>
            <w:r w:rsidRPr="00704B78">
              <w:t>56.7%</w:t>
            </w:r>
          </w:p>
          <w:p w14:paraId="63E785AD" w14:textId="77777777" w:rsidR="000F478D" w:rsidRPr="00704B78" w:rsidRDefault="000F478D" w:rsidP="006E2A77">
            <w:pPr>
              <w:pStyle w:val="COMTabletext"/>
              <w:jc w:val="center"/>
            </w:pPr>
            <w:r w:rsidRPr="00704B78">
              <w:t>N = 86</w:t>
            </w:r>
          </w:p>
        </w:tc>
        <w:tc>
          <w:tcPr>
            <w:tcW w:w="1833" w:type="dxa"/>
            <w:vAlign w:val="center"/>
          </w:tcPr>
          <w:p w14:paraId="44003B21" w14:textId="77777777" w:rsidR="000F478D" w:rsidRPr="00704B78" w:rsidRDefault="000F478D" w:rsidP="006E2A77">
            <w:pPr>
              <w:pStyle w:val="COMTabletext"/>
              <w:jc w:val="center"/>
            </w:pPr>
            <w:r w:rsidRPr="00704B78">
              <w:t>34.1%</w:t>
            </w:r>
          </w:p>
          <w:p w14:paraId="57E92F70" w14:textId="77777777" w:rsidR="000F478D" w:rsidRPr="00704B78" w:rsidRDefault="000F478D" w:rsidP="006E2A77">
            <w:pPr>
              <w:pStyle w:val="COMTabletext"/>
              <w:jc w:val="center"/>
            </w:pPr>
            <w:r w:rsidRPr="00704B78">
              <w:t>N = 89</w:t>
            </w:r>
          </w:p>
        </w:tc>
        <w:tc>
          <w:tcPr>
            <w:tcW w:w="1534" w:type="dxa"/>
            <w:vAlign w:val="center"/>
          </w:tcPr>
          <w:p w14:paraId="3A891B59" w14:textId="77777777" w:rsidR="000F478D" w:rsidRPr="00704B78" w:rsidRDefault="000F478D" w:rsidP="006E2A77">
            <w:pPr>
              <w:pStyle w:val="COMTabletext"/>
              <w:jc w:val="center"/>
            </w:pPr>
            <w:r w:rsidRPr="00704B78">
              <w:t xml:space="preserve">OR 2.526 </w:t>
            </w:r>
          </w:p>
          <w:p w14:paraId="45C210EE" w14:textId="2D8DF8A8" w:rsidR="000F478D" w:rsidRPr="00704B78" w:rsidRDefault="000F478D" w:rsidP="006E2A77">
            <w:pPr>
              <w:pStyle w:val="COMTabletext"/>
              <w:jc w:val="center"/>
            </w:pPr>
            <w:r w:rsidRPr="00704B78">
              <w:t>(1.330, 4.799)</w:t>
            </w:r>
          </w:p>
        </w:tc>
        <w:tc>
          <w:tcPr>
            <w:tcW w:w="1534" w:type="dxa"/>
            <w:vAlign w:val="center"/>
          </w:tcPr>
          <w:p w14:paraId="1ABF61F3" w14:textId="6DA44937" w:rsidR="000F478D" w:rsidRPr="00704B78" w:rsidRDefault="000F478D" w:rsidP="006E2A77">
            <w:pPr>
              <w:pStyle w:val="COMTabletext"/>
              <w:jc w:val="center"/>
            </w:pPr>
            <w:r w:rsidRPr="00704B78">
              <w:t>-</w:t>
            </w:r>
          </w:p>
        </w:tc>
      </w:tr>
      <w:tr w:rsidR="00010575" w:rsidRPr="00704B78" w14:paraId="3C870D94" w14:textId="77777777">
        <w:trPr>
          <w:trHeight w:val="70"/>
        </w:trPr>
        <w:tc>
          <w:tcPr>
            <w:tcW w:w="2422" w:type="dxa"/>
            <w:vAlign w:val="center"/>
          </w:tcPr>
          <w:p w14:paraId="7168C1B0" w14:textId="77777777" w:rsidR="000F478D" w:rsidRPr="00704B78" w:rsidRDefault="000F478D" w:rsidP="006E2A77">
            <w:pPr>
              <w:pStyle w:val="COMTabletext"/>
            </w:pPr>
            <w:r w:rsidRPr="00704B78">
              <w:t>Newly diagnosed subgroup</w:t>
            </w:r>
          </w:p>
        </w:tc>
        <w:tc>
          <w:tcPr>
            <w:tcW w:w="1694" w:type="dxa"/>
            <w:vAlign w:val="center"/>
          </w:tcPr>
          <w:p w14:paraId="5ADB617D" w14:textId="77777777" w:rsidR="000F478D" w:rsidRPr="00704B78" w:rsidRDefault="000F478D" w:rsidP="006E2A77">
            <w:pPr>
              <w:pStyle w:val="COMTabletext"/>
              <w:jc w:val="center"/>
            </w:pPr>
            <w:r w:rsidRPr="00704B78">
              <w:t>70.6%</w:t>
            </w:r>
          </w:p>
          <w:p w14:paraId="2D37EF9F" w14:textId="77777777" w:rsidR="000F478D" w:rsidRPr="00704B78" w:rsidRDefault="000F478D" w:rsidP="006E2A77">
            <w:pPr>
              <w:pStyle w:val="COMTabletext"/>
              <w:jc w:val="center"/>
            </w:pPr>
            <w:r w:rsidRPr="00704B78">
              <w:t>N = 17</w:t>
            </w:r>
          </w:p>
        </w:tc>
        <w:tc>
          <w:tcPr>
            <w:tcW w:w="1833" w:type="dxa"/>
            <w:vAlign w:val="center"/>
          </w:tcPr>
          <w:p w14:paraId="55F0803A" w14:textId="77777777" w:rsidR="000F478D" w:rsidRPr="00704B78" w:rsidRDefault="000F478D" w:rsidP="006E2A77">
            <w:pPr>
              <w:pStyle w:val="COMTabletext"/>
              <w:jc w:val="center"/>
            </w:pPr>
            <w:r w:rsidRPr="00704B78">
              <w:t>38.5%</w:t>
            </w:r>
          </w:p>
          <w:p w14:paraId="06740645" w14:textId="77777777" w:rsidR="000F478D" w:rsidRPr="00704B78" w:rsidRDefault="000F478D" w:rsidP="006E2A77">
            <w:pPr>
              <w:pStyle w:val="COMTabletext"/>
              <w:jc w:val="center"/>
            </w:pPr>
            <w:r w:rsidRPr="00704B78">
              <w:t>N = 13</w:t>
            </w:r>
          </w:p>
        </w:tc>
        <w:tc>
          <w:tcPr>
            <w:tcW w:w="1534" w:type="dxa"/>
            <w:vAlign w:val="center"/>
          </w:tcPr>
          <w:p w14:paraId="7447B52A" w14:textId="77777777" w:rsidR="000F478D" w:rsidRPr="00704B78" w:rsidRDefault="000F478D" w:rsidP="006E2A77">
            <w:pPr>
              <w:pStyle w:val="COMTabletext"/>
              <w:jc w:val="center"/>
            </w:pPr>
            <w:r w:rsidRPr="00704B78">
              <w:t xml:space="preserve">32.1% </w:t>
            </w:r>
          </w:p>
          <w:p w14:paraId="57427B5C" w14:textId="7DFDFDFF" w:rsidR="000F478D" w:rsidRPr="00704B78" w:rsidRDefault="000F478D" w:rsidP="006E2A77">
            <w:pPr>
              <w:pStyle w:val="COMTabletext"/>
              <w:jc w:val="center"/>
            </w:pPr>
            <w:r w:rsidRPr="00704B78">
              <w:t>(-2.1, 66.3)</w:t>
            </w:r>
          </w:p>
        </w:tc>
        <w:tc>
          <w:tcPr>
            <w:tcW w:w="1534" w:type="dxa"/>
            <w:vMerge w:val="restart"/>
            <w:vAlign w:val="center"/>
          </w:tcPr>
          <w:p w14:paraId="0EC87D99" w14:textId="70970B95" w:rsidR="000F478D" w:rsidRPr="00704B78" w:rsidRDefault="000F478D" w:rsidP="006E2A77">
            <w:pPr>
              <w:pStyle w:val="COMTabletext"/>
              <w:jc w:val="center"/>
            </w:pPr>
            <w:r w:rsidRPr="00704B78">
              <w:t>NR</w:t>
            </w:r>
          </w:p>
        </w:tc>
      </w:tr>
      <w:tr w:rsidR="00010575" w:rsidRPr="00704B78" w14:paraId="38BA075C" w14:textId="77777777">
        <w:trPr>
          <w:trHeight w:val="70"/>
        </w:trPr>
        <w:tc>
          <w:tcPr>
            <w:tcW w:w="2422" w:type="dxa"/>
            <w:vAlign w:val="center"/>
          </w:tcPr>
          <w:p w14:paraId="2420CD0B" w14:textId="77777777" w:rsidR="000F478D" w:rsidRPr="00704B78" w:rsidRDefault="000F478D" w:rsidP="006E2A77">
            <w:pPr>
              <w:pStyle w:val="COMTabletext"/>
            </w:pPr>
            <w:r w:rsidRPr="00704B78">
              <w:t>Complement established disease subgroup</w:t>
            </w:r>
          </w:p>
        </w:tc>
        <w:tc>
          <w:tcPr>
            <w:tcW w:w="1694" w:type="dxa"/>
            <w:vAlign w:val="center"/>
          </w:tcPr>
          <w:p w14:paraId="1966F684" w14:textId="77777777" w:rsidR="000F478D" w:rsidRPr="00704B78" w:rsidRDefault="000F478D" w:rsidP="006E2A77">
            <w:pPr>
              <w:pStyle w:val="COMTabletext"/>
              <w:jc w:val="center"/>
            </w:pPr>
            <w:r w:rsidRPr="00704B78">
              <w:t xml:space="preserve">57.4% </w:t>
            </w:r>
          </w:p>
          <w:p w14:paraId="1E0BDF6D" w14:textId="77777777" w:rsidR="000F478D" w:rsidRPr="00704B78" w:rsidRDefault="000F478D" w:rsidP="006E2A77">
            <w:pPr>
              <w:pStyle w:val="COMTabletext"/>
              <w:jc w:val="center"/>
            </w:pPr>
            <w:r w:rsidRPr="00704B78">
              <w:t>N = 61</w:t>
            </w:r>
          </w:p>
        </w:tc>
        <w:tc>
          <w:tcPr>
            <w:tcW w:w="1833" w:type="dxa"/>
            <w:vAlign w:val="center"/>
          </w:tcPr>
          <w:p w14:paraId="48871849" w14:textId="77777777" w:rsidR="000F478D" w:rsidRPr="00704B78" w:rsidRDefault="000F478D" w:rsidP="006E2A77">
            <w:pPr>
              <w:pStyle w:val="COMTabletext"/>
              <w:jc w:val="center"/>
            </w:pPr>
            <w:r w:rsidRPr="00704B78">
              <w:t xml:space="preserve">36.2% </w:t>
            </w:r>
          </w:p>
          <w:p w14:paraId="01BB9180" w14:textId="77777777" w:rsidR="000F478D" w:rsidRPr="00704B78" w:rsidRDefault="000F478D" w:rsidP="006E2A77">
            <w:pPr>
              <w:pStyle w:val="COMTabletext"/>
              <w:jc w:val="center"/>
            </w:pPr>
            <w:r w:rsidRPr="00704B78">
              <w:t>N = 69</w:t>
            </w:r>
          </w:p>
        </w:tc>
        <w:tc>
          <w:tcPr>
            <w:tcW w:w="1534" w:type="dxa"/>
            <w:vAlign w:val="center"/>
          </w:tcPr>
          <w:p w14:paraId="140615A7" w14:textId="77777777" w:rsidR="000F478D" w:rsidRPr="00704B78" w:rsidRDefault="000F478D" w:rsidP="006E2A77">
            <w:pPr>
              <w:pStyle w:val="COMTabletext"/>
              <w:jc w:val="center"/>
            </w:pPr>
            <w:r w:rsidRPr="00704B78">
              <w:t xml:space="preserve">21.1% </w:t>
            </w:r>
          </w:p>
          <w:p w14:paraId="1DAE5FB5" w14:textId="48795E71" w:rsidR="000F478D" w:rsidRPr="00704B78" w:rsidRDefault="000F478D" w:rsidP="006E2A77">
            <w:pPr>
              <w:pStyle w:val="COMTabletext"/>
              <w:jc w:val="center"/>
            </w:pPr>
            <w:r w:rsidRPr="00704B78">
              <w:t>(4.3, 38.0)</w:t>
            </w:r>
          </w:p>
        </w:tc>
        <w:tc>
          <w:tcPr>
            <w:tcW w:w="1534" w:type="dxa"/>
            <w:vMerge/>
            <w:vAlign w:val="center"/>
          </w:tcPr>
          <w:p w14:paraId="337F6107" w14:textId="7DB8A569" w:rsidR="000F478D" w:rsidRPr="00704B78" w:rsidRDefault="000F478D" w:rsidP="006E2A77">
            <w:pPr>
              <w:pStyle w:val="COMTabletext"/>
              <w:jc w:val="center"/>
            </w:pPr>
          </w:p>
        </w:tc>
      </w:tr>
      <w:tr w:rsidR="00010575" w:rsidRPr="00704B78" w14:paraId="17A42890" w14:textId="77777777">
        <w:trPr>
          <w:trHeight w:val="70"/>
        </w:trPr>
        <w:tc>
          <w:tcPr>
            <w:tcW w:w="2422" w:type="dxa"/>
            <w:vAlign w:val="center"/>
          </w:tcPr>
          <w:p w14:paraId="7AA76D4F" w14:textId="5B7B81F6" w:rsidR="000F478D" w:rsidRPr="00704B78" w:rsidRDefault="000F478D" w:rsidP="006E2A77">
            <w:pPr>
              <w:pStyle w:val="COMTabletext"/>
            </w:pPr>
            <w:r w:rsidRPr="00704B78">
              <w:t>Treatment refractory subgroup</w:t>
            </w:r>
          </w:p>
        </w:tc>
        <w:tc>
          <w:tcPr>
            <w:tcW w:w="1694" w:type="dxa"/>
            <w:vAlign w:val="center"/>
          </w:tcPr>
          <w:p w14:paraId="2C35AA29" w14:textId="77777777" w:rsidR="000F478D" w:rsidRPr="00704B78" w:rsidRDefault="000F478D" w:rsidP="006E2A77">
            <w:pPr>
              <w:pStyle w:val="COMTabletext"/>
              <w:jc w:val="center"/>
            </w:pPr>
            <w:r w:rsidRPr="00704B78">
              <w:t>61.5 % (42.3, 77.7)</w:t>
            </w:r>
          </w:p>
          <w:p w14:paraId="04197227" w14:textId="21CDC109" w:rsidR="000F478D" w:rsidRPr="00704B78" w:rsidRDefault="000F478D" w:rsidP="006E2A77">
            <w:pPr>
              <w:pStyle w:val="COMTabletext"/>
              <w:jc w:val="center"/>
            </w:pPr>
            <w:r w:rsidRPr="00704B78">
              <w:t>N = 34</w:t>
            </w:r>
          </w:p>
        </w:tc>
        <w:tc>
          <w:tcPr>
            <w:tcW w:w="1833" w:type="dxa"/>
            <w:vAlign w:val="center"/>
          </w:tcPr>
          <w:p w14:paraId="6D733D73" w14:textId="77777777" w:rsidR="000F478D" w:rsidRPr="00704B78" w:rsidRDefault="000F478D" w:rsidP="006E2A77">
            <w:pPr>
              <w:pStyle w:val="COMTabletext"/>
              <w:jc w:val="center"/>
            </w:pPr>
            <w:r w:rsidRPr="00704B78">
              <w:t>38.8% (24.0, 56.1)</w:t>
            </w:r>
          </w:p>
          <w:p w14:paraId="5F3CFEC9" w14:textId="7909540B" w:rsidR="000F478D" w:rsidRPr="00704B78" w:rsidRDefault="000F478D" w:rsidP="006E2A77">
            <w:pPr>
              <w:pStyle w:val="COMTabletext"/>
              <w:jc w:val="center"/>
            </w:pPr>
            <w:r w:rsidRPr="00704B78">
              <w:t>N = 46</w:t>
            </w:r>
          </w:p>
        </w:tc>
        <w:tc>
          <w:tcPr>
            <w:tcW w:w="1534" w:type="dxa"/>
            <w:vAlign w:val="center"/>
          </w:tcPr>
          <w:p w14:paraId="3D07D22C" w14:textId="77777777" w:rsidR="000F478D" w:rsidRPr="00704B78" w:rsidRDefault="000F478D" w:rsidP="006E2A77">
            <w:pPr>
              <w:pStyle w:val="COMTabletext"/>
              <w:jc w:val="center"/>
            </w:pPr>
            <w:r w:rsidRPr="00704B78">
              <w:t xml:space="preserve">OR 2.519 </w:t>
            </w:r>
          </w:p>
          <w:p w14:paraId="42073CD6" w14:textId="31E51949" w:rsidR="000F478D" w:rsidRPr="00704B78" w:rsidRDefault="000F478D" w:rsidP="006E2A77">
            <w:pPr>
              <w:pStyle w:val="COMTabletext"/>
              <w:jc w:val="center"/>
            </w:pPr>
            <w:r w:rsidRPr="00704B78">
              <w:t>(0.984, 6.447)</w:t>
            </w:r>
          </w:p>
        </w:tc>
        <w:tc>
          <w:tcPr>
            <w:tcW w:w="1534" w:type="dxa"/>
            <w:vMerge w:val="restart"/>
            <w:vAlign w:val="center"/>
          </w:tcPr>
          <w:p w14:paraId="2AB5B316" w14:textId="57E10E2B" w:rsidR="000F478D" w:rsidRPr="00704B78" w:rsidRDefault="000F478D" w:rsidP="006E2A77">
            <w:pPr>
              <w:pStyle w:val="COMTabletext"/>
              <w:jc w:val="center"/>
            </w:pPr>
            <w:r w:rsidRPr="00704B78">
              <w:t>NR</w:t>
            </w:r>
          </w:p>
        </w:tc>
      </w:tr>
      <w:tr w:rsidR="00010575" w:rsidRPr="00704B78" w14:paraId="7BE6B4F4" w14:textId="77777777">
        <w:trPr>
          <w:trHeight w:val="70"/>
        </w:trPr>
        <w:tc>
          <w:tcPr>
            <w:tcW w:w="2422" w:type="dxa"/>
            <w:vAlign w:val="center"/>
          </w:tcPr>
          <w:p w14:paraId="7E52B050" w14:textId="31E0899B" w:rsidR="000F478D" w:rsidRPr="00704B78" w:rsidRDefault="000F478D" w:rsidP="006E2A77">
            <w:pPr>
              <w:pStyle w:val="COMTabletext"/>
            </w:pPr>
            <w:r w:rsidRPr="00704B78">
              <w:t>Complement non-refractory subgroup</w:t>
            </w:r>
          </w:p>
        </w:tc>
        <w:tc>
          <w:tcPr>
            <w:tcW w:w="1694" w:type="dxa"/>
            <w:vAlign w:val="center"/>
          </w:tcPr>
          <w:p w14:paraId="0E0BC884" w14:textId="77777777" w:rsidR="000F478D" w:rsidRPr="00704B78" w:rsidRDefault="000F478D" w:rsidP="006E2A77">
            <w:pPr>
              <w:pStyle w:val="COMTabletext"/>
              <w:jc w:val="center"/>
            </w:pPr>
            <w:r w:rsidRPr="00704B78">
              <w:t>53.9% (37.1, 69.9)</w:t>
            </w:r>
          </w:p>
          <w:p w14:paraId="4542F522" w14:textId="7518352F" w:rsidR="000F478D" w:rsidRPr="00704B78" w:rsidRDefault="000F478D" w:rsidP="006E2A77">
            <w:pPr>
              <w:pStyle w:val="COMTabletext"/>
              <w:jc w:val="center"/>
            </w:pPr>
            <w:r w:rsidRPr="00704B78">
              <w:t>N = 44</w:t>
            </w:r>
          </w:p>
        </w:tc>
        <w:tc>
          <w:tcPr>
            <w:tcW w:w="1833" w:type="dxa"/>
            <w:vAlign w:val="center"/>
          </w:tcPr>
          <w:p w14:paraId="3CBD45FC" w14:textId="77777777" w:rsidR="000F478D" w:rsidRPr="00704B78" w:rsidRDefault="000F478D" w:rsidP="006E2A77">
            <w:pPr>
              <w:pStyle w:val="COMTabletext"/>
              <w:jc w:val="center"/>
            </w:pPr>
            <w:r w:rsidRPr="00704B78">
              <w:t>29.2% (15.9, 47.4)</w:t>
            </w:r>
          </w:p>
          <w:p w14:paraId="34C2EDCC" w14:textId="44329C67" w:rsidR="000F478D" w:rsidRPr="00704B78" w:rsidRDefault="000F478D" w:rsidP="006E2A77">
            <w:pPr>
              <w:pStyle w:val="COMTabletext"/>
              <w:jc w:val="center"/>
            </w:pPr>
            <w:r w:rsidRPr="00704B78">
              <w:t>N = 36</w:t>
            </w:r>
          </w:p>
        </w:tc>
        <w:tc>
          <w:tcPr>
            <w:tcW w:w="1534" w:type="dxa"/>
            <w:vAlign w:val="center"/>
          </w:tcPr>
          <w:p w14:paraId="7A2DB788" w14:textId="77777777" w:rsidR="000F478D" w:rsidRPr="00704B78" w:rsidRDefault="000F478D" w:rsidP="006E2A77">
            <w:pPr>
              <w:pStyle w:val="COMTabletext"/>
              <w:jc w:val="center"/>
            </w:pPr>
            <w:r w:rsidRPr="00704B78">
              <w:t xml:space="preserve">OR 2.835 </w:t>
            </w:r>
          </w:p>
          <w:p w14:paraId="352979C9" w14:textId="498E7BBC" w:rsidR="000F478D" w:rsidRPr="00704B78" w:rsidRDefault="000F478D" w:rsidP="006E2A77">
            <w:pPr>
              <w:pStyle w:val="COMTabletext"/>
              <w:jc w:val="center"/>
            </w:pPr>
            <w:r w:rsidRPr="00704B78">
              <w:t>(1.105, 7.271)</w:t>
            </w:r>
          </w:p>
        </w:tc>
        <w:tc>
          <w:tcPr>
            <w:tcW w:w="1534" w:type="dxa"/>
            <w:vMerge/>
            <w:vAlign w:val="center"/>
          </w:tcPr>
          <w:p w14:paraId="1331E339" w14:textId="77777777" w:rsidR="000F478D" w:rsidRPr="00704B78" w:rsidRDefault="000F478D" w:rsidP="006E2A77">
            <w:pPr>
              <w:pStyle w:val="COMTabletext"/>
              <w:jc w:val="center"/>
            </w:pPr>
          </w:p>
        </w:tc>
      </w:tr>
    </w:tbl>
    <w:p w14:paraId="72CCFBB3" w14:textId="42DFF8C9" w:rsidR="00D25142" w:rsidRPr="00704B78" w:rsidRDefault="00D25142" w:rsidP="006E2A77">
      <w:pPr>
        <w:pStyle w:val="COMTablefooter"/>
      </w:pPr>
      <w:r w:rsidRPr="00704B78">
        <w:t>Source: Table 2A-26, p117</w:t>
      </w:r>
      <w:r w:rsidR="000F478D" w:rsidRPr="00704B78">
        <w:t>; Table 2B-17, Table 2B-18, p186</w:t>
      </w:r>
      <w:r w:rsidRPr="00704B78">
        <w:t xml:space="preserve"> of the resubmission; Table 14.2.2.5.1.1.1, p955; Table 14.2.2.5.1.2.1, p958 of CHAMPION-MG trial report</w:t>
      </w:r>
    </w:p>
    <w:p w14:paraId="3CE0FB30" w14:textId="1926590F" w:rsidR="00D25142" w:rsidRPr="00704B78" w:rsidRDefault="00D25142" w:rsidP="006E2A77">
      <w:pPr>
        <w:pStyle w:val="COMTablefooter"/>
      </w:pPr>
      <w:r w:rsidRPr="00704B78">
        <w:t>Abbreviations: MG-ADL, Myasthenia Gravis Activities of Daily Living; NR, not reported</w:t>
      </w:r>
      <w:r w:rsidR="000F478D" w:rsidRPr="00704B78">
        <w:t xml:space="preserve">; </w:t>
      </w:r>
      <w:proofErr w:type="gramStart"/>
      <w:r w:rsidR="00DB2528">
        <w:t>OR,</w:t>
      </w:r>
      <w:proofErr w:type="gramEnd"/>
      <w:r w:rsidR="00DB2528">
        <w:t xml:space="preserve"> </w:t>
      </w:r>
      <w:r w:rsidR="000F478D" w:rsidRPr="00704B78">
        <w:t>odds ratio</w:t>
      </w:r>
      <w:r w:rsidRPr="00704B78">
        <w:t xml:space="preserve"> </w:t>
      </w:r>
    </w:p>
    <w:p w14:paraId="0F8DB61B" w14:textId="47FDE383" w:rsidR="00D25142" w:rsidRPr="00704B78" w:rsidRDefault="00D25142" w:rsidP="006E2A77">
      <w:pPr>
        <w:pStyle w:val="COMTablefooter"/>
      </w:pPr>
      <w:r w:rsidRPr="00704B78">
        <w:t>Note: The CHAMPION-MG study report used adjusted percentage for the overall population</w:t>
      </w:r>
      <w:r w:rsidR="000F478D" w:rsidRPr="00704B78">
        <w:t xml:space="preserve"> and treatment-refractory subgroups</w:t>
      </w:r>
      <w:r w:rsidRPr="00704B78">
        <w:t>, based on a generalised linear mixed model that included treatment group, stratification factor region and MG-ADL total score at baseline, study visit, and study visit by treatment group interaction. The resubmission did not report adjustment of the newly diagnosed subgroup and complement subgroup proportions. Confidence interval of difference in proportions for subgroups was based on the Wald method.</w:t>
      </w:r>
    </w:p>
    <w:p w14:paraId="2581EBD2" w14:textId="338E2A89" w:rsidR="00A072DC" w:rsidRPr="00704B78" w:rsidRDefault="00A072DC" w:rsidP="006E2A77">
      <w:pPr>
        <w:pStyle w:val="COMexecsummnumbered"/>
      </w:pPr>
      <w:r w:rsidRPr="00704B78">
        <w:t>The proportion</w:t>
      </w:r>
      <w:r w:rsidR="009A4E03" w:rsidRPr="00704B78">
        <w:t>s</w:t>
      </w:r>
      <w:r w:rsidRPr="00704B78">
        <w:t xml:space="preserve"> of patients in the newly diagnosed subgroup with an improvement of at least 3 points in MG-ADL at Week 12 and Week 26 </w:t>
      </w:r>
      <w:r w:rsidR="00B8531E" w:rsidRPr="00704B78">
        <w:t>w</w:t>
      </w:r>
      <w:r w:rsidR="009A4E03" w:rsidRPr="00704B78">
        <w:t>ere</w:t>
      </w:r>
      <w:r w:rsidRPr="00704B78">
        <w:t xml:space="preserve"> numerically greater in the ravulizumab arm compared to the placebo arm. This difference appeared numerically larger than observed in the overall population or the complement established disease subgroup.</w:t>
      </w:r>
    </w:p>
    <w:p w14:paraId="1C9AA03D" w14:textId="1C7590C5" w:rsidR="00E079FB" w:rsidRPr="00704B78" w:rsidRDefault="00A072DC" w:rsidP="006E2A77">
      <w:pPr>
        <w:pStyle w:val="COMexecsummnumbered"/>
      </w:pPr>
      <w:r w:rsidRPr="00704B78">
        <w:t xml:space="preserve">The proportion of patients in the treatment refractory subgroup with an improvement of at least 3 points in MG-ADL was similar between arms at Week 12 but was numerically greater in the ravulizumab arm compared to the placebo arm at Week 26. The results in the treatment refractory subgroup were </w:t>
      </w:r>
      <w:proofErr w:type="gramStart"/>
      <w:r w:rsidRPr="00704B78">
        <w:t>similar to</w:t>
      </w:r>
      <w:proofErr w:type="gramEnd"/>
      <w:r w:rsidRPr="00704B78">
        <w:t xml:space="preserve"> the estimates from both the overall population and complement non-refractory subgroup.</w:t>
      </w:r>
      <w:r w:rsidR="000649DE" w:rsidRPr="00704B78">
        <w:t xml:space="preserve"> The PSCR </w:t>
      </w:r>
      <w:r w:rsidR="00B85253" w:rsidRPr="00704B78">
        <w:t xml:space="preserve">outlined that, in the newly diagnosed subgroup there was a statistically significant </w:t>
      </w:r>
      <w:r w:rsidR="00B85253" w:rsidRPr="00704B78">
        <w:lastRenderedPageBreak/>
        <w:t xml:space="preserve">greater proportion of responders in the ravulizumab group than in the placebo group </w:t>
      </w:r>
      <w:r w:rsidR="00C00E28" w:rsidRPr="00704B78">
        <w:t>at 12 weeks</w:t>
      </w:r>
      <w:r w:rsidR="00B85253" w:rsidRPr="00704B78">
        <w:t xml:space="preserve"> (73.7% vs 35.7%; p=0.0397).</w:t>
      </w:r>
      <w:r w:rsidR="0010391F" w:rsidRPr="00704B78">
        <w:t xml:space="preserve"> However, the ESC noted </w:t>
      </w:r>
      <w:r w:rsidR="00E14211" w:rsidRPr="00704B78">
        <w:t xml:space="preserve">the </w:t>
      </w:r>
      <w:r w:rsidR="00771E1F" w:rsidRPr="00704B78">
        <w:t>imbalances in patient characteristics between treatment arms in this sub</w:t>
      </w:r>
      <w:r w:rsidR="00B04FDD" w:rsidRPr="00704B78">
        <w:t xml:space="preserve">group </w:t>
      </w:r>
      <w:r w:rsidR="00932EBD" w:rsidRPr="00704B78">
        <w:t xml:space="preserve">(refer to paragraph </w:t>
      </w:r>
      <w:r w:rsidRPr="00704B78">
        <w:fldChar w:fldCharType="begin"/>
      </w:r>
      <w:r w:rsidRPr="00704B78">
        <w:instrText xml:space="preserve"> REF _Ref190347346 \r \h </w:instrText>
      </w:r>
      <w:r w:rsidR="00704B78" w:rsidRPr="00704B78">
        <w:instrText xml:space="preserve"> \* MERGEFORMAT </w:instrText>
      </w:r>
      <w:r w:rsidRPr="00704B78">
        <w:fldChar w:fldCharType="separate"/>
      </w:r>
      <w:r w:rsidR="00875704">
        <w:t>6.21</w:t>
      </w:r>
      <w:r w:rsidRPr="00704B78">
        <w:fldChar w:fldCharType="end"/>
      </w:r>
      <w:r w:rsidR="00932EBD" w:rsidRPr="00704B78">
        <w:t>).</w:t>
      </w:r>
    </w:p>
    <w:p w14:paraId="480454AD" w14:textId="18BA7FAA" w:rsidR="00B944F3" w:rsidRPr="00704B78" w:rsidRDefault="00B944F3" w:rsidP="006E2A77">
      <w:pPr>
        <w:pStyle w:val="COMexecsummnumbered"/>
      </w:pPr>
      <w:r w:rsidRPr="00704B78">
        <w:t xml:space="preserve">During the evaluation, summary details were presented of 5 published network meta-analyses </w:t>
      </w:r>
      <w:r w:rsidR="00644297">
        <w:t xml:space="preserve">(NMAs) </w:t>
      </w:r>
      <w:r w:rsidRPr="00704B78">
        <w:t xml:space="preserve">that compared ravulizumab and near market comparators efgartigimod, zilucoplan, and rozanolixizumab (Chen 2023, Gu 2024, Sacca 2023, Smith 2024, Zhong 2024) and one published matching adjusted indirect comparison that compared efgartigimod and ravulizumab (van Steen 2024). </w:t>
      </w:r>
    </w:p>
    <w:p w14:paraId="69315C98" w14:textId="46DB6B60" w:rsidR="00B944F3" w:rsidRPr="00704B78" w:rsidRDefault="00B16F4A" w:rsidP="006E2A77">
      <w:pPr>
        <w:pStyle w:val="COMexecsummnumbered"/>
      </w:pPr>
      <w:r w:rsidRPr="00704B78">
        <w:t>The evaluation noted that r</w:t>
      </w:r>
      <w:r w:rsidR="00B944F3" w:rsidRPr="00704B78">
        <w:t>esults of the indirect treatment comparisons suggest that FcRn blockers (e.g. efgartigimod, rozanolixizumab) may provide improved outcomes for patients with generalised myasthenia gravis, compared to complement inhibitors (e.g. ravulizumab, zilucoplan). However, the published analyses acknowledge the difficulties in comparing the different therapies due to differences between treatments administered with fixed dosing intervals compared to treatments administered as on/off treatment cycles, which does not account for the treatment effects waning over time during the off-treatment period. The publications also noted other limitations, including differences between trials in patient characteristics and prior and concomitant therapies, and the lack of direct evidence resulting in reliance on indirect estimates.</w:t>
      </w:r>
      <w:r w:rsidR="00703424" w:rsidRPr="00704B78">
        <w:t xml:space="preserve"> The PSCR </w:t>
      </w:r>
      <w:r w:rsidR="006D35F6" w:rsidRPr="00704B78">
        <w:t xml:space="preserve">further </w:t>
      </w:r>
      <w:r w:rsidR="00AD6ACF" w:rsidRPr="00704B78">
        <w:t xml:space="preserve">outlined </w:t>
      </w:r>
      <w:r w:rsidR="00EF4795" w:rsidRPr="00704B78">
        <w:t xml:space="preserve">that complement inhibitors </w:t>
      </w:r>
      <w:r w:rsidR="006D35F6" w:rsidRPr="00704B78">
        <w:t>“</w:t>
      </w:r>
      <w:r w:rsidR="00EF4795" w:rsidRPr="00704B78">
        <w:t>achieve stable and prolonged improvement</w:t>
      </w:r>
      <w:r w:rsidR="00B07906" w:rsidRPr="00704B78">
        <w:t>s</w:t>
      </w:r>
      <w:r w:rsidR="00EF4795" w:rsidRPr="00704B78">
        <w:t xml:space="preserve"> on both the MG-ADL and QMG scales during the randomised controlled period and extension phase of their trials</w:t>
      </w:r>
      <w:r w:rsidR="006D35F6" w:rsidRPr="00704B78">
        <w:t>”</w:t>
      </w:r>
      <w:r w:rsidR="00EF4795" w:rsidRPr="00704B78">
        <w:t xml:space="preserve">. </w:t>
      </w:r>
      <w:r w:rsidR="00B07906" w:rsidRPr="00704B78">
        <w:t>I</w:t>
      </w:r>
      <w:r w:rsidR="00EF4795" w:rsidRPr="00704B78">
        <w:t xml:space="preserve">n contrast, </w:t>
      </w:r>
      <w:r w:rsidR="00B07906" w:rsidRPr="00704B78">
        <w:t xml:space="preserve">FcRn blockers </w:t>
      </w:r>
      <w:r w:rsidR="00DD57F4" w:rsidRPr="00704B78">
        <w:t>“</w:t>
      </w:r>
      <w:r w:rsidR="00EF4795" w:rsidRPr="00704B78">
        <w:t>are administered cyclically with treatment effects assessed at their peak efficacy timepoint (4-6 weeks, at the end of a treatment cycle) which does not account for the gradual loss of effect over time in the off-treatment period</w:t>
      </w:r>
      <w:r w:rsidR="00DD57F4" w:rsidRPr="00704B78">
        <w:t>”</w:t>
      </w:r>
      <w:r w:rsidR="00B07906" w:rsidRPr="00704B78">
        <w:t>.</w:t>
      </w:r>
    </w:p>
    <w:p w14:paraId="682492CE" w14:textId="1CB6BE0F" w:rsidR="00B944F3" w:rsidRDefault="00B944F3" w:rsidP="006E2A77">
      <w:pPr>
        <w:pStyle w:val="COMexecsummnumbered"/>
      </w:pPr>
      <w:r w:rsidRPr="00704B78">
        <w:t>None of the indirect treatment comparisons included IVIg or PLEX trials.</w:t>
      </w:r>
      <w:r w:rsidR="0055778B">
        <w:t xml:space="preserve"> </w:t>
      </w:r>
    </w:p>
    <w:p w14:paraId="1452C351" w14:textId="0D19F1B0" w:rsidR="00B60939" w:rsidRPr="00704B78" w:rsidRDefault="00B60939" w:rsidP="006E2A77">
      <w:pPr>
        <w:pStyle w:val="COMH2-non-numbered"/>
        <w:rPr>
          <w:iCs/>
        </w:rPr>
      </w:pPr>
      <w:bookmarkStart w:id="38" w:name="_Toc22897642"/>
      <w:bookmarkStart w:id="39" w:name="_Toc188350828"/>
      <w:r w:rsidRPr="00704B78">
        <w:rPr>
          <w:iCs/>
        </w:rPr>
        <w:t>Comparative harms</w:t>
      </w:r>
      <w:bookmarkEnd w:id="38"/>
      <w:bookmarkEnd w:id="39"/>
    </w:p>
    <w:p w14:paraId="6F68FD3B" w14:textId="6ECD9FC6" w:rsidR="007F1FCD" w:rsidRPr="00704B78" w:rsidRDefault="007F1FCD" w:rsidP="006E2A77">
      <w:pPr>
        <w:pStyle w:val="COMexecsummnumbered"/>
      </w:pPr>
      <w:r w:rsidRPr="00704B78">
        <w:t xml:space="preserve">An overall summary of the adverse events reported in the CHAMPION-MG trial is presented in </w:t>
      </w:r>
      <w:r w:rsidR="00D22496" w:rsidRPr="00704B78">
        <w:fldChar w:fldCharType="begin"/>
      </w:r>
      <w:r w:rsidR="00D22496" w:rsidRPr="00704B78">
        <w:instrText xml:space="preserve"> REF _Ref187652150 \h </w:instrText>
      </w:r>
      <w:r w:rsidR="00704B78" w:rsidRPr="00704B78">
        <w:instrText xml:space="preserve"> \* MERGEFORMAT </w:instrText>
      </w:r>
      <w:r w:rsidR="00D22496" w:rsidRPr="00704B78">
        <w:fldChar w:fldCharType="separate"/>
      </w:r>
      <w:r w:rsidR="00875704" w:rsidRPr="00704B78">
        <w:t xml:space="preserve">Table </w:t>
      </w:r>
      <w:r w:rsidR="00875704">
        <w:rPr>
          <w:noProof/>
        </w:rPr>
        <w:t>9</w:t>
      </w:r>
      <w:r w:rsidR="00D22496" w:rsidRPr="00704B78">
        <w:fldChar w:fldCharType="end"/>
      </w:r>
      <w:r w:rsidRPr="00704B78">
        <w:t>.</w:t>
      </w:r>
    </w:p>
    <w:p w14:paraId="24BF4DE6" w14:textId="450DF589" w:rsidR="007F1FCD" w:rsidRPr="00704B78" w:rsidRDefault="00D22496" w:rsidP="006E2A77">
      <w:pPr>
        <w:pStyle w:val="COMtablefigcaption"/>
      </w:pPr>
      <w:bookmarkStart w:id="40" w:name="_Ref187652150"/>
      <w:r w:rsidRPr="00704B78">
        <w:t xml:space="preserve">Table </w:t>
      </w:r>
      <w:r w:rsidRPr="00704B78">
        <w:fldChar w:fldCharType="begin"/>
      </w:r>
      <w:r w:rsidRPr="00704B78">
        <w:instrText>SEQ Table \* ARABIC</w:instrText>
      </w:r>
      <w:r w:rsidRPr="00704B78">
        <w:fldChar w:fldCharType="separate"/>
      </w:r>
      <w:r w:rsidR="00875704">
        <w:rPr>
          <w:noProof/>
        </w:rPr>
        <w:t>9</w:t>
      </w:r>
      <w:r w:rsidRPr="00704B78">
        <w:fldChar w:fldCharType="end"/>
      </w:r>
      <w:bookmarkEnd w:id="40"/>
      <w:r w:rsidR="007F1FCD" w:rsidRPr="00704B78">
        <w:t>: Summary of key adverse events in the CHAMPION-MG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Summary of key adverse events in the CHAMPION-MG trial"/>
      </w:tblPr>
      <w:tblGrid>
        <w:gridCol w:w="4167"/>
        <w:gridCol w:w="2425"/>
        <w:gridCol w:w="2425"/>
      </w:tblGrid>
      <w:tr w:rsidR="007F1FCD" w:rsidRPr="00704B78" w14:paraId="32A87500" w14:textId="77777777">
        <w:trPr>
          <w:tblHeader/>
        </w:trPr>
        <w:tc>
          <w:tcPr>
            <w:tcW w:w="4167" w:type="dxa"/>
            <w:vAlign w:val="center"/>
          </w:tcPr>
          <w:p w14:paraId="5A1C46CC" w14:textId="77777777" w:rsidR="007F1FCD" w:rsidRPr="00704B78" w:rsidRDefault="007F1FCD" w:rsidP="006E2A77">
            <w:pPr>
              <w:pStyle w:val="COMTableheadingrow"/>
              <w:rPr>
                <w:lang w:val="en-AU"/>
              </w:rPr>
            </w:pPr>
            <w:r w:rsidRPr="00704B78">
              <w:rPr>
                <w:lang w:val="en-AU"/>
              </w:rPr>
              <w:t>Patients, n (%)</w:t>
            </w:r>
          </w:p>
        </w:tc>
        <w:tc>
          <w:tcPr>
            <w:tcW w:w="2425" w:type="dxa"/>
            <w:vAlign w:val="center"/>
          </w:tcPr>
          <w:p w14:paraId="09D4DC93" w14:textId="77777777" w:rsidR="007F1FCD" w:rsidRPr="00704B78" w:rsidRDefault="007F1FCD" w:rsidP="006E2A77">
            <w:pPr>
              <w:pStyle w:val="COMTableheadingrow"/>
              <w:jc w:val="center"/>
              <w:rPr>
                <w:lang w:val="en-AU"/>
              </w:rPr>
            </w:pPr>
            <w:r w:rsidRPr="00704B78">
              <w:rPr>
                <w:lang w:val="en-AU"/>
              </w:rPr>
              <w:t>Ravulizumab</w:t>
            </w:r>
          </w:p>
          <w:p w14:paraId="461EAC6C" w14:textId="77777777" w:rsidR="007F1FCD" w:rsidRPr="00704B78" w:rsidRDefault="007F1FCD" w:rsidP="006E2A77">
            <w:pPr>
              <w:pStyle w:val="COMTableheadingrow"/>
              <w:jc w:val="center"/>
              <w:rPr>
                <w:lang w:val="en-AU"/>
              </w:rPr>
            </w:pPr>
            <w:r w:rsidRPr="00704B78">
              <w:rPr>
                <w:lang w:val="en-AU"/>
              </w:rPr>
              <w:t>N = 86</w:t>
            </w:r>
          </w:p>
        </w:tc>
        <w:tc>
          <w:tcPr>
            <w:tcW w:w="2425" w:type="dxa"/>
            <w:vAlign w:val="center"/>
          </w:tcPr>
          <w:p w14:paraId="21C98DD8" w14:textId="77777777" w:rsidR="007F1FCD" w:rsidRPr="00704B78" w:rsidRDefault="007F1FCD" w:rsidP="006E2A77">
            <w:pPr>
              <w:pStyle w:val="COMTableheadingrow"/>
              <w:jc w:val="center"/>
              <w:rPr>
                <w:lang w:val="en-AU"/>
              </w:rPr>
            </w:pPr>
            <w:r w:rsidRPr="00704B78">
              <w:rPr>
                <w:lang w:val="en-AU"/>
              </w:rPr>
              <w:t>Placebo</w:t>
            </w:r>
          </w:p>
          <w:p w14:paraId="4C534C71" w14:textId="77777777" w:rsidR="007F1FCD" w:rsidRPr="00704B78" w:rsidRDefault="007F1FCD" w:rsidP="006E2A77">
            <w:pPr>
              <w:pStyle w:val="COMTableheadingrow"/>
              <w:jc w:val="center"/>
              <w:rPr>
                <w:lang w:val="en-AU"/>
              </w:rPr>
            </w:pPr>
            <w:r w:rsidRPr="00704B78">
              <w:rPr>
                <w:lang w:val="en-AU"/>
              </w:rPr>
              <w:t>N = 89</w:t>
            </w:r>
          </w:p>
        </w:tc>
      </w:tr>
      <w:tr w:rsidR="007F1FCD" w:rsidRPr="00704B78" w14:paraId="3BFB492C" w14:textId="77777777">
        <w:tc>
          <w:tcPr>
            <w:tcW w:w="4167" w:type="dxa"/>
            <w:vAlign w:val="center"/>
          </w:tcPr>
          <w:p w14:paraId="039D54B3" w14:textId="77777777" w:rsidR="007F1FCD" w:rsidRPr="00704B78" w:rsidRDefault="007F1FCD" w:rsidP="006E2A77">
            <w:pPr>
              <w:pStyle w:val="COMTabletext"/>
            </w:pPr>
            <w:r w:rsidRPr="00704B78">
              <w:t>Any adverse event</w:t>
            </w:r>
          </w:p>
        </w:tc>
        <w:tc>
          <w:tcPr>
            <w:tcW w:w="2425" w:type="dxa"/>
            <w:vAlign w:val="center"/>
          </w:tcPr>
          <w:p w14:paraId="45C70662" w14:textId="77777777" w:rsidR="007F1FCD" w:rsidRPr="00704B78" w:rsidRDefault="007F1FCD" w:rsidP="006E2A77">
            <w:pPr>
              <w:pStyle w:val="COMTabletext"/>
              <w:jc w:val="center"/>
            </w:pPr>
            <w:r w:rsidRPr="00704B78">
              <w:t>78 (90.7%)</w:t>
            </w:r>
          </w:p>
        </w:tc>
        <w:tc>
          <w:tcPr>
            <w:tcW w:w="2425" w:type="dxa"/>
            <w:vAlign w:val="center"/>
          </w:tcPr>
          <w:p w14:paraId="7F4CAFA5" w14:textId="77777777" w:rsidR="007F1FCD" w:rsidRPr="00704B78" w:rsidRDefault="007F1FCD" w:rsidP="006E2A77">
            <w:pPr>
              <w:pStyle w:val="COMTabletext"/>
              <w:jc w:val="center"/>
            </w:pPr>
            <w:r w:rsidRPr="00704B78">
              <w:t>77 (86.5%)</w:t>
            </w:r>
          </w:p>
        </w:tc>
      </w:tr>
      <w:tr w:rsidR="007F1FCD" w:rsidRPr="00704B78" w14:paraId="0AF436C2" w14:textId="77777777">
        <w:tc>
          <w:tcPr>
            <w:tcW w:w="4167" w:type="dxa"/>
            <w:vAlign w:val="center"/>
          </w:tcPr>
          <w:p w14:paraId="3232FD1E" w14:textId="77777777" w:rsidR="007F1FCD" w:rsidRPr="00704B78" w:rsidRDefault="007F1FCD" w:rsidP="006E2A77">
            <w:pPr>
              <w:pStyle w:val="COMTabletext"/>
            </w:pPr>
            <w:r w:rsidRPr="00704B78">
              <w:t>Treatment-related adverse event</w:t>
            </w:r>
          </w:p>
        </w:tc>
        <w:tc>
          <w:tcPr>
            <w:tcW w:w="2425" w:type="dxa"/>
            <w:vAlign w:val="center"/>
          </w:tcPr>
          <w:p w14:paraId="69254375" w14:textId="77777777" w:rsidR="007F1FCD" w:rsidRPr="00704B78" w:rsidRDefault="007F1FCD" w:rsidP="006E2A77">
            <w:pPr>
              <w:pStyle w:val="COMTabletext"/>
              <w:jc w:val="center"/>
            </w:pPr>
            <w:r w:rsidRPr="00704B78">
              <w:t>29 (33.7%)</w:t>
            </w:r>
          </w:p>
        </w:tc>
        <w:tc>
          <w:tcPr>
            <w:tcW w:w="2425" w:type="dxa"/>
            <w:vAlign w:val="center"/>
          </w:tcPr>
          <w:p w14:paraId="5599DE5B" w14:textId="77777777" w:rsidR="007F1FCD" w:rsidRPr="00704B78" w:rsidRDefault="007F1FCD" w:rsidP="006E2A77">
            <w:pPr>
              <w:pStyle w:val="COMTabletext"/>
              <w:jc w:val="center"/>
            </w:pPr>
            <w:r w:rsidRPr="00704B78">
              <w:t>30 (33.7%)</w:t>
            </w:r>
          </w:p>
        </w:tc>
      </w:tr>
      <w:tr w:rsidR="007F1FCD" w:rsidRPr="00704B78" w14:paraId="07EE4742" w14:textId="77777777">
        <w:tc>
          <w:tcPr>
            <w:tcW w:w="4167" w:type="dxa"/>
            <w:vAlign w:val="center"/>
          </w:tcPr>
          <w:p w14:paraId="55E560F4" w14:textId="77777777" w:rsidR="007F1FCD" w:rsidRPr="00704B78" w:rsidRDefault="007F1FCD" w:rsidP="006E2A77">
            <w:pPr>
              <w:pStyle w:val="COMTabletext"/>
            </w:pPr>
            <w:r w:rsidRPr="00704B78">
              <w:t>Serious adverse event</w:t>
            </w:r>
          </w:p>
        </w:tc>
        <w:tc>
          <w:tcPr>
            <w:tcW w:w="2425" w:type="dxa"/>
            <w:vAlign w:val="center"/>
          </w:tcPr>
          <w:p w14:paraId="5BC55E7C" w14:textId="77777777" w:rsidR="007F1FCD" w:rsidRPr="00704B78" w:rsidRDefault="007F1FCD" w:rsidP="006E2A77">
            <w:pPr>
              <w:pStyle w:val="COMTabletext"/>
              <w:jc w:val="center"/>
            </w:pPr>
            <w:r w:rsidRPr="00704B78">
              <w:t>20 (23.3%)</w:t>
            </w:r>
          </w:p>
        </w:tc>
        <w:tc>
          <w:tcPr>
            <w:tcW w:w="2425" w:type="dxa"/>
            <w:vAlign w:val="center"/>
          </w:tcPr>
          <w:p w14:paraId="3DC69FD3" w14:textId="77777777" w:rsidR="007F1FCD" w:rsidRPr="00704B78" w:rsidRDefault="007F1FCD" w:rsidP="006E2A77">
            <w:pPr>
              <w:pStyle w:val="COMTabletext"/>
              <w:jc w:val="center"/>
            </w:pPr>
            <w:r w:rsidRPr="00704B78">
              <w:t>14 (15.7%)</w:t>
            </w:r>
          </w:p>
        </w:tc>
      </w:tr>
      <w:tr w:rsidR="007F1FCD" w:rsidRPr="00704B78" w14:paraId="0326A794" w14:textId="77777777">
        <w:tc>
          <w:tcPr>
            <w:tcW w:w="4167" w:type="dxa"/>
            <w:vAlign w:val="center"/>
          </w:tcPr>
          <w:p w14:paraId="5B306E24" w14:textId="77777777" w:rsidR="007F1FCD" w:rsidRPr="00704B78" w:rsidRDefault="007F1FCD" w:rsidP="006E2A77">
            <w:pPr>
              <w:pStyle w:val="COMTabletext"/>
            </w:pPr>
            <w:r w:rsidRPr="00704B78">
              <w:t>Adverse events leading to treatment discontinuation</w:t>
            </w:r>
          </w:p>
        </w:tc>
        <w:tc>
          <w:tcPr>
            <w:tcW w:w="2425" w:type="dxa"/>
            <w:vAlign w:val="center"/>
          </w:tcPr>
          <w:p w14:paraId="6BFE39A3" w14:textId="77777777" w:rsidR="007F1FCD" w:rsidRPr="00704B78" w:rsidRDefault="007F1FCD" w:rsidP="006E2A77">
            <w:pPr>
              <w:pStyle w:val="COMTabletext"/>
              <w:jc w:val="center"/>
            </w:pPr>
            <w:r w:rsidRPr="00704B78">
              <w:t>2 (2.3%)</w:t>
            </w:r>
          </w:p>
        </w:tc>
        <w:tc>
          <w:tcPr>
            <w:tcW w:w="2425" w:type="dxa"/>
            <w:vAlign w:val="center"/>
          </w:tcPr>
          <w:p w14:paraId="12F604E6" w14:textId="77777777" w:rsidR="007F1FCD" w:rsidRPr="00704B78" w:rsidRDefault="007F1FCD" w:rsidP="006E2A77">
            <w:pPr>
              <w:pStyle w:val="COMTabletext"/>
              <w:jc w:val="center"/>
            </w:pPr>
            <w:r w:rsidRPr="00704B78">
              <w:t>3 (3.4%)</w:t>
            </w:r>
          </w:p>
        </w:tc>
      </w:tr>
      <w:tr w:rsidR="007F1FCD" w:rsidRPr="00704B78" w14:paraId="58EABC97" w14:textId="77777777">
        <w:tc>
          <w:tcPr>
            <w:tcW w:w="4167" w:type="dxa"/>
            <w:vAlign w:val="center"/>
          </w:tcPr>
          <w:p w14:paraId="7CF778D5" w14:textId="77777777" w:rsidR="007F1FCD" w:rsidRPr="00704B78" w:rsidRDefault="007F1FCD" w:rsidP="006E2A77">
            <w:pPr>
              <w:pStyle w:val="COMTabletext"/>
            </w:pPr>
            <w:r w:rsidRPr="00704B78">
              <w:t>Deaths</w:t>
            </w:r>
          </w:p>
        </w:tc>
        <w:tc>
          <w:tcPr>
            <w:tcW w:w="2425" w:type="dxa"/>
            <w:vAlign w:val="center"/>
          </w:tcPr>
          <w:p w14:paraId="3CE379B2" w14:textId="77777777" w:rsidR="007F1FCD" w:rsidRPr="00704B78" w:rsidRDefault="007F1FCD" w:rsidP="006E2A77">
            <w:pPr>
              <w:pStyle w:val="COMTabletext"/>
              <w:jc w:val="center"/>
            </w:pPr>
            <w:r w:rsidRPr="00704B78">
              <w:t>2 (2.3%)</w:t>
            </w:r>
          </w:p>
        </w:tc>
        <w:tc>
          <w:tcPr>
            <w:tcW w:w="2425" w:type="dxa"/>
            <w:vAlign w:val="center"/>
          </w:tcPr>
          <w:p w14:paraId="7DC064DF" w14:textId="77777777" w:rsidR="007F1FCD" w:rsidRPr="00704B78" w:rsidRDefault="007F1FCD" w:rsidP="006E2A77">
            <w:pPr>
              <w:pStyle w:val="COMTabletext"/>
              <w:jc w:val="center"/>
            </w:pPr>
            <w:r w:rsidRPr="00704B78">
              <w:t>0 (0.0%)</w:t>
            </w:r>
          </w:p>
        </w:tc>
      </w:tr>
      <w:tr w:rsidR="007F1FCD" w:rsidRPr="00704B78" w14:paraId="1EB8CFE3" w14:textId="77777777">
        <w:tc>
          <w:tcPr>
            <w:tcW w:w="9017" w:type="dxa"/>
            <w:gridSpan w:val="3"/>
            <w:vAlign w:val="center"/>
          </w:tcPr>
          <w:p w14:paraId="4051D72E" w14:textId="77777777" w:rsidR="007F1FCD" w:rsidRPr="00704B78" w:rsidRDefault="007F1FCD" w:rsidP="006E2A77">
            <w:pPr>
              <w:pStyle w:val="COMTabletext"/>
              <w:rPr>
                <w:b/>
                <w:bCs w:val="0"/>
              </w:rPr>
            </w:pPr>
            <w:r w:rsidRPr="00704B78">
              <w:rPr>
                <w:b/>
                <w:bCs w:val="0"/>
              </w:rPr>
              <w:t>Adverse events of special interest</w:t>
            </w:r>
          </w:p>
        </w:tc>
      </w:tr>
      <w:tr w:rsidR="007F1FCD" w:rsidRPr="00704B78" w14:paraId="6DD91F48" w14:textId="77777777">
        <w:tc>
          <w:tcPr>
            <w:tcW w:w="4167" w:type="dxa"/>
            <w:vAlign w:val="center"/>
          </w:tcPr>
          <w:p w14:paraId="330BF894" w14:textId="77777777" w:rsidR="007F1FCD" w:rsidRPr="00704B78" w:rsidRDefault="007F1FCD" w:rsidP="006E2A77">
            <w:pPr>
              <w:pStyle w:val="COMTabletext"/>
            </w:pPr>
            <w:r w:rsidRPr="00704B78">
              <w:t>Meningococcal infection</w:t>
            </w:r>
          </w:p>
        </w:tc>
        <w:tc>
          <w:tcPr>
            <w:tcW w:w="2425" w:type="dxa"/>
            <w:vAlign w:val="center"/>
          </w:tcPr>
          <w:p w14:paraId="6D4C19AF" w14:textId="77777777" w:rsidR="007F1FCD" w:rsidRPr="00704B78" w:rsidRDefault="007F1FCD" w:rsidP="006E2A77">
            <w:pPr>
              <w:pStyle w:val="COMTabletext"/>
              <w:jc w:val="center"/>
            </w:pPr>
            <w:r w:rsidRPr="00704B78">
              <w:t>0 (0.0%)</w:t>
            </w:r>
          </w:p>
        </w:tc>
        <w:tc>
          <w:tcPr>
            <w:tcW w:w="2425" w:type="dxa"/>
            <w:vAlign w:val="center"/>
          </w:tcPr>
          <w:p w14:paraId="1B823933" w14:textId="77777777" w:rsidR="007F1FCD" w:rsidRPr="00704B78" w:rsidRDefault="007F1FCD" w:rsidP="006E2A77">
            <w:pPr>
              <w:pStyle w:val="COMTabletext"/>
              <w:jc w:val="center"/>
            </w:pPr>
            <w:r w:rsidRPr="00704B78">
              <w:t>0 (0.0%)</w:t>
            </w:r>
          </w:p>
        </w:tc>
      </w:tr>
      <w:tr w:rsidR="007F1FCD" w:rsidRPr="00704B78" w14:paraId="093D6D56" w14:textId="77777777">
        <w:tc>
          <w:tcPr>
            <w:tcW w:w="4167" w:type="dxa"/>
            <w:vAlign w:val="center"/>
          </w:tcPr>
          <w:p w14:paraId="3D92117B" w14:textId="77777777" w:rsidR="007F1FCD" w:rsidRPr="00704B78" w:rsidRDefault="007F1FCD" w:rsidP="006E2A77">
            <w:pPr>
              <w:pStyle w:val="COMTabletext"/>
            </w:pPr>
            <w:r w:rsidRPr="00704B78">
              <w:t>Infusion-related reactions</w:t>
            </w:r>
          </w:p>
        </w:tc>
        <w:tc>
          <w:tcPr>
            <w:tcW w:w="2425" w:type="dxa"/>
            <w:vAlign w:val="center"/>
          </w:tcPr>
          <w:p w14:paraId="27B56D22" w14:textId="77777777" w:rsidR="007F1FCD" w:rsidRPr="00704B78" w:rsidRDefault="007F1FCD" w:rsidP="006E2A77">
            <w:pPr>
              <w:pStyle w:val="COMTabletext"/>
              <w:jc w:val="center"/>
            </w:pPr>
            <w:r w:rsidRPr="00704B78">
              <w:t>28 (32.6%)</w:t>
            </w:r>
          </w:p>
        </w:tc>
        <w:tc>
          <w:tcPr>
            <w:tcW w:w="2425" w:type="dxa"/>
            <w:vAlign w:val="center"/>
          </w:tcPr>
          <w:p w14:paraId="762875D5" w14:textId="77777777" w:rsidR="007F1FCD" w:rsidRPr="00704B78" w:rsidRDefault="007F1FCD" w:rsidP="006E2A77">
            <w:pPr>
              <w:pStyle w:val="COMTabletext"/>
              <w:jc w:val="center"/>
            </w:pPr>
            <w:r w:rsidRPr="00704B78">
              <w:t>28 (31.5%)</w:t>
            </w:r>
          </w:p>
        </w:tc>
      </w:tr>
    </w:tbl>
    <w:p w14:paraId="71FD7D5D" w14:textId="54766CA3" w:rsidR="007F1FCD" w:rsidRPr="00704B78" w:rsidRDefault="007F1FCD" w:rsidP="006E2A77">
      <w:pPr>
        <w:pStyle w:val="COMTablefooter"/>
      </w:pPr>
      <w:r w:rsidRPr="00704B78">
        <w:t>Source: Table 2A-33, p126 of the resubmission</w:t>
      </w:r>
    </w:p>
    <w:p w14:paraId="71064845" w14:textId="6B82C3D7" w:rsidR="00CA48CC" w:rsidRPr="00704B78" w:rsidRDefault="00CA48CC" w:rsidP="006E2A77">
      <w:pPr>
        <w:pStyle w:val="COMexecsummnumbered"/>
      </w:pPr>
      <w:r w:rsidRPr="00704B78">
        <w:lastRenderedPageBreak/>
        <w:t>The most frequently reported adverse events (&gt;</w:t>
      </w:r>
      <w:r w:rsidR="00D0061E">
        <w:t xml:space="preserve"> </w:t>
      </w:r>
      <w:r w:rsidRPr="00704B78">
        <w:t>5% of patients) in either treatment arm were COVID-19, urinary tract infection, nasopharyngitis, headache, dizziness, diarrhoea, nausea, abdominal pain, back pain, arthralgia, fatigue and pyrexia.</w:t>
      </w:r>
    </w:p>
    <w:p w14:paraId="2ED14DF9" w14:textId="248923BA" w:rsidR="00CA48CC" w:rsidRPr="00704B78" w:rsidRDefault="00CA48CC" w:rsidP="006E2A77">
      <w:pPr>
        <w:pStyle w:val="COMexecsummnumbered"/>
      </w:pPr>
      <w:r w:rsidRPr="00704B78">
        <w:t xml:space="preserve">Treatment with ravulizumab was associated with a higher </w:t>
      </w:r>
      <w:r w:rsidR="0046769B" w:rsidRPr="00704B78">
        <w:t>incidence</w:t>
      </w:r>
      <w:r w:rsidRPr="00704B78">
        <w:t xml:space="preserve"> of serious adverse events compared to the placebo arm (including a higher </w:t>
      </w:r>
      <w:r w:rsidR="00494509" w:rsidRPr="00704B78">
        <w:t>incidence</w:t>
      </w:r>
      <w:r w:rsidRPr="00704B78">
        <w:t xml:space="preserve"> of infections and infestations). Two serious adverse events were considered related to ravulizumab including one case each of dysphagia and tendonitis. </w:t>
      </w:r>
      <w:r w:rsidR="00B701F5" w:rsidRPr="00704B78">
        <w:t>No treatment-related deaths were reported in either treatment arm.</w:t>
      </w:r>
    </w:p>
    <w:p w14:paraId="70BC3599" w14:textId="2EA903C1" w:rsidR="00CA48CC" w:rsidRPr="00704B78" w:rsidRDefault="00CA48CC" w:rsidP="006E2A77">
      <w:pPr>
        <w:pStyle w:val="COMexecsummnumbered"/>
      </w:pPr>
      <w:r w:rsidRPr="00704B78">
        <w:t>The final analysis of the extension study (25 May 2023 cut-off; 342 patient years of therapy) did not identify any additional safety concerns with ravulizumab treatment.</w:t>
      </w:r>
    </w:p>
    <w:p w14:paraId="0424FA94" w14:textId="6176F2ED" w:rsidR="00CA48CC" w:rsidRPr="00704B78" w:rsidRDefault="00CA48CC" w:rsidP="006E2A77">
      <w:pPr>
        <w:pStyle w:val="COMexecsummnumbered"/>
      </w:pPr>
      <w:r w:rsidRPr="00704B78">
        <w:t>The current Periodic Benefit Risk Evaluation Report (January 2023 to December 2023) for ravulizumab noted that during this period, regulators required enhancements to the risk evaluation and mitigation strategy to manage the risk of meningococcal infection. The current TGA-approved product information for ravulizumab now indicates that there is a potential role for the ongoing use of preventative antibacterials to reduce the risk of meningococcal infection.</w:t>
      </w:r>
    </w:p>
    <w:p w14:paraId="04908C7F" w14:textId="415B9B7D" w:rsidR="007F1017" w:rsidRPr="00704B78" w:rsidRDefault="007F1017" w:rsidP="006E2A77">
      <w:pPr>
        <w:pStyle w:val="COMH2-non-numbered"/>
        <w:rPr>
          <w:i w:val="0"/>
        </w:rPr>
      </w:pPr>
      <w:bookmarkStart w:id="41" w:name="_Toc22897643"/>
      <w:bookmarkStart w:id="42" w:name="_Toc188350829"/>
      <w:r w:rsidRPr="00704B78">
        <w:rPr>
          <w:i w:val="0"/>
        </w:rPr>
        <w:t>Benefits/harms</w:t>
      </w:r>
      <w:bookmarkEnd w:id="41"/>
      <w:bookmarkEnd w:id="42"/>
    </w:p>
    <w:p w14:paraId="76CA1E02" w14:textId="054579AC" w:rsidR="00AF1A4F" w:rsidRPr="00704B78" w:rsidRDefault="00AF1A4F" w:rsidP="006E2A77">
      <w:pPr>
        <w:pStyle w:val="COMexecsummnumbered"/>
      </w:pPr>
      <w:proofErr w:type="gramStart"/>
      <w:r w:rsidRPr="00704B78">
        <w:t>On the basis of</w:t>
      </w:r>
      <w:proofErr w:type="gramEnd"/>
      <w:r w:rsidRPr="00704B78">
        <w:t xml:space="preserve"> direct evidence presented in the submission, for every 100 patient</w:t>
      </w:r>
      <w:r w:rsidR="007E608C" w:rsidRPr="00704B78">
        <w:t>s</w:t>
      </w:r>
      <w:r w:rsidRPr="00704B78">
        <w:t xml:space="preserve"> treated with ravulizumab in comparison with placebo for 26 weeks in the overall trial population:</w:t>
      </w:r>
    </w:p>
    <w:p w14:paraId="73D7BAD8" w14:textId="0031CDFA" w:rsidR="007E608C" w:rsidRPr="00704B78" w:rsidRDefault="00AF1A4F" w:rsidP="006E2A77">
      <w:pPr>
        <w:pStyle w:val="COMexecsummnumbered"/>
        <w:numPr>
          <w:ilvl w:val="0"/>
          <w:numId w:val="14"/>
        </w:numPr>
        <w:ind w:left="1276" w:hanging="425"/>
      </w:pPr>
      <w:r w:rsidRPr="00704B78">
        <w:t>23 additional patients would experience a clinically important improvement in functional outcomes</w:t>
      </w:r>
      <w:r w:rsidR="008360BE" w:rsidRPr="00704B78">
        <w:t xml:space="preserve"> (</w:t>
      </w:r>
      <w:r w:rsidR="00DA4F53" w:rsidRPr="00704B78">
        <w:t xml:space="preserve">≥ 3-point reduction on MG-ADL score, </w:t>
      </w:r>
      <w:r w:rsidR="008360BE" w:rsidRPr="00704B78">
        <w:t xml:space="preserve">refer to </w:t>
      </w:r>
      <w:r w:rsidRPr="00704B78">
        <w:fldChar w:fldCharType="begin"/>
      </w:r>
      <w:r w:rsidRPr="00704B78">
        <w:instrText xml:space="preserve"> REF _Ref187651981 \h </w:instrText>
      </w:r>
      <w:r w:rsidR="00704B78" w:rsidRPr="00704B78">
        <w:instrText xml:space="preserve"> \* MERGEFORMAT </w:instrText>
      </w:r>
      <w:r w:rsidRPr="00704B78">
        <w:fldChar w:fldCharType="separate"/>
      </w:r>
      <w:r w:rsidR="00875704" w:rsidRPr="00704B78">
        <w:t xml:space="preserve">Table </w:t>
      </w:r>
      <w:r w:rsidR="00875704">
        <w:rPr>
          <w:noProof/>
        </w:rPr>
        <w:t>6</w:t>
      </w:r>
      <w:r w:rsidRPr="00704B78">
        <w:fldChar w:fldCharType="end"/>
      </w:r>
      <w:r w:rsidR="008360BE" w:rsidRPr="00704B78">
        <w:t>)</w:t>
      </w:r>
      <w:r w:rsidRPr="00704B78">
        <w:t>.</w:t>
      </w:r>
      <w:r w:rsidR="00D61CA6">
        <w:t xml:space="preserve"> </w:t>
      </w:r>
    </w:p>
    <w:p w14:paraId="04C946C1" w14:textId="3DDA1EAD" w:rsidR="00AF1A4F" w:rsidRPr="00704B78" w:rsidRDefault="00AF1A4F" w:rsidP="006E2A77">
      <w:pPr>
        <w:pStyle w:val="COMexecsummnumbered"/>
        <w:numPr>
          <w:ilvl w:val="0"/>
          <w:numId w:val="14"/>
        </w:numPr>
        <w:ind w:left="1276" w:hanging="425"/>
      </w:pPr>
      <w:r w:rsidRPr="00704B78">
        <w:t>Approximately 8 additional patients would experience a serious adverse event.</w:t>
      </w:r>
    </w:p>
    <w:p w14:paraId="7869075A" w14:textId="580C5ED8" w:rsidR="007E608C" w:rsidRPr="00704B78" w:rsidRDefault="007E608C" w:rsidP="006E2A77">
      <w:pPr>
        <w:pStyle w:val="COMexecsummnumbered"/>
      </w:pPr>
      <w:r w:rsidRPr="00704B78">
        <w:t>During the evaluation, the post hoc subgroup analyses presented in the submission were not considered sufficiently robust to assess the benefits/harm in these populations. Additionally, the resubmission did not present an assessment of safety outcomes at 12 weeks to allow a benefit/risk assessment at the earlier timepoint.</w:t>
      </w:r>
    </w:p>
    <w:p w14:paraId="7A1772B6" w14:textId="23BB3145" w:rsidR="00B60939" w:rsidRPr="00704B78" w:rsidRDefault="00B60939" w:rsidP="006E2A77">
      <w:pPr>
        <w:pStyle w:val="COMH2-non-numbered"/>
        <w:rPr>
          <w:iCs/>
        </w:rPr>
      </w:pPr>
      <w:bookmarkStart w:id="43" w:name="_Toc22897644"/>
      <w:bookmarkStart w:id="44" w:name="_Toc188350830"/>
      <w:r w:rsidRPr="00704B78">
        <w:rPr>
          <w:iCs/>
        </w:rPr>
        <w:t>Clinical claim</w:t>
      </w:r>
      <w:bookmarkEnd w:id="43"/>
      <w:bookmarkEnd w:id="44"/>
    </w:p>
    <w:p w14:paraId="176E5E25" w14:textId="729ACCA2" w:rsidR="007E608C" w:rsidRPr="00704B78" w:rsidRDefault="007E608C" w:rsidP="006E2A77">
      <w:pPr>
        <w:pStyle w:val="COMexecsummnumbered"/>
      </w:pPr>
      <w:r w:rsidRPr="00704B78">
        <w:t>The resubmission described ravulizumab in combination with standard therapy as superior in terms of efficacy and inferior in terms of safety compared to placebo in combination with standard therapy in generalised myasthenia gravis patients with newly diagnosed disease</w:t>
      </w:r>
      <w:r w:rsidR="00EA62CA" w:rsidRPr="00704B78">
        <w:t xml:space="preserve"> or treatment refractory disease</w:t>
      </w:r>
      <w:r w:rsidRPr="00704B78">
        <w:t>. Th</w:t>
      </w:r>
      <w:r w:rsidR="00E17019" w:rsidRPr="00704B78">
        <w:t xml:space="preserve">e evaluation </w:t>
      </w:r>
      <w:r w:rsidR="007B2AC3" w:rsidRPr="00704B78">
        <w:t xml:space="preserve">and the ESC considered that </w:t>
      </w:r>
      <w:r w:rsidR="00A661A4" w:rsidRPr="00704B78">
        <w:t>th</w:t>
      </w:r>
      <w:r w:rsidRPr="00704B78">
        <w:t>is claim was reasonable.</w:t>
      </w:r>
      <w:r w:rsidR="009A354D" w:rsidRPr="00704B78">
        <w:t xml:space="preserve"> The ESC reiterated the PBA</w:t>
      </w:r>
      <w:r w:rsidR="00840269" w:rsidRPr="00704B78">
        <w:t>C’s previous advice that the incremental benefit appeared modest</w:t>
      </w:r>
      <w:r w:rsidR="00A661A4" w:rsidRPr="00704B78">
        <w:t>,</w:t>
      </w:r>
      <w:r w:rsidR="005C5914" w:rsidRPr="00704B78">
        <w:t xml:space="preserve"> noting the high placebo response rates reported in the trial.</w:t>
      </w:r>
    </w:p>
    <w:p w14:paraId="60C3E2BD" w14:textId="0231A341" w:rsidR="007E608C" w:rsidRPr="00704B78" w:rsidRDefault="007E608C" w:rsidP="006E2A77">
      <w:pPr>
        <w:pStyle w:val="COMexecsummnumbered"/>
      </w:pPr>
      <w:r w:rsidRPr="00704B78">
        <w:t>The</w:t>
      </w:r>
      <w:r w:rsidR="00A71E7A" w:rsidRPr="00704B78">
        <w:t xml:space="preserve"> evaluation and the ESC considered that the</w:t>
      </w:r>
      <w:r w:rsidRPr="00704B78">
        <w:t xml:space="preserve"> following issues should be </w:t>
      </w:r>
      <w:r w:rsidR="00A71E7A" w:rsidRPr="00704B78">
        <w:t>noted</w:t>
      </w:r>
      <w:r w:rsidR="008412CE">
        <w:t xml:space="preserve"> for the comparison versus standard care</w:t>
      </w:r>
      <w:r w:rsidRPr="00704B78">
        <w:t>:</w:t>
      </w:r>
    </w:p>
    <w:p w14:paraId="55DE68F7" w14:textId="4C4A2F87" w:rsidR="007E608C" w:rsidRPr="00704B78" w:rsidRDefault="007E608C" w:rsidP="006E2A77">
      <w:pPr>
        <w:pStyle w:val="COMexecsummnumbered"/>
        <w:numPr>
          <w:ilvl w:val="0"/>
          <w:numId w:val="13"/>
        </w:numPr>
      </w:pPr>
      <w:r w:rsidRPr="00704B78">
        <w:lastRenderedPageBreak/>
        <w:t xml:space="preserve">The resubmission claimed differences in treatment effects in the subgroup populations compared to the overall population which were not well supported by the available data. </w:t>
      </w:r>
      <w:r w:rsidR="00D62FCB" w:rsidRPr="00704B78">
        <w:t>Overall, the ESC considered that the subgroup analyses remained difficult to interpret given the</w:t>
      </w:r>
      <w:r w:rsidR="003D69F9" w:rsidRPr="00704B78">
        <w:t xml:space="preserve"> lack of statistically significant treatment interactions and the uncertainty associated with numerical differences due to small patient numbers, non-representative samples and imbalances in patient characteristics between treatment arms.</w:t>
      </w:r>
    </w:p>
    <w:p w14:paraId="506DB2AE" w14:textId="77777777" w:rsidR="007E608C" w:rsidRPr="00704B78" w:rsidRDefault="007E608C" w:rsidP="006E2A77">
      <w:pPr>
        <w:pStyle w:val="COMexecsummnumbered"/>
        <w:numPr>
          <w:ilvl w:val="0"/>
          <w:numId w:val="13"/>
        </w:numPr>
      </w:pPr>
      <w:r w:rsidRPr="00704B78">
        <w:t>The differences between treatment arms appeared more robust using the Week 26 endpoint rather than the Week 12 endpoint due to the substantial placebo effects observed at the earlier timepoint.</w:t>
      </w:r>
    </w:p>
    <w:p w14:paraId="1EACA5EE" w14:textId="4541E6EF" w:rsidR="001F75E5" w:rsidRPr="00704B78" w:rsidRDefault="001F75E5" w:rsidP="006E2A77">
      <w:pPr>
        <w:pStyle w:val="COMexecsummnumbered"/>
      </w:pPr>
      <w:r w:rsidRPr="00704B78">
        <w:t xml:space="preserve">The ESC </w:t>
      </w:r>
      <w:r w:rsidR="008412CE">
        <w:t xml:space="preserve">and the PBAC </w:t>
      </w:r>
      <w:r w:rsidRPr="00704B78">
        <w:t xml:space="preserve">acknowledged the limitations of the available evidence for chronic IVIg but considered that there was </w:t>
      </w:r>
      <w:r w:rsidR="008F1624">
        <w:t>insufficient</w:t>
      </w:r>
      <w:r w:rsidRPr="00704B78">
        <w:t xml:space="preserve"> evidence to suggest superior efficacy </w:t>
      </w:r>
      <w:r w:rsidR="008412CE">
        <w:t xml:space="preserve">or safety </w:t>
      </w:r>
      <w:r w:rsidRPr="00704B78">
        <w:t xml:space="preserve">of </w:t>
      </w:r>
      <w:r w:rsidR="00E764A5" w:rsidRPr="00704B78">
        <w:t>ravulizumab</w:t>
      </w:r>
      <w:r w:rsidR="00E764A5">
        <w:t xml:space="preserve"> </w:t>
      </w:r>
      <w:r w:rsidRPr="00704B78">
        <w:t>versus chronic IVIg or PLEX.</w:t>
      </w:r>
    </w:p>
    <w:p w14:paraId="1D7E5AE2" w14:textId="36F72922" w:rsidR="001F75E5" w:rsidRDefault="001F75E5" w:rsidP="006E2A77">
      <w:pPr>
        <w:pStyle w:val="COMexecsummnumbered"/>
      </w:pPr>
      <w:r w:rsidRPr="00704B78">
        <w:t>Further, the ESC considered that there was no evidence to suggest superior efficacy or safety between any of the four new gMG therapies (zilucoplan, ravulizumab, efgartigimod alfa and rozanolixizumab). The ESC considered that the published NMAs had substantial limitations, notably the poor transitivity between the included trials and lack of accounting for the treatment effects of FcRn blockers waning over time during the off-treatment period.</w:t>
      </w:r>
    </w:p>
    <w:p w14:paraId="42EBF349" w14:textId="77777777" w:rsidR="00662484" w:rsidRPr="00662484" w:rsidRDefault="00662484" w:rsidP="006E2A77">
      <w:pPr>
        <w:pStyle w:val="COMexecsummnumbered"/>
      </w:pPr>
      <w:bookmarkStart w:id="45" w:name="_Hlk193708083"/>
      <w:r w:rsidRPr="00662484">
        <w:t xml:space="preserve">Overall, the PBAC considered that ravulizumab has non-inferior comparative effectiveness and safety versus chronic IVIg </w:t>
      </w:r>
      <w:proofErr w:type="gramStart"/>
      <w:r w:rsidRPr="00662484">
        <w:t>and also</w:t>
      </w:r>
      <w:proofErr w:type="gramEnd"/>
      <w:r w:rsidRPr="00662484">
        <w:t xml:space="preserve"> against zilucoplan, efgartigimod and rozanolixizumab. </w:t>
      </w:r>
    </w:p>
    <w:p w14:paraId="432AA0BE" w14:textId="6E071E23" w:rsidR="00C944A5" w:rsidRPr="00704B78" w:rsidRDefault="00B60939" w:rsidP="006E2A77">
      <w:pPr>
        <w:pStyle w:val="COMH2-non-numbered"/>
        <w:rPr>
          <w:iCs/>
        </w:rPr>
      </w:pPr>
      <w:bookmarkStart w:id="46" w:name="_Toc22897645"/>
      <w:bookmarkStart w:id="47" w:name="_Toc188350831"/>
      <w:bookmarkEnd w:id="45"/>
      <w:r w:rsidRPr="00704B78">
        <w:rPr>
          <w:iCs/>
        </w:rPr>
        <w:t>Economic analysis</w:t>
      </w:r>
      <w:bookmarkEnd w:id="46"/>
      <w:bookmarkEnd w:id="47"/>
      <w:r w:rsidR="00491B3A" w:rsidRPr="00704B78">
        <w:rPr>
          <w:iCs/>
        </w:rPr>
        <w:t xml:space="preserve"> </w:t>
      </w:r>
    </w:p>
    <w:p w14:paraId="4D3FEED4" w14:textId="75E56D41" w:rsidR="00C944A5" w:rsidRPr="00704B78" w:rsidRDefault="00C944A5" w:rsidP="006E2A77">
      <w:pPr>
        <w:pStyle w:val="COMexecsummnumbered"/>
        <w:rPr>
          <w:b/>
          <w:bCs/>
        </w:rPr>
      </w:pPr>
      <w:r w:rsidRPr="00704B78">
        <w:t xml:space="preserve">The economic evaluation was extensively revised from the March 2024 submission which presented an economic analysis of ravulizumab when used as a treatment option immediately prior to the classification of patients as having treatment-refractory disease (i.e. before IVIg/PLEX). The current resubmission </w:t>
      </w:r>
      <w:r w:rsidR="002714B6" w:rsidRPr="00704B78">
        <w:t xml:space="preserve">presented </w:t>
      </w:r>
      <w:r w:rsidRPr="00704B78">
        <w:t>two separate economic analyses of ravulizumab as a treatment option for newly diagnosed and treatment refractory patients after prior failure of IVIg/PLEX. Key changes include structural assumptions (removal of IVIg/PLEX as a second-line treatment option, and placebo patients are now allowed to achieve a pharmacological remission in newly diagnosed patients), revised patient characteristics and circumstances of use, revised transition probabilities for response, treatment discontinuation and loss of effect, revised health state utility values and a reduced price for ravulizumab.</w:t>
      </w:r>
    </w:p>
    <w:p w14:paraId="1872D189" w14:textId="746B238E" w:rsidR="00F6614E" w:rsidRPr="00704B78" w:rsidRDefault="00F6614E" w:rsidP="006E2A77">
      <w:pPr>
        <w:pStyle w:val="COMexecsummnumbered"/>
        <w:rPr>
          <w:b/>
          <w:bCs/>
        </w:rPr>
      </w:pPr>
      <w:r w:rsidRPr="00704B78">
        <w:t xml:space="preserve">The resubmission presented a stepped economic evaluation of ravulizumab in combination with standard therapy compared to placebo in combination with standard therapy for the treatment of AChR positive generalised myasthenia gravis in newly diagnosed and treatment refractory patients. The economic evaluation was based on a direct randomised trial (CHAMPION-MG) with additional modelled data. The economic evaluation was presented as a cost-effectiveness/cost-utility analysis. </w:t>
      </w:r>
    </w:p>
    <w:p w14:paraId="4037AA3A" w14:textId="2F479D4D" w:rsidR="00F6614E" w:rsidRPr="00704B78" w:rsidRDefault="00F6614E" w:rsidP="006E2A77">
      <w:pPr>
        <w:pStyle w:val="COMexecsummnumbered"/>
      </w:pPr>
      <w:r w:rsidRPr="00704B78">
        <w:lastRenderedPageBreak/>
        <w:t xml:space="preserve">Key components of the economic evaluation are summarised in </w:t>
      </w:r>
      <w:r w:rsidR="00D22496" w:rsidRPr="00704B78">
        <w:fldChar w:fldCharType="begin"/>
      </w:r>
      <w:r w:rsidR="00D22496" w:rsidRPr="00704B78">
        <w:instrText xml:space="preserve"> REF _Ref187652186 \h </w:instrText>
      </w:r>
      <w:r w:rsidR="004577BE" w:rsidRPr="00704B78">
        <w:instrText xml:space="preserve"> \* MERGEFORMAT </w:instrText>
      </w:r>
      <w:r w:rsidR="00D22496" w:rsidRPr="00704B78">
        <w:fldChar w:fldCharType="separate"/>
      </w:r>
      <w:r w:rsidR="00875704" w:rsidRPr="00704B78">
        <w:t xml:space="preserve">Table </w:t>
      </w:r>
      <w:r w:rsidR="00875704">
        <w:rPr>
          <w:noProof/>
        </w:rPr>
        <w:t>10</w:t>
      </w:r>
      <w:r w:rsidR="00D22496" w:rsidRPr="00704B78">
        <w:fldChar w:fldCharType="end"/>
      </w:r>
      <w:r w:rsidRPr="00704B78">
        <w:t>.</w:t>
      </w:r>
    </w:p>
    <w:p w14:paraId="1B8D8291" w14:textId="73C935A0" w:rsidR="00F6614E" w:rsidRPr="00704B78" w:rsidRDefault="00D22496" w:rsidP="006E2A77">
      <w:pPr>
        <w:pStyle w:val="COMtablefigcaption"/>
      </w:pPr>
      <w:bookmarkStart w:id="48" w:name="_Ref187652186"/>
      <w:r w:rsidRPr="00704B78">
        <w:t xml:space="preserve">Table </w:t>
      </w:r>
      <w:r w:rsidRPr="00704B78">
        <w:fldChar w:fldCharType="begin"/>
      </w:r>
      <w:r w:rsidRPr="00704B78">
        <w:instrText>SEQ Table \* ARABIC</w:instrText>
      </w:r>
      <w:r w:rsidRPr="00704B78">
        <w:fldChar w:fldCharType="separate"/>
      </w:r>
      <w:r w:rsidR="00875704">
        <w:rPr>
          <w:noProof/>
        </w:rPr>
        <w:t>10</w:t>
      </w:r>
      <w:r w:rsidRPr="00704B78">
        <w:fldChar w:fldCharType="end"/>
      </w:r>
      <w:bookmarkEnd w:id="48"/>
      <w:r w:rsidR="00F6614E" w:rsidRPr="00704B78">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0: Key components of the economic evaluation"/>
      </w:tblPr>
      <w:tblGrid>
        <w:gridCol w:w="1834"/>
        <w:gridCol w:w="7181"/>
      </w:tblGrid>
      <w:tr w:rsidR="00F6614E" w:rsidRPr="00704B78" w14:paraId="06ED2693" w14:textId="77777777" w:rsidTr="3517B442">
        <w:trPr>
          <w:tblHeader/>
        </w:trPr>
        <w:tc>
          <w:tcPr>
            <w:tcW w:w="1017" w:type="pct"/>
          </w:tcPr>
          <w:p w14:paraId="1ED6BE08" w14:textId="77777777" w:rsidR="00F6614E" w:rsidRPr="00704B78" w:rsidRDefault="00F6614E" w:rsidP="006E2A77">
            <w:pPr>
              <w:pStyle w:val="TableText"/>
              <w:keepNext w:val="0"/>
              <w:widowControl/>
              <w:rPr>
                <w:b/>
              </w:rPr>
            </w:pPr>
            <w:r w:rsidRPr="00704B78">
              <w:rPr>
                <w:b/>
              </w:rPr>
              <w:t xml:space="preserve">Component </w:t>
            </w:r>
          </w:p>
        </w:tc>
        <w:tc>
          <w:tcPr>
            <w:tcW w:w="3983" w:type="pct"/>
          </w:tcPr>
          <w:p w14:paraId="2F450C14" w14:textId="77777777" w:rsidR="00F6614E" w:rsidRPr="00704B78" w:rsidRDefault="00F6614E" w:rsidP="006E2A77">
            <w:pPr>
              <w:pStyle w:val="TableText"/>
              <w:keepNext w:val="0"/>
              <w:widowControl/>
              <w:rPr>
                <w:b/>
              </w:rPr>
            </w:pPr>
            <w:r w:rsidRPr="00704B78">
              <w:rPr>
                <w:b/>
              </w:rPr>
              <w:t>Description</w:t>
            </w:r>
          </w:p>
        </w:tc>
      </w:tr>
      <w:tr w:rsidR="00F6614E" w:rsidRPr="00704B78" w14:paraId="53B895CA" w14:textId="77777777" w:rsidTr="3517B442">
        <w:tc>
          <w:tcPr>
            <w:tcW w:w="1017" w:type="pct"/>
            <w:vAlign w:val="center"/>
          </w:tcPr>
          <w:p w14:paraId="52ED7792" w14:textId="77777777" w:rsidR="00F6614E" w:rsidRPr="00704B78" w:rsidRDefault="00F6614E" w:rsidP="006E2A77">
            <w:pPr>
              <w:pStyle w:val="TableText"/>
              <w:keepNext w:val="0"/>
              <w:widowControl/>
            </w:pPr>
            <w:r w:rsidRPr="00704B78">
              <w:t xml:space="preserve">Type of analysis </w:t>
            </w:r>
          </w:p>
        </w:tc>
        <w:tc>
          <w:tcPr>
            <w:tcW w:w="3983" w:type="pct"/>
            <w:vAlign w:val="center"/>
          </w:tcPr>
          <w:p w14:paraId="7B10EF48" w14:textId="77777777" w:rsidR="00F6614E" w:rsidRPr="00704B78" w:rsidRDefault="00F6614E" w:rsidP="006E2A77">
            <w:pPr>
              <w:pStyle w:val="TableText"/>
              <w:keepNext w:val="0"/>
              <w:widowControl/>
              <w:rPr>
                <w:rFonts w:ascii="Times" w:eastAsia="Times New Roman" w:hAnsi="Times" w:cs="Times New Roman"/>
                <w:szCs w:val="20"/>
              </w:rPr>
            </w:pPr>
            <w:r w:rsidRPr="00704B78">
              <w:t>Cost-effectiveness analysis/cost-utility analysis</w:t>
            </w:r>
          </w:p>
        </w:tc>
      </w:tr>
      <w:tr w:rsidR="00F6614E" w:rsidRPr="00704B78" w14:paraId="45FD5DD9" w14:textId="77777777" w:rsidTr="3517B442">
        <w:tc>
          <w:tcPr>
            <w:tcW w:w="1017" w:type="pct"/>
            <w:vAlign w:val="center"/>
          </w:tcPr>
          <w:p w14:paraId="6B57514E" w14:textId="77777777" w:rsidR="00F6614E" w:rsidRPr="00704B78" w:rsidRDefault="00F6614E" w:rsidP="006E2A77">
            <w:pPr>
              <w:pStyle w:val="TableText"/>
              <w:keepNext w:val="0"/>
              <w:widowControl/>
              <w:rPr>
                <w:rFonts w:ascii="Times" w:eastAsia="Times New Roman" w:hAnsi="Times" w:cs="Times New Roman"/>
                <w:szCs w:val="20"/>
              </w:rPr>
            </w:pPr>
            <w:r w:rsidRPr="00704B78">
              <w:t>Outcomes</w:t>
            </w:r>
          </w:p>
        </w:tc>
        <w:tc>
          <w:tcPr>
            <w:tcW w:w="3983" w:type="pct"/>
            <w:vAlign w:val="center"/>
          </w:tcPr>
          <w:p w14:paraId="0FD6FEE5" w14:textId="77777777" w:rsidR="00F6614E" w:rsidRPr="00704B78" w:rsidRDefault="00F6614E" w:rsidP="006E2A77">
            <w:pPr>
              <w:pStyle w:val="TableText"/>
              <w:keepNext w:val="0"/>
              <w:widowControl/>
            </w:pPr>
            <w:r w:rsidRPr="00704B78">
              <w:t>Patients with response; responder years; quality adjusted life years</w:t>
            </w:r>
          </w:p>
        </w:tc>
      </w:tr>
      <w:tr w:rsidR="00F6614E" w:rsidRPr="00704B78" w14:paraId="71B67CD8" w14:textId="77777777" w:rsidTr="3517B442">
        <w:tc>
          <w:tcPr>
            <w:tcW w:w="1017" w:type="pct"/>
            <w:vAlign w:val="center"/>
          </w:tcPr>
          <w:p w14:paraId="240632B0" w14:textId="77777777" w:rsidR="00F6614E" w:rsidRPr="00704B78" w:rsidRDefault="00F6614E" w:rsidP="006E2A77">
            <w:pPr>
              <w:pStyle w:val="TableText"/>
              <w:keepNext w:val="0"/>
              <w:widowControl/>
              <w:rPr>
                <w:rFonts w:ascii="Times" w:eastAsia="Times New Roman" w:hAnsi="Times" w:cs="Times New Roman"/>
                <w:szCs w:val="20"/>
              </w:rPr>
            </w:pPr>
            <w:r w:rsidRPr="00704B78">
              <w:t>Time horizon</w:t>
            </w:r>
          </w:p>
        </w:tc>
        <w:tc>
          <w:tcPr>
            <w:tcW w:w="3983" w:type="pct"/>
            <w:vAlign w:val="center"/>
          </w:tcPr>
          <w:p w14:paraId="1CD35026" w14:textId="77777777" w:rsidR="00F6614E" w:rsidRPr="00704B78" w:rsidRDefault="00F6614E" w:rsidP="006E2A77">
            <w:pPr>
              <w:pStyle w:val="TableText"/>
              <w:keepNext w:val="0"/>
              <w:widowControl/>
              <w:rPr>
                <w:rFonts w:ascii="Times" w:eastAsia="Times New Roman" w:hAnsi="Times" w:cs="Times New Roman"/>
                <w:szCs w:val="20"/>
              </w:rPr>
            </w:pPr>
            <w:r w:rsidRPr="00704B78">
              <w:t>15 years</w:t>
            </w:r>
          </w:p>
        </w:tc>
      </w:tr>
      <w:tr w:rsidR="00F6614E" w:rsidRPr="00704B78" w14:paraId="71D44A5B" w14:textId="77777777" w:rsidTr="3517B442">
        <w:tc>
          <w:tcPr>
            <w:tcW w:w="1017" w:type="pct"/>
            <w:vAlign w:val="center"/>
          </w:tcPr>
          <w:p w14:paraId="00E06FC5" w14:textId="77777777" w:rsidR="00F6614E" w:rsidRPr="00704B78" w:rsidRDefault="00F6614E" w:rsidP="006E2A77">
            <w:pPr>
              <w:pStyle w:val="TableText"/>
              <w:keepNext w:val="0"/>
              <w:widowControl/>
              <w:rPr>
                <w:rFonts w:ascii="Times" w:eastAsia="Times New Roman" w:hAnsi="Times" w:cs="Times New Roman"/>
                <w:szCs w:val="20"/>
              </w:rPr>
            </w:pPr>
            <w:r w:rsidRPr="00704B78">
              <w:t>Methods used to generate results</w:t>
            </w:r>
          </w:p>
        </w:tc>
        <w:tc>
          <w:tcPr>
            <w:tcW w:w="3983" w:type="pct"/>
            <w:vAlign w:val="center"/>
          </w:tcPr>
          <w:p w14:paraId="3D2C9170" w14:textId="77777777" w:rsidR="00F6614E" w:rsidRPr="00704B78" w:rsidRDefault="00F6614E" w:rsidP="006E2A77">
            <w:pPr>
              <w:pStyle w:val="TableText"/>
              <w:keepNext w:val="0"/>
              <w:widowControl/>
              <w:rPr>
                <w:rFonts w:ascii="Times" w:eastAsia="Times New Roman" w:hAnsi="Times" w:cs="Times New Roman"/>
                <w:szCs w:val="20"/>
              </w:rPr>
            </w:pPr>
            <w:r w:rsidRPr="00704B78">
              <w:t xml:space="preserve">Markov cohort model </w:t>
            </w:r>
          </w:p>
        </w:tc>
      </w:tr>
      <w:tr w:rsidR="00F6614E" w:rsidRPr="00704B78" w14:paraId="5242AC55" w14:textId="77777777" w:rsidTr="3517B442">
        <w:tc>
          <w:tcPr>
            <w:tcW w:w="1017" w:type="pct"/>
            <w:vAlign w:val="center"/>
          </w:tcPr>
          <w:p w14:paraId="78357419" w14:textId="77777777" w:rsidR="00F6614E" w:rsidRPr="00704B78" w:rsidRDefault="00F6614E" w:rsidP="006E2A77">
            <w:pPr>
              <w:pStyle w:val="TableText"/>
              <w:keepNext w:val="0"/>
              <w:widowControl/>
            </w:pPr>
            <w:r w:rsidRPr="00704B78">
              <w:t>Treatments</w:t>
            </w:r>
          </w:p>
        </w:tc>
        <w:tc>
          <w:tcPr>
            <w:tcW w:w="3983" w:type="pct"/>
            <w:vAlign w:val="center"/>
          </w:tcPr>
          <w:p w14:paraId="35B3EAC7" w14:textId="1D72A0D9" w:rsidR="00F6614E" w:rsidRPr="00704B78" w:rsidRDefault="00F6614E" w:rsidP="006E2A77">
            <w:pPr>
              <w:pStyle w:val="TableText"/>
              <w:keepNext w:val="0"/>
              <w:widowControl/>
              <w:rPr>
                <w:b/>
              </w:rPr>
            </w:pPr>
            <w:r w:rsidRPr="00704B78">
              <w:t>Ravulizumab and placebo with subsequent-line treatment using rituximab and cyclophosphamide. All patients also continued to receive standard therapy (consisting of anticholinesterases, corticosteroids and other immunosuppressive agents such as mycophenolate mofetil, azathioprine, tacrolimus) for all lines of therapy</w:t>
            </w:r>
          </w:p>
        </w:tc>
      </w:tr>
      <w:tr w:rsidR="00F6614E" w:rsidRPr="00704B78" w14:paraId="5863AD66" w14:textId="77777777" w:rsidTr="3517B442">
        <w:tc>
          <w:tcPr>
            <w:tcW w:w="1017" w:type="pct"/>
            <w:vAlign w:val="center"/>
          </w:tcPr>
          <w:p w14:paraId="62DA2320" w14:textId="77777777" w:rsidR="00F6614E" w:rsidRPr="00704B78" w:rsidRDefault="00F6614E" w:rsidP="006E2A77">
            <w:pPr>
              <w:pStyle w:val="TableText"/>
              <w:keepNext w:val="0"/>
              <w:widowControl/>
              <w:rPr>
                <w:rFonts w:ascii="Times" w:eastAsia="Times New Roman" w:hAnsi="Times" w:cs="Times New Roman"/>
                <w:szCs w:val="20"/>
              </w:rPr>
            </w:pPr>
            <w:r w:rsidRPr="00704B78">
              <w:t>Health states</w:t>
            </w:r>
          </w:p>
        </w:tc>
        <w:tc>
          <w:tcPr>
            <w:tcW w:w="3983" w:type="pct"/>
            <w:vAlign w:val="center"/>
          </w:tcPr>
          <w:p w14:paraId="65827231" w14:textId="77777777" w:rsidR="00F6614E" w:rsidRPr="00704B78" w:rsidRDefault="00F6614E" w:rsidP="006E2A77">
            <w:pPr>
              <w:pStyle w:val="TableText"/>
              <w:keepNext w:val="0"/>
              <w:widowControl/>
            </w:pPr>
            <w:r w:rsidRPr="00704B78">
              <w:t xml:space="preserve">6 health states defined by treatment status (treatment initiator, responder, non-responder) and lines of therapy (first-line, subsequent-line treatment) and death. </w:t>
            </w:r>
          </w:p>
        </w:tc>
      </w:tr>
      <w:tr w:rsidR="00F6614E" w:rsidRPr="00704B78" w14:paraId="6789A5DC" w14:textId="77777777" w:rsidTr="3517B442">
        <w:tc>
          <w:tcPr>
            <w:tcW w:w="1017" w:type="pct"/>
            <w:vAlign w:val="center"/>
          </w:tcPr>
          <w:p w14:paraId="02FFF59B" w14:textId="77777777" w:rsidR="00F6614E" w:rsidRPr="00704B78" w:rsidRDefault="00F6614E" w:rsidP="006E2A77">
            <w:pPr>
              <w:pStyle w:val="TableText"/>
              <w:keepNext w:val="0"/>
              <w:widowControl/>
              <w:rPr>
                <w:rFonts w:ascii="Times" w:eastAsia="Times New Roman" w:hAnsi="Times" w:cs="Times New Roman"/>
                <w:szCs w:val="20"/>
              </w:rPr>
            </w:pPr>
            <w:r w:rsidRPr="00704B78">
              <w:t>Cycle length</w:t>
            </w:r>
          </w:p>
        </w:tc>
        <w:tc>
          <w:tcPr>
            <w:tcW w:w="3983" w:type="pct"/>
            <w:vAlign w:val="center"/>
          </w:tcPr>
          <w:p w14:paraId="307DDCBA" w14:textId="77777777" w:rsidR="00F6614E" w:rsidRPr="00704B78" w:rsidRDefault="00F6614E" w:rsidP="006E2A77">
            <w:pPr>
              <w:pStyle w:val="TableText"/>
              <w:keepNext w:val="0"/>
              <w:widowControl/>
            </w:pPr>
            <w:r w:rsidRPr="00704B78">
              <w:t>13-weeks (with no half-cycle correction)</w:t>
            </w:r>
          </w:p>
        </w:tc>
      </w:tr>
      <w:tr w:rsidR="00F6614E" w:rsidRPr="00704B78" w14:paraId="7922AFCC" w14:textId="77777777" w:rsidTr="3517B442">
        <w:tc>
          <w:tcPr>
            <w:tcW w:w="1017" w:type="pct"/>
            <w:vAlign w:val="center"/>
          </w:tcPr>
          <w:p w14:paraId="314EEE89" w14:textId="6CC99E57" w:rsidR="00F6614E" w:rsidRPr="00704B78" w:rsidRDefault="00F6614E" w:rsidP="006E2A77">
            <w:pPr>
              <w:pStyle w:val="TableText"/>
              <w:keepNext w:val="0"/>
              <w:widowControl/>
            </w:pPr>
            <w:r w:rsidRPr="00704B78">
              <w:t>Patient populations</w:t>
            </w:r>
          </w:p>
        </w:tc>
        <w:tc>
          <w:tcPr>
            <w:tcW w:w="3983" w:type="pct"/>
            <w:vAlign w:val="center"/>
          </w:tcPr>
          <w:p w14:paraId="3C21D62F" w14:textId="1FD2B358" w:rsidR="00F6614E" w:rsidRPr="00704B78" w:rsidRDefault="00F6614E" w:rsidP="006E2A77">
            <w:pPr>
              <w:pStyle w:val="TableText"/>
              <w:keepNext w:val="0"/>
              <w:widowControl/>
              <w:rPr>
                <w:szCs w:val="20"/>
              </w:rPr>
            </w:pPr>
            <w:r w:rsidRPr="00704B78">
              <w:rPr>
                <w:szCs w:val="20"/>
              </w:rPr>
              <w:t>Newly diagnosed patients, treatment refractory patients</w:t>
            </w:r>
          </w:p>
        </w:tc>
      </w:tr>
      <w:tr w:rsidR="00F6614E" w:rsidRPr="00704B78" w14:paraId="1A5FA1E5" w14:textId="77777777" w:rsidTr="3517B442">
        <w:tc>
          <w:tcPr>
            <w:tcW w:w="1017" w:type="pct"/>
            <w:vAlign w:val="center"/>
          </w:tcPr>
          <w:p w14:paraId="32F59BBF" w14:textId="644B5133" w:rsidR="00F6614E" w:rsidRPr="00704B78" w:rsidRDefault="00F6614E" w:rsidP="006E2A77">
            <w:pPr>
              <w:pStyle w:val="TableText"/>
              <w:keepNext w:val="0"/>
              <w:widowControl/>
            </w:pPr>
            <w:r w:rsidRPr="00704B78">
              <w:t>Circumstances of use</w:t>
            </w:r>
          </w:p>
        </w:tc>
        <w:tc>
          <w:tcPr>
            <w:tcW w:w="3983" w:type="pct"/>
            <w:vAlign w:val="center"/>
          </w:tcPr>
          <w:p w14:paraId="71B40E4F" w14:textId="1588A46C" w:rsidR="00F6614E" w:rsidRPr="00704B78" w:rsidRDefault="00F6614E" w:rsidP="006E2A77">
            <w:pPr>
              <w:pStyle w:val="TableText"/>
              <w:widowControl/>
              <w:spacing w:after="120"/>
            </w:pPr>
            <w:r w:rsidRPr="00704B78">
              <w:t>The maximum duration of ravulizumab therapy was assumed to be 2 years for newly diagnosed patients and 8 years for treatment refractory patients.</w:t>
            </w:r>
          </w:p>
          <w:p w14:paraId="47EAE00B" w14:textId="638A120B" w:rsidR="00F6614E" w:rsidRPr="00704B78" w:rsidRDefault="00F6614E" w:rsidP="006E2A77">
            <w:pPr>
              <w:pStyle w:val="TableText"/>
              <w:widowControl/>
              <w:spacing w:after="120"/>
            </w:pPr>
            <w:r w:rsidRPr="00704B78">
              <w:t>It was assumed that all patients would remain on standard therapies for the duration of the model without any changes in use from baseline.</w:t>
            </w:r>
          </w:p>
          <w:p w14:paraId="1364BAD1" w14:textId="18A1E828" w:rsidR="00F6614E" w:rsidRPr="00704B78" w:rsidRDefault="00F6614E" w:rsidP="006E2A77">
            <w:pPr>
              <w:pStyle w:val="TableText"/>
              <w:keepNext w:val="0"/>
              <w:widowControl/>
              <w:rPr>
                <w:szCs w:val="20"/>
              </w:rPr>
            </w:pPr>
            <w:r w:rsidRPr="00704B78">
              <w:t>It was assumed that rituximab and cyclophosphamide would be used as subsequent-line treatment options in both patient populations.</w:t>
            </w:r>
          </w:p>
        </w:tc>
      </w:tr>
      <w:tr w:rsidR="00F6614E" w:rsidRPr="00704B78" w14:paraId="006AC9D3" w14:textId="77777777" w:rsidTr="3517B442">
        <w:tc>
          <w:tcPr>
            <w:tcW w:w="1017" w:type="pct"/>
            <w:vAlign w:val="center"/>
          </w:tcPr>
          <w:p w14:paraId="26ACD50C" w14:textId="77777777" w:rsidR="00F6614E" w:rsidRPr="00704B78" w:rsidRDefault="00F6614E" w:rsidP="006E2A77">
            <w:pPr>
              <w:pStyle w:val="TableText"/>
              <w:keepNext w:val="0"/>
              <w:widowControl/>
            </w:pPr>
            <w:r w:rsidRPr="00704B78">
              <w:t xml:space="preserve">Transition probability </w:t>
            </w:r>
          </w:p>
        </w:tc>
        <w:tc>
          <w:tcPr>
            <w:tcW w:w="3983" w:type="pct"/>
            <w:vAlign w:val="center"/>
          </w:tcPr>
          <w:p w14:paraId="78DD5C4C" w14:textId="6517411A" w:rsidR="00F6614E" w:rsidRPr="00704B78" w:rsidRDefault="00F6614E" w:rsidP="006E2A77">
            <w:pPr>
              <w:pStyle w:val="TableText"/>
              <w:keepNext w:val="0"/>
              <w:widowControl/>
              <w:spacing w:after="120"/>
              <w:rPr>
                <w:szCs w:val="20"/>
              </w:rPr>
            </w:pPr>
            <w:r w:rsidRPr="00704B78">
              <w:rPr>
                <w:szCs w:val="20"/>
              </w:rPr>
              <w:t>Treatment response rates for ravulizumab and placebo were based on subgroup analyses of the CHAMPION-MG trial. Response rates for rituximab were based on published literature</w:t>
            </w:r>
            <w:r w:rsidR="00E57F88" w:rsidRPr="00704B78">
              <w:rPr>
                <w:szCs w:val="20"/>
              </w:rPr>
              <w:t xml:space="preserve"> (Zhao 2021, Li 2021)</w:t>
            </w:r>
            <w:r w:rsidRPr="00704B78">
              <w:rPr>
                <w:szCs w:val="20"/>
              </w:rPr>
              <w:t>. Response rates for cyclophosphamide were assumed.</w:t>
            </w:r>
          </w:p>
          <w:p w14:paraId="08E90AF0" w14:textId="57DDE0D2" w:rsidR="00F6614E" w:rsidRPr="00704B78" w:rsidRDefault="00F6614E" w:rsidP="006E2A77">
            <w:pPr>
              <w:pStyle w:val="TableText"/>
              <w:keepNext w:val="0"/>
              <w:widowControl/>
              <w:spacing w:after="120"/>
              <w:rPr>
                <w:szCs w:val="20"/>
              </w:rPr>
            </w:pPr>
            <w:r w:rsidRPr="00704B78">
              <w:rPr>
                <w:szCs w:val="20"/>
              </w:rPr>
              <w:t>Discontinuation rates for ravulizumab responders were based on the CHAMPION-MG extension study and were assumed for rituximab and cyclophosphamide. All patients in the non-responder states were assumed to have discontinued therapy.</w:t>
            </w:r>
          </w:p>
          <w:p w14:paraId="3406A2FA" w14:textId="41A18050" w:rsidR="00F6614E" w:rsidRPr="00704B78" w:rsidRDefault="00F6614E" w:rsidP="006E2A77">
            <w:pPr>
              <w:pStyle w:val="TableText"/>
              <w:keepNext w:val="0"/>
              <w:widowControl/>
              <w:spacing w:after="120"/>
            </w:pPr>
            <w:r w:rsidRPr="00704B78">
              <w:t xml:space="preserve">In newly diagnosed patients, it was assumed that all patients (in both arms) </w:t>
            </w:r>
            <w:r w:rsidR="00D12B56" w:rsidRPr="00704B78">
              <w:t xml:space="preserve">who have maintained </w:t>
            </w:r>
            <w:r w:rsidRPr="00704B78">
              <w:t xml:space="preserve">a treatment response </w:t>
            </w:r>
            <w:r w:rsidR="00D12B56" w:rsidRPr="00704B78">
              <w:t>for</w:t>
            </w:r>
            <w:r w:rsidRPr="00704B78">
              <w:t xml:space="preserve"> 2 years would achieve a pharmacological remission and no longer require any further treatment other than standard therapy. The loss of effect </w:t>
            </w:r>
            <w:r w:rsidR="003F2D30" w:rsidRPr="00704B78">
              <w:t xml:space="preserve">with placebo over time, as well as the loss of effect </w:t>
            </w:r>
            <w:r w:rsidRPr="00704B78">
              <w:t xml:space="preserve">after 2 years </w:t>
            </w:r>
            <w:r w:rsidR="003F2D30" w:rsidRPr="00704B78">
              <w:t>in the ravulizumab arm</w:t>
            </w:r>
            <w:r w:rsidRPr="00704B78">
              <w:t xml:space="preserve"> were based on assumed rates. </w:t>
            </w:r>
          </w:p>
          <w:p w14:paraId="105EAF9B" w14:textId="035AB0D6" w:rsidR="00F6614E" w:rsidRPr="00704B78" w:rsidRDefault="00F6614E" w:rsidP="006E2A77">
            <w:pPr>
              <w:pStyle w:val="TableText"/>
              <w:keepNext w:val="0"/>
              <w:widowControl/>
              <w:spacing w:after="120"/>
            </w:pPr>
            <w:r w:rsidRPr="00704B78">
              <w:t>In treatment refractory patients, it was assumed that ravulizumab patients</w:t>
            </w:r>
            <w:r w:rsidR="00096449" w:rsidRPr="00704B78">
              <w:t xml:space="preserve"> who have maintained</w:t>
            </w:r>
            <w:r w:rsidRPr="00704B78">
              <w:t xml:space="preserve"> a treatment response </w:t>
            </w:r>
            <w:r w:rsidR="00096449" w:rsidRPr="00704B78">
              <w:t>for</w:t>
            </w:r>
            <w:r w:rsidRPr="00704B78">
              <w:t xml:space="preserve"> 8 years would achieve a pharmacological remission and no longer require any further treatment other than standard therapy. The loss of effect with placebo over time as well as the loss of effect after 8 years in the ravulizumab arm were based on assumed rates.</w:t>
            </w:r>
          </w:p>
          <w:p w14:paraId="1F636B85" w14:textId="6616769B" w:rsidR="00F6614E" w:rsidRPr="00704B78" w:rsidRDefault="00F6614E" w:rsidP="006E2A77">
            <w:pPr>
              <w:pStyle w:val="TableText"/>
              <w:keepNext w:val="0"/>
              <w:widowControl/>
              <w:spacing w:after="120"/>
            </w:pPr>
            <w:r w:rsidRPr="00704B78">
              <w:t xml:space="preserve">Patients who discontinue therapy or experience a loss of effect were assumed to initiate later lines of therapy after a 1 cycle break in therapy. Patients who discontinue subsequent-line therapy are assumed to remain on standard therapy alone. </w:t>
            </w:r>
          </w:p>
          <w:p w14:paraId="31F34FA3" w14:textId="2664FC3E" w:rsidR="00F6614E" w:rsidRPr="00704B78" w:rsidRDefault="00F6614E" w:rsidP="006E2A77">
            <w:pPr>
              <w:pStyle w:val="TableText"/>
              <w:keepNext w:val="0"/>
              <w:widowControl/>
              <w:spacing w:after="120"/>
              <w:rPr>
                <w:szCs w:val="20"/>
              </w:rPr>
            </w:pPr>
            <w:r w:rsidRPr="00704B78">
              <w:rPr>
                <w:szCs w:val="20"/>
              </w:rPr>
              <w:t>The incidence of adverse events with ravulizumab and placebo were based on the CHAMPION-MG trial. Adverse events for cyclophosphamide (Buzzard 2015) and rituximab (Nowak 2021) were based on published literature. Adverse events were assumed to only occur in the first cycle of each therapy.</w:t>
            </w:r>
          </w:p>
          <w:p w14:paraId="4A463F58" w14:textId="6B96EB66" w:rsidR="00F6614E" w:rsidRPr="00704B78" w:rsidRDefault="00F6614E" w:rsidP="006E2A77">
            <w:pPr>
              <w:pStyle w:val="TableText"/>
              <w:keepNext w:val="0"/>
              <w:widowControl/>
              <w:spacing w:after="120"/>
            </w:pPr>
            <w:r w:rsidRPr="00704B78">
              <w:t>The risk of disease exacerbations and myasthenic crisis were based on a post hoc analysis of</w:t>
            </w:r>
            <w:r w:rsidR="00731422" w:rsidRPr="00704B78">
              <w:t xml:space="preserve"> the</w:t>
            </w:r>
            <w:r w:rsidRPr="00704B78">
              <w:t xml:space="preserve"> CHAMPION-MG trial and extension using a Poisson regression on data from both treatment arms to determine an association between disease exacerbations and MG-ADL score. </w:t>
            </w:r>
            <w:r w:rsidRPr="00704B78">
              <w:lastRenderedPageBreak/>
              <w:t xml:space="preserve">Responders/non-responders to subsequent-line therapies were assumed to have the same change in MG-ADL scores as first-line therapies for calculating event risk. </w:t>
            </w:r>
          </w:p>
          <w:p w14:paraId="03F8F20F" w14:textId="04101EC6" w:rsidR="00F6614E" w:rsidRPr="00704B78" w:rsidRDefault="00F6614E" w:rsidP="006E2A77">
            <w:pPr>
              <w:pStyle w:val="TableText"/>
              <w:keepNext w:val="0"/>
              <w:widowControl/>
            </w:pPr>
            <w:r w:rsidRPr="00704B78">
              <w:t>Transition probabilities for myasthenic crisis-related death were based on published estimates (</w:t>
            </w:r>
            <w:proofErr w:type="spellStart"/>
            <w:r w:rsidRPr="00704B78">
              <w:t>Alshekhlee</w:t>
            </w:r>
            <w:proofErr w:type="spellEnd"/>
            <w:r w:rsidRPr="00704B78">
              <w:t xml:space="preserve"> 2009). Transition probabilities for general mortality were based on Australian life tables</w:t>
            </w:r>
            <w:r w:rsidR="00D91261" w:rsidRPr="00704B78">
              <w:t>.</w:t>
            </w:r>
            <w:r w:rsidR="00D61CA6">
              <w:t xml:space="preserve"> </w:t>
            </w:r>
          </w:p>
        </w:tc>
      </w:tr>
      <w:tr w:rsidR="00F6614E" w:rsidRPr="00704B78" w14:paraId="4150A49D" w14:textId="77777777" w:rsidTr="3517B442">
        <w:tc>
          <w:tcPr>
            <w:tcW w:w="1017" w:type="pct"/>
            <w:vAlign w:val="center"/>
          </w:tcPr>
          <w:p w14:paraId="4B57B01F" w14:textId="2CB67750" w:rsidR="00F6614E" w:rsidRPr="00704B78" w:rsidRDefault="00F6614E" w:rsidP="006E2A77">
            <w:pPr>
              <w:pStyle w:val="TableText"/>
              <w:keepNext w:val="0"/>
              <w:widowControl/>
            </w:pPr>
            <w:r w:rsidRPr="00704B78">
              <w:lastRenderedPageBreak/>
              <w:t>Utility values</w:t>
            </w:r>
          </w:p>
        </w:tc>
        <w:tc>
          <w:tcPr>
            <w:tcW w:w="3983" w:type="pct"/>
            <w:vAlign w:val="center"/>
          </w:tcPr>
          <w:p w14:paraId="3A20BEBC" w14:textId="30CB8E23" w:rsidR="00F6614E" w:rsidRPr="00704B78" w:rsidRDefault="00F6614E" w:rsidP="006E2A77">
            <w:pPr>
              <w:pStyle w:val="Tabletext0"/>
              <w:spacing w:after="120"/>
              <w:rPr>
                <w:rFonts w:eastAsia="Calibri"/>
              </w:rPr>
            </w:pPr>
            <w:r w:rsidRPr="00704B78">
              <w:rPr>
                <w:rFonts w:eastAsia="Calibri"/>
              </w:rPr>
              <w:t xml:space="preserve">The health state utility value for first-line treatment initiators was estimated based on pooled baseline EQ-5D-5L values (Australian </w:t>
            </w:r>
            <w:r w:rsidR="00D032FA" w:rsidRPr="00704B78">
              <w:rPr>
                <w:rFonts w:eastAsia="Calibri"/>
              </w:rPr>
              <w:t>value set</w:t>
            </w:r>
            <w:r w:rsidRPr="00704B78">
              <w:rPr>
                <w:rFonts w:eastAsia="Calibri"/>
              </w:rPr>
              <w:t>, Norman 2023) from both treatment arms in</w:t>
            </w:r>
            <w:r w:rsidRPr="00704B78">
              <w:t xml:space="preserve"> the newly diagnosed and treatment refractory subgroups of the CHAMPION-MG trial</w:t>
            </w:r>
            <w:r w:rsidRPr="00704B78">
              <w:rPr>
                <w:rFonts w:eastAsia="Calibri"/>
              </w:rPr>
              <w:t xml:space="preserve">. </w:t>
            </w:r>
          </w:p>
          <w:p w14:paraId="0F4E79BD" w14:textId="7777B4F9" w:rsidR="00CB1373" w:rsidRPr="00704B78" w:rsidRDefault="0041788D" w:rsidP="006E2A77">
            <w:pPr>
              <w:pStyle w:val="Tabletext0"/>
              <w:spacing w:after="120"/>
              <w:rPr>
                <w:rFonts w:eastAsia="Calibri"/>
              </w:rPr>
            </w:pPr>
            <w:r w:rsidRPr="00704B78">
              <w:t xml:space="preserve">The resubmission estimated </w:t>
            </w:r>
            <w:r w:rsidR="0097264B" w:rsidRPr="00704B78">
              <w:t xml:space="preserve">first-line </w:t>
            </w:r>
            <w:r w:rsidRPr="00704B78">
              <w:t xml:space="preserve">health state utility values for treatment responders and non-responders based a post hoc mixed model repeated measures analysis of the change in EQ-5D-5L health index scores from baseline separately for each treatment arm in the newly diagnosed and treatment refractory subgroups of the CHAMPION-MG trial. </w:t>
            </w:r>
          </w:p>
          <w:p w14:paraId="1E1E1753" w14:textId="096C0026" w:rsidR="00F6614E" w:rsidRPr="00704B78" w:rsidRDefault="00F6614E" w:rsidP="006E2A77">
            <w:pPr>
              <w:pStyle w:val="Tabletext0"/>
              <w:spacing w:after="120"/>
              <w:rPr>
                <w:rFonts w:eastAsia="Calibri"/>
              </w:rPr>
            </w:pPr>
            <w:r w:rsidRPr="00704B78">
              <w:rPr>
                <w:rFonts w:eastAsia="Calibri"/>
              </w:rPr>
              <w:t>Health state utility values for treatment initiators to subsequent-line therapy were assumed to be equivalent to the non-response value of the preceding line of therapy. Utility values for responders to subsequent-line therapy were assumed to be equivalent to published estimates (Dewilde 2023) for mild myasthenia gravis while non-responders were assumed to have utility values equivalent to moderate myasthenia gravis (newly diagnosed patients) or moderate-to-severe myasthenia gravis (treatment refractory patients).</w:t>
            </w:r>
          </w:p>
          <w:p w14:paraId="37D3CCF7" w14:textId="217B2F7B" w:rsidR="00F6614E" w:rsidRPr="00704B78" w:rsidRDefault="00F6614E" w:rsidP="006E2A77">
            <w:pPr>
              <w:pStyle w:val="Tabletext0"/>
              <w:spacing w:after="120"/>
              <w:rPr>
                <w:rFonts w:eastAsia="Calibri"/>
              </w:rPr>
            </w:pPr>
            <w:r w:rsidRPr="00704B78">
              <w:rPr>
                <w:rFonts w:eastAsia="Calibri"/>
              </w:rPr>
              <w:t>Utility values were age-adjusted based on Australian general population EQ-5D-3L data (Clemens 2014).</w:t>
            </w:r>
          </w:p>
          <w:p w14:paraId="722CCBCA" w14:textId="7B57C018" w:rsidR="00C46396" w:rsidRPr="00704B78" w:rsidRDefault="00C46396" w:rsidP="006E2A77">
            <w:pPr>
              <w:pStyle w:val="Tabletext0"/>
              <w:spacing w:after="120"/>
              <w:rPr>
                <w:rFonts w:eastAsia="Calibri"/>
              </w:rPr>
            </w:pPr>
            <w:r w:rsidRPr="00704B78">
              <w:rPr>
                <w:rFonts w:eastAsia="Calibri"/>
              </w:rPr>
              <w:t>Some of the</w:t>
            </w:r>
            <w:r w:rsidR="00F15730" w:rsidRPr="00704B78">
              <w:rPr>
                <w:rFonts w:eastAsia="Calibri"/>
              </w:rPr>
              <w:t xml:space="preserve"> health state</w:t>
            </w:r>
            <w:r w:rsidRPr="00704B78">
              <w:rPr>
                <w:rFonts w:eastAsia="Calibri"/>
              </w:rPr>
              <w:t xml:space="preserve"> utility values applied in the model are outlined below.</w:t>
            </w:r>
          </w:p>
          <w:tbl>
            <w:tblPr>
              <w:tblStyle w:val="TableGrid"/>
              <w:tblW w:w="0" w:type="auto"/>
              <w:tblLook w:val="04A0" w:firstRow="1" w:lastRow="0" w:firstColumn="1" w:lastColumn="0" w:noHBand="0" w:noVBand="1"/>
            </w:tblPr>
            <w:tblGrid>
              <w:gridCol w:w="1870"/>
              <w:gridCol w:w="2693"/>
              <w:gridCol w:w="2392"/>
            </w:tblGrid>
            <w:tr w:rsidR="00C8318C" w:rsidRPr="00704B78" w14:paraId="03636E0D" w14:textId="77777777" w:rsidTr="3517B442">
              <w:trPr>
                <w:trHeight w:val="20"/>
              </w:trPr>
              <w:tc>
                <w:tcPr>
                  <w:tcW w:w="1870" w:type="dxa"/>
                </w:tcPr>
                <w:p w14:paraId="6606B092" w14:textId="77777777" w:rsidR="00C8318C" w:rsidRPr="00704B78" w:rsidRDefault="00C8318C" w:rsidP="006E2A77">
                  <w:pPr>
                    <w:rPr>
                      <w:rFonts w:ascii="Arial Narrow" w:eastAsia="Calibri" w:hAnsi="Arial Narrow"/>
                      <w:sz w:val="20"/>
                      <w:szCs w:val="20"/>
                    </w:rPr>
                  </w:pPr>
                </w:p>
              </w:tc>
              <w:tc>
                <w:tcPr>
                  <w:tcW w:w="2693" w:type="dxa"/>
                </w:tcPr>
                <w:p w14:paraId="29B0C541"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Newly diagnosed</w:t>
                  </w:r>
                </w:p>
              </w:tc>
              <w:tc>
                <w:tcPr>
                  <w:tcW w:w="2392" w:type="dxa"/>
                </w:tcPr>
                <w:p w14:paraId="7D8C1DE2"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Refractory</w:t>
                  </w:r>
                </w:p>
              </w:tc>
            </w:tr>
            <w:tr w:rsidR="00C8318C" w:rsidRPr="00704B78" w14:paraId="1BA40ECB" w14:textId="77777777" w:rsidTr="3517B442">
              <w:trPr>
                <w:trHeight w:val="20"/>
              </w:trPr>
              <w:tc>
                <w:tcPr>
                  <w:tcW w:w="1870" w:type="dxa"/>
                </w:tcPr>
                <w:p w14:paraId="1881A172" w14:textId="77777777" w:rsidR="00C8318C" w:rsidRPr="00704B78" w:rsidRDefault="00C8318C" w:rsidP="006E2A77">
                  <w:pPr>
                    <w:rPr>
                      <w:rFonts w:ascii="Arial Narrow" w:eastAsia="Calibri" w:hAnsi="Arial Narrow"/>
                      <w:sz w:val="20"/>
                      <w:szCs w:val="20"/>
                    </w:rPr>
                  </w:pPr>
                  <w:r w:rsidRPr="00704B78">
                    <w:rPr>
                      <w:rFonts w:ascii="Arial Narrow" w:hAnsi="Arial Narrow"/>
                      <w:sz w:val="20"/>
                      <w:szCs w:val="20"/>
                    </w:rPr>
                    <w:t>Baseline:</w:t>
                  </w:r>
                </w:p>
              </w:tc>
              <w:tc>
                <w:tcPr>
                  <w:tcW w:w="2693" w:type="dxa"/>
                  <w:vAlign w:val="center"/>
                </w:tcPr>
                <w:p w14:paraId="401B5926"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0.710</w:t>
                  </w:r>
                </w:p>
              </w:tc>
              <w:tc>
                <w:tcPr>
                  <w:tcW w:w="2392" w:type="dxa"/>
                  <w:vAlign w:val="center"/>
                </w:tcPr>
                <w:p w14:paraId="7437CC43"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0.750</w:t>
                  </w:r>
                </w:p>
              </w:tc>
            </w:tr>
            <w:tr w:rsidR="00C8318C" w:rsidRPr="00704B78" w14:paraId="6717C7BF" w14:textId="77777777" w:rsidTr="3517B442">
              <w:trPr>
                <w:trHeight w:val="20"/>
              </w:trPr>
              <w:tc>
                <w:tcPr>
                  <w:tcW w:w="1870" w:type="dxa"/>
                </w:tcPr>
                <w:p w14:paraId="7FD83D4F" w14:textId="77777777" w:rsidR="00C8318C" w:rsidRPr="00704B78" w:rsidRDefault="00C8318C" w:rsidP="006E2A77">
                  <w:pPr>
                    <w:rPr>
                      <w:rFonts w:ascii="Arial Narrow" w:hAnsi="Arial Narrow"/>
                      <w:sz w:val="20"/>
                      <w:szCs w:val="20"/>
                    </w:rPr>
                  </w:pPr>
                  <w:r w:rsidRPr="00704B78">
                    <w:rPr>
                      <w:rFonts w:ascii="Arial Narrow" w:hAnsi="Arial Narrow"/>
                      <w:sz w:val="20"/>
                      <w:szCs w:val="20"/>
                    </w:rPr>
                    <w:t>Responder</w:t>
                  </w:r>
                </w:p>
                <w:p w14:paraId="25B50F6A" w14:textId="77777777" w:rsidR="00C8318C" w:rsidRPr="00704B78" w:rsidRDefault="00C8318C" w:rsidP="006E2A77">
                  <w:pPr>
                    <w:rPr>
                      <w:rFonts w:ascii="Arial Narrow" w:eastAsia="Calibri" w:hAnsi="Arial Narrow"/>
                      <w:sz w:val="20"/>
                      <w:szCs w:val="20"/>
                    </w:rPr>
                  </w:pPr>
                </w:p>
              </w:tc>
              <w:tc>
                <w:tcPr>
                  <w:tcW w:w="2693" w:type="dxa"/>
                </w:tcPr>
                <w:p w14:paraId="2E1D17F8"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Ravulizumab: 0.880</w:t>
                  </w:r>
                </w:p>
                <w:p w14:paraId="2D2D635B"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Placebo: 0.850</w:t>
                  </w:r>
                </w:p>
                <w:p w14:paraId="414960DE"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Subsequent therapy: 0.766</w:t>
                  </w:r>
                </w:p>
              </w:tc>
              <w:tc>
                <w:tcPr>
                  <w:tcW w:w="2392" w:type="dxa"/>
                </w:tcPr>
                <w:p w14:paraId="3715F113"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Ravulizumab: 0.880</w:t>
                  </w:r>
                </w:p>
                <w:p w14:paraId="5FCE4A3B"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Placebo: 0.890</w:t>
                  </w:r>
                </w:p>
                <w:p w14:paraId="08029B98"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Subsequent therapy: 0.766</w:t>
                  </w:r>
                </w:p>
              </w:tc>
            </w:tr>
            <w:tr w:rsidR="00C8318C" w:rsidRPr="00704B78" w14:paraId="1250BC3B" w14:textId="77777777" w:rsidTr="3517B442">
              <w:trPr>
                <w:trHeight w:val="20"/>
              </w:trPr>
              <w:tc>
                <w:tcPr>
                  <w:tcW w:w="1870" w:type="dxa"/>
                </w:tcPr>
                <w:p w14:paraId="1656C6B4" w14:textId="77777777" w:rsidR="00C8318C" w:rsidRPr="00704B78" w:rsidRDefault="00C8318C" w:rsidP="006E2A77">
                  <w:pPr>
                    <w:rPr>
                      <w:rFonts w:ascii="Arial Narrow" w:hAnsi="Arial Narrow"/>
                      <w:sz w:val="20"/>
                      <w:szCs w:val="20"/>
                    </w:rPr>
                  </w:pPr>
                  <w:r w:rsidRPr="00704B78">
                    <w:rPr>
                      <w:rFonts w:ascii="Arial Narrow" w:hAnsi="Arial Narrow"/>
                      <w:sz w:val="20"/>
                      <w:szCs w:val="20"/>
                    </w:rPr>
                    <w:t>Non-responder</w:t>
                  </w:r>
                </w:p>
                <w:p w14:paraId="1A11927A" w14:textId="77777777" w:rsidR="00C8318C" w:rsidRPr="00704B78" w:rsidRDefault="00C8318C" w:rsidP="006E2A77">
                  <w:pPr>
                    <w:rPr>
                      <w:rFonts w:ascii="Arial Narrow" w:eastAsia="Calibri" w:hAnsi="Arial Narrow"/>
                      <w:sz w:val="20"/>
                      <w:szCs w:val="20"/>
                    </w:rPr>
                  </w:pPr>
                </w:p>
              </w:tc>
              <w:tc>
                <w:tcPr>
                  <w:tcW w:w="2693" w:type="dxa"/>
                </w:tcPr>
                <w:p w14:paraId="2F2D16CE"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Ravulizumab: 0.750</w:t>
                  </w:r>
                </w:p>
                <w:p w14:paraId="6FD0B76C"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Placebo: 0.750</w:t>
                  </w:r>
                </w:p>
                <w:p w14:paraId="35199B3A" w14:textId="77777777"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Subsequent therapy 0.648</w:t>
                  </w:r>
                </w:p>
              </w:tc>
              <w:tc>
                <w:tcPr>
                  <w:tcW w:w="2392" w:type="dxa"/>
                </w:tcPr>
                <w:p w14:paraId="3264D69D"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Ravulizumab: 0.760</w:t>
                  </w:r>
                </w:p>
                <w:p w14:paraId="618A1701" w14:textId="77777777" w:rsidR="00C8318C" w:rsidRPr="00704B78" w:rsidRDefault="00C8318C" w:rsidP="006E2A77">
                  <w:pPr>
                    <w:jc w:val="center"/>
                    <w:rPr>
                      <w:rFonts w:ascii="Arial Narrow" w:hAnsi="Arial Narrow"/>
                      <w:sz w:val="20"/>
                      <w:szCs w:val="20"/>
                    </w:rPr>
                  </w:pPr>
                  <w:r w:rsidRPr="00704B78">
                    <w:rPr>
                      <w:rFonts w:ascii="Arial Narrow" w:hAnsi="Arial Narrow"/>
                      <w:sz w:val="20"/>
                      <w:szCs w:val="20"/>
                    </w:rPr>
                    <w:t>Placebo: 0.740</w:t>
                  </w:r>
                </w:p>
                <w:p w14:paraId="09A176A1" w14:textId="0374F5EE" w:rsidR="00C8318C" w:rsidRPr="00704B78" w:rsidRDefault="00C8318C" w:rsidP="006E2A77">
                  <w:pPr>
                    <w:jc w:val="center"/>
                    <w:rPr>
                      <w:rFonts w:ascii="Arial Narrow" w:eastAsia="Calibri" w:hAnsi="Arial Narrow"/>
                      <w:sz w:val="20"/>
                      <w:szCs w:val="20"/>
                    </w:rPr>
                  </w:pPr>
                  <w:r w:rsidRPr="00704B78">
                    <w:rPr>
                      <w:rFonts w:ascii="Arial Narrow" w:hAnsi="Arial Narrow"/>
                      <w:sz w:val="20"/>
                      <w:szCs w:val="20"/>
                    </w:rPr>
                    <w:t>Subsequent therapy: 0.589</w:t>
                  </w:r>
                </w:p>
              </w:tc>
            </w:tr>
          </w:tbl>
          <w:p w14:paraId="3EBE5453" w14:textId="77777777" w:rsidR="00444641" w:rsidRPr="00704B78" w:rsidRDefault="00444641" w:rsidP="006E2A77">
            <w:pPr>
              <w:pStyle w:val="Tabletext0"/>
              <w:spacing w:after="120"/>
              <w:rPr>
                <w:rFonts w:eastAsia="Calibri"/>
              </w:rPr>
            </w:pPr>
          </w:p>
          <w:p w14:paraId="4A962078" w14:textId="729E520B" w:rsidR="00F6614E" w:rsidRPr="00704B78" w:rsidRDefault="00F6614E" w:rsidP="006E2A77">
            <w:pPr>
              <w:pStyle w:val="Tabletext0"/>
              <w:rPr>
                <w:rFonts w:eastAsia="Calibri"/>
              </w:rPr>
            </w:pPr>
            <w:r w:rsidRPr="00704B78">
              <w:rPr>
                <w:rFonts w:eastAsia="Calibri"/>
              </w:rPr>
              <w:t>Exacerbation and myasthenic crisis disutility values were based on a post hoc analysis of EQ-5D-5L data from the combined treatment arms of the CHAMPION-MG trial. The duration of events was assumed based on published literature (Ramsaroop 2023).</w:t>
            </w:r>
          </w:p>
          <w:p w14:paraId="7E0C84D4" w14:textId="7C687461" w:rsidR="00F6614E" w:rsidRPr="00704B78" w:rsidRDefault="00F6614E" w:rsidP="006E2A77">
            <w:pPr>
              <w:pStyle w:val="TableText"/>
              <w:keepNext w:val="0"/>
              <w:widowControl/>
              <w:rPr>
                <w:szCs w:val="20"/>
              </w:rPr>
            </w:pPr>
            <w:r w:rsidRPr="00704B78">
              <w:rPr>
                <w:rFonts w:eastAsia="Calibri"/>
              </w:rPr>
              <w:t xml:space="preserve">The disutility for adverse events was assumed to be included in health state utility values for first-line therapies. The QALY decrement associated with adverse events for other therapies was assumed to be equivalent to an exacerbation. </w:t>
            </w:r>
          </w:p>
        </w:tc>
      </w:tr>
      <w:tr w:rsidR="00F6614E" w:rsidRPr="00704B78" w14:paraId="3F2FDC07" w14:textId="77777777" w:rsidTr="3517B442">
        <w:tc>
          <w:tcPr>
            <w:tcW w:w="1017" w:type="pct"/>
            <w:vAlign w:val="center"/>
          </w:tcPr>
          <w:p w14:paraId="1BCD42C0" w14:textId="77777777" w:rsidR="00F6614E" w:rsidRPr="00704B78" w:rsidRDefault="00F6614E" w:rsidP="006E2A77">
            <w:pPr>
              <w:pStyle w:val="TableText"/>
              <w:keepNext w:val="0"/>
              <w:widowControl/>
            </w:pPr>
            <w:r w:rsidRPr="00704B78">
              <w:t>Discount rate</w:t>
            </w:r>
          </w:p>
        </w:tc>
        <w:tc>
          <w:tcPr>
            <w:tcW w:w="3983" w:type="pct"/>
            <w:vAlign w:val="center"/>
          </w:tcPr>
          <w:p w14:paraId="2C8681D7" w14:textId="77777777" w:rsidR="00F6614E" w:rsidRPr="00704B78" w:rsidRDefault="00F6614E" w:rsidP="006E2A77">
            <w:pPr>
              <w:pStyle w:val="TableText"/>
              <w:keepNext w:val="0"/>
              <w:widowControl/>
            </w:pPr>
            <w:r w:rsidRPr="00704B78">
              <w:t>5% for costs and outcomes</w:t>
            </w:r>
          </w:p>
        </w:tc>
      </w:tr>
      <w:tr w:rsidR="00F6614E" w:rsidRPr="00704B78" w14:paraId="4D796B31" w14:textId="77777777" w:rsidTr="3517B442">
        <w:tc>
          <w:tcPr>
            <w:tcW w:w="1017" w:type="pct"/>
            <w:vAlign w:val="center"/>
          </w:tcPr>
          <w:p w14:paraId="2A18BC3E" w14:textId="77777777" w:rsidR="00F6614E" w:rsidRPr="00704B78" w:rsidRDefault="00F6614E" w:rsidP="006E2A77">
            <w:pPr>
              <w:pStyle w:val="TableText"/>
              <w:keepNext w:val="0"/>
              <w:widowControl/>
              <w:rPr>
                <w:rFonts w:ascii="Times" w:eastAsia="Times New Roman" w:hAnsi="Times" w:cs="Times New Roman"/>
                <w:szCs w:val="20"/>
              </w:rPr>
            </w:pPr>
            <w:r w:rsidRPr="00704B78">
              <w:t>Software package</w:t>
            </w:r>
          </w:p>
        </w:tc>
        <w:tc>
          <w:tcPr>
            <w:tcW w:w="3983" w:type="pct"/>
            <w:vAlign w:val="center"/>
          </w:tcPr>
          <w:p w14:paraId="11FA6174" w14:textId="77777777" w:rsidR="00F6614E" w:rsidRPr="00704B78" w:rsidRDefault="00F6614E" w:rsidP="006E2A77">
            <w:pPr>
              <w:pStyle w:val="TableText"/>
              <w:keepNext w:val="0"/>
              <w:widowControl/>
            </w:pPr>
            <w:r w:rsidRPr="00704B78">
              <w:t>Microsoft Excel 365</w:t>
            </w:r>
          </w:p>
        </w:tc>
      </w:tr>
    </w:tbl>
    <w:p w14:paraId="46121EA7" w14:textId="77777777" w:rsidR="00F6614E" w:rsidRPr="00704B78" w:rsidRDefault="00F6614E" w:rsidP="006E2A77">
      <w:pPr>
        <w:pStyle w:val="COMTablefooter"/>
      </w:pPr>
      <w:r w:rsidRPr="00704B78">
        <w:t xml:space="preserve">Source: Table 3A-3, p210 of the resubmission </w:t>
      </w:r>
    </w:p>
    <w:p w14:paraId="6331D9AA" w14:textId="0094438C" w:rsidR="00C944A5" w:rsidRPr="00704B78" w:rsidRDefault="00F6614E" w:rsidP="006E2A77">
      <w:pPr>
        <w:pStyle w:val="COMTablefooter"/>
      </w:pPr>
      <w:r w:rsidRPr="00704B78">
        <w:t>Abbreviations: IVIg, Intravenous immunoglobulin; MG-ADL, Myasthenia Gravis Activities of Daily Living; MSAC, Medicare Services Advisory Committee; PLEX, plasma exchange</w:t>
      </w:r>
    </w:p>
    <w:p w14:paraId="500E1AF3" w14:textId="1E90CA48" w:rsidR="005467ED" w:rsidRPr="00704B78" w:rsidRDefault="005467ED" w:rsidP="006E2A77">
      <w:pPr>
        <w:pStyle w:val="COMexecsummnumbered"/>
      </w:pPr>
      <w:r w:rsidRPr="00704B78">
        <w:t>All patients begin the model in the first-line treatment initiator health state. During this period, patients may only experience adverse events associated with first-line therapy.</w:t>
      </w:r>
    </w:p>
    <w:p w14:paraId="307B2613" w14:textId="5A92E2A8" w:rsidR="00C944A5" w:rsidRPr="00704B78" w:rsidRDefault="00C944A5" w:rsidP="006E2A77">
      <w:pPr>
        <w:pStyle w:val="COMexecsummnumbered"/>
      </w:pPr>
      <w:r w:rsidRPr="00704B78">
        <w:t xml:space="preserve">After the first cycle, patients are assigned to response and non-response health states. Responders may remain in this state, die due to general mortality or crisis-related mortality, prematurely discontinue therapy (active therapies only) or experience loss </w:t>
      </w:r>
      <w:r w:rsidRPr="00704B78">
        <w:lastRenderedPageBreak/>
        <w:t>of response (with different estimates depending on whether patients had achieved a pharmacological remission). All non-responders are assumed to have discontinued therapy and may die due to general mortality or crisis-related mortality. During this period, both responders and non-responders may also experience exacerbations or myasthenic crisis events.</w:t>
      </w:r>
    </w:p>
    <w:p w14:paraId="16F14E43" w14:textId="370BA08B" w:rsidR="00C944A5" w:rsidRPr="00704B78" w:rsidRDefault="00C944A5" w:rsidP="006E2A77">
      <w:pPr>
        <w:pStyle w:val="COMexecsummnumbered"/>
      </w:pPr>
      <w:r w:rsidRPr="00704B78">
        <w:t>Patients in both arms who remain in the response state for 2 years (newly diagnosed patients) and patients in the ravulizumab arm who remain in the response state for 8 years (treatment refractory patients) achieve a pharmacological remission and do not require any further treatment other than standard therapy but may lose response over time.</w:t>
      </w:r>
    </w:p>
    <w:p w14:paraId="22BE12AD" w14:textId="77777777" w:rsidR="00C944A5" w:rsidRPr="00704B78" w:rsidRDefault="00C944A5" w:rsidP="006E2A77">
      <w:pPr>
        <w:pStyle w:val="COMexecsummnumbered"/>
      </w:pPr>
      <w:r w:rsidRPr="00704B78">
        <w:t xml:space="preserve">After discontinuation/loss of effect, patients are assumed to enter a subsequent treatment initiator health state for one cycle before being assigned to response and non-response health states </w:t>
      </w:r>
      <w:proofErr w:type="gramStart"/>
      <w:r w:rsidRPr="00704B78">
        <w:t>similar to</w:t>
      </w:r>
      <w:proofErr w:type="gramEnd"/>
      <w:r w:rsidRPr="00704B78">
        <w:t xml:space="preserve"> first-line therapy. During this period, patients may die due to general mortality or crisis-related mortality and may experience adverse events (first cycle of treatment only) and exacerbations or myasthenic crisis events. Patients who discontinue subsequent-line therapy are assumed to remain on treatment with standard therapy alone. </w:t>
      </w:r>
    </w:p>
    <w:p w14:paraId="457D72CF" w14:textId="232354CF" w:rsidR="008976B8" w:rsidRPr="00704B78" w:rsidRDefault="00613FC6" w:rsidP="006E2A77">
      <w:pPr>
        <w:pStyle w:val="COMexecsummnumbered"/>
      </w:pPr>
      <w:r w:rsidRPr="00704B78">
        <w:t xml:space="preserve">The </w:t>
      </w:r>
      <w:r w:rsidR="0081555C" w:rsidRPr="00704B78">
        <w:t xml:space="preserve">evaluation and the ESC considered that the </w:t>
      </w:r>
      <w:r w:rsidRPr="00704B78">
        <w:t xml:space="preserve">resubmission did not adequately justify the modelling of </w:t>
      </w:r>
      <w:r w:rsidR="00C87821" w:rsidRPr="00704B78">
        <w:t xml:space="preserve">rituximab and cyclophosphamide as </w:t>
      </w:r>
      <w:r w:rsidRPr="00704B78">
        <w:t xml:space="preserve">subsequent-line therapies in the economic evaluation for the newly diagnosed population (as </w:t>
      </w:r>
      <w:r w:rsidR="00C87821" w:rsidRPr="00704B78">
        <w:t>these therapies</w:t>
      </w:r>
      <w:r w:rsidRPr="00704B78">
        <w:t xml:space="preserve"> are typically reserved for treatment refractory disease) or the treatment refractory population (as ravulizumab is proposed as a last-line therapy in treatment refractory disease). </w:t>
      </w:r>
      <w:r w:rsidR="008976B8" w:rsidRPr="00704B78">
        <w:t>The major impact of modelling subsequent-line therapies was the inclusion of worse utility values for treatment non-responders derived from external data sources rather than using the observed utility values from the CHAMPION-MG trial.</w:t>
      </w:r>
    </w:p>
    <w:p w14:paraId="7216BD8C" w14:textId="6629A673" w:rsidR="002D0834" w:rsidRPr="00704B78" w:rsidRDefault="00613FC6" w:rsidP="006E2A77">
      <w:pPr>
        <w:pStyle w:val="COMexecsummnumbered"/>
      </w:pPr>
      <w:r w:rsidRPr="00704B78">
        <w:t xml:space="preserve">Key drivers of the economic model are summarised in </w:t>
      </w:r>
      <w:r w:rsidR="007A7F80" w:rsidRPr="00704B78">
        <w:fldChar w:fldCharType="begin"/>
      </w:r>
      <w:r w:rsidR="007A7F80" w:rsidRPr="00704B78">
        <w:instrText xml:space="preserve"> REF _Ref187652343 \h </w:instrText>
      </w:r>
      <w:r w:rsidR="00704B78" w:rsidRPr="00704B78">
        <w:instrText xml:space="preserve"> \* MERGEFORMAT </w:instrText>
      </w:r>
      <w:r w:rsidR="007A7F80" w:rsidRPr="00704B78">
        <w:fldChar w:fldCharType="separate"/>
      </w:r>
      <w:r w:rsidR="00875704" w:rsidRPr="00704B78">
        <w:t xml:space="preserve">Table </w:t>
      </w:r>
      <w:r w:rsidR="00875704">
        <w:rPr>
          <w:noProof/>
        </w:rPr>
        <w:t>11</w:t>
      </w:r>
      <w:r w:rsidR="007A7F80" w:rsidRPr="00704B78">
        <w:fldChar w:fldCharType="end"/>
      </w:r>
      <w:r w:rsidRPr="00704B78">
        <w:t>.</w:t>
      </w:r>
    </w:p>
    <w:p w14:paraId="0DC32536" w14:textId="5D6D21BE" w:rsidR="002D0834" w:rsidRPr="00704B78" w:rsidRDefault="007A7F80" w:rsidP="006E2A77">
      <w:pPr>
        <w:pStyle w:val="COMtablefigcaption"/>
        <w:keepLines/>
      </w:pPr>
      <w:bookmarkStart w:id="49" w:name="_Ref187652343"/>
      <w:r w:rsidRPr="00704B78">
        <w:lastRenderedPageBreak/>
        <w:t xml:space="preserve">Table </w:t>
      </w:r>
      <w:r w:rsidRPr="00704B78">
        <w:fldChar w:fldCharType="begin"/>
      </w:r>
      <w:r w:rsidRPr="00704B78">
        <w:instrText>SEQ Table \* ARABIC</w:instrText>
      </w:r>
      <w:r w:rsidRPr="00704B78">
        <w:fldChar w:fldCharType="separate"/>
      </w:r>
      <w:r w:rsidR="00875704">
        <w:rPr>
          <w:noProof/>
        </w:rPr>
        <w:t>11</w:t>
      </w:r>
      <w:r w:rsidRPr="00704B78">
        <w:fldChar w:fldCharType="end"/>
      </w:r>
      <w:bookmarkEnd w:id="49"/>
      <w:r w:rsidR="002D0834" w:rsidRPr="00704B78">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55"/>
        <w:gridCol w:w="6537"/>
        <w:gridCol w:w="1225"/>
      </w:tblGrid>
      <w:tr w:rsidR="002D0834" w:rsidRPr="00704B78" w14:paraId="3E7A7371" w14:textId="77777777" w:rsidTr="3517B442">
        <w:trPr>
          <w:tblHeader/>
        </w:trPr>
        <w:tc>
          <w:tcPr>
            <w:tcW w:w="696" w:type="pct"/>
            <w:vAlign w:val="center"/>
          </w:tcPr>
          <w:p w14:paraId="12774636" w14:textId="77777777" w:rsidR="002D0834" w:rsidRPr="00704B78" w:rsidRDefault="002D0834" w:rsidP="006E2A77">
            <w:pPr>
              <w:pStyle w:val="COMTableheadingrow"/>
              <w:keepLines/>
              <w:jc w:val="center"/>
              <w:rPr>
                <w:lang w:val="en-AU"/>
              </w:rPr>
            </w:pPr>
            <w:r w:rsidRPr="00704B78">
              <w:rPr>
                <w:lang w:val="en-AU"/>
              </w:rPr>
              <w:t>Description</w:t>
            </w:r>
          </w:p>
        </w:tc>
        <w:tc>
          <w:tcPr>
            <w:tcW w:w="3625" w:type="pct"/>
            <w:vAlign w:val="center"/>
          </w:tcPr>
          <w:p w14:paraId="04CD44EF" w14:textId="77777777" w:rsidR="002D0834" w:rsidRPr="00704B78" w:rsidRDefault="002D0834" w:rsidP="006E2A77">
            <w:pPr>
              <w:pStyle w:val="COMTableheadingrow"/>
              <w:keepLines/>
              <w:jc w:val="center"/>
              <w:rPr>
                <w:lang w:val="en-AU"/>
              </w:rPr>
            </w:pPr>
            <w:r w:rsidRPr="00704B78">
              <w:rPr>
                <w:lang w:val="en-AU"/>
              </w:rPr>
              <w:t>Method/Value</w:t>
            </w:r>
          </w:p>
        </w:tc>
        <w:tc>
          <w:tcPr>
            <w:tcW w:w="679" w:type="pct"/>
            <w:vAlign w:val="center"/>
          </w:tcPr>
          <w:p w14:paraId="51DA4AF5" w14:textId="77777777" w:rsidR="002D0834" w:rsidRPr="00704B78" w:rsidRDefault="002D0834" w:rsidP="006E2A77">
            <w:pPr>
              <w:pStyle w:val="COMTableheadingrow"/>
              <w:keepLines/>
              <w:jc w:val="center"/>
              <w:rPr>
                <w:lang w:val="en-AU"/>
              </w:rPr>
            </w:pPr>
            <w:r w:rsidRPr="00704B78">
              <w:rPr>
                <w:lang w:val="en-AU"/>
              </w:rPr>
              <w:t>Impact</w:t>
            </w:r>
          </w:p>
        </w:tc>
      </w:tr>
      <w:tr w:rsidR="00535DAE" w:rsidRPr="00704B78" w14:paraId="2BFEA881" w14:textId="77777777" w:rsidTr="00A43F91">
        <w:tc>
          <w:tcPr>
            <w:tcW w:w="696" w:type="pct"/>
            <w:vAlign w:val="center"/>
          </w:tcPr>
          <w:p w14:paraId="0152C2E7" w14:textId="52760B54" w:rsidR="00535DAE" w:rsidRPr="00704B78" w:rsidRDefault="00535DAE" w:rsidP="006E2A77">
            <w:pPr>
              <w:pStyle w:val="COMTabletext"/>
              <w:keepLines/>
            </w:pPr>
            <w:r w:rsidRPr="00704B78">
              <w:t>Time horizon</w:t>
            </w:r>
          </w:p>
        </w:tc>
        <w:tc>
          <w:tcPr>
            <w:tcW w:w="3625" w:type="pct"/>
            <w:vAlign w:val="center"/>
          </w:tcPr>
          <w:p w14:paraId="75147AE9" w14:textId="77777777" w:rsidR="00271A10" w:rsidRPr="00704B78" w:rsidRDefault="00535DAE" w:rsidP="006E2A77">
            <w:pPr>
              <w:pStyle w:val="COMTabletext"/>
              <w:keepLines/>
            </w:pPr>
            <w:r w:rsidRPr="00704B78">
              <w:t xml:space="preserve">The resubmission nominated a </w:t>
            </w:r>
            <w:proofErr w:type="gramStart"/>
            <w:r w:rsidRPr="00704B78">
              <w:t>15 year</w:t>
            </w:r>
            <w:proofErr w:type="gramEnd"/>
            <w:r w:rsidRPr="00704B78">
              <w:t xml:space="preserve"> time horizon for </w:t>
            </w:r>
            <w:r w:rsidR="00FD1678" w:rsidRPr="00704B78">
              <w:t>both</w:t>
            </w:r>
            <w:r w:rsidRPr="00704B78">
              <w:t xml:space="preserve"> economic analys</w:t>
            </w:r>
            <w:r w:rsidR="00FD1678" w:rsidRPr="00704B78">
              <w:t>e</w:t>
            </w:r>
            <w:r w:rsidRPr="00704B78">
              <w:t xml:space="preserve">s on the basis that this was sufficient to capture the costs and consequences of multiple lines of therapy for a long-term condition. </w:t>
            </w:r>
          </w:p>
          <w:p w14:paraId="46CD8C2E" w14:textId="204546DF" w:rsidR="00587F6A" w:rsidRPr="00704B78" w:rsidRDefault="00872C38" w:rsidP="006E2A77">
            <w:pPr>
              <w:pStyle w:val="COMTabletext"/>
              <w:keepLines/>
            </w:pPr>
            <w:r w:rsidRPr="00704B78">
              <w:t xml:space="preserve">The evaluation considered that </w:t>
            </w:r>
            <w:r w:rsidR="002D0B58" w:rsidRPr="00704B78">
              <w:t>a</w:t>
            </w:r>
            <w:r w:rsidR="00535DAE" w:rsidRPr="00704B78">
              <w:t xml:space="preserve"> 2-year time horizon may be more appropriate in newly diagnosed patients given the proposed role of ravulizumab as a treatment to provide symptom control while non-steroidal immunosuppressive therapies are being optimised (which </w:t>
            </w:r>
            <w:r w:rsidR="00DD1D05" w:rsidRPr="00704B78">
              <w:t xml:space="preserve">the resubmission claimed </w:t>
            </w:r>
            <w:r w:rsidR="00535DAE" w:rsidRPr="00704B78">
              <w:t xml:space="preserve">may take up to 2 years). </w:t>
            </w:r>
            <w:r w:rsidRPr="00704B78">
              <w:t>The evaluation considered that t</w:t>
            </w:r>
            <w:r w:rsidR="00535DAE" w:rsidRPr="00704B78">
              <w:t xml:space="preserve">here is currently no clinical evidence to support a difference in pharmacological remission rates between </w:t>
            </w:r>
            <w:r w:rsidR="0035580B" w:rsidRPr="00704B78">
              <w:t>ravulizumab and placebo</w:t>
            </w:r>
            <w:r w:rsidR="00535DAE" w:rsidRPr="00704B78">
              <w:t xml:space="preserve"> after background therapies have been optimised.</w:t>
            </w:r>
            <w:r w:rsidRPr="00704B78">
              <w:t xml:space="preserve"> However, the </w:t>
            </w:r>
            <w:r w:rsidR="00DD1D05" w:rsidRPr="00704B78">
              <w:t xml:space="preserve">PSCR argued that a </w:t>
            </w:r>
            <w:proofErr w:type="gramStart"/>
            <w:r w:rsidR="00DD1D05" w:rsidRPr="00704B78">
              <w:t>2 year</w:t>
            </w:r>
            <w:proofErr w:type="gramEnd"/>
            <w:r w:rsidR="00DD1D05" w:rsidRPr="00704B78">
              <w:t xml:space="preserve"> time horizon </w:t>
            </w:r>
            <w:r w:rsidR="0079148F" w:rsidRPr="00704B78">
              <w:t xml:space="preserve">would not adequately capture the </w:t>
            </w:r>
            <w:proofErr w:type="gramStart"/>
            <w:r w:rsidR="0079148F" w:rsidRPr="00704B78">
              <w:t>long term</w:t>
            </w:r>
            <w:proofErr w:type="gramEnd"/>
            <w:r w:rsidR="0079148F" w:rsidRPr="00704B78">
              <w:t xml:space="preserve"> benefits for patients who achieved greater symptom control within the initial treatment phase</w:t>
            </w:r>
            <w:r w:rsidR="004B3755" w:rsidRPr="00704B78">
              <w:t>.</w:t>
            </w:r>
          </w:p>
          <w:p w14:paraId="37FED57A" w14:textId="77777777" w:rsidR="00587F6A" w:rsidRPr="00704B78" w:rsidRDefault="00587F6A" w:rsidP="006E2A77">
            <w:pPr>
              <w:pStyle w:val="COMTabletext"/>
              <w:keepLines/>
            </w:pPr>
          </w:p>
          <w:p w14:paraId="5F0BB79C" w14:textId="620B4274" w:rsidR="00661902" w:rsidRPr="00704B78" w:rsidRDefault="00587F6A" w:rsidP="006E2A77">
            <w:pPr>
              <w:pStyle w:val="COMTabletext"/>
              <w:keepLines/>
            </w:pPr>
            <w:r w:rsidRPr="00704B78">
              <w:t>Overall, t</w:t>
            </w:r>
            <w:r w:rsidR="00DD1D05" w:rsidRPr="00704B78">
              <w:t xml:space="preserve">he ESC considered that </w:t>
            </w:r>
            <w:r w:rsidR="00271A10" w:rsidRPr="00704B78">
              <w:t xml:space="preserve">a </w:t>
            </w:r>
            <w:proofErr w:type="gramStart"/>
            <w:r w:rsidR="00271A10" w:rsidRPr="00704B78">
              <w:t>ten year</w:t>
            </w:r>
            <w:proofErr w:type="gramEnd"/>
            <w:r w:rsidR="00271A10" w:rsidRPr="00704B78">
              <w:t xml:space="preserve"> time horizon</w:t>
            </w:r>
            <w:r w:rsidR="00F11ACD" w:rsidRPr="00704B78">
              <w:t xml:space="preserve"> (rather than 15 years)</w:t>
            </w:r>
            <w:r w:rsidR="00271A10" w:rsidRPr="00704B78">
              <w:t xml:space="preserve"> may be more appropriate in both settings</w:t>
            </w:r>
            <w:r w:rsidR="00F11ACD" w:rsidRPr="00704B78">
              <w:t xml:space="preserve"> </w:t>
            </w:r>
            <w:r w:rsidR="005B4FCF" w:rsidRPr="00704B78">
              <w:t>given the uncertain long-term extrapolations</w:t>
            </w:r>
            <w:r w:rsidR="00775BA2" w:rsidRPr="00704B78">
              <w:t xml:space="preserve"> e.g. due to</w:t>
            </w:r>
            <w:r w:rsidR="009031BF" w:rsidRPr="00704B78">
              <w:t xml:space="preserve"> </w:t>
            </w:r>
            <w:r w:rsidR="00775BA2" w:rsidRPr="00704B78">
              <w:t xml:space="preserve">the lack of long-term data </w:t>
            </w:r>
            <w:r w:rsidR="009031BF" w:rsidRPr="00704B78">
              <w:t>around treatment/remission durations</w:t>
            </w:r>
            <w:r w:rsidR="00775BA2" w:rsidRPr="00704B78">
              <w:t>.</w:t>
            </w:r>
          </w:p>
        </w:tc>
        <w:tc>
          <w:tcPr>
            <w:tcW w:w="679" w:type="pct"/>
            <w:vAlign w:val="center"/>
          </w:tcPr>
          <w:p w14:paraId="5F8FD581" w14:textId="52C8D31C" w:rsidR="00535DAE" w:rsidRPr="00704B78" w:rsidRDefault="00535DAE" w:rsidP="006E2A77">
            <w:pPr>
              <w:pStyle w:val="COMTabletext"/>
              <w:keepLines/>
              <w:jc w:val="center"/>
            </w:pPr>
            <w:r w:rsidRPr="00704B78">
              <w:t>High, favours ravulizumab</w:t>
            </w:r>
          </w:p>
        </w:tc>
      </w:tr>
      <w:tr w:rsidR="00535DAE" w:rsidRPr="00704B78" w14:paraId="694210C7" w14:textId="77777777" w:rsidTr="00A43F91">
        <w:tc>
          <w:tcPr>
            <w:tcW w:w="696" w:type="pct"/>
            <w:vAlign w:val="center"/>
          </w:tcPr>
          <w:p w14:paraId="7AAB991A" w14:textId="0366BFCE" w:rsidR="00535DAE" w:rsidRPr="00704B78" w:rsidRDefault="00535DAE" w:rsidP="006E2A77">
            <w:pPr>
              <w:pStyle w:val="COMTabletext"/>
              <w:keepLines/>
            </w:pPr>
            <w:r w:rsidRPr="00704B78">
              <w:t>Subgroup clinical data</w:t>
            </w:r>
          </w:p>
        </w:tc>
        <w:tc>
          <w:tcPr>
            <w:tcW w:w="3625" w:type="pct"/>
            <w:vAlign w:val="center"/>
          </w:tcPr>
          <w:p w14:paraId="1201036B" w14:textId="4ABBFC99" w:rsidR="00535DAE" w:rsidRPr="00704B78" w:rsidRDefault="00535DAE" w:rsidP="006E2A77">
            <w:pPr>
              <w:pStyle w:val="COMTabletext"/>
              <w:keepLines/>
              <w:spacing w:after="120"/>
            </w:pPr>
            <w:r w:rsidRPr="00704B78">
              <w:t xml:space="preserve">The resubmission estimated treatment response rates and most patient characteristics (age, </w:t>
            </w:r>
            <w:r w:rsidR="00EA479F" w:rsidRPr="00704B78">
              <w:t>sex</w:t>
            </w:r>
            <w:r w:rsidRPr="00704B78">
              <w:t>, disease duration, baseline MG-ADL score and baseline EQ-5D-5L health state index score) based on post hoc subgroup data for newly diagnosed and treatment refractory patients in the CHAMPION-MG trial.</w:t>
            </w:r>
          </w:p>
          <w:p w14:paraId="479485D2" w14:textId="19E0D0BB" w:rsidR="00535DAE" w:rsidRPr="00704B78" w:rsidRDefault="00535DAE" w:rsidP="006E2A77">
            <w:pPr>
              <w:pStyle w:val="COMTabletext"/>
              <w:keepLines/>
              <w:spacing w:after="120"/>
            </w:pPr>
            <w:r w:rsidRPr="00704B78">
              <w:t xml:space="preserve">The definitions used to define the subgroup populations in the CHAMPION-MG trial were not consistent with the target PBS populations which require a more extensive history of prior treatment use for both subgroup populations. </w:t>
            </w:r>
            <w:proofErr w:type="gramStart"/>
            <w:r w:rsidRPr="00704B78">
              <w:t>As a consequence</w:t>
            </w:r>
            <w:proofErr w:type="gramEnd"/>
            <w:r w:rsidRPr="00704B78">
              <w:t>, the patient characteristics reported for these subgroups may not be representative of the target PBS populations.</w:t>
            </w:r>
          </w:p>
          <w:p w14:paraId="228A93DE" w14:textId="16DE5AB2" w:rsidR="00535DAE" w:rsidRPr="00704B78" w:rsidRDefault="00535DAE" w:rsidP="006E2A77">
            <w:pPr>
              <w:pStyle w:val="COMTabletext"/>
              <w:keepLines/>
            </w:pPr>
            <w:r w:rsidRPr="00704B78">
              <w:t xml:space="preserve">The resubmission claimed differences in treatment effects in the subgroup populations compared to the overall population </w:t>
            </w:r>
            <w:r w:rsidR="000E31E3" w:rsidRPr="00704B78">
              <w:t>that</w:t>
            </w:r>
            <w:r w:rsidRPr="00704B78">
              <w:t xml:space="preserve"> were not well supported by the available data. The</w:t>
            </w:r>
            <w:r w:rsidR="00DE6AF4" w:rsidRPr="00704B78">
              <w:t>re</w:t>
            </w:r>
            <w:r w:rsidRPr="00704B78">
              <w:t xml:space="preserve"> was no statistically significant treatment interaction by time since diagnosis or treatment refractory status in mean change in MG-ADL score from baseline. While there appeared to be numerical differences in response in the newly diagnosed population, this should be interpreted with caution given the small patient numbers, differences in patient characteristics compared to other trial participants (w</w:t>
            </w:r>
            <w:r w:rsidR="00DE6AF4" w:rsidRPr="00704B78">
              <w:t>hich</w:t>
            </w:r>
            <w:r w:rsidRPr="00704B78">
              <w:t xml:space="preserve"> were suggestive of a higher proportion of late-onset myasthenia gravis patients in this subgroup) and imbalances between treatment arms (particularly in regards to severity of muscle weakness, prior history of exacerbations and baseline immunosuppressive therapy).</w:t>
            </w:r>
          </w:p>
        </w:tc>
        <w:tc>
          <w:tcPr>
            <w:tcW w:w="679" w:type="pct"/>
            <w:vAlign w:val="center"/>
          </w:tcPr>
          <w:p w14:paraId="3957681E" w14:textId="77777777" w:rsidR="00535DAE" w:rsidRPr="00704B78" w:rsidRDefault="00535DAE" w:rsidP="006E2A77">
            <w:pPr>
              <w:pStyle w:val="COMTabletext"/>
              <w:keepLines/>
              <w:jc w:val="center"/>
            </w:pPr>
            <w:r w:rsidRPr="00704B78">
              <w:t>High, favours ravulizumab</w:t>
            </w:r>
          </w:p>
        </w:tc>
      </w:tr>
      <w:tr w:rsidR="00535DAE" w:rsidRPr="00704B78" w14:paraId="6BAAA059" w14:textId="77777777" w:rsidTr="00A43F91">
        <w:trPr>
          <w:trHeight w:val="698"/>
        </w:trPr>
        <w:tc>
          <w:tcPr>
            <w:tcW w:w="696" w:type="pct"/>
            <w:vAlign w:val="center"/>
          </w:tcPr>
          <w:p w14:paraId="6658EABB" w14:textId="77777777" w:rsidR="00535DAE" w:rsidRPr="00704B78" w:rsidRDefault="00535DAE" w:rsidP="006E2A77">
            <w:pPr>
              <w:pStyle w:val="COMTabletext"/>
              <w:keepNext w:val="0"/>
            </w:pPr>
            <w:r w:rsidRPr="00704B78">
              <w:t>Treatment discontinuation/</w:t>
            </w:r>
          </w:p>
          <w:p w14:paraId="5FFF64E7" w14:textId="66DEB545" w:rsidR="00535DAE" w:rsidRPr="00704B78" w:rsidRDefault="00535DAE" w:rsidP="006E2A77">
            <w:pPr>
              <w:pStyle w:val="COMTabletext"/>
              <w:keepNext w:val="0"/>
            </w:pPr>
            <w:r w:rsidRPr="00704B78">
              <w:t>loss of effect</w:t>
            </w:r>
            <w:r w:rsidR="00B24BC9" w:rsidRPr="00704B78">
              <w:t xml:space="preserve"> in the </w:t>
            </w:r>
            <w:r w:rsidRPr="00704B78">
              <w:t>newly diagnosed</w:t>
            </w:r>
            <w:r w:rsidR="00304314" w:rsidRPr="00704B78">
              <w:t xml:space="preserve"> model</w:t>
            </w:r>
          </w:p>
        </w:tc>
        <w:tc>
          <w:tcPr>
            <w:tcW w:w="3625" w:type="pct"/>
            <w:vAlign w:val="center"/>
          </w:tcPr>
          <w:p w14:paraId="2197293C" w14:textId="0C3E7DE2" w:rsidR="00535DAE" w:rsidRPr="00704B78" w:rsidRDefault="00535DAE" w:rsidP="006E2A77">
            <w:pPr>
              <w:pStyle w:val="TableText"/>
              <w:keepNext w:val="0"/>
              <w:widowControl/>
              <w:spacing w:after="120"/>
              <w:rPr>
                <w:szCs w:val="20"/>
              </w:rPr>
            </w:pPr>
            <w:r w:rsidRPr="00704B78">
              <w:rPr>
                <w:szCs w:val="20"/>
              </w:rPr>
              <w:t xml:space="preserve">All patients in the non-responder states were assumed to have discontinued </w:t>
            </w:r>
            <w:r w:rsidR="00EA479F" w:rsidRPr="00704B78">
              <w:rPr>
                <w:szCs w:val="20"/>
              </w:rPr>
              <w:t xml:space="preserve">add-on </w:t>
            </w:r>
            <w:r w:rsidRPr="00704B78">
              <w:rPr>
                <w:szCs w:val="20"/>
              </w:rPr>
              <w:t>therapy</w:t>
            </w:r>
            <w:r w:rsidR="00EA479F" w:rsidRPr="00704B78">
              <w:rPr>
                <w:szCs w:val="20"/>
              </w:rPr>
              <w:t xml:space="preserve"> with ravulizumab, rituximab and cyclophosphamide</w:t>
            </w:r>
            <w:r w:rsidRPr="00704B78">
              <w:rPr>
                <w:szCs w:val="20"/>
              </w:rPr>
              <w:t>.</w:t>
            </w:r>
          </w:p>
          <w:p w14:paraId="0C0CD414" w14:textId="5AC8F923" w:rsidR="00535DAE" w:rsidRPr="00704B78" w:rsidRDefault="00535DAE" w:rsidP="006E2A77">
            <w:pPr>
              <w:pStyle w:val="COMTabletext"/>
              <w:keepNext w:val="0"/>
              <w:spacing w:after="120"/>
            </w:pPr>
            <w:r w:rsidRPr="00704B78">
              <w:t>The resubmission assumed that treatment responders to ravulizumab could discontinue therapy between the first cycle and 2-years based on the reported discontinuations in the 60-week CHAMPION-MG interim extension report. The resubmission did not adequately justify the use of overall population results to inform discontinuation rates rather than subgroup results (which w</w:t>
            </w:r>
            <w:r w:rsidR="0021003D" w:rsidRPr="00704B78">
              <w:t>ere</w:t>
            </w:r>
            <w:r w:rsidRPr="00704B78">
              <w:t xml:space="preserve"> used in the treatment refractory model). Additionally, the resubmission did not justify using interim data rather than final data from the extension study.</w:t>
            </w:r>
            <w:r w:rsidR="00EA479F" w:rsidRPr="00704B78">
              <w:t xml:space="preserve"> As stated above, there is currently no clinical evidence to support a difference in pharmacological remission rates between </w:t>
            </w:r>
            <w:r w:rsidR="00426080" w:rsidRPr="00704B78">
              <w:t>ravulizumab and placebo</w:t>
            </w:r>
            <w:r w:rsidR="00EA479F" w:rsidRPr="00704B78">
              <w:t xml:space="preserve"> after background therapies have been optimised.</w:t>
            </w:r>
          </w:p>
          <w:p w14:paraId="71B88555" w14:textId="78D63787" w:rsidR="00535DAE" w:rsidRPr="00704B78" w:rsidRDefault="00535DAE" w:rsidP="006E2A77">
            <w:pPr>
              <w:pStyle w:val="COMTabletext"/>
              <w:keepNext w:val="0"/>
              <w:spacing w:after="120"/>
            </w:pPr>
            <w:r w:rsidRPr="00704B78">
              <w:t xml:space="preserve">The resubmission assumed that the proportion of responders in the placebo arm would decrease between the first cycle and 2 years as these patients have not had sufficient time to achieve treatment optimisation. The resubmission estimated this rate based on the assumption that 64% of patients (based on the proportion of non-responders at 12 weeks) would lose response by 2 years which resulted in a loss of response rate of </w:t>
            </w:r>
            <w:r w:rsidRPr="00704B78">
              <w:lastRenderedPageBreak/>
              <w:t>12.1% per cycle. The calculation of this estimate was poorly justified and did not appear to be a valid method to estimate loss of response in placebo patients.</w:t>
            </w:r>
          </w:p>
          <w:p w14:paraId="6CD70021" w14:textId="12749FE3" w:rsidR="00535DAE" w:rsidRPr="00704B78" w:rsidRDefault="00535DAE" w:rsidP="006E2A77">
            <w:pPr>
              <w:pStyle w:val="COMTabletext"/>
              <w:keepNext w:val="0"/>
              <w:spacing w:after="120"/>
            </w:pPr>
            <w:r w:rsidRPr="00704B78">
              <w:t>The resubmission assumed that patients in both treatment arms who achieved a pharmacological remission at 2 years and stopped their first-line therapy would gradually lose that response over time. The resubmission estimated this rate based on the assumption that 15% of patients (based on expert advice that 10% to 20% of generalised myasthenia gravis patients are treatment refractory) would lose response over 12 years (the remaining time after 2 years of first-line therapy and 1 year of subsequent-line therapy) which resulted in a loss of response rate of 0.34% per cycle. The expert advice related to all generalised myasthenia gravis patients rather than the proportion of newly diagnosed patients who respond to second-line bridging therapy and then become non-responders. Based on the information presented in the resubmission, there appears to be insufficient data to reliably estimate loss of response over time in patients who have achieved a pharmacological remission.</w:t>
            </w:r>
          </w:p>
          <w:p w14:paraId="63CEE9CD" w14:textId="7F5CA9ED" w:rsidR="00535DAE" w:rsidRPr="00704B78" w:rsidRDefault="00535DAE" w:rsidP="006E2A77">
            <w:pPr>
              <w:pStyle w:val="COMTabletext"/>
              <w:keepNext w:val="0"/>
            </w:pPr>
            <w:r w:rsidRPr="00704B78">
              <w:t>The resubmission assumed that treatment responders to cyclophosphamide and rituximab would have a maximum treatment duration of 1 year. The maximum treatment duration of these therapies in clinical practice is currently unclear.</w:t>
            </w:r>
          </w:p>
        </w:tc>
        <w:tc>
          <w:tcPr>
            <w:tcW w:w="679" w:type="pct"/>
            <w:vAlign w:val="center"/>
          </w:tcPr>
          <w:p w14:paraId="13EC4F4B" w14:textId="77777777" w:rsidR="00535DAE" w:rsidRPr="00704B78" w:rsidRDefault="00535DAE" w:rsidP="006E2A77">
            <w:pPr>
              <w:pStyle w:val="COMTabletext"/>
              <w:keepNext w:val="0"/>
              <w:jc w:val="center"/>
            </w:pPr>
            <w:r w:rsidRPr="00704B78">
              <w:lastRenderedPageBreak/>
              <w:t>High, favours ravulizumab</w:t>
            </w:r>
          </w:p>
        </w:tc>
      </w:tr>
      <w:tr w:rsidR="00535DAE" w:rsidRPr="00704B78" w14:paraId="77C4BC00" w14:textId="77777777" w:rsidTr="00A43F91">
        <w:trPr>
          <w:trHeight w:val="698"/>
        </w:trPr>
        <w:tc>
          <w:tcPr>
            <w:tcW w:w="696" w:type="pct"/>
            <w:vAlign w:val="center"/>
          </w:tcPr>
          <w:p w14:paraId="6010A2AB" w14:textId="77777777" w:rsidR="00535DAE" w:rsidRPr="00704B78" w:rsidRDefault="00535DAE" w:rsidP="006E2A77">
            <w:pPr>
              <w:pStyle w:val="COMTabletext"/>
              <w:keepNext w:val="0"/>
            </w:pPr>
            <w:r w:rsidRPr="00704B78">
              <w:t>Treatment discontinuation/</w:t>
            </w:r>
          </w:p>
          <w:p w14:paraId="79FCDE77" w14:textId="42284061" w:rsidR="00535DAE" w:rsidRPr="00704B78" w:rsidRDefault="00535DAE" w:rsidP="006E2A77">
            <w:pPr>
              <w:pStyle w:val="COMTabletext"/>
              <w:keepNext w:val="0"/>
            </w:pPr>
            <w:r w:rsidRPr="00704B78">
              <w:t>loss of effect</w:t>
            </w:r>
            <w:r w:rsidR="00304314" w:rsidRPr="00704B78">
              <w:t xml:space="preserve"> in the </w:t>
            </w:r>
            <w:r w:rsidRPr="00704B78">
              <w:t>treatment refractory</w:t>
            </w:r>
            <w:r w:rsidR="00304314" w:rsidRPr="00704B78">
              <w:t xml:space="preserve"> model</w:t>
            </w:r>
          </w:p>
        </w:tc>
        <w:tc>
          <w:tcPr>
            <w:tcW w:w="3625" w:type="pct"/>
            <w:vAlign w:val="center"/>
          </w:tcPr>
          <w:p w14:paraId="0732F1EA" w14:textId="77777777" w:rsidR="00EA479F" w:rsidRPr="00704B78" w:rsidRDefault="00EA479F" w:rsidP="006E2A77">
            <w:pPr>
              <w:pStyle w:val="TableText"/>
              <w:keepNext w:val="0"/>
              <w:widowControl/>
              <w:spacing w:after="120"/>
              <w:rPr>
                <w:szCs w:val="20"/>
              </w:rPr>
            </w:pPr>
            <w:r w:rsidRPr="00704B78">
              <w:rPr>
                <w:szCs w:val="20"/>
              </w:rPr>
              <w:t>All patients in the non-responder states were assumed to have discontinued add-on therapy with ravulizumab, rituximab and cyclophosphamide.</w:t>
            </w:r>
          </w:p>
          <w:p w14:paraId="7D3855F4" w14:textId="4BBA7E74" w:rsidR="006C7213" w:rsidRPr="00704B78" w:rsidRDefault="006C7213" w:rsidP="006E2A77">
            <w:pPr>
              <w:pStyle w:val="TableText"/>
              <w:widowControl/>
              <w:spacing w:after="120"/>
            </w:pPr>
            <w:r w:rsidRPr="00704B78">
              <w:t xml:space="preserve">The resubmission assumed that treatment responders to ravulizumab could discontinue therapy between the first cycle and 8-years years based on the reported discontinuations in the treatment refractory subgroup using data from the CHAMPION-MG extension report. This estimate was inadequately documented and could not be validated during the evaluation. </w:t>
            </w:r>
          </w:p>
          <w:p w14:paraId="29B0935D" w14:textId="60E12202" w:rsidR="006C7213" w:rsidRPr="00704B78" w:rsidRDefault="006C7213" w:rsidP="006E2A77">
            <w:pPr>
              <w:pStyle w:val="TableText"/>
              <w:widowControl/>
              <w:spacing w:after="120"/>
            </w:pPr>
            <w:r w:rsidRPr="00704B78">
              <w:t>The resubmission assumed that patients would only receive treatment for half of the model duration (based on expert advice from treating physicians who stated that they would be willing to consider stopping ravulizumab treatment to assess the impact of concomitant immunosuppressive therapy). Patients who completed 8-years of ravulizumab treatment were assumed to have achieved a pharmacological remission and no longer require any further treatment with ravulizumab. The assumption that patients would receive treatment for half of the model duration was arbitrary and not well justified. The resubmission describe</w:t>
            </w:r>
            <w:r w:rsidR="00EA479F" w:rsidRPr="00704B78">
              <w:t>d</w:t>
            </w:r>
            <w:r w:rsidRPr="00704B78">
              <w:t xml:space="preserve"> the 8-year duration as an average duration however it was implemented in the model as a maximum treatment duration using the exact same approach as the 2-year cap applied to newly diagnosed patients. The average treatment duration of ravulizumab responders in the treatment refractory model was 6.41 years</w:t>
            </w:r>
            <w:r w:rsidR="00EA479F" w:rsidRPr="00704B78">
              <w:t>;</w:t>
            </w:r>
            <w:r w:rsidRPr="00704B78">
              <w:t xml:space="preserve"> when the maximum treatment cap was removed the average treatment duration increased to 9.83 years.</w:t>
            </w:r>
          </w:p>
          <w:p w14:paraId="4791E26A" w14:textId="17240AE4" w:rsidR="006C7213" w:rsidRPr="00704B78" w:rsidRDefault="00367092" w:rsidP="006E2A77">
            <w:pPr>
              <w:pStyle w:val="TableText"/>
              <w:keepNext w:val="0"/>
              <w:widowControl/>
              <w:spacing w:after="120"/>
            </w:pPr>
            <w:r w:rsidRPr="00704B78">
              <w:t>For treatment refractory patients, the proportion of responders in the placebo arm w</w:t>
            </w:r>
            <w:r w:rsidR="00AB54CC" w:rsidRPr="00704B78">
              <w:t>as assumed to</w:t>
            </w:r>
            <w:r w:rsidRPr="00704B78">
              <w:t xml:space="preserve"> decrease over the 15-year duration of the model as these patients had demonstrated inadequate response to standard therapies. </w:t>
            </w:r>
            <w:r w:rsidR="00204615" w:rsidRPr="00704B78">
              <w:t xml:space="preserve">The resubmission also assumed this same rate would apply to ravulizumab patients who achieved pharmacological remission at 8 years. </w:t>
            </w:r>
            <w:r w:rsidRPr="00704B78">
              <w:t>The resubmission estimated this rate based on the assumption that 55% of patients (based on the proportion of non-responders at 12 weeks) would lose response by 2 years which resulted in a loss of response rate of 9.6% per cycle. The calculation of this estimate was poorly justified and did not appear to be a valid method to estimate loss of response in placebo patients.</w:t>
            </w:r>
          </w:p>
          <w:p w14:paraId="74EF7CC7" w14:textId="20EFEF12" w:rsidR="00204615" w:rsidRPr="00704B78" w:rsidRDefault="00204615" w:rsidP="006E2A77">
            <w:pPr>
              <w:pStyle w:val="TableText"/>
              <w:keepNext w:val="0"/>
              <w:widowControl/>
              <w:rPr>
                <w:szCs w:val="20"/>
              </w:rPr>
            </w:pPr>
            <w:r w:rsidRPr="00704B78">
              <w:t>The resubmission assumed that treatment responders to cyclophosphamide and rituximab would have a maximum treatment duration of 1 year. The maximum treatment duration of these therapies in clinical practice is currently unclear.</w:t>
            </w:r>
          </w:p>
        </w:tc>
        <w:tc>
          <w:tcPr>
            <w:tcW w:w="679" w:type="pct"/>
            <w:vAlign w:val="center"/>
          </w:tcPr>
          <w:p w14:paraId="2292E0BF" w14:textId="6BAD5CAD" w:rsidR="00535DAE" w:rsidRPr="00704B78" w:rsidRDefault="00535DAE" w:rsidP="006E2A77">
            <w:pPr>
              <w:pStyle w:val="COMTabletext"/>
              <w:keepNext w:val="0"/>
              <w:jc w:val="center"/>
            </w:pPr>
            <w:r w:rsidRPr="00704B78">
              <w:t>High, favours ravulizumab</w:t>
            </w:r>
          </w:p>
        </w:tc>
      </w:tr>
      <w:tr w:rsidR="00535DAE" w:rsidRPr="00704B78" w14:paraId="1E23F605" w14:textId="77777777" w:rsidTr="00A43F91">
        <w:tc>
          <w:tcPr>
            <w:tcW w:w="696" w:type="pct"/>
            <w:vAlign w:val="center"/>
          </w:tcPr>
          <w:p w14:paraId="0BD667B4" w14:textId="5AE45AE6" w:rsidR="00535DAE" w:rsidRPr="00704B78" w:rsidRDefault="00535DAE" w:rsidP="006E2A77">
            <w:pPr>
              <w:pStyle w:val="COMTabletext"/>
              <w:keepNext w:val="0"/>
            </w:pPr>
            <w:r w:rsidRPr="00704B78">
              <w:lastRenderedPageBreak/>
              <w:t>Utility values for subsequent-line therapies.</w:t>
            </w:r>
          </w:p>
        </w:tc>
        <w:tc>
          <w:tcPr>
            <w:tcW w:w="3625" w:type="pct"/>
            <w:vAlign w:val="center"/>
          </w:tcPr>
          <w:p w14:paraId="020BFBE0" w14:textId="068A1458" w:rsidR="00535DAE" w:rsidRPr="00704B78" w:rsidRDefault="00535DAE" w:rsidP="006E2A77">
            <w:pPr>
              <w:pStyle w:val="COMTabletext"/>
              <w:keepNext w:val="0"/>
              <w:spacing w:after="120"/>
            </w:pPr>
            <w:r w:rsidRPr="00704B78">
              <w:t xml:space="preserve">The resubmission assumed that newly diagnosed patients who responded to subsequent-line therapies would have the same utility as patients with mild myasthenia gravis </w:t>
            </w:r>
            <w:r w:rsidR="009B0E73" w:rsidRPr="00704B78">
              <w:t xml:space="preserve">(MGFA Class II) </w:t>
            </w:r>
            <w:r w:rsidRPr="00704B78">
              <w:t>while non-responders would have the same utility value as patients with moderate myasthenia gravis</w:t>
            </w:r>
            <w:r w:rsidR="009B0E73" w:rsidRPr="00704B78">
              <w:t xml:space="preserve"> (MGFA Class III)</w:t>
            </w:r>
            <w:r w:rsidRPr="00704B78">
              <w:t xml:space="preserve"> using reported EQ-5D-5L estimates</w:t>
            </w:r>
            <w:r w:rsidR="007C5E39" w:rsidRPr="00704B78">
              <w:t xml:space="preserve"> (UK value set)</w:t>
            </w:r>
            <w:r w:rsidRPr="00704B78">
              <w:t xml:space="preserve"> from the </w:t>
            </w:r>
            <w:proofErr w:type="spellStart"/>
            <w:r w:rsidRPr="00704B78">
              <w:t>MyRealWorld</w:t>
            </w:r>
            <w:proofErr w:type="spellEnd"/>
            <w:r w:rsidRPr="00704B78">
              <w:t>-MG patient registry.</w:t>
            </w:r>
          </w:p>
          <w:p w14:paraId="0AEEE43A" w14:textId="676D8563" w:rsidR="00535DAE" w:rsidRPr="00704B78" w:rsidRDefault="00295A93" w:rsidP="006E2A77">
            <w:pPr>
              <w:pStyle w:val="COMTabletext"/>
              <w:keepNext w:val="0"/>
              <w:spacing w:after="120"/>
            </w:pPr>
            <w:r w:rsidRPr="00704B78">
              <w:t>The resubmission assumed that t</w:t>
            </w:r>
            <w:r w:rsidR="00535DAE" w:rsidRPr="00704B78">
              <w:t xml:space="preserve">reatment refractory patients who responded to subsequent-line therapies would have the same utility as patients with mild myasthenia gravis </w:t>
            </w:r>
            <w:r w:rsidRPr="00704B78">
              <w:t xml:space="preserve">(MGFA Class II) </w:t>
            </w:r>
            <w:r w:rsidR="00535DAE" w:rsidRPr="00704B78">
              <w:t>while non-responders would have the same utility value as patients with moderate-to-severe myasthenia gravis</w:t>
            </w:r>
            <w:r w:rsidRPr="00704B78">
              <w:t xml:space="preserve"> (MGFA Class III/IV)</w:t>
            </w:r>
            <w:r w:rsidR="00535DAE" w:rsidRPr="00704B78">
              <w:t xml:space="preserve"> using reported EQ-5D-5L estimates</w:t>
            </w:r>
            <w:r w:rsidR="007C5E39" w:rsidRPr="00704B78">
              <w:t xml:space="preserve"> (UK value set)</w:t>
            </w:r>
            <w:r w:rsidR="00535DAE" w:rsidRPr="00704B78">
              <w:t xml:space="preserve"> from the </w:t>
            </w:r>
            <w:proofErr w:type="spellStart"/>
            <w:r w:rsidR="00535DAE" w:rsidRPr="00704B78">
              <w:t>MyRealWorld</w:t>
            </w:r>
            <w:proofErr w:type="spellEnd"/>
            <w:r w:rsidR="00535DAE" w:rsidRPr="00704B78">
              <w:t>-MG patient registry.</w:t>
            </w:r>
          </w:p>
          <w:p w14:paraId="0A63579F" w14:textId="01DD28A5" w:rsidR="00535DAE" w:rsidRPr="00704B78" w:rsidRDefault="00535DAE" w:rsidP="006E2A77">
            <w:pPr>
              <w:pStyle w:val="COMTabletext"/>
              <w:keepNext w:val="0"/>
            </w:pPr>
            <w:r w:rsidRPr="00704B78">
              <w:t xml:space="preserve">The resubmission </w:t>
            </w:r>
            <w:r w:rsidR="0022576C" w:rsidRPr="00704B78">
              <w:t>did</w:t>
            </w:r>
            <w:r w:rsidRPr="00704B78">
              <w:t xml:space="preserve"> not adequately justif</w:t>
            </w:r>
            <w:r w:rsidR="0022576C" w:rsidRPr="00704B78">
              <w:t>y</w:t>
            </w:r>
            <w:r w:rsidRPr="00704B78">
              <w:t xml:space="preserve"> the use of different utility values for subsequent-line treatments compared to the estimated values for first-line therapies given that the disease does not typically progress with treatment failure.</w:t>
            </w:r>
            <w:r w:rsidR="004F5053" w:rsidRPr="00704B78">
              <w:t xml:space="preserve"> The ESC noted that the model was highly sensitive to this assumption.</w:t>
            </w:r>
          </w:p>
          <w:p w14:paraId="1B3C523E" w14:textId="77777777" w:rsidR="00360C86" w:rsidRPr="00704B78" w:rsidRDefault="00360C86" w:rsidP="006E2A77">
            <w:pPr>
              <w:pStyle w:val="COMTabletext"/>
              <w:keepNext w:val="0"/>
            </w:pPr>
          </w:p>
          <w:p w14:paraId="3B551120" w14:textId="3474C4C3" w:rsidR="00360C86" w:rsidRPr="00704B78" w:rsidRDefault="00360C86" w:rsidP="006E2A77">
            <w:pPr>
              <w:pStyle w:val="COMTabletext"/>
              <w:keepNext w:val="0"/>
            </w:pPr>
            <w:r w:rsidRPr="00704B78">
              <w:t xml:space="preserve">The ESC noted that the resubmission applied </w:t>
            </w:r>
            <w:r w:rsidR="004F5053" w:rsidRPr="00704B78">
              <w:t>treatment-specific values for responder/non-responder health states</w:t>
            </w:r>
            <w:r w:rsidR="00F500F2" w:rsidRPr="00704B78">
              <w:t xml:space="preserve"> in each arm</w:t>
            </w:r>
            <w:r w:rsidR="006C08BB" w:rsidRPr="00704B78">
              <w:t xml:space="preserve"> (e.g. </w:t>
            </w:r>
            <w:r w:rsidR="00FB6B48" w:rsidRPr="00704B78">
              <w:t>in newly diagnosed patients</w:t>
            </w:r>
            <w:r w:rsidR="004865C3" w:rsidRPr="00704B78">
              <w:t>,</w:t>
            </w:r>
            <w:r w:rsidR="00FB6B48" w:rsidRPr="00704B78">
              <w:t xml:space="preserve"> responders</w:t>
            </w:r>
            <w:r w:rsidR="004865C3" w:rsidRPr="00704B78">
              <w:t xml:space="preserve"> were assigned utility values of 0.88 and 0.85 in the rav</w:t>
            </w:r>
            <w:r w:rsidR="000438EB" w:rsidRPr="00704B78">
              <w:t>ulizumab</w:t>
            </w:r>
            <w:r w:rsidR="004865C3" w:rsidRPr="00704B78">
              <w:t xml:space="preserve"> and plac</w:t>
            </w:r>
            <w:r w:rsidR="000438EB" w:rsidRPr="00704B78">
              <w:t>e</w:t>
            </w:r>
            <w:r w:rsidR="004865C3" w:rsidRPr="00704B78">
              <w:t>bo arms, respectively</w:t>
            </w:r>
            <w:r w:rsidR="002126B1">
              <w:t>)</w:t>
            </w:r>
            <w:r w:rsidR="004865C3" w:rsidRPr="00704B78">
              <w:t xml:space="preserve">. The ESC </w:t>
            </w:r>
            <w:r w:rsidR="004F5053" w:rsidRPr="00704B78">
              <w:t>considered</w:t>
            </w:r>
            <w:r w:rsidR="00ED74D2" w:rsidRPr="00704B78">
              <w:t xml:space="preserve"> it would have been more appropriate to use pooled values for responders and non-responders from both treatment arms as there was no apparent difference in </w:t>
            </w:r>
            <w:proofErr w:type="gramStart"/>
            <w:r w:rsidR="00ED74D2" w:rsidRPr="00704B78">
              <w:t>quality of life</w:t>
            </w:r>
            <w:proofErr w:type="gramEnd"/>
            <w:r w:rsidR="00ED74D2" w:rsidRPr="00704B78">
              <w:t xml:space="preserve"> outcomes between treatment arms by responder status.</w:t>
            </w:r>
            <w:r w:rsidR="004F5053" w:rsidRPr="00704B78">
              <w:t xml:space="preserve"> </w:t>
            </w:r>
          </w:p>
        </w:tc>
        <w:tc>
          <w:tcPr>
            <w:tcW w:w="679" w:type="pct"/>
            <w:vAlign w:val="center"/>
          </w:tcPr>
          <w:p w14:paraId="497EBCF6" w14:textId="77777777" w:rsidR="00535DAE" w:rsidRPr="00704B78" w:rsidRDefault="00535DAE" w:rsidP="006E2A77">
            <w:pPr>
              <w:pStyle w:val="COMTabletext"/>
              <w:keepNext w:val="0"/>
              <w:jc w:val="center"/>
            </w:pPr>
            <w:r w:rsidRPr="00704B78">
              <w:t>High, favours ravulizumab</w:t>
            </w:r>
          </w:p>
        </w:tc>
      </w:tr>
    </w:tbl>
    <w:p w14:paraId="631DEABC" w14:textId="1A713DEF" w:rsidR="002D0834" w:rsidRPr="00704B78" w:rsidRDefault="002D0834" w:rsidP="006E2A77">
      <w:pPr>
        <w:pStyle w:val="COMTablefooter"/>
      </w:pPr>
      <w:r w:rsidRPr="00704B78">
        <w:t>Source: Constructed during the evaluation</w:t>
      </w:r>
    </w:p>
    <w:p w14:paraId="702A96BF" w14:textId="33D83C9F" w:rsidR="0064744C" w:rsidRPr="00704B78" w:rsidRDefault="002D0834" w:rsidP="006E2A77">
      <w:pPr>
        <w:pStyle w:val="COMexecsummnumbered"/>
      </w:pPr>
      <w:r w:rsidRPr="00704B78">
        <w:t xml:space="preserve">The results of the stepped economic evaluation for newly diagnosed patients are summarised in </w:t>
      </w:r>
      <w:r w:rsidR="001D74EA" w:rsidRPr="00704B78">
        <w:fldChar w:fldCharType="begin"/>
      </w:r>
      <w:r w:rsidR="001D74EA" w:rsidRPr="00704B78">
        <w:instrText xml:space="preserve"> REF _Ref187652388 \h </w:instrText>
      </w:r>
      <w:r w:rsidR="004577BE" w:rsidRPr="00704B78">
        <w:instrText xml:space="preserve"> \* MERGEFORMAT </w:instrText>
      </w:r>
      <w:r w:rsidR="001D74EA" w:rsidRPr="00704B78">
        <w:fldChar w:fldCharType="separate"/>
      </w:r>
      <w:r w:rsidR="00875704" w:rsidRPr="00704B78">
        <w:t xml:space="preserve">Table </w:t>
      </w:r>
      <w:r w:rsidR="00875704">
        <w:rPr>
          <w:noProof/>
        </w:rPr>
        <w:t>12</w:t>
      </w:r>
      <w:r w:rsidR="001D74EA" w:rsidRPr="00704B78">
        <w:fldChar w:fldCharType="end"/>
      </w:r>
      <w:r w:rsidRPr="00704B78">
        <w:t>.</w:t>
      </w:r>
    </w:p>
    <w:p w14:paraId="6A65726E" w14:textId="4997B0E2" w:rsidR="0064744C" w:rsidRPr="00704B78" w:rsidRDefault="001D74EA" w:rsidP="006E2A77">
      <w:pPr>
        <w:pStyle w:val="COMtablefigcaption"/>
      </w:pPr>
      <w:bookmarkStart w:id="50" w:name="_Ref187652388"/>
      <w:r w:rsidRPr="00704B78">
        <w:t xml:space="preserve">Table </w:t>
      </w:r>
      <w:r w:rsidRPr="00704B78">
        <w:fldChar w:fldCharType="begin"/>
      </w:r>
      <w:r w:rsidRPr="00704B78">
        <w:instrText>SEQ Table \* ARABIC</w:instrText>
      </w:r>
      <w:r w:rsidRPr="00704B78">
        <w:fldChar w:fldCharType="separate"/>
      </w:r>
      <w:r w:rsidR="00875704">
        <w:rPr>
          <w:noProof/>
        </w:rPr>
        <w:t>12</w:t>
      </w:r>
      <w:r w:rsidRPr="00704B78">
        <w:fldChar w:fldCharType="end"/>
      </w:r>
      <w:bookmarkEnd w:id="50"/>
      <w:r w:rsidR="0064744C" w:rsidRPr="00704B78">
        <w:t xml:space="preserve">: Stepped economic evaluation of ravulizumab compared to placebo in newly diagnosed patients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Stepped economic evaluation of ravulizumab compared to placebo in newly diagnosed patients "/>
      </w:tblPr>
      <w:tblGrid>
        <w:gridCol w:w="2533"/>
        <w:gridCol w:w="1944"/>
        <w:gridCol w:w="1946"/>
        <w:gridCol w:w="2585"/>
      </w:tblGrid>
      <w:tr w:rsidR="0064744C" w:rsidRPr="00704B78" w14:paraId="54F0D6F3" w14:textId="77777777" w:rsidTr="3517B442">
        <w:trPr>
          <w:trHeight w:val="43"/>
        </w:trPr>
        <w:tc>
          <w:tcPr>
            <w:tcW w:w="1406" w:type="pct"/>
            <w:vAlign w:val="center"/>
          </w:tcPr>
          <w:p w14:paraId="50E3D3E1" w14:textId="77777777" w:rsidR="0064744C" w:rsidRPr="00704B78" w:rsidRDefault="0064744C" w:rsidP="006E2A77">
            <w:pPr>
              <w:pStyle w:val="TableText"/>
              <w:widowControl/>
              <w:rPr>
                <w:b/>
                <w:bCs w:val="0"/>
              </w:rPr>
            </w:pPr>
            <w:r w:rsidRPr="00704B78">
              <w:rPr>
                <w:b/>
                <w:bCs w:val="0"/>
              </w:rPr>
              <w:t>Type of resource item</w:t>
            </w:r>
          </w:p>
        </w:tc>
        <w:tc>
          <w:tcPr>
            <w:tcW w:w="1079" w:type="pct"/>
            <w:vAlign w:val="center"/>
          </w:tcPr>
          <w:p w14:paraId="4F444A7C" w14:textId="77777777" w:rsidR="0064744C" w:rsidRPr="00704B78" w:rsidRDefault="0064744C" w:rsidP="006E2A77">
            <w:pPr>
              <w:pStyle w:val="TableText"/>
              <w:widowControl/>
              <w:jc w:val="center"/>
              <w:rPr>
                <w:b/>
                <w:bCs w:val="0"/>
              </w:rPr>
            </w:pPr>
            <w:r w:rsidRPr="00704B78">
              <w:rPr>
                <w:b/>
                <w:bCs w:val="0"/>
              </w:rPr>
              <w:t>Ravulizumab</w:t>
            </w:r>
          </w:p>
        </w:tc>
        <w:tc>
          <w:tcPr>
            <w:tcW w:w="1080" w:type="pct"/>
            <w:vAlign w:val="center"/>
          </w:tcPr>
          <w:p w14:paraId="09EA5888" w14:textId="77777777" w:rsidR="0064744C" w:rsidRPr="00704B78" w:rsidRDefault="0064744C" w:rsidP="006E2A77">
            <w:pPr>
              <w:pStyle w:val="TableText"/>
              <w:widowControl/>
              <w:jc w:val="center"/>
              <w:rPr>
                <w:b/>
                <w:bCs w:val="0"/>
              </w:rPr>
            </w:pPr>
            <w:r w:rsidRPr="00704B78">
              <w:rPr>
                <w:b/>
                <w:bCs w:val="0"/>
              </w:rPr>
              <w:t>Placebo</w:t>
            </w:r>
          </w:p>
        </w:tc>
        <w:tc>
          <w:tcPr>
            <w:tcW w:w="1435" w:type="pct"/>
          </w:tcPr>
          <w:p w14:paraId="7E5318F1" w14:textId="77777777" w:rsidR="0064744C" w:rsidRPr="00704B78" w:rsidRDefault="0064744C" w:rsidP="006E2A77">
            <w:pPr>
              <w:pStyle w:val="TableText"/>
              <w:widowControl/>
              <w:jc w:val="center"/>
              <w:rPr>
                <w:b/>
                <w:bCs w:val="0"/>
              </w:rPr>
            </w:pPr>
            <w:r w:rsidRPr="00704B78">
              <w:rPr>
                <w:b/>
                <w:bCs w:val="0"/>
              </w:rPr>
              <w:t>Increment</w:t>
            </w:r>
          </w:p>
        </w:tc>
      </w:tr>
      <w:tr w:rsidR="0064744C" w:rsidRPr="00704B78" w14:paraId="79245C87" w14:textId="77777777" w:rsidTr="3517B442">
        <w:tc>
          <w:tcPr>
            <w:tcW w:w="5000" w:type="pct"/>
            <w:gridSpan w:val="4"/>
          </w:tcPr>
          <w:p w14:paraId="36731CCB" w14:textId="77777777" w:rsidR="0064744C" w:rsidRPr="00704B78" w:rsidRDefault="0064744C" w:rsidP="006E2A77">
            <w:pPr>
              <w:pStyle w:val="TableText"/>
              <w:widowControl/>
              <w:rPr>
                <w:b/>
                <w:bCs w:val="0"/>
              </w:rPr>
            </w:pPr>
            <w:r w:rsidRPr="00704B78">
              <w:rPr>
                <w:b/>
                <w:bCs w:val="0"/>
              </w:rPr>
              <w:t>Step 1: Modelled estimate based on the first 12 weeks of treatment</w:t>
            </w:r>
          </w:p>
        </w:tc>
      </w:tr>
      <w:tr w:rsidR="0064744C" w:rsidRPr="00704B78" w14:paraId="1FF97C89" w14:textId="77777777" w:rsidTr="00F555BD">
        <w:tc>
          <w:tcPr>
            <w:tcW w:w="1406" w:type="pct"/>
          </w:tcPr>
          <w:p w14:paraId="02FE9D82" w14:textId="77777777" w:rsidR="0064744C" w:rsidRPr="00704B78" w:rsidRDefault="0064744C" w:rsidP="006E2A77">
            <w:pPr>
              <w:pStyle w:val="TableText"/>
              <w:widowControl/>
            </w:pPr>
            <w:r w:rsidRPr="00704B78">
              <w:t>Costs</w:t>
            </w:r>
          </w:p>
        </w:tc>
        <w:tc>
          <w:tcPr>
            <w:tcW w:w="1079" w:type="pct"/>
            <w:shd w:val="solid" w:color="000000" w:fill="000000"/>
            <w:vAlign w:val="bottom"/>
          </w:tcPr>
          <w:p w14:paraId="7CED3E71" w14:textId="6E523732"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c>
          <w:tcPr>
            <w:tcW w:w="1080" w:type="pct"/>
            <w:vAlign w:val="bottom"/>
          </w:tcPr>
          <w:p w14:paraId="34817A6D" w14:textId="77777777" w:rsidR="0064744C" w:rsidRPr="00704B78" w:rsidRDefault="0064744C" w:rsidP="006E2A77">
            <w:pPr>
              <w:pStyle w:val="TableText"/>
              <w:widowControl/>
              <w:jc w:val="center"/>
            </w:pPr>
            <w:r w:rsidRPr="00704B78">
              <w:t>$1,025</w:t>
            </w:r>
          </w:p>
        </w:tc>
        <w:tc>
          <w:tcPr>
            <w:tcW w:w="1435" w:type="pct"/>
            <w:shd w:val="solid" w:color="000000" w:fill="000000"/>
            <w:vAlign w:val="center"/>
          </w:tcPr>
          <w:p w14:paraId="66427E70" w14:textId="370544FA"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r>
      <w:tr w:rsidR="0064744C" w:rsidRPr="00704B78" w14:paraId="756EA600" w14:textId="77777777" w:rsidTr="3517B442">
        <w:tc>
          <w:tcPr>
            <w:tcW w:w="1406" w:type="pct"/>
          </w:tcPr>
          <w:p w14:paraId="412B522F" w14:textId="77777777" w:rsidR="0064744C" w:rsidRPr="00704B78" w:rsidRDefault="0064744C" w:rsidP="006E2A77">
            <w:pPr>
              <w:pStyle w:val="TableText"/>
              <w:widowControl/>
            </w:pPr>
            <w:r w:rsidRPr="00704B78">
              <w:t>Patients with response</w:t>
            </w:r>
          </w:p>
        </w:tc>
        <w:tc>
          <w:tcPr>
            <w:tcW w:w="1079" w:type="pct"/>
            <w:vAlign w:val="bottom"/>
          </w:tcPr>
          <w:p w14:paraId="35FCBAAE" w14:textId="77777777" w:rsidR="0064744C" w:rsidRPr="00704B78" w:rsidRDefault="0064744C" w:rsidP="006E2A77">
            <w:pPr>
              <w:pStyle w:val="TableText"/>
              <w:widowControl/>
              <w:jc w:val="center"/>
            </w:pPr>
            <w:r w:rsidRPr="00704B78">
              <w:t>0.7368</w:t>
            </w:r>
          </w:p>
        </w:tc>
        <w:tc>
          <w:tcPr>
            <w:tcW w:w="1080" w:type="pct"/>
            <w:vAlign w:val="bottom"/>
          </w:tcPr>
          <w:p w14:paraId="3B926460" w14:textId="77777777" w:rsidR="0064744C" w:rsidRPr="00704B78" w:rsidRDefault="0064744C" w:rsidP="006E2A77">
            <w:pPr>
              <w:pStyle w:val="TableText"/>
              <w:widowControl/>
              <w:jc w:val="center"/>
            </w:pPr>
            <w:r w:rsidRPr="00704B78">
              <w:t>0.3571</w:t>
            </w:r>
          </w:p>
        </w:tc>
        <w:tc>
          <w:tcPr>
            <w:tcW w:w="1435" w:type="pct"/>
            <w:vAlign w:val="center"/>
          </w:tcPr>
          <w:p w14:paraId="7A21956E" w14:textId="77777777" w:rsidR="0064744C" w:rsidRPr="00704B78" w:rsidRDefault="0064744C" w:rsidP="006E2A77">
            <w:pPr>
              <w:pStyle w:val="TableText"/>
              <w:widowControl/>
              <w:jc w:val="center"/>
            </w:pPr>
            <w:r w:rsidRPr="00704B78">
              <w:t>0.3797</w:t>
            </w:r>
          </w:p>
        </w:tc>
      </w:tr>
      <w:tr w:rsidR="0064744C" w:rsidRPr="00704B78" w14:paraId="01335F1D" w14:textId="77777777" w:rsidTr="3517B442">
        <w:tc>
          <w:tcPr>
            <w:tcW w:w="3565" w:type="pct"/>
            <w:gridSpan w:val="3"/>
          </w:tcPr>
          <w:p w14:paraId="30E356BF" w14:textId="77777777" w:rsidR="0064744C" w:rsidRPr="00704B78" w:rsidRDefault="0064744C" w:rsidP="006E2A77">
            <w:pPr>
              <w:pStyle w:val="TableText"/>
              <w:widowControl/>
              <w:jc w:val="right"/>
              <w:rPr>
                <w:b/>
              </w:rPr>
            </w:pPr>
            <w:r w:rsidRPr="00704B78">
              <w:rPr>
                <w:b/>
              </w:rPr>
              <w:t>Incremental cost per additional patient with response</w:t>
            </w:r>
          </w:p>
        </w:tc>
        <w:tc>
          <w:tcPr>
            <w:tcW w:w="1435" w:type="pct"/>
            <w:vAlign w:val="center"/>
          </w:tcPr>
          <w:p w14:paraId="1C83A3E6" w14:textId="7AD49EAB" w:rsidR="0064744C" w:rsidRPr="00704B78" w:rsidRDefault="00F555BD" w:rsidP="006E2A77">
            <w:pPr>
              <w:pStyle w:val="TableText"/>
              <w:widowControl/>
              <w:jc w:val="center"/>
            </w:pPr>
            <w:r w:rsidRPr="00F555BD">
              <w:rPr>
                <w:color w:val="000000"/>
                <w:shd w:val="solid" w:color="000000" w:fill="000000"/>
                <w14:textFill>
                  <w14:solidFill>
                    <w14:srgbClr w14:val="000000">
                      <w14:alpha w14:val="100000"/>
                    </w14:srgbClr>
                  </w14:solidFill>
                </w14:textFill>
              </w:rPr>
              <w:t>|</w:t>
            </w:r>
            <w:r w:rsidR="00771C13" w:rsidRPr="00771C13">
              <w:rPr>
                <w:vertAlign w:val="superscript"/>
              </w:rPr>
              <w:t>1</w:t>
            </w:r>
          </w:p>
        </w:tc>
      </w:tr>
      <w:tr w:rsidR="0064744C" w:rsidRPr="00704B78" w14:paraId="35CA4B6C" w14:textId="77777777" w:rsidTr="3517B442">
        <w:tc>
          <w:tcPr>
            <w:tcW w:w="5000" w:type="pct"/>
            <w:gridSpan w:val="4"/>
          </w:tcPr>
          <w:p w14:paraId="2AD483A0" w14:textId="77777777" w:rsidR="0064744C" w:rsidRPr="00704B78" w:rsidRDefault="0064744C" w:rsidP="006E2A77">
            <w:pPr>
              <w:pStyle w:val="TableText"/>
              <w:widowControl/>
              <w:rPr>
                <w:b/>
                <w:bCs w:val="0"/>
              </w:rPr>
            </w:pPr>
            <w:r w:rsidRPr="00704B78">
              <w:rPr>
                <w:b/>
                <w:bCs w:val="0"/>
              </w:rPr>
              <w:t>Step 2: Modelled estimate extrapolated to 15 years</w:t>
            </w:r>
          </w:p>
        </w:tc>
      </w:tr>
      <w:tr w:rsidR="0064744C" w:rsidRPr="00704B78" w14:paraId="661BA373" w14:textId="77777777" w:rsidTr="00F555BD">
        <w:tc>
          <w:tcPr>
            <w:tcW w:w="1406" w:type="pct"/>
          </w:tcPr>
          <w:p w14:paraId="2CBC395A" w14:textId="77777777" w:rsidR="0064744C" w:rsidRPr="00704B78" w:rsidRDefault="0064744C" w:rsidP="006E2A77">
            <w:pPr>
              <w:pStyle w:val="TableText"/>
              <w:widowControl/>
            </w:pPr>
            <w:r w:rsidRPr="00704B78">
              <w:t>Costs</w:t>
            </w:r>
          </w:p>
        </w:tc>
        <w:tc>
          <w:tcPr>
            <w:tcW w:w="1079" w:type="pct"/>
            <w:shd w:val="solid" w:color="000000" w:fill="000000"/>
            <w:vAlign w:val="bottom"/>
          </w:tcPr>
          <w:p w14:paraId="4BF0FC06" w14:textId="2029C348"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c>
          <w:tcPr>
            <w:tcW w:w="1080" w:type="pct"/>
            <w:vAlign w:val="bottom"/>
          </w:tcPr>
          <w:p w14:paraId="77015335" w14:textId="77777777" w:rsidR="0064744C" w:rsidRPr="00704B78" w:rsidRDefault="0064744C" w:rsidP="006E2A77">
            <w:pPr>
              <w:pStyle w:val="TableText"/>
              <w:widowControl/>
              <w:jc w:val="center"/>
            </w:pPr>
            <w:r w:rsidRPr="00704B78">
              <w:t>$241,713</w:t>
            </w:r>
          </w:p>
        </w:tc>
        <w:tc>
          <w:tcPr>
            <w:tcW w:w="1435" w:type="pct"/>
            <w:shd w:val="solid" w:color="000000" w:fill="000000"/>
            <w:vAlign w:val="center"/>
          </w:tcPr>
          <w:p w14:paraId="08E22114" w14:textId="5573D900"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r>
      <w:tr w:rsidR="0064744C" w:rsidRPr="00704B78" w14:paraId="09AE5340" w14:textId="77777777" w:rsidTr="3517B442">
        <w:tc>
          <w:tcPr>
            <w:tcW w:w="1406" w:type="pct"/>
          </w:tcPr>
          <w:p w14:paraId="4D5A72E7" w14:textId="77777777" w:rsidR="0064744C" w:rsidRPr="00704B78" w:rsidRDefault="0064744C" w:rsidP="006E2A77">
            <w:pPr>
              <w:pStyle w:val="TableText"/>
              <w:widowControl/>
            </w:pPr>
            <w:r w:rsidRPr="00704B78">
              <w:t>Responder years</w:t>
            </w:r>
          </w:p>
        </w:tc>
        <w:tc>
          <w:tcPr>
            <w:tcW w:w="1079" w:type="pct"/>
            <w:vAlign w:val="bottom"/>
          </w:tcPr>
          <w:p w14:paraId="21F6F8FD" w14:textId="77777777" w:rsidR="0064744C" w:rsidRPr="00704B78" w:rsidRDefault="0064744C" w:rsidP="006E2A77">
            <w:pPr>
              <w:pStyle w:val="TableText"/>
              <w:widowControl/>
              <w:jc w:val="center"/>
            </w:pPr>
            <w:r w:rsidRPr="00704B78">
              <w:t>8.9682</w:t>
            </w:r>
          </w:p>
        </w:tc>
        <w:tc>
          <w:tcPr>
            <w:tcW w:w="1080" w:type="pct"/>
            <w:vAlign w:val="bottom"/>
          </w:tcPr>
          <w:p w14:paraId="1ABAB90F" w14:textId="77777777" w:rsidR="0064744C" w:rsidRPr="00704B78" w:rsidRDefault="0064744C" w:rsidP="006E2A77">
            <w:pPr>
              <w:pStyle w:val="TableText"/>
              <w:widowControl/>
              <w:jc w:val="center"/>
            </w:pPr>
            <w:r w:rsidRPr="00704B78">
              <w:t>2.4134</w:t>
            </w:r>
          </w:p>
        </w:tc>
        <w:tc>
          <w:tcPr>
            <w:tcW w:w="1435" w:type="pct"/>
            <w:vAlign w:val="center"/>
          </w:tcPr>
          <w:p w14:paraId="085A424E" w14:textId="77777777" w:rsidR="0064744C" w:rsidRPr="00704B78" w:rsidRDefault="0064744C" w:rsidP="006E2A77">
            <w:pPr>
              <w:pStyle w:val="TableText"/>
              <w:widowControl/>
              <w:jc w:val="center"/>
            </w:pPr>
            <w:r w:rsidRPr="00704B78">
              <w:t>6.5549</w:t>
            </w:r>
          </w:p>
        </w:tc>
      </w:tr>
      <w:tr w:rsidR="0064744C" w:rsidRPr="00704B78" w14:paraId="01476414" w14:textId="77777777" w:rsidTr="3517B442">
        <w:tc>
          <w:tcPr>
            <w:tcW w:w="3565" w:type="pct"/>
            <w:gridSpan w:val="3"/>
          </w:tcPr>
          <w:p w14:paraId="7FBC7877" w14:textId="77777777" w:rsidR="0064744C" w:rsidRPr="00704B78" w:rsidRDefault="0064744C" w:rsidP="006E2A77">
            <w:pPr>
              <w:pStyle w:val="TableText"/>
              <w:widowControl/>
              <w:jc w:val="right"/>
              <w:rPr>
                <w:b/>
              </w:rPr>
            </w:pPr>
            <w:r w:rsidRPr="00704B78">
              <w:rPr>
                <w:b/>
              </w:rPr>
              <w:t>Incremental cost per additional year in response</w:t>
            </w:r>
          </w:p>
        </w:tc>
        <w:tc>
          <w:tcPr>
            <w:tcW w:w="1435" w:type="pct"/>
            <w:vAlign w:val="center"/>
          </w:tcPr>
          <w:p w14:paraId="7C667299" w14:textId="3571D650" w:rsidR="0064744C" w:rsidRPr="00704B78" w:rsidRDefault="00F555BD" w:rsidP="006E2A77">
            <w:pPr>
              <w:pStyle w:val="TableText"/>
              <w:widowControl/>
              <w:jc w:val="center"/>
            </w:pPr>
            <w:r w:rsidRPr="00F555BD">
              <w:rPr>
                <w:color w:val="000000"/>
                <w:shd w:val="solid" w:color="000000" w:fill="000000"/>
                <w14:textFill>
                  <w14:solidFill>
                    <w14:srgbClr w14:val="000000">
                      <w14:alpha w14:val="100000"/>
                    </w14:srgbClr>
                  </w14:solidFill>
                </w14:textFill>
              </w:rPr>
              <w:t>|</w:t>
            </w:r>
            <w:r w:rsidR="00771C13" w:rsidRPr="00771C13">
              <w:rPr>
                <w:vertAlign w:val="superscript"/>
              </w:rPr>
              <w:t>2</w:t>
            </w:r>
          </w:p>
        </w:tc>
      </w:tr>
      <w:tr w:rsidR="0064744C" w:rsidRPr="00704B78" w14:paraId="13BD94A2" w14:textId="77777777" w:rsidTr="3517B442">
        <w:tc>
          <w:tcPr>
            <w:tcW w:w="5000" w:type="pct"/>
            <w:gridSpan w:val="4"/>
          </w:tcPr>
          <w:p w14:paraId="2AD6F68F" w14:textId="77777777" w:rsidR="0064744C" w:rsidRPr="00704B78" w:rsidRDefault="0064744C" w:rsidP="006E2A77">
            <w:pPr>
              <w:pStyle w:val="TableText"/>
              <w:widowControl/>
              <w:rPr>
                <w:b/>
                <w:bCs w:val="0"/>
              </w:rPr>
            </w:pPr>
            <w:r w:rsidRPr="00704B78">
              <w:rPr>
                <w:b/>
                <w:bCs w:val="0"/>
              </w:rPr>
              <w:t xml:space="preserve">Step 3: Modelled estimate extrapolated to 15 years with utility weights applied </w:t>
            </w:r>
          </w:p>
        </w:tc>
      </w:tr>
      <w:tr w:rsidR="0064744C" w:rsidRPr="00704B78" w14:paraId="50154786" w14:textId="77777777" w:rsidTr="00F555BD">
        <w:tc>
          <w:tcPr>
            <w:tcW w:w="1406" w:type="pct"/>
          </w:tcPr>
          <w:p w14:paraId="6AFBD12B" w14:textId="77777777" w:rsidR="0064744C" w:rsidRPr="00704B78" w:rsidRDefault="0064744C" w:rsidP="006E2A77">
            <w:pPr>
              <w:pStyle w:val="TableText"/>
              <w:widowControl/>
            </w:pPr>
            <w:r w:rsidRPr="00704B78">
              <w:t>Costs</w:t>
            </w:r>
          </w:p>
        </w:tc>
        <w:tc>
          <w:tcPr>
            <w:tcW w:w="1079" w:type="pct"/>
            <w:shd w:val="solid" w:color="000000" w:fill="000000"/>
            <w:vAlign w:val="bottom"/>
          </w:tcPr>
          <w:p w14:paraId="59945DA9" w14:textId="2373BB38"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c>
          <w:tcPr>
            <w:tcW w:w="1080" w:type="pct"/>
            <w:vAlign w:val="bottom"/>
          </w:tcPr>
          <w:p w14:paraId="2BDA085E" w14:textId="77777777" w:rsidR="0064744C" w:rsidRPr="00704B78" w:rsidRDefault="0064744C" w:rsidP="006E2A77">
            <w:pPr>
              <w:pStyle w:val="TableText"/>
              <w:widowControl/>
              <w:jc w:val="center"/>
            </w:pPr>
            <w:r w:rsidRPr="00704B78">
              <w:t>$241,713</w:t>
            </w:r>
          </w:p>
        </w:tc>
        <w:tc>
          <w:tcPr>
            <w:tcW w:w="1435" w:type="pct"/>
            <w:shd w:val="solid" w:color="000000" w:fill="000000"/>
            <w:vAlign w:val="center"/>
          </w:tcPr>
          <w:p w14:paraId="667FCE2B" w14:textId="0F85D391"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r>
      <w:tr w:rsidR="0064744C" w:rsidRPr="00704B78" w14:paraId="649F5BB8" w14:textId="77777777" w:rsidTr="3517B442">
        <w:tc>
          <w:tcPr>
            <w:tcW w:w="1406" w:type="pct"/>
          </w:tcPr>
          <w:p w14:paraId="5B65BBD7" w14:textId="77777777" w:rsidR="0064744C" w:rsidRPr="00704B78" w:rsidRDefault="0064744C" w:rsidP="006E2A77">
            <w:pPr>
              <w:pStyle w:val="TableText"/>
              <w:widowControl/>
            </w:pPr>
            <w:r w:rsidRPr="00704B78">
              <w:t>QALYs</w:t>
            </w:r>
          </w:p>
        </w:tc>
        <w:tc>
          <w:tcPr>
            <w:tcW w:w="1079" w:type="pct"/>
            <w:vAlign w:val="bottom"/>
          </w:tcPr>
          <w:p w14:paraId="68E410FA" w14:textId="77777777" w:rsidR="0064744C" w:rsidRPr="00704B78" w:rsidRDefault="0064744C" w:rsidP="006E2A77">
            <w:pPr>
              <w:pStyle w:val="TableText"/>
              <w:widowControl/>
              <w:jc w:val="center"/>
            </w:pPr>
            <w:r w:rsidRPr="00704B78">
              <w:t>10.6191</w:t>
            </w:r>
          </w:p>
        </w:tc>
        <w:tc>
          <w:tcPr>
            <w:tcW w:w="1080" w:type="pct"/>
            <w:vAlign w:val="bottom"/>
          </w:tcPr>
          <w:p w14:paraId="106C39EA" w14:textId="77777777" w:rsidR="0064744C" w:rsidRPr="00704B78" w:rsidRDefault="0064744C" w:rsidP="006E2A77">
            <w:pPr>
              <w:pStyle w:val="TableText"/>
              <w:widowControl/>
              <w:jc w:val="center"/>
            </w:pPr>
            <w:r w:rsidRPr="00704B78">
              <w:t>9.2732</w:t>
            </w:r>
          </w:p>
        </w:tc>
        <w:tc>
          <w:tcPr>
            <w:tcW w:w="1435" w:type="pct"/>
            <w:vAlign w:val="center"/>
          </w:tcPr>
          <w:p w14:paraId="22F6797C" w14:textId="77777777" w:rsidR="0064744C" w:rsidRPr="00704B78" w:rsidRDefault="0064744C" w:rsidP="006E2A77">
            <w:pPr>
              <w:pStyle w:val="TableText"/>
              <w:widowControl/>
              <w:jc w:val="center"/>
            </w:pPr>
            <w:r w:rsidRPr="00704B78">
              <w:t>1.3459</w:t>
            </w:r>
          </w:p>
        </w:tc>
      </w:tr>
      <w:tr w:rsidR="0064744C" w:rsidRPr="00704B78" w14:paraId="63EE60EE" w14:textId="77777777" w:rsidTr="3517B442">
        <w:tc>
          <w:tcPr>
            <w:tcW w:w="3565" w:type="pct"/>
            <w:gridSpan w:val="3"/>
          </w:tcPr>
          <w:p w14:paraId="508E7B3C" w14:textId="77777777" w:rsidR="0064744C" w:rsidRPr="00704B78" w:rsidRDefault="0064744C" w:rsidP="006E2A77">
            <w:pPr>
              <w:pStyle w:val="TableText"/>
              <w:widowControl/>
              <w:jc w:val="right"/>
              <w:rPr>
                <w:b/>
                <w:bCs w:val="0"/>
              </w:rPr>
            </w:pPr>
            <w:r w:rsidRPr="00704B78">
              <w:rPr>
                <w:b/>
                <w:bCs w:val="0"/>
              </w:rPr>
              <w:t>Incremental cost per QALY gained</w:t>
            </w:r>
          </w:p>
        </w:tc>
        <w:tc>
          <w:tcPr>
            <w:tcW w:w="1435" w:type="pct"/>
            <w:vAlign w:val="center"/>
          </w:tcPr>
          <w:p w14:paraId="051A7B07" w14:textId="143880C1" w:rsidR="0064744C" w:rsidRPr="00704B78" w:rsidRDefault="00F555BD" w:rsidP="006E2A77">
            <w:pPr>
              <w:pStyle w:val="TableText"/>
              <w:widowControl/>
              <w:jc w:val="center"/>
            </w:pPr>
            <w:r w:rsidRPr="00F555BD">
              <w:rPr>
                <w:color w:val="000000"/>
                <w:shd w:val="solid" w:color="000000" w:fill="000000"/>
                <w14:textFill>
                  <w14:solidFill>
                    <w14:srgbClr w14:val="000000">
                      <w14:alpha w14:val="100000"/>
                    </w14:srgbClr>
                  </w14:solidFill>
                </w14:textFill>
              </w:rPr>
              <w:t>|</w:t>
            </w:r>
            <w:r w:rsidR="00952715" w:rsidRPr="00952715">
              <w:rPr>
                <w:vertAlign w:val="superscript"/>
              </w:rPr>
              <w:t>3</w:t>
            </w:r>
          </w:p>
        </w:tc>
      </w:tr>
      <w:tr w:rsidR="0064744C" w:rsidRPr="00704B78" w14:paraId="4605A55B" w14:textId="77777777" w:rsidTr="3517B442">
        <w:tc>
          <w:tcPr>
            <w:tcW w:w="5000" w:type="pct"/>
            <w:gridSpan w:val="4"/>
          </w:tcPr>
          <w:p w14:paraId="4B097CCD" w14:textId="77777777" w:rsidR="0064744C" w:rsidRPr="00704B78" w:rsidRDefault="0064744C" w:rsidP="006E2A77">
            <w:pPr>
              <w:pStyle w:val="TableText"/>
              <w:widowControl/>
              <w:rPr>
                <w:b/>
                <w:bCs w:val="0"/>
              </w:rPr>
            </w:pPr>
            <w:r w:rsidRPr="00704B78">
              <w:rPr>
                <w:b/>
                <w:bCs w:val="0"/>
              </w:rPr>
              <w:t>Step 4: Modelled estimate extrapolated to 15 years with utility weights and discounting applied</w:t>
            </w:r>
          </w:p>
        </w:tc>
      </w:tr>
      <w:tr w:rsidR="0064744C" w:rsidRPr="00704B78" w14:paraId="50BED646" w14:textId="77777777" w:rsidTr="00F555BD">
        <w:tc>
          <w:tcPr>
            <w:tcW w:w="1406" w:type="pct"/>
          </w:tcPr>
          <w:p w14:paraId="61A56893" w14:textId="77777777" w:rsidR="0064744C" w:rsidRPr="00704B78" w:rsidRDefault="0064744C" w:rsidP="006E2A77">
            <w:pPr>
              <w:pStyle w:val="TableText"/>
              <w:widowControl/>
            </w:pPr>
            <w:r w:rsidRPr="00704B78">
              <w:t>Costs</w:t>
            </w:r>
          </w:p>
        </w:tc>
        <w:tc>
          <w:tcPr>
            <w:tcW w:w="1079" w:type="pct"/>
            <w:shd w:val="solid" w:color="000000" w:fill="000000"/>
            <w:vAlign w:val="bottom"/>
          </w:tcPr>
          <w:p w14:paraId="21A9CB69" w14:textId="7D4BF53A"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c>
          <w:tcPr>
            <w:tcW w:w="1080" w:type="pct"/>
            <w:vAlign w:val="bottom"/>
          </w:tcPr>
          <w:p w14:paraId="09ED463A" w14:textId="77777777" w:rsidR="0064744C" w:rsidRPr="00704B78" w:rsidRDefault="0064744C" w:rsidP="006E2A77">
            <w:pPr>
              <w:pStyle w:val="TableText"/>
              <w:widowControl/>
              <w:jc w:val="center"/>
            </w:pPr>
            <w:r w:rsidRPr="00704B78">
              <w:t>$172,890</w:t>
            </w:r>
          </w:p>
        </w:tc>
        <w:tc>
          <w:tcPr>
            <w:tcW w:w="1435" w:type="pct"/>
            <w:shd w:val="solid" w:color="000000" w:fill="000000"/>
            <w:vAlign w:val="center"/>
          </w:tcPr>
          <w:p w14:paraId="6EABD2B2" w14:textId="7A15D456" w:rsidR="0064744C" w:rsidRPr="00704B78" w:rsidRDefault="00F555BD" w:rsidP="006E2A77">
            <w:pPr>
              <w:pStyle w:val="TableText"/>
              <w:widowControl/>
              <w:jc w:val="center"/>
            </w:pPr>
            <w:r w:rsidRPr="00F555BD">
              <w:rPr>
                <w:color w:val="000000"/>
                <w14:textFill>
                  <w14:solidFill>
                    <w14:srgbClr w14:val="000000">
                      <w14:alpha w14:val="100000"/>
                    </w14:srgbClr>
                  </w14:solidFill>
                </w14:textFill>
              </w:rPr>
              <w:t>|</w:t>
            </w:r>
          </w:p>
        </w:tc>
      </w:tr>
      <w:tr w:rsidR="0064744C" w:rsidRPr="00704B78" w14:paraId="7E91D839" w14:textId="77777777" w:rsidTr="3517B442">
        <w:tc>
          <w:tcPr>
            <w:tcW w:w="1406" w:type="pct"/>
          </w:tcPr>
          <w:p w14:paraId="442F0C94" w14:textId="77777777" w:rsidR="0064744C" w:rsidRPr="00704B78" w:rsidRDefault="0064744C" w:rsidP="006E2A77">
            <w:pPr>
              <w:pStyle w:val="TableText"/>
              <w:widowControl/>
            </w:pPr>
            <w:r w:rsidRPr="00704B78">
              <w:t>QALYs</w:t>
            </w:r>
          </w:p>
        </w:tc>
        <w:tc>
          <w:tcPr>
            <w:tcW w:w="1079" w:type="pct"/>
            <w:vAlign w:val="bottom"/>
          </w:tcPr>
          <w:p w14:paraId="5C0258BD" w14:textId="77777777" w:rsidR="0064744C" w:rsidRPr="00704B78" w:rsidRDefault="0064744C" w:rsidP="006E2A77">
            <w:pPr>
              <w:pStyle w:val="TableText"/>
              <w:widowControl/>
              <w:jc w:val="center"/>
            </w:pPr>
            <w:r w:rsidRPr="00704B78">
              <w:t>7.7063</w:t>
            </w:r>
          </w:p>
        </w:tc>
        <w:tc>
          <w:tcPr>
            <w:tcW w:w="1080" w:type="pct"/>
            <w:vAlign w:val="bottom"/>
          </w:tcPr>
          <w:p w14:paraId="611335BB" w14:textId="77777777" w:rsidR="0064744C" w:rsidRPr="00704B78" w:rsidRDefault="0064744C" w:rsidP="006E2A77">
            <w:pPr>
              <w:pStyle w:val="TableText"/>
              <w:widowControl/>
              <w:jc w:val="center"/>
            </w:pPr>
            <w:r w:rsidRPr="00704B78">
              <w:t>6.7342</w:t>
            </w:r>
          </w:p>
        </w:tc>
        <w:tc>
          <w:tcPr>
            <w:tcW w:w="1435" w:type="pct"/>
            <w:vAlign w:val="center"/>
          </w:tcPr>
          <w:p w14:paraId="3901366D" w14:textId="77777777" w:rsidR="0064744C" w:rsidRPr="00704B78" w:rsidRDefault="0064744C" w:rsidP="006E2A77">
            <w:pPr>
              <w:pStyle w:val="TableText"/>
              <w:widowControl/>
              <w:jc w:val="center"/>
            </w:pPr>
            <w:r w:rsidRPr="00704B78">
              <w:t>0.9721</w:t>
            </w:r>
          </w:p>
        </w:tc>
      </w:tr>
      <w:tr w:rsidR="0064744C" w:rsidRPr="00704B78" w14:paraId="25C89BBB" w14:textId="77777777" w:rsidTr="3517B442">
        <w:tc>
          <w:tcPr>
            <w:tcW w:w="3565" w:type="pct"/>
            <w:gridSpan w:val="3"/>
          </w:tcPr>
          <w:p w14:paraId="3C2100BD" w14:textId="77777777" w:rsidR="0064744C" w:rsidRPr="00704B78" w:rsidRDefault="0064744C" w:rsidP="006E2A77">
            <w:pPr>
              <w:pStyle w:val="TableText"/>
              <w:widowControl/>
              <w:jc w:val="right"/>
              <w:rPr>
                <w:b/>
                <w:bCs w:val="0"/>
              </w:rPr>
            </w:pPr>
            <w:r w:rsidRPr="00704B78">
              <w:rPr>
                <w:b/>
                <w:bCs w:val="0"/>
              </w:rPr>
              <w:t>Incremental cost per QALY gained</w:t>
            </w:r>
          </w:p>
        </w:tc>
        <w:tc>
          <w:tcPr>
            <w:tcW w:w="1435" w:type="pct"/>
            <w:vAlign w:val="center"/>
          </w:tcPr>
          <w:p w14:paraId="59261A37" w14:textId="51C830EC" w:rsidR="0064744C" w:rsidRPr="00704B78" w:rsidRDefault="00F555BD" w:rsidP="006E2A77">
            <w:pPr>
              <w:pStyle w:val="TableText"/>
              <w:widowControl/>
              <w:jc w:val="center"/>
            </w:pPr>
            <w:r w:rsidRPr="00F555BD">
              <w:rPr>
                <w:color w:val="000000"/>
                <w:shd w:val="solid" w:color="000000" w:fill="000000"/>
                <w14:textFill>
                  <w14:solidFill>
                    <w14:srgbClr w14:val="000000">
                      <w14:alpha w14:val="100000"/>
                    </w14:srgbClr>
                  </w14:solidFill>
                </w14:textFill>
              </w:rPr>
              <w:t>|</w:t>
            </w:r>
            <w:r w:rsidR="00771C13" w:rsidRPr="00771C13">
              <w:rPr>
                <w:vertAlign w:val="superscript"/>
              </w:rPr>
              <w:t>1</w:t>
            </w:r>
          </w:p>
        </w:tc>
      </w:tr>
    </w:tbl>
    <w:p w14:paraId="1C0B100E" w14:textId="77777777" w:rsidR="0064744C" w:rsidRPr="00704B78" w:rsidRDefault="0064744C" w:rsidP="006E2A77">
      <w:pPr>
        <w:pStyle w:val="COMTablefooter"/>
      </w:pPr>
      <w:r w:rsidRPr="00704B78">
        <w:t>Source: Table 3A-32, p249 of the resubmission</w:t>
      </w:r>
    </w:p>
    <w:p w14:paraId="066E21FC" w14:textId="77777777" w:rsidR="00787B5D" w:rsidRDefault="0064744C" w:rsidP="006E2A77">
      <w:pPr>
        <w:pStyle w:val="COMTablefooter"/>
      </w:pPr>
      <w:r w:rsidRPr="00704B78">
        <w:t>Abbreviations: QALY, quality-adjusted life year</w:t>
      </w:r>
      <w:r w:rsidR="002410E8">
        <w:t xml:space="preserve"> </w:t>
      </w:r>
    </w:p>
    <w:p w14:paraId="0242DCD1" w14:textId="77777777" w:rsidR="00787B5D" w:rsidRPr="00A43F91" w:rsidRDefault="00787B5D" w:rsidP="006E2A77">
      <w:pPr>
        <w:pStyle w:val="COMTablefooter"/>
        <w:rPr>
          <w:i/>
          <w:iCs/>
        </w:rPr>
      </w:pPr>
      <w:r w:rsidRPr="00A43F91">
        <w:rPr>
          <w:i/>
          <w:iCs/>
        </w:rPr>
        <w:t>The redacted values correspond to the following ranges:</w:t>
      </w:r>
    </w:p>
    <w:p w14:paraId="4475F52E" w14:textId="13C43EBC" w:rsidR="00771C13" w:rsidRPr="00A43F91" w:rsidRDefault="002410E8" w:rsidP="006E2A77">
      <w:pPr>
        <w:pStyle w:val="COMTablefooter"/>
        <w:rPr>
          <w:i/>
          <w:iCs/>
        </w:rPr>
      </w:pPr>
      <w:r w:rsidRPr="00A43F91">
        <w:rPr>
          <w:i/>
          <w:iCs/>
          <w:vertAlign w:val="superscript"/>
        </w:rPr>
        <w:t>1</w:t>
      </w:r>
      <w:r w:rsidRPr="00A43F91">
        <w:rPr>
          <w:i/>
          <w:iCs/>
        </w:rPr>
        <w:t xml:space="preserve"> </w:t>
      </w:r>
      <w:r w:rsidR="00771C13" w:rsidRPr="00A43F91">
        <w:rPr>
          <w:i/>
          <w:iCs/>
        </w:rPr>
        <w:t>$155,000 to &lt; $255,000</w:t>
      </w:r>
    </w:p>
    <w:p w14:paraId="172A9467" w14:textId="760134E6" w:rsidR="002410E8" w:rsidRPr="00A43F91" w:rsidRDefault="002410E8" w:rsidP="006E2A77">
      <w:pPr>
        <w:pStyle w:val="COMTablefooter"/>
        <w:rPr>
          <w:i/>
          <w:iCs/>
        </w:rPr>
      </w:pPr>
      <w:r w:rsidRPr="00A43F91">
        <w:rPr>
          <w:i/>
          <w:iCs/>
          <w:vertAlign w:val="superscript"/>
        </w:rPr>
        <w:t>2</w:t>
      </w:r>
      <w:r w:rsidRPr="00A43F91">
        <w:rPr>
          <w:i/>
          <w:iCs/>
        </w:rPr>
        <w:t xml:space="preserve"> </w:t>
      </w:r>
      <w:r w:rsidR="00D812F2" w:rsidRPr="00A43F91">
        <w:rPr>
          <w:i/>
          <w:iCs/>
        </w:rPr>
        <w:t>$25,000 to &lt; $35,000</w:t>
      </w:r>
    </w:p>
    <w:p w14:paraId="578BF07C" w14:textId="3183E3CD" w:rsidR="002410E8" w:rsidRPr="00A43F91" w:rsidRDefault="002410E8" w:rsidP="006E2A77">
      <w:pPr>
        <w:pStyle w:val="COMTablefooter"/>
        <w:rPr>
          <w:i/>
          <w:iCs/>
        </w:rPr>
      </w:pPr>
      <w:r w:rsidRPr="00A43F91">
        <w:rPr>
          <w:i/>
          <w:iCs/>
          <w:vertAlign w:val="superscript"/>
        </w:rPr>
        <w:t>3</w:t>
      </w:r>
      <w:r w:rsidRPr="00A43F91">
        <w:rPr>
          <w:i/>
          <w:iCs/>
        </w:rPr>
        <w:t xml:space="preserve"> </w:t>
      </w:r>
      <w:r w:rsidR="007E56F4" w:rsidRPr="00A43F91">
        <w:rPr>
          <w:i/>
          <w:iCs/>
        </w:rPr>
        <w:t>$115,000 to &lt; $135,000</w:t>
      </w:r>
    </w:p>
    <w:p w14:paraId="3084452C" w14:textId="340C24E9" w:rsidR="0064744C" w:rsidRPr="00704B78" w:rsidRDefault="0064744C" w:rsidP="006E2A77">
      <w:pPr>
        <w:pStyle w:val="COMexecsummnumbered"/>
      </w:pPr>
      <w:r w:rsidRPr="00704B78">
        <w:lastRenderedPageBreak/>
        <w:t xml:space="preserve">Based on the economic model, treatment with ravulizumab in combination with standard therapy was associated with an incremental cost per QALY gained of </w:t>
      </w:r>
      <w:r w:rsidR="00770260" w:rsidRPr="00770260">
        <w:t>$155,000 to &lt; $255,000</w:t>
      </w:r>
      <w:r w:rsidR="00A43F91">
        <w:t xml:space="preserve"> </w:t>
      </w:r>
      <w:r w:rsidRPr="00704B78">
        <w:t xml:space="preserve">compared to placebo in combination with standard therapy in newly diagnosed myasthenia gravis patients. </w:t>
      </w:r>
    </w:p>
    <w:p w14:paraId="5BD9AAAA" w14:textId="77777777" w:rsidR="004B1969" w:rsidRPr="00704B78" w:rsidRDefault="0064744C" w:rsidP="006E2A77">
      <w:pPr>
        <w:pStyle w:val="COMexecsummnumbered"/>
      </w:pPr>
      <w:r w:rsidRPr="00704B78">
        <w:t>During the evaluation, it was noted that 83% of incremental QALYs in the model are accrued after the maximum duration of ravulizumab treatment (2 years) while the difference in incremental costs between treatment arms decreased over time after ravulizumab discontinuation.</w:t>
      </w:r>
    </w:p>
    <w:p w14:paraId="28C36556" w14:textId="7998EFF4" w:rsidR="004B1969" w:rsidRPr="00704B78" w:rsidRDefault="00EA7043" w:rsidP="006E2A77">
      <w:pPr>
        <w:pStyle w:val="COMexecsummnumbered"/>
      </w:pPr>
      <w:r w:rsidRPr="00704B78">
        <w:fldChar w:fldCharType="begin"/>
      </w:r>
      <w:r w:rsidRPr="00704B78">
        <w:instrText xml:space="preserve"> REF _Ref190172575 \h </w:instrText>
      </w:r>
      <w:r w:rsidR="00440623" w:rsidRPr="00704B78">
        <w:instrText xml:space="preserve"> \* MERGEFORMAT </w:instrText>
      </w:r>
      <w:r w:rsidRPr="00704B78">
        <w:fldChar w:fldCharType="separate"/>
      </w:r>
      <w:r w:rsidR="00875704" w:rsidRPr="00875704">
        <w:t>Figure 1</w:t>
      </w:r>
      <w:r w:rsidRPr="00704B78">
        <w:fldChar w:fldCharType="end"/>
      </w:r>
      <w:r w:rsidR="00440623" w:rsidRPr="00704B78">
        <w:t xml:space="preserve"> </w:t>
      </w:r>
      <w:r w:rsidRPr="00704B78">
        <w:t>presents a model trace of the proportion of responders over time</w:t>
      </w:r>
      <w:r w:rsidR="00440623" w:rsidRPr="00704B78">
        <w:t xml:space="preserve"> </w:t>
      </w:r>
      <w:r w:rsidR="004B1969" w:rsidRPr="00704B78">
        <w:t>in newly diagnosed patients.</w:t>
      </w:r>
    </w:p>
    <w:p w14:paraId="628FD784" w14:textId="332C3A1C" w:rsidR="004B1969" w:rsidRPr="00366BBC" w:rsidRDefault="00EA7043" w:rsidP="006E2A77">
      <w:pPr>
        <w:pStyle w:val="Caption"/>
        <w:keepNext/>
        <w:keepLines/>
        <w:spacing w:before="120" w:after="0"/>
        <w:rPr>
          <w:rFonts w:ascii="Arial Narrow" w:hAnsi="Arial Narrow"/>
          <w:sz w:val="20"/>
          <w:szCs w:val="16"/>
        </w:rPr>
      </w:pPr>
      <w:bookmarkStart w:id="51" w:name="_Ref190172575"/>
      <w:r w:rsidRPr="00366BBC">
        <w:rPr>
          <w:rFonts w:ascii="Arial Narrow" w:hAnsi="Arial Narrow"/>
          <w:sz w:val="20"/>
          <w:szCs w:val="16"/>
        </w:rPr>
        <w:t xml:space="preserve">Figure </w:t>
      </w:r>
      <w:r w:rsidRPr="00366BBC">
        <w:rPr>
          <w:rFonts w:ascii="Arial Narrow" w:hAnsi="Arial Narrow"/>
          <w:sz w:val="20"/>
          <w:szCs w:val="16"/>
        </w:rPr>
        <w:fldChar w:fldCharType="begin"/>
      </w:r>
      <w:r w:rsidRPr="00366BBC">
        <w:rPr>
          <w:rFonts w:ascii="Arial Narrow" w:hAnsi="Arial Narrow"/>
          <w:sz w:val="20"/>
          <w:szCs w:val="16"/>
        </w:rPr>
        <w:instrText xml:space="preserve"> SEQ Figure \* ARABIC </w:instrText>
      </w:r>
      <w:r w:rsidRPr="00366BBC">
        <w:rPr>
          <w:rFonts w:ascii="Arial Narrow" w:hAnsi="Arial Narrow"/>
          <w:sz w:val="20"/>
          <w:szCs w:val="16"/>
        </w:rPr>
        <w:fldChar w:fldCharType="separate"/>
      </w:r>
      <w:r w:rsidR="00875704">
        <w:rPr>
          <w:rFonts w:ascii="Arial Narrow" w:hAnsi="Arial Narrow"/>
          <w:noProof/>
          <w:sz w:val="20"/>
          <w:szCs w:val="16"/>
        </w:rPr>
        <w:t>1</w:t>
      </w:r>
      <w:r w:rsidRPr="00366BBC">
        <w:rPr>
          <w:rFonts w:ascii="Arial Narrow" w:hAnsi="Arial Narrow"/>
          <w:sz w:val="20"/>
          <w:szCs w:val="16"/>
        </w:rPr>
        <w:fldChar w:fldCharType="end"/>
      </w:r>
      <w:bookmarkEnd w:id="51"/>
      <w:r w:rsidR="004B1969" w:rsidRPr="00366BBC">
        <w:rPr>
          <w:rFonts w:ascii="Arial Narrow" w:hAnsi="Arial Narrow"/>
          <w:sz w:val="20"/>
          <w:szCs w:val="16"/>
        </w:rPr>
        <w:t>: Model trace of responders by line of therapy in newly diagnosed patients</w:t>
      </w:r>
    </w:p>
    <w:p w14:paraId="18D70C2C" w14:textId="77777777" w:rsidR="00B757C5" w:rsidRDefault="004B1969" w:rsidP="006E2A77">
      <w:pPr>
        <w:pStyle w:val="COMTablefooter"/>
        <w:keepNext/>
        <w:keepLines/>
      </w:pPr>
      <w:r w:rsidRPr="00704B78">
        <w:rPr>
          <w:noProof/>
        </w:rPr>
        <w:drawing>
          <wp:inline distT="0" distB="0" distL="0" distR="0" wp14:anchorId="2790961D" wp14:editId="19347840">
            <wp:extent cx="5271714" cy="3036512"/>
            <wp:effectExtent l="0" t="0" r="5715" b="0"/>
            <wp:docPr id="1944550516" name="Picture 15" descr="Figure 1: Line graph showing model trace of responders by line of therapy in newly diagnose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50516" name="Picture 15" descr="Figure 1: Line graph showing model trace of responders by line of therapy in newly diagnosed patie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5987" cy="3038973"/>
                    </a:xfrm>
                    <a:prstGeom prst="rect">
                      <a:avLst/>
                    </a:prstGeom>
                    <a:noFill/>
                  </pic:spPr>
                </pic:pic>
              </a:graphicData>
            </a:graphic>
          </wp:inline>
        </w:drawing>
      </w:r>
    </w:p>
    <w:p w14:paraId="434BCF13" w14:textId="0D79E872" w:rsidR="004B1969" w:rsidRPr="00704B78" w:rsidRDefault="004B1969" w:rsidP="006E2A77">
      <w:pPr>
        <w:pStyle w:val="COMTablefooter"/>
        <w:keepNext/>
        <w:keepLines/>
      </w:pPr>
      <w:r w:rsidRPr="00704B78">
        <w:t>Source: Constructed during the evaluation based on ‘Section 3A Newly Diagnosed Workbook’ Excel Spreadsheet</w:t>
      </w:r>
    </w:p>
    <w:p w14:paraId="4E53E9DD" w14:textId="77777777" w:rsidR="004B1969" w:rsidRPr="00704B78" w:rsidRDefault="004B1969" w:rsidP="006E2A77">
      <w:pPr>
        <w:pStyle w:val="COMTablefooter"/>
        <w:keepLines/>
      </w:pPr>
      <w:r w:rsidRPr="00704B78">
        <w:t>Abbreviations: AE, adverse event; PBO, placebo; RAVU, ravulizumab.</w:t>
      </w:r>
    </w:p>
    <w:p w14:paraId="2E6D49F8" w14:textId="14CCD1FD" w:rsidR="00404BF9" w:rsidRPr="00704B78" w:rsidRDefault="004B1969" w:rsidP="006E2A77">
      <w:pPr>
        <w:pStyle w:val="COMexecsummnumbered"/>
      </w:pPr>
      <w:r w:rsidRPr="00704B78">
        <w:t>The model trace indicates a clear separation in the proportion of responders at 12</w:t>
      </w:r>
      <w:r w:rsidR="00A43F91">
        <w:t> </w:t>
      </w:r>
      <w:r w:rsidRPr="00704B78">
        <w:t xml:space="preserve">weeks which favours ravulizumab treatment and is consistent with the clinical data from the newly diagnosed subgroup of the CHAMPION-MG trial. The curves continue to diverge between Week 12 and Year 2 due to different assumptions regarding treatment discontinuation/loss of response over time between </w:t>
      </w:r>
      <w:r w:rsidR="005439EB" w:rsidRPr="00704B78">
        <w:t xml:space="preserve">the </w:t>
      </w:r>
      <w:r w:rsidRPr="00704B78">
        <w:t>treatment arms. After two years, first-line therapy is discontinued in both arms, with the proportion of responders slowly declining over time based on assumed disease relapse rates.</w:t>
      </w:r>
      <w:r w:rsidR="0021272A" w:rsidRPr="00704B78">
        <w:t xml:space="preserve"> </w:t>
      </w:r>
      <w:r w:rsidRPr="00704B78">
        <w:t>The trace also demonstrates that patients who do not achieve response in the first 12</w:t>
      </w:r>
      <w:r w:rsidR="00A43F91">
        <w:t> </w:t>
      </w:r>
      <w:r w:rsidRPr="00704B78">
        <w:t xml:space="preserve">weeks of treatment will never achieve a treatment response. This is not consistent with timeframes required to optimise </w:t>
      </w:r>
      <w:r w:rsidR="001D5ECE">
        <w:t>NS-ISTs</w:t>
      </w:r>
      <w:r w:rsidRPr="00704B78">
        <w:t xml:space="preserve">. </w:t>
      </w:r>
    </w:p>
    <w:p w14:paraId="363C14E9" w14:textId="77777777" w:rsidR="0064744C" w:rsidRPr="00704B78" w:rsidRDefault="0064744C" w:rsidP="006E2A77">
      <w:pPr>
        <w:pStyle w:val="COMexecsummnumbered"/>
      </w:pPr>
      <w:r w:rsidRPr="00704B78">
        <w:t>For every 100 newly diagnosed patients treated with ravulizumab versus placebo and followed up for 15 years, the economic evaluation (based on undiscounted values) estimated that there would be:</w:t>
      </w:r>
    </w:p>
    <w:p w14:paraId="39FAF2AE" w14:textId="1CEAC3A8" w:rsidR="0064744C" w:rsidRPr="00704B78" w:rsidRDefault="0064744C" w:rsidP="006E2A77">
      <w:pPr>
        <w:pStyle w:val="COMexecsummnumbered"/>
        <w:numPr>
          <w:ilvl w:val="0"/>
          <w:numId w:val="9"/>
        </w:numPr>
      </w:pPr>
      <w:r w:rsidRPr="00704B78">
        <w:lastRenderedPageBreak/>
        <w:t>An increase in the time spent with higher functional capacity (with an average of 5.467 additional years in response</w:t>
      </w:r>
      <w:r w:rsidR="00E05F5E" w:rsidRPr="00704B78">
        <w:t xml:space="preserve"> per patient</w:t>
      </w:r>
      <w:r w:rsidRPr="00704B78">
        <w:t>).</w:t>
      </w:r>
    </w:p>
    <w:p w14:paraId="6B3CD45A" w14:textId="77777777" w:rsidR="0064744C" w:rsidRPr="00704B78" w:rsidRDefault="0064744C" w:rsidP="006E2A77">
      <w:pPr>
        <w:pStyle w:val="COMexecsummnumbered"/>
        <w:numPr>
          <w:ilvl w:val="0"/>
          <w:numId w:val="9"/>
        </w:numPr>
      </w:pPr>
      <w:r w:rsidRPr="00704B78">
        <w:t>A reduction in clinical events (151 fewer exacerbation events; 9 fewer myasthenic crisis events).</w:t>
      </w:r>
    </w:p>
    <w:p w14:paraId="17AB640E" w14:textId="60658291" w:rsidR="0064744C" w:rsidRPr="00704B78" w:rsidRDefault="0064744C" w:rsidP="006E2A77">
      <w:pPr>
        <w:pStyle w:val="COMexecsummnumbered"/>
        <w:numPr>
          <w:ilvl w:val="0"/>
          <w:numId w:val="9"/>
        </w:numPr>
      </w:pPr>
      <w:r w:rsidRPr="00704B78">
        <w:t>Additional ravulizumab drug acquisition costs of $</w:t>
      </w:r>
      <w:r w:rsidR="00F555BD" w:rsidRPr="00875704">
        <w:rPr>
          <w:color w:val="000000"/>
          <w:w w:val="15"/>
          <w:shd w:val="solid" w:color="000000" w:fill="000000"/>
          <w:fitText w:val="-20" w:id="-691350012"/>
          <w14:textFill>
            <w14:solidFill>
              <w14:srgbClr w14:val="000000">
                <w14:alpha w14:val="100000"/>
              </w14:srgbClr>
            </w14:solidFill>
          </w14:textFill>
        </w:rPr>
        <w:t>|</w:t>
      </w:r>
      <w:r w:rsidR="00D61CA6" w:rsidRPr="00875704">
        <w:rPr>
          <w:color w:val="000000"/>
          <w:w w:val="15"/>
          <w:shd w:val="solid" w:color="000000" w:fill="000000"/>
          <w:fitText w:val="-20" w:id="-691350012"/>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50012"/>
          <w14:textFill>
            <w14:solidFill>
              <w14:srgbClr w14:val="000000">
                <w14:alpha w14:val="100000"/>
              </w14:srgbClr>
            </w14:solidFill>
          </w14:textFill>
        </w:rPr>
        <w:t>|</w:t>
      </w:r>
      <w:r w:rsidRPr="00704B78">
        <w:t xml:space="preserve"> million.</w:t>
      </w:r>
    </w:p>
    <w:p w14:paraId="559FEF82" w14:textId="5A6C6408" w:rsidR="0064744C" w:rsidRPr="00704B78" w:rsidRDefault="0064744C" w:rsidP="006E2A77">
      <w:pPr>
        <w:pStyle w:val="COMexecsummnumbered"/>
      </w:pPr>
      <w:r w:rsidRPr="00704B78">
        <w:t xml:space="preserve">The results of the stepped economic evaluation for treatment refractory patients are summarised in </w:t>
      </w:r>
      <w:r w:rsidR="003A337C" w:rsidRPr="00704B78">
        <w:fldChar w:fldCharType="begin"/>
      </w:r>
      <w:r w:rsidR="003A337C" w:rsidRPr="00704B78">
        <w:instrText xml:space="preserve"> REF _Ref187652445 \h </w:instrText>
      </w:r>
      <w:r w:rsidR="004577BE" w:rsidRPr="00704B78">
        <w:instrText xml:space="preserve"> \* MERGEFORMAT </w:instrText>
      </w:r>
      <w:r w:rsidR="003A337C" w:rsidRPr="00704B78">
        <w:fldChar w:fldCharType="separate"/>
      </w:r>
      <w:r w:rsidR="00875704" w:rsidRPr="00704B78">
        <w:t xml:space="preserve">Table </w:t>
      </w:r>
      <w:r w:rsidR="00875704">
        <w:rPr>
          <w:noProof/>
        </w:rPr>
        <w:t>13</w:t>
      </w:r>
      <w:r w:rsidR="003A337C" w:rsidRPr="00704B78">
        <w:fldChar w:fldCharType="end"/>
      </w:r>
      <w:r w:rsidRPr="00704B78">
        <w:t>.</w:t>
      </w:r>
    </w:p>
    <w:p w14:paraId="17E51930" w14:textId="75675C25" w:rsidR="00F01D5B" w:rsidRPr="00704B78" w:rsidRDefault="003A337C" w:rsidP="006E2A77">
      <w:pPr>
        <w:pStyle w:val="COMtablefigcaption"/>
      </w:pPr>
      <w:bookmarkStart w:id="52" w:name="_Ref187652445"/>
      <w:r w:rsidRPr="00704B78">
        <w:t xml:space="preserve">Table </w:t>
      </w:r>
      <w:r w:rsidRPr="00704B78">
        <w:fldChar w:fldCharType="begin"/>
      </w:r>
      <w:r w:rsidRPr="00704B78">
        <w:instrText>SEQ Table \* ARABIC</w:instrText>
      </w:r>
      <w:r w:rsidRPr="00704B78">
        <w:fldChar w:fldCharType="separate"/>
      </w:r>
      <w:r w:rsidR="00875704">
        <w:rPr>
          <w:noProof/>
        </w:rPr>
        <w:t>13</w:t>
      </w:r>
      <w:r w:rsidRPr="00704B78">
        <w:fldChar w:fldCharType="end"/>
      </w:r>
      <w:bookmarkEnd w:id="52"/>
      <w:r w:rsidR="00F01D5B" w:rsidRPr="00704B78">
        <w:t xml:space="preserve">: Stepped economic evaluation of ravulizumab compared to placebo in treatment refractory patients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tepped economic evaluation of ravulizumab compared to placebo in treatment refractory patients "/>
      </w:tblPr>
      <w:tblGrid>
        <w:gridCol w:w="2533"/>
        <w:gridCol w:w="1944"/>
        <w:gridCol w:w="1946"/>
        <w:gridCol w:w="2585"/>
      </w:tblGrid>
      <w:tr w:rsidR="00F01D5B" w:rsidRPr="00704B78" w14:paraId="3A592445" w14:textId="77777777" w:rsidTr="3517B442">
        <w:trPr>
          <w:trHeight w:val="43"/>
        </w:trPr>
        <w:tc>
          <w:tcPr>
            <w:tcW w:w="1406" w:type="pct"/>
            <w:vAlign w:val="center"/>
          </w:tcPr>
          <w:p w14:paraId="4B040467" w14:textId="77777777" w:rsidR="00F01D5B" w:rsidRPr="00704B78" w:rsidRDefault="00F01D5B" w:rsidP="006E2A77">
            <w:pPr>
              <w:pStyle w:val="TableText"/>
              <w:widowControl/>
              <w:rPr>
                <w:b/>
                <w:bCs w:val="0"/>
              </w:rPr>
            </w:pPr>
            <w:r w:rsidRPr="00704B78">
              <w:rPr>
                <w:b/>
                <w:bCs w:val="0"/>
              </w:rPr>
              <w:t>Type of resource item</w:t>
            </w:r>
          </w:p>
        </w:tc>
        <w:tc>
          <w:tcPr>
            <w:tcW w:w="1079" w:type="pct"/>
            <w:vAlign w:val="center"/>
          </w:tcPr>
          <w:p w14:paraId="7429C592" w14:textId="77777777" w:rsidR="00F01D5B" w:rsidRPr="00704B78" w:rsidRDefault="00F01D5B" w:rsidP="006E2A77">
            <w:pPr>
              <w:pStyle w:val="TableText"/>
              <w:widowControl/>
              <w:jc w:val="center"/>
              <w:rPr>
                <w:b/>
                <w:bCs w:val="0"/>
              </w:rPr>
            </w:pPr>
            <w:r w:rsidRPr="00704B78">
              <w:rPr>
                <w:b/>
                <w:bCs w:val="0"/>
              </w:rPr>
              <w:t>Ravulizumab</w:t>
            </w:r>
          </w:p>
        </w:tc>
        <w:tc>
          <w:tcPr>
            <w:tcW w:w="1080" w:type="pct"/>
            <w:vAlign w:val="center"/>
          </w:tcPr>
          <w:p w14:paraId="018D704C" w14:textId="77777777" w:rsidR="00F01D5B" w:rsidRPr="00704B78" w:rsidRDefault="00F01D5B" w:rsidP="006E2A77">
            <w:pPr>
              <w:pStyle w:val="TableText"/>
              <w:widowControl/>
              <w:jc w:val="center"/>
              <w:rPr>
                <w:b/>
                <w:bCs w:val="0"/>
              </w:rPr>
            </w:pPr>
            <w:r w:rsidRPr="00704B78">
              <w:rPr>
                <w:b/>
                <w:bCs w:val="0"/>
              </w:rPr>
              <w:t>Placebo</w:t>
            </w:r>
          </w:p>
        </w:tc>
        <w:tc>
          <w:tcPr>
            <w:tcW w:w="1435" w:type="pct"/>
          </w:tcPr>
          <w:p w14:paraId="2A19C9A2" w14:textId="77777777" w:rsidR="00F01D5B" w:rsidRPr="00704B78" w:rsidRDefault="00F01D5B" w:rsidP="006E2A77">
            <w:pPr>
              <w:pStyle w:val="TableText"/>
              <w:widowControl/>
              <w:jc w:val="center"/>
              <w:rPr>
                <w:b/>
                <w:bCs w:val="0"/>
              </w:rPr>
            </w:pPr>
            <w:r w:rsidRPr="00704B78">
              <w:rPr>
                <w:b/>
                <w:bCs w:val="0"/>
              </w:rPr>
              <w:t>Increment</w:t>
            </w:r>
          </w:p>
        </w:tc>
      </w:tr>
      <w:tr w:rsidR="00F01D5B" w:rsidRPr="00704B78" w14:paraId="5D35321C" w14:textId="77777777" w:rsidTr="3517B442">
        <w:tc>
          <w:tcPr>
            <w:tcW w:w="5000" w:type="pct"/>
            <w:gridSpan w:val="4"/>
          </w:tcPr>
          <w:p w14:paraId="08D136EF" w14:textId="77777777" w:rsidR="00F01D5B" w:rsidRPr="00704B78" w:rsidRDefault="00F01D5B" w:rsidP="006E2A77">
            <w:pPr>
              <w:pStyle w:val="TableText"/>
              <w:widowControl/>
              <w:rPr>
                <w:b/>
                <w:bCs w:val="0"/>
              </w:rPr>
            </w:pPr>
            <w:r w:rsidRPr="00704B78">
              <w:rPr>
                <w:b/>
                <w:bCs w:val="0"/>
              </w:rPr>
              <w:t>Step 1: Modelled estimate based on the first 12 weeks of treatment</w:t>
            </w:r>
          </w:p>
        </w:tc>
      </w:tr>
      <w:tr w:rsidR="00F01D5B" w:rsidRPr="00704B78" w14:paraId="365C678D" w14:textId="77777777" w:rsidTr="3517B442">
        <w:tc>
          <w:tcPr>
            <w:tcW w:w="1406" w:type="pct"/>
          </w:tcPr>
          <w:p w14:paraId="5CD03A5B" w14:textId="77777777" w:rsidR="00F01D5B" w:rsidRPr="00704B78" w:rsidRDefault="00F01D5B" w:rsidP="006E2A77">
            <w:pPr>
              <w:pStyle w:val="TableText"/>
              <w:widowControl/>
            </w:pPr>
            <w:r w:rsidRPr="00704B78">
              <w:t>Costs</w:t>
            </w:r>
          </w:p>
        </w:tc>
        <w:tc>
          <w:tcPr>
            <w:tcW w:w="1079" w:type="pct"/>
            <w:vAlign w:val="bottom"/>
          </w:tcPr>
          <w:p w14:paraId="3B5B9B43" w14:textId="5454A9D0"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c>
          <w:tcPr>
            <w:tcW w:w="1080" w:type="pct"/>
            <w:vAlign w:val="bottom"/>
          </w:tcPr>
          <w:p w14:paraId="446029E3" w14:textId="77777777" w:rsidR="00F01D5B" w:rsidRPr="00704B78" w:rsidRDefault="00F01D5B" w:rsidP="006E2A77">
            <w:pPr>
              <w:pStyle w:val="TableText"/>
              <w:widowControl/>
              <w:jc w:val="center"/>
            </w:pPr>
            <w:r w:rsidRPr="00704B78">
              <w:t>$1,025</w:t>
            </w:r>
          </w:p>
        </w:tc>
        <w:tc>
          <w:tcPr>
            <w:tcW w:w="1435" w:type="pct"/>
            <w:vAlign w:val="center"/>
          </w:tcPr>
          <w:p w14:paraId="3833CD6C" w14:textId="3344538F"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r>
      <w:tr w:rsidR="00F01D5B" w:rsidRPr="00704B78" w14:paraId="3F07CFB7" w14:textId="77777777" w:rsidTr="3517B442">
        <w:tc>
          <w:tcPr>
            <w:tcW w:w="1406" w:type="pct"/>
          </w:tcPr>
          <w:p w14:paraId="11FD525C" w14:textId="77777777" w:rsidR="00F01D5B" w:rsidRPr="00704B78" w:rsidRDefault="00F01D5B" w:rsidP="006E2A77">
            <w:pPr>
              <w:pStyle w:val="TableText"/>
              <w:widowControl/>
            </w:pPr>
            <w:r w:rsidRPr="00704B78">
              <w:t>Patients with response</w:t>
            </w:r>
          </w:p>
        </w:tc>
        <w:tc>
          <w:tcPr>
            <w:tcW w:w="1079" w:type="pct"/>
            <w:vAlign w:val="bottom"/>
          </w:tcPr>
          <w:p w14:paraId="3E4D477F" w14:textId="77777777" w:rsidR="00F01D5B" w:rsidRPr="00704B78" w:rsidRDefault="00F01D5B" w:rsidP="006E2A77">
            <w:pPr>
              <w:pStyle w:val="TableText"/>
              <w:widowControl/>
              <w:jc w:val="center"/>
            </w:pPr>
            <w:r w:rsidRPr="00704B78">
              <w:t>0.5526</w:t>
            </w:r>
          </w:p>
        </w:tc>
        <w:tc>
          <w:tcPr>
            <w:tcW w:w="1080" w:type="pct"/>
            <w:vAlign w:val="bottom"/>
          </w:tcPr>
          <w:p w14:paraId="35BCB631" w14:textId="77777777" w:rsidR="00F01D5B" w:rsidRPr="00704B78" w:rsidRDefault="00F01D5B" w:rsidP="006E2A77">
            <w:pPr>
              <w:pStyle w:val="TableText"/>
              <w:widowControl/>
              <w:jc w:val="center"/>
            </w:pPr>
            <w:r w:rsidRPr="00704B78">
              <w:t>0.4468</w:t>
            </w:r>
          </w:p>
        </w:tc>
        <w:tc>
          <w:tcPr>
            <w:tcW w:w="1435" w:type="pct"/>
            <w:vAlign w:val="center"/>
          </w:tcPr>
          <w:p w14:paraId="23A65496" w14:textId="77777777" w:rsidR="00F01D5B" w:rsidRPr="00704B78" w:rsidRDefault="00F01D5B" w:rsidP="006E2A77">
            <w:pPr>
              <w:pStyle w:val="TableText"/>
              <w:widowControl/>
              <w:jc w:val="center"/>
            </w:pPr>
            <w:r w:rsidRPr="00704B78">
              <w:t>0.1058</w:t>
            </w:r>
          </w:p>
        </w:tc>
      </w:tr>
      <w:tr w:rsidR="00F01D5B" w:rsidRPr="00704B78" w14:paraId="011DD5F2" w14:textId="77777777" w:rsidTr="3517B442">
        <w:tc>
          <w:tcPr>
            <w:tcW w:w="3565" w:type="pct"/>
            <w:gridSpan w:val="3"/>
          </w:tcPr>
          <w:p w14:paraId="29B8756D" w14:textId="77777777" w:rsidR="00F01D5B" w:rsidRPr="00704B78" w:rsidRDefault="00F01D5B" w:rsidP="006E2A77">
            <w:pPr>
              <w:pStyle w:val="TableText"/>
              <w:widowControl/>
              <w:jc w:val="right"/>
              <w:rPr>
                <w:b/>
              </w:rPr>
            </w:pPr>
            <w:r w:rsidRPr="00704B78">
              <w:rPr>
                <w:b/>
              </w:rPr>
              <w:t>Incremental cost per additional patient with response</w:t>
            </w:r>
          </w:p>
        </w:tc>
        <w:tc>
          <w:tcPr>
            <w:tcW w:w="1435" w:type="pct"/>
            <w:vAlign w:val="center"/>
          </w:tcPr>
          <w:p w14:paraId="247D9730" w14:textId="6CCD9342"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r w:rsidR="00E145F7" w:rsidRPr="00E145F7">
              <w:rPr>
                <w:vertAlign w:val="superscript"/>
              </w:rPr>
              <w:t>1</w:t>
            </w:r>
          </w:p>
        </w:tc>
      </w:tr>
      <w:tr w:rsidR="00F01D5B" w:rsidRPr="00704B78" w14:paraId="13539976" w14:textId="77777777" w:rsidTr="3517B442">
        <w:tc>
          <w:tcPr>
            <w:tcW w:w="5000" w:type="pct"/>
            <w:gridSpan w:val="4"/>
          </w:tcPr>
          <w:p w14:paraId="70A55FA8" w14:textId="77777777" w:rsidR="00F01D5B" w:rsidRPr="00704B78" w:rsidRDefault="00F01D5B" w:rsidP="006E2A77">
            <w:pPr>
              <w:pStyle w:val="TableText"/>
              <w:widowControl/>
              <w:rPr>
                <w:b/>
                <w:bCs w:val="0"/>
              </w:rPr>
            </w:pPr>
            <w:r w:rsidRPr="00704B78">
              <w:rPr>
                <w:b/>
                <w:bCs w:val="0"/>
              </w:rPr>
              <w:t>Step 2: Modelled estimate extrapolated to 15 years</w:t>
            </w:r>
          </w:p>
        </w:tc>
      </w:tr>
      <w:tr w:rsidR="00F01D5B" w:rsidRPr="00704B78" w14:paraId="45FD362E" w14:textId="77777777" w:rsidTr="3517B442">
        <w:tc>
          <w:tcPr>
            <w:tcW w:w="1406" w:type="pct"/>
          </w:tcPr>
          <w:p w14:paraId="0932F267" w14:textId="77777777" w:rsidR="00F01D5B" w:rsidRPr="00704B78" w:rsidRDefault="00F01D5B" w:rsidP="006E2A77">
            <w:pPr>
              <w:pStyle w:val="TableText"/>
              <w:widowControl/>
            </w:pPr>
            <w:r w:rsidRPr="00704B78">
              <w:t>Costs</w:t>
            </w:r>
          </w:p>
        </w:tc>
        <w:tc>
          <w:tcPr>
            <w:tcW w:w="1079" w:type="pct"/>
            <w:vAlign w:val="bottom"/>
          </w:tcPr>
          <w:p w14:paraId="028A052E" w14:textId="79F953E4"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c>
          <w:tcPr>
            <w:tcW w:w="1080" w:type="pct"/>
            <w:vAlign w:val="bottom"/>
          </w:tcPr>
          <w:p w14:paraId="03F56C30" w14:textId="77777777" w:rsidR="00F01D5B" w:rsidRPr="00704B78" w:rsidRDefault="00F01D5B" w:rsidP="006E2A77">
            <w:pPr>
              <w:pStyle w:val="TableText"/>
              <w:widowControl/>
              <w:jc w:val="center"/>
            </w:pPr>
            <w:r w:rsidRPr="00704B78">
              <w:t>$237,695</w:t>
            </w:r>
          </w:p>
        </w:tc>
        <w:tc>
          <w:tcPr>
            <w:tcW w:w="1435" w:type="pct"/>
            <w:vAlign w:val="center"/>
          </w:tcPr>
          <w:p w14:paraId="794422EF" w14:textId="0775FCFC"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r>
      <w:tr w:rsidR="00F01D5B" w:rsidRPr="00704B78" w14:paraId="7F557527" w14:textId="77777777" w:rsidTr="3517B442">
        <w:tc>
          <w:tcPr>
            <w:tcW w:w="1406" w:type="pct"/>
          </w:tcPr>
          <w:p w14:paraId="1E146E16" w14:textId="77777777" w:rsidR="00F01D5B" w:rsidRPr="00704B78" w:rsidRDefault="00F01D5B" w:rsidP="006E2A77">
            <w:pPr>
              <w:pStyle w:val="TableText"/>
              <w:widowControl/>
            </w:pPr>
            <w:r w:rsidRPr="00704B78">
              <w:t>Responder years</w:t>
            </w:r>
          </w:p>
        </w:tc>
        <w:tc>
          <w:tcPr>
            <w:tcW w:w="1079" w:type="pct"/>
            <w:vAlign w:val="bottom"/>
          </w:tcPr>
          <w:p w14:paraId="10D000A3" w14:textId="77777777" w:rsidR="00F01D5B" w:rsidRPr="00704B78" w:rsidRDefault="00F01D5B" w:rsidP="006E2A77">
            <w:pPr>
              <w:pStyle w:val="TableText"/>
              <w:widowControl/>
              <w:jc w:val="center"/>
            </w:pPr>
            <w:r w:rsidRPr="00704B78">
              <w:t>4.3287</w:t>
            </w:r>
          </w:p>
        </w:tc>
        <w:tc>
          <w:tcPr>
            <w:tcW w:w="1080" w:type="pct"/>
            <w:vAlign w:val="bottom"/>
          </w:tcPr>
          <w:p w14:paraId="16B51B00" w14:textId="77777777" w:rsidR="00F01D5B" w:rsidRPr="00704B78" w:rsidRDefault="00F01D5B" w:rsidP="006E2A77">
            <w:pPr>
              <w:pStyle w:val="TableText"/>
              <w:widowControl/>
              <w:jc w:val="center"/>
            </w:pPr>
            <w:r w:rsidRPr="00704B78">
              <w:t>1.3369</w:t>
            </w:r>
          </w:p>
        </w:tc>
        <w:tc>
          <w:tcPr>
            <w:tcW w:w="1435" w:type="pct"/>
            <w:vAlign w:val="center"/>
          </w:tcPr>
          <w:p w14:paraId="3CD981CD" w14:textId="77777777" w:rsidR="00F01D5B" w:rsidRPr="00704B78" w:rsidRDefault="00F01D5B" w:rsidP="006E2A77">
            <w:pPr>
              <w:pStyle w:val="TableText"/>
              <w:widowControl/>
              <w:jc w:val="center"/>
            </w:pPr>
            <w:r w:rsidRPr="00704B78">
              <w:t>2.9918</w:t>
            </w:r>
          </w:p>
        </w:tc>
      </w:tr>
      <w:tr w:rsidR="00F01D5B" w:rsidRPr="00704B78" w14:paraId="11FF57FB" w14:textId="77777777" w:rsidTr="3517B442">
        <w:tc>
          <w:tcPr>
            <w:tcW w:w="3565" w:type="pct"/>
            <w:gridSpan w:val="3"/>
          </w:tcPr>
          <w:p w14:paraId="0C7C57A7" w14:textId="77777777" w:rsidR="00F01D5B" w:rsidRPr="00704B78" w:rsidRDefault="00F01D5B" w:rsidP="006E2A77">
            <w:pPr>
              <w:pStyle w:val="TableText"/>
              <w:widowControl/>
              <w:jc w:val="right"/>
              <w:rPr>
                <w:b/>
              </w:rPr>
            </w:pPr>
            <w:r w:rsidRPr="00704B78">
              <w:rPr>
                <w:b/>
              </w:rPr>
              <w:t>Incremental cost per additional year in response</w:t>
            </w:r>
          </w:p>
        </w:tc>
        <w:tc>
          <w:tcPr>
            <w:tcW w:w="1435" w:type="pct"/>
            <w:vAlign w:val="center"/>
          </w:tcPr>
          <w:p w14:paraId="193B4629" w14:textId="34ED5C12"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r w:rsidR="000F66FF" w:rsidRPr="000F66FF">
              <w:rPr>
                <w:vertAlign w:val="superscript"/>
              </w:rPr>
              <w:t>2</w:t>
            </w:r>
          </w:p>
        </w:tc>
      </w:tr>
      <w:tr w:rsidR="00F01D5B" w:rsidRPr="00704B78" w14:paraId="04BB24C6" w14:textId="77777777" w:rsidTr="3517B442">
        <w:tc>
          <w:tcPr>
            <w:tcW w:w="5000" w:type="pct"/>
            <w:gridSpan w:val="4"/>
          </w:tcPr>
          <w:p w14:paraId="0BDEFDCC" w14:textId="77777777" w:rsidR="00F01D5B" w:rsidRPr="00704B78" w:rsidRDefault="00F01D5B" w:rsidP="006E2A77">
            <w:pPr>
              <w:pStyle w:val="TableText"/>
              <w:widowControl/>
              <w:rPr>
                <w:b/>
                <w:bCs w:val="0"/>
              </w:rPr>
            </w:pPr>
            <w:r w:rsidRPr="00704B78">
              <w:rPr>
                <w:b/>
                <w:bCs w:val="0"/>
              </w:rPr>
              <w:t xml:space="preserve">Step 3: Modelled estimate extrapolated to 15 years with utility weights applied </w:t>
            </w:r>
          </w:p>
        </w:tc>
      </w:tr>
      <w:tr w:rsidR="00F01D5B" w:rsidRPr="00704B78" w14:paraId="687C0EC3" w14:textId="77777777" w:rsidTr="3517B442">
        <w:tc>
          <w:tcPr>
            <w:tcW w:w="1406" w:type="pct"/>
          </w:tcPr>
          <w:p w14:paraId="1A7E731C" w14:textId="77777777" w:rsidR="00F01D5B" w:rsidRPr="00704B78" w:rsidRDefault="00F01D5B" w:rsidP="006E2A77">
            <w:pPr>
              <w:pStyle w:val="TableText"/>
              <w:widowControl/>
            </w:pPr>
            <w:r w:rsidRPr="00704B78">
              <w:t>Costs</w:t>
            </w:r>
          </w:p>
        </w:tc>
        <w:tc>
          <w:tcPr>
            <w:tcW w:w="1079" w:type="pct"/>
            <w:vAlign w:val="bottom"/>
          </w:tcPr>
          <w:p w14:paraId="0012AEFA" w14:textId="14635D7B"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c>
          <w:tcPr>
            <w:tcW w:w="1080" w:type="pct"/>
            <w:vAlign w:val="bottom"/>
          </w:tcPr>
          <w:p w14:paraId="67CF49F7" w14:textId="77777777" w:rsidR="00F01D5B" w:rsidRPr="00704B78" w:rsidRDefault="00F01D5B" w:rsidP="006E2A77">
            <w:pPr>
              <w:pStyle w:val="TableText"/>
              <w:widowControl/>
              <w:jc w:val="center"/>
            </w:pPr>
            <w:r w:rsidRPr="00704B78">
              <w:t>$237,695</w:t>
            </w:r>
          </w:p>
        </w:tc>
        <w:tc>
          <w:tcPr>
            <w:tcW w:w="1435" w:type="pct"/>
            <w:vAlign w:val="center"/>
          </w:tcPr>
          <w:p w14:paraId="16557BD3" w14:textId="05DF260A"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r>
      <w:tr w:rsidR="00F01D5B" w:rsidRPr="00704B78" w14:paraId="3565376B" w14:textId="77777777" w:rsidTr="3517B442">
        <w:tc>
          <w:tcPr>
            <w:tcW w:w="1406" w:type="pct"/>
          </w:tcPr>
          <w:p w14:paraId="7A4F491F" w14:textId="77777777" w:rsidR="00F01D5B" w:rsidRPr="00704B78" w:rsidRDefault="00F01D5B" w:rsidP="006E2A77">
            <w:pPr>
              <w:pStyle w:val="TableText"/>
              <w:widowControl/>
            </w:pPr>
            <w:r w:rsidRPr="00704B78">
              <w:t>QALYs</w:t>
            </w:r>
          </w:p>
        </w:tc>
        <w:tc>
          <w:tcPr>
            <w:tcW w:w="1079" w:type="pct"/>
            <w:vAlign w:val="bottom"/>
          </w:tcPr>
          <w:p w14:paraId="4EB514E2" w14:textId="77777777" w:rsidR="00F01D5B" w:rsidRPr="00704B78" w:rsidRDefault="00F01D5B" w:rsidP="006E2A77">
            <w:pPr>
              <w:pStyle w:val="TableText"/>
              <w:widowControl/>
              <w:jc w:val="center"/>
            </w:pPr>
            <w:r w:rsidRPr="00704B78">
              <w:t>9.6685</w:t>
            </w:r>
          </w:p>
        </w:tc>
        <w:tc>
          <w:tcPr>
            <w:tcW w:w="1080" w:type="pct"/>
            <w:vAlign w:val="bottom"/>
          </w:tcPr>
          <w:p w14:paraId="13EF0E3A" w14:textId="77777777" w:rsidR="00F01D5B" w:rsidRPr="00704B78" w:rsidRDefault="00F01D5B" w:rsidP="006E2A77">
            <w:pPr>
              <w:pStyle w:val="TableText"/>
              <w:widowControl/>
              <w:jc w:val="center"/>
            </w:pPr>
            <w:r w:rsidRPr="00704B78">
              <w:t>8.7919</w:t>
            </w:r>
          </w:p>
        </w:tc>
        <w:tc>
          <w:tcPr>
            <w:tcW w:w="1435" w:type="pct"/>
            <w:vAlign w:val="center"/>
          </w:tcPr>
          <w:p w14:paraId="55017EAB" w14:textId="77777777" w:rsidR="00F01D5B" w:rsidRPr="00704B78" w:rsidRDefault="00F01D5B" w:rsidP="006E2A77">
            <w:pPr>
              <w:pStyle w:val="TableText"/>
              <w:widowControl/>
              <w:jc w:val="center"/>
            </w:pPr>
            <w:r w:rsidRPr="00704B78">
              <w:t>0.8766</w:t>
            </w:r>
          </w:p>
        </w:tc>
      </w:tr>
      <w:tr w:rsidR="00F01D5B" w:rsidRPr="00704B78" w14:paraId="42E5F44A" w14:textId="77777777" w:rsidTr="3517B442">
        <w:tc>
          <w:tcPr>
            <w:tcW w:w="3565" w:type="pct"/>
            <w:gridSpan w:val="3"/>
          </w:tcPr>
          <w:p w14:paraId="070BE0C9" w14:textId="77777777" w:rsidR="00F01D5B" w:rsidRPr="00704B78" w:rsidRDefault="00F01D5B" w:rsidP="006E2A77">
            <w:pPr>
              <w:pStyle w:val="TableText"/>
              <w:widowControl/>
              <w:jc w:val="right"/>
              <w:rPr>
                <w:b/>
                <w:bCs w:val="0"/>
              </w:rPr>
            </w:pPr>
            <w:r w:rsidRPr="00704B78">
              <w:rPr>
                <w:b/>
                <w:bCs w:val="0"/>
              </w:rPr>
              <w:t>Incremental cost per QALY gained</w:t>
            </w:r>
          </w:p>
        </w:tc>
        <w:tc>
          <w:tcPr>
            <w:tcW w:w="1435" w:type="pct"/>
            <w:vAlign w:val="center"/>
          </w:tcPr>
          <w:p w14:paraId="6DBB3B7C" w14:textId="67D580C4"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r w:rsidR="0073200D">
              <w:rPr>
                <w:vertAlign w:val="superscript"/>
              </w:rPr>
              <w:t>3</w:t>
            </w:r>
          </w:p>
        </w:tc>
      </w:tr>
      <w:tr w:rsidR="00F01D5B" w:rsidRPr="00704B78" w14:paraId="58C0C827" w14:textId="77777777" w:rsidTr="3517B442">
        <w:tc>
          <w:tcPr>
            <w:tcW w:w="5000" w:type="pct"/>
            <w:gridSpan w:val="4"/>
          </w:tcPr>
          <w:p w14:paraId="0AD9989F" w14:textId="77777777" w:rsidR="00F01D5B" w:rsidRPr="00704B78" w:rsidRDefault="00F01D5B" w:rsidP="006E2A77">
            <w:pPr>
              <w:pStyle w:val="TableText"/>
              <w:widowControl/>
              <w:rPr>
                <w:b/>
                <w:bCs w:val="0"/>
              </w:rPr>
            </w:pPr>
            <w:r w:rsidRPr="00704B78">
              <w:rPr>
                <w:b/>
                <w:bCs w:val="0"/>
              </w:rPr>
              <w:t>Step 4: Modelled estimate extrapolated to 15 years with utility weights and discounting applied</w:t>
            </w:r>
          </w:p>
        </w:tc>
      </w:tr>
      <w:tr w:rsidR="00F01D5B" w:rsidRPr="00704B78" w14:paraId="343FC637" w14:textId="77777777" w:rsidTr="3517B442">
        <w:tc>
          <w:tcPr>
            <w:tcW w:w="1406" w:type="pct"/>
          </w:tcPr>
          <w:p w14:paraId="76CB6970" w14:textId="77777777" w:rsidR="00F01D5B" w:rsidRPr="00704B78" w:rsidRDefault="00F01D5B" w:rsidP="006E2A77">
            <w:pPr>
              <w:pStyle w:val="TableText"/>
              <w:widowControl/>
            </w:pPr>
            <w:r w:rsidRPr="00704B78">
              <w:t>Costs</w:t>
            </w:r>
          </w:p>
        </w:tc>
        <w:tc>
          <w:tcPr>
            <w:tcW w:w="1079" w:type="pct"/>
            <w:vAlign w:val="bottom"/>
          </w:tcPr>
          <w:p w14:paraId="7498F5C1" w14:textId="6327A91A"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c>
          <w:tcPr>
            <w:tcW w:w="1080" w:type="pct"/>
            <w:vAlign w:val="bottom"/>
          </w:tcPr>
          <w:p w14:paraId="2B18E7EC" w14:textId="77777777" w:rsidR="00F01D5B" w:rsidRPr="00704B78" w:rsidRDefault="00F01D5B" w:rsidP="006E2A77">
            <w:pPr>
              <w:pStyle w:val="TableText"/>
              <w:widowControl/>
              <w:jc w:val="center"/>
            </w:pPr>
            <w:r w:rsidRPr="00704B78">
              <w:t>$168,533</w:t>
            </w:r>
          </w:p>
        </w:tc>
        <w:tc>
          <w:tcPr>
            <w:tcW w:w="1435" w:type="pct"/>
            <w:vAlign w:val="center"/>
          </w:tcPr>
          <w:p w14:paraId="7586177B" w14:textId="67B37FA9"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p>
        </w:tc>
      </w:tr>
      <w:tr w:rsidR="00F01D5B" w:rsidRPr="00704B78" w14:paraId="21A5707B" w14:textId="77777777" w:rsidTr="3517B442">
        <w:tc>
          <w:tcPr>
            <w:tcW w:w="1406" w:type="pct"/>
          </w:tcPr>
          <w:p w14:paraId="0DA401A0" w14:textId="77777777" w:rsidR="00F01D5B" w:rsidRPr="00704B78" w:rsidRDefault="00F01D5B" w:rsidP="006E2A77">
            <w:pPr>
              <w:pStyle w:val="TableText"/>
              <w:widowControl/>
            </w:pPr>
            <w:r w:rsidRPr="00704B78">
              <w:t>QALYs</w:t>
            </w:r>
          </w:p>
        </w:tc>
        <w:tc>
          <w:tcPr>
            <w:tcW w:w="1079" w:type="pct"/>
            <w:vAlign w:val="bottom"/>
          </w:tcPr>
          <w:p w14:paraId="67DF2233" w14:textId="77777777" w:rsidR="00F01D5B" w:rsidRPr="00704B78" w:rsidRDefault="00F01D5B" w:rsidP="006E2A77">
            <w:pPr>
              <w:pStyle w:val="TableText"/>
              <w:widowControl/>
              <w:jc w:val="center"/>
            </w:pPr>
            <w:r w:rsidRPr="00704B78">
              <w:t>7.0780</w:t>
            </w:r>
          </w:p>
        </w:tc>
        <w:tc>
          <w:tcPr>
            <w:tcW w:w="1080" w:type="pct"/>
            <w:vAlign w:val="bottom"/>
          </w:tcPr>
          <w:p w14:paraId="762FFEE0" w14:textId="77777777" w:rsidR="00F01D5B" w:rsidRPr="00704B78" w:rsidRDefault="00F01D5B" w:rsidP="006E2A77">
            <w:pPr>
              <w:pStyle w:val="TableText"/>
              <w:widowControl/>
              <w:jc w:val="center"/>
            </w:pPr>
            <w:r w:rsidRPr="00704B78">
              <w:t>6.4155</w:t>
            </w:r>
          </w:p>
        </w:tc>
        <w:tc>
          <w:tcPr>
            <w:tcW w:w="1435" w:type="pct"/>
            <w:vAlign w:val="center"/>
          </w:tcPr>
          <w:p w14:paraId="2A51DD59" w14:textId="77777777" w:rsidR="00F01D5B" w:rsidRPr="00704B78" w:rsidRDefault="00F01D5B" w:rsidP="006E2A77">
            <w:pPr>
              <w:pStyle w:val="TableText"/>
              <w:widowControl/>
              <w:jc w:val="center"/>
            </w:pPr>
            <w:r w:rsidRPr="00704B78">
              <w:t>0.6624</w:t>
            </w:r>
          </w:p>
        </w:tc>
      </w:tr>
      <w:tr w:rsidR="00F01D5B" w:rsidRPr="00704B78" w14:paraId="35C2A1F1" w14:textId="77777777" w:rsidTr="3517B442">
        <w:tc>
          <w:tcPr>
            <w:tcW w:w="3565" w:type="pct"/>
            <w:gridSpan w:val="3"/>
          </w:tcPr>
          <w:p w14:paraId="62D8EDA8" w14:textId="77777777" w:rsidR="00F01D5B" w:rsidRPr="00704B78" w:rsidRDefault="00F01D5B" w:rsidP="006E2A77">
            <w:pPr>
              <w:pStyle w:val="TableText"/>
              <w:widowControl/>
              <w:jc w:val="right"/>
              <w:rPr>
                <w:b/>
                <w:bCs w:val="0"/>
              </w:rPr>
            </w:pPr>
            <w:r w:rsidRPr="00704B78">
              <w:rPr>
                <w:b/>
                <w:bCs w:val="0"/>
              </w:rPr>
              <w:t>Incremental cost per QALY gained</w:t>
            </w:r>
          </w:p>
        </w:tc>
        <w:tc>
          <w:tcPr>
            <w:tcW w:w="1435" w:type="pct"/>
            <w:vAlign w:val="center"/>
          </w:tcPr>
          <w:p w14:paraId="3722311B" w14:textId="60044E86" w:rsidR="00F01D5B" w:rsidRPr="00704B78" w:rsidRDefault="00F01D5B" w:rsidP="006E2A77">
            <w:pPr>
              <w:pStyle w:val="TableText"/>
              <w:widowControl/>
              <w:jc w:val="center"/>
            </w:pPr>
            <w:r w:rsidRPr="00704B78">
              <w:t>$</w:t>
            </w:r>
            <w:r w:rsidR="00F555BD" w:rsidRPr="00F555BD">
              <w:rPr>
                <w:color w:val="000000"/>
                <w:shd w:val="solid" w:color="000000" w:fill="000000"/>
                <w14:textFill>
                  <w14:solidFill>
                    <w14:srgbClr w14:val="000000">
                      <w14:alpha w14:val="100000"/>
                    </w14:srgbClr>
                  </w14:solidFill>
                </w14:textFill>
              </w:rPr>
              <w:t>|</w:t>
            </w:r>
            <w:r w:rsidR="0073200D">
              <w:rPr>
                <w:vertAlign w:val="superscript"/>
              </w:rPr>
              <w:t>3</w:t>
            </w:r>
          </w:p>
        </w:tc>
      </w:tr>
    </w:tbl>
    <w:p w14:paraId="06CB58D2" w14:textId="68BD5F49" w:rsidR="00F01D5B" w:rsidRPr="00704B78" w:rsidRDefault="00F01D5B" w:rsidP="006E2A77">
      <w:pPr>
        <w:pStyle w:val="COMTablefooter"/>
      </w:pPr>
      <w:r w:rsidRPr="00704B78">
        <w:t>Source: Table 3B-11 of the resubmission</w:t>
      </w:r>
    </w:p>
    <w:p w14:paraId="725A5DFF" w14:textId="77777777" w:rsidR="00E145F7" w:rsidRDefault="00F01D5B" w:rsidP="006E2A77">
      <w:pPr>
        <w:pStyle w:val="COMTablefooter"/>
      </w:pPr>
      <w:r w:rsidRPr="00704B78">
        <w:t>Abbreviations: QALY, quality-adjusted life year</w:t>
      </w:r>
      <w:r w:rsidR="00E145F7">
        <w:t xml:space="preserve"> </w:t>
      </w:r>
    </w:p>
    <w:p w14:paraId="3BB875FE" w14:textId="3A51E210" w:rsidR="00E145F7" w:rsidRPr="00B757C5" w:rsidRDefault="00E145F7" w:rsidP="006E2A77">
      <w:pPr>
        <w:pStyle w:val="COMTablefooter"/>
        <w:rPr>
          <w:i/>
          <w:iCs/>
        </w:rPr>
      </w:pPr>
      <w:r w:rsidRPr="00B757C5">
        <w:rPr>
          <w:i/>
          <w:iCs/>
        </w:rPr>
        <w:t>The redacted values correspond to the following ranges:</w:t>
      </w:r>
    </w:p>
    <w:p w14:paraId="3A3BC1C8" w14:textId="39C53390" w:rsidR="00EB4F13" w:rsidRPr="00B757C5" w:rsidRDefault="00E145F7" w:rsidP="006E2A77">
      <w:pPr>
        <w:pStyle w:val="COMTablefooter"/>
        <w:rPr>
          <w:i/>
          <w:iCs/>
        </w:rPr>
      </w:pPr>
      <w:r w:rsidRPr="00B757C5">
        <w:rPr>
          <w:i/>
          <w:iCs/>
          <w:vertAlign w:val="superscript"/>
        </w:rPr>
        <w:t>1</w:t>
      </w:r>
      <w:r w:rsidR="00D61CA6">
        <w:rPr>
          <w:i/>
          <w:iCs/>
          <w:vertAlign w:val="superscript"/>
        </w:rPr>
        <w:t xml:space="preserve"> </w:t>
      </w:r>
      <w:r w:rsidR="000F66FF" w:rsidRPr="00B757C5">
        <w:rPr>
          <w:i/>
          <w:iCs/>
        </w:rPr>
        <w:t>$555,000 to &lt; $655,000</w:t>
      </w:r>
    </w:p>
    <w:p w14:paraId="2E93699E" w14:textId="16C99F70" w:rsidR="00E145F7" w:rsidRPr="00B757C5" w:rsidRDefault="0073200D" w:rsidP="006E2A77">
      <w:pPr>
        <w:pStyle w:val="COMTablefooter"/>
        <w:rPr>
          <w:i/>
          <w:iCs/>
        </w:rPr>
      </w:pPr>
      <w:r w:rsidRPr="00B757C5">
        <w:rPr>
          <w:i/>
          <w:iCs/>
          <w:vertAlign w:val="superscript"/>
        </w:rPr>
        <w:t>2</w:t>
      </w:r>
      <w:r w:rsidRPr="00B757C5">
        <w:rPr>
          <w:i/>
          <w:iCs/>
        </w:rPr>
        <w:t xml:space="preserve"> </w:t>
      </w:r>
      <w:r w:rsidR="00E145F7" w:rsidRPr="00B757C5">
        <w:rPr>
          <w:i/>
          <w:iCs/>
        </w:rPr>
        <w:t>$155,000 to &lt; $255,000</w:t>
      </w:r>
    </w:p>
    <w:p w14:paraId="68478BCB" w14:textId="08AB337F" w:rsidR="00E145F7" w:rsidRPr="00B757C5" w:rsidRDefault="0073200D" w:rsidP="006E2A77">
      <w:pPr>
        <w:pStyle w:val="COMTablefooter"/>
        <w:rPr>
          <w:i/>
          <w:iCs/>
        </w:rPr>
      </w:pPr>
      <w:r w:rsidRPr="00B757C5">
        <w:rPr>
          <w:i/>
          <w:iCs/>
          <w:vertAlign w:val="superscript"/>
        </w:rPr>
        <w:t xml:space="preserve">3 </w:t>
      </w:r>
      <w:r w:rsidRPr="00B757C5">
        <w:rPr>
          <w:i/>
          <w:iCs/>
        </w:rPr>
        <w:t>$655,000 to &lt; $755,000</w:t>
      </w:r>
    </w:p>
    <w:p w14:paraId="4C28B0C5" w14:textId="6048F44A" w:rsidR="00F01D5B" w:rsidRPr="00704B78" w:rsidRDefault="00F01D5B" w:rsidP="006E2A77">
      <w:pPr>
        <w:pStyle w:val="COMexecsummnumbered"/>
      </w:pPr>
      <w:r w:rsidRPr="00704B78">
        <w:t xml:space="preserve">Based on the economic model, treatment with ravulizumab in combination with standard therapy was associated with an incremental cost per QALY gained of </w:t>
      </w:r>
      <w:r w:rsidR="0073200D" w:rsidRPr="0073200D">
        <w:t>$655,000 to &lt; $755,000</w:t>
      </w:r>
      <w:r w:rsidR="00B757C5">
        <w:t xml:space="preserve"> </w:t>
      </w:r>
      <w:r w:rsidRPr="00704B78">
        <w:t xml:space="preserve">compared to placebo in combination with standard therapy in treatment refractory myasthenia gravis patients. </w:t>
      </w:r>
    </w:p>
    <w:p w14:paraId="6B0408DD" w14:textId="3C4CC2B8" w:rsidR="00F01D5B" w:rsidRPr="00704B78" w:rsidRDefault="00F01D5B" w:rsidP="006E2A77">
      <w:pPr>
        <w:pStyle w:val="COMexecsummnumbered"/>
      </w:pPr>
      <w:r w:rsidRPr="00704B78">
        <w:t>During the evaluation, it was noted that 22% of incremental QALYs in the model are accrued after the maximum duration of ravulizumab treatment (8 years) while the difference in incremental costs between treatment arms remained relatively stable over time after ravulizumab discontinuation.</w:t>
      </w:r>
    </w:p>
    <w:p w14:paraId="38D151AA" w14:textId="47A64073" w:rsidR="004811B0" w:rsidRPr="00704B78" w:rsidRDefault="00E33765" w:rsidP="006E2A77">
      <w:pPr>
        <w:pStyle w:val="COMexecsummnumbered"/>
      </w:pPr>
      <w:r w:rsidRPr="00704B78">
        <w:fldChar w:fldCharType="begin"/>
      </w:r>
      <w:r w:rsidRPr="00704B78">
        <w:instrText xml:space="preserve"> REF _Ref190172899 \h  \* MERGEFORMAT </w:instrText>
      </w:r>
      <w:r w:rsidRPr="00704B78">
        <w:fldChar w:fldCharType="separate"/>
      </w:r>
      <w:r w:rsidR="00875704" w:rsidRPr="00875704">
        <w:t>Figure 2</w:t>
      </w:r>
      <w:r w:rsidRPr="00704B78">
        <w:fldChar w:fldCharType="end"/>
      </w:r>
      <w:r w:rsidRPr="00704B78">
        <w:t xml:space="preserve"> </w:t>
      </w:r>
      <w:r w:rsidR="004811B0" w:rsidRPr="00704B78">
        <w:t xml:space="preserve">presents a model trace of the proportion of responders over time in </w:t>
      </w:r>
      <w:r w:rsidR="009F1E06" w:rsidRPr="00704B78">
        <w:t>treatment refractory patients.</w:t>
      </w:r>
    </w:p>
    <w:p w14:paraId="66EA5CC7" w14:textId="59DB74E2" w:rsidR="002064FB" w:rsidRDefault="00A77418" w:rsidP="006E2A77">
      <w:pPr>
        <w:pStyle w:val="Caption"/>
        <w:keepNext/>
        <w:keepLines/>
        <w:spacing w:after="0"/>
        <w:ind w:left="142" w:firstLine="11"/>
        <w:contextualSpacing/>
        <w:rPr>
          <w:rFonts w:ascii="Arial Narrow" w:hAnsi="Arial Narrow"/>
          <w:sz w:val="20"/>
          <w:szCs w:val="20"/>
        </w:rPr>
      </w:pPr>
      <w:bookmarkStart w:id="53" w:name="_Ref190172899"/>
      <w:r w:rsidRPr="00704B78">
        <w:rPr>
          <w:rFonts w:ascii="Arial Narrow" w:hAnsi="Arial Narrow"/>
          <w:sz w:val="20"/>
          <w:szCs w:val="20"/>
        </w:rPr>
        <w:lastRenderedPageBreak/>
        <w:t xml:space="preserve">Figure </w:t>
      </w:r>
      <w:r w:rsidRPr="00704B78">
        <w:rPr>
          <w:rFonts w:ascii="Arial Narrow" w:hAnsi="Arial Narrow"/>
          <w:sz w:val="20"/>
          <w:szCs w:val="20"/>
        </w:rPr>
        <w:fldChar w:fldCharType="begin"/>
      </w:r>
      <w:r w:rsidRPr="00704B78">
        <w:rPr>
          <w:rFonts w:ascii="Arial Narrow" w:hAnsi="Arial Narrow"/>
          <w:sz w:val="20"/>
          <w:szCs w:val="20"/>
        </w:rPr>
        <w:instrText xml:space="preserve"> SEQ Figure \* ARABIC </w:instrText>
      </w:r>
      <w:r w:rsidRPr="00704B78">
        <w:rPr>
          <w:rFonts w:ascii="Arial Narrow" w:hAnsi="Arial Narrow"/>
          <w:sz w:val="20"/>
          <w:szCs w:val="20"/>
        </w:rPr>
        <w:fldChar w:fldCharType="separate"/>
      </w:r>
      <w:r w:rsidR="00875704">
        <w:rPr>
          <w:rFonts w:ascii="Arial Narrow" w:hAnsi="Arial Narrow"/>
          <w:noProof/>
          <w:sz w:val="20"/>
          <w:szCs w:val="20"/>
        </w:rPr>
        <w:t>2</w:t>
      </w:r>
      <w:r w:rsidRPr="00704B78">
        <w:rPr>
          <w:rFonts w:ascii="Arial Narrow" w:hAnsi="Arial Narrow"/>
          <w:sz w:val="20"/>
          <w:szCs w:val="20"/>
        </w:rPr>
        <w:fldChar w:fldCharType="end"/>
      </w:r>
      <w:bookmarkEnd w:id="53"/>
      <w:r w:rsidRPr="00704B78">
        <w:rPr>
          <w:rFonts w:ascii="Arial Narrow" w:hAnsi="Arial Narrow"/>
          <w:sz w:val="20"/>
          <w:szCs w:val="20"/>
        </w:rPr>
        <w:t>: Model trace of responders by line of therapy in treatment refractory patients</w:t>
      </w:r>
      <w:r w:rsidRPr="00704B78">
        <w:rPr>
          <w:noProof/>
        </w:rPr>
        <w:drawing>
          <wp:inline distT="0" distB="0" distL="0" distR="0" wp14:anchorId="15C29181" wp14:editId="0DCD18B9">
            <wp:extent cx="5694045" cy="3279775"/>
            <wp:effectExtent l="0" t="0" r="1905" b="0"/>
            <wp:docPr id="1044119453" name="Picture 20" descr="Figure 2: Line graph showing model trace of responders by line of therapy in treatment refractory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19453" name="Picture 20" descr="Figure 2: Line graph showing model trace of responders by line of therapy in treatment refractory patien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4045" cy="3279775"/>
                    </a:xfrm>
                    <a:prstGeom prst="rect">
                      <a:avLst/>
                    </a:prstGeom>
                    <a:noFill/>
                  </pic:spPr>
                </pic:pic>
              </a:graphicData>
            </a:graphic>
          </wp:inline>
        </w:drawing>
      </w:r>
    </w:p>
    <w:p w14:paraId="510CE275" w14:textId="2E936083" w:rsidR="00A77418" w:rsidRPr="00704B78" w:rsidRDefault="00A77418" w:rsidP="006E2A77">
      <w:pPr>
        <w:pStyle w:val="Caption"/>
        <w:keepNext/>
        <w:keepLines/>
        <w:spacing w:after="0"/>
        <w:ind w:left="142" w:firstLine="11"/>
        <w:contextualSpacing/>
        <w:rPr>
          <w:rFonts w:ascii="Arial Narrow" w:hAnsi="Arial Narrow"/>
          <w:b w:val="0"/>
          <w:bCs w:val="0"/>
          <w:sz w:val="18"/>
        </w:rPr>
      </w:pPr>
      <w:r w:rsidRPr="00704B78">
        <w:rPr>
          <w:rFonts w:ascii="Arial Narrow" w:hAnsi="Arial Narrow"/>
          <w:b w:val="0"/>
          <w:bCs w:val="0"/>
          <w:sz w:val="18"/>
        </w:rPr>
        <w:t>Source: Constructed during the evaluation based on ‘Section 3B Optimised Refractory Workbook’ Excel Spreadsheet</w:t>
      </w:r>
    </w:p>
    <w:p w14:paraId="76587479" w14:textId="77777777" w:rsidR="00A77418" w:rsidRPr="00704B78" w:rsidRDefault="00A77418" w:rsidP="006E2A77">
      <w:pPr>
        <w:pStyle w:val="COMTablefooter"/>
        <w:keepLines/>
        <w:ind w:left="142"/>
        <w:contextualSpacing w:val="0"/>
        <w:rPr>
          <w:szCs w:val="18"/>
        </w:rPr>
      </w:pPr>
      <w:r w:rsidRPr="00704B78">
        <w:rPr>
          <w:szCs w:val="18"/>
        </w:rPr>
        <w:t>Abbreviations: PBO, placebo; RAVU, ravulizumab.</w:t>
      </w:r>
    </w:p>
    <w:p w14:paraId="3A793B38" w14:textId="663CEEE7" w:rsidR="00A77418" w:rsidRPr="00704B78" w:rsidRDefault="00A77418" w:rsidP="006E2A77">
      <w:pPr>
        <w:pStyle w:val="COMexecsummnumbered"/>
      </w:pPr>
      <w:r w:rsidRPr="00704B78">
        <w:t>The model trace indicates that similar proportions of patients in both treatment arms achieve response at 12 weeks, consistent with the clinical data from the treatment refractory subgroup of the CHAMPION-MG trial. However, the curves begin to substantially diverge between Week 12 and Year 8 due to different assumptions regarding treatment discontinuation/loss of response over time between treatment arms. After 8 years, ravulizumab treatment is discontinued and both curves use the same loss of response rates however the ravulizumab arm begins this period with a much higher proportion of responders compared to placebo.</w:t>
      </w:r>
    </w:p>
    <w:p w14:paraId="094A63E7" w14:textId="65631471" w:rsidR="00A77418" w:rsidRPr="00704B78" w:rsidRDefault="00A77418" w:rsidP="006E2A77">
      <w:pPr>
        <w:pStyle w:val="COMexecsummnumbered"/>
      </w:pPr>
      <w:r w:rsidRPr="00704B78">
        <w:t xml:space="preserve">As with the trace in newly diagnosed patients, the model trace in treatment refractory patients indicates that patients who do not demonstrate a response within 3 months of treatment will never achieve a response </w:t>
      </w:r>
      <w:proofErr w:type="gramStart"/>
      <w:r w:rsidRPr="00704B78">
        <w:t>and also</w:t>
      </w:r>
      <w:proofErr w:type="gramEnd"/>
      <w:r w:rsidRPr="00704B78">
        <w:t xml:space="preserve"> shows that patients using subsequent-line therapies cannot achieve a sustained treatment response. </w:t>
      </w:r>
      <w:r w:rsidR="00186981" w:rsidRPr="00704B78">
        <w:t>The evaluation and the ESC considered that n</w:t>
      </w:r>
      <w:r w:rsidRPr="00704B78">
        <w:t>either of these patterns appeared to be plausible.</w:t>
      </w:r>
    </w:p>
    <w:p w14:paraId="14D4EEAA" w14:textId="5FD63C39" w:rsidR="00F01D5B" w:rsidRPr="00704B78" w:rsidRDefault="00F01D5B" w:rsidP="006E2A77">
      <w:pPr>
        <w:pStyle w:val="COMexecsummnumbered"/>
      </w:pPr>
      <w:r w:rsidRPr="00704B78">
        <w:t>For every 100 treatment refractory patients treated with ravulizumab versus placebo and followed up for 15 years, the economic evaluation (based on undiscounted values) estimated that there would be:</w:t>
      </w:r>
    </w:p>
    <w:p w14:paraId="47D4A448" w14:textId="6D33D8EA" w:rsidR="00F01D5B" w:rsidRPr="00704B78" w:rsidRDefault="00F01D5B" w:rsidP="006E2A77">
      <w:pPr>
        <w:pStyle w:val="COMexecsummnumbered"/>
        <w:numPr>
          <w:ilvl w:val="0"/>
          <w:numId w:val="10"/>
        </w:numPr>
      </w:pPr>
      <w:r w:rsidRPr="00704B78">
        <w:t>An increase in the time spent with higher functional capacity (with an average of 2.620 additional years in response</w:t>
      </w:r>
      <w:r w:rsidR="00E05F5E" w:rsidRPr="00704B78">
        <w:t xml:space="preserve"> per patient</w:t>
      </w:r>
      <w:r w:rsidRPr="00704B78">
        <w:t>).</w:t>
      </w:r>
    </w:p>
    <w:p w14:paraId="43AF44A9" w14:textId="77777777" w:rsidR="00F01D5B" w:rsidRPr="00704B78" w:rsidRDefault="00F01D5B" w:rsidP="006E2A77">
      <w:pPr>
        <w:pStyle w:val="COMexecsummnumbered"/>
        <w:numPr>
          <w:ilvl w:val="0"/>
          <w:numId w:val="10"/>
        </w:numPr>
      </w:pPr>
      <w:r w:rsidRPr="00704B78">
        <w:t>A reduction in clinical events (51 fewer exacerbation events; 4 fewer myasthenic crisis events).</w:t>
      </w:r>
    </w:p>
    <w:p w14:paraId="199008FA" w14:textId="108A602F" w:rsidR="00F01D5B" w:rsidRPr="00704B78" w:rsidRDefault="00F01D5B" w:rsidP="006E2A77">
      <w:pPr>
        <w:pStyle w:val="COMexecsummnumbered"/>
        <w:numPr>
          <w:ilvl w:val="0"/>
          <w:numId w:val="10"/>
        </w:numPr>
      </w:pPr>
      <w:r w:rsidRPr="00704B78">
        <w:lastRenderedPageBreak/>
        <w:t>Additional ravulizumab drug acquisition costs of $</w:t>
      </w:r>
      <w:r w:rsidR="00F555BD" w:rsidRPr="00875704">
        <w:rPr>
          <w:color w:val="000000"/>
          <w:w w:val="15"/>
          <w:shd w:val="solid" w:color="000000" w:fill="000000"/>
          <w:fitText w:val="-20" w:id="-691350011"/>
          <w14:textFill>
            <w14:solidFill>
              <w14:srgbClr w14:val="000000">
                <w14:alpha w14:val="100000"/>
              </w14:srgbClr>
            </w14:solidFill>
          </w14:textFill>
        </w:rPr>
        <w:t>|</w:t>
      </w:r>
      <w:r w:rsidR="00D61CA6" w:rsidRPr="00875704">
        <w:rPr>
          <w:color w:val="000000"/>
          <w:w w:val="15"/>
          <w:shd w:val="solid" w:color="000000" w:fill="000000"/>
          <w:fitText w:val="-20" w:id="-691350011"/>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50011"/>
          <w14:textFill>
            <w14:solidFill>
              <w14:srgbClr w14:val="000000">
                <w14:alpha w14:val="100000"/>
              </w14:srgbClr>
            </w14:solidFill>
          </w14:textFill>
        </w:rPr>
        <w:t>|</w:t>
      </w:r>
      <w:r w:rsidRPr="00704B78">
        <w:t xml:space="preserve"> million.</w:t>
      </w:r>
    </w:p>
    <w:p w14:paraId="1E483E45" w14:textId="7DE7F2EF" w:rsidR="002C435E" w:rsidRPr="00704B78" w:rsidRDefault="002C435E" w:rsidP="006E2A77">
      <w:pPr>
        <w:pStyle w:val="COMexecsummnumbered"/>
      </w:pPr>
      <w:r w:rsidRPr="00704B78">
        <w:t xml:space="preserve">The estimated weighted incremental cost-effectiveness ratio of ravulizumab compared to placebo across both requested populations is summarised in </w:t>
      </w:r>
      <w:r w:rsidR="008F400C" w:rsidRPr="00704B78">
        <w:fldChar w:fldCharType="begin"/>
      </w:r>
      <w:r w:rsidR="008F400C" w:rsidRPr="00704B78">
        <w:instrText xml:space="preserve"> REF _Ref187653022 \h </w:instrText>
      </w:r>
      <w:r w:rsidR="004577BE" w:rsidRPr="00704B78">
        <w:instrText xml:space="preserve"> \* MERGEFORMAT </w:instrText>
      </w:r>
      <w:r w:rsidR="008F400C" w:rsidRPr="00704B78">
        <w:fldChar w:fldCharType="separate"/>
      </w:r>
      <w:r w:rsidR="00875704" w:rsidRPr="00704B78">
        <w:t xml:space="preserve">Table </w:t>
      </w:r>
      <w:r w:rsidR="00875704">
        <w:rPr>
          <w:noProof/>
        </w:rPr>
        <w:t>14</w:t>
      </w:r>
      <w:r w:rsidR="008F400C" w:rsidRPr="00704B78">
        <w:fldChar w:fldCharType="end"/>
      </w:r>
      <w:r w:rsidRPr="00704B78">
        <w:t>.</w:t>
      </w:r>
    </w:p>
    <w:p w14:paraId="4D2A63F7" w14:textId="5BB4E656" w:rsidR="002C435E" w:rsidRPr="00704B78" w:rsidRDefault="008F400C" w:rsidP="006E2A77">
      <w:pPr>
        <w:pStyle w:val="COMtablefigcaption"/>
      </w:pPr>
      <w:bookmarkStart w:id="54" w:name="_Ref187653022"/>
      <w:r w:rsidRPr="00704B78">
        <w:t xml:space="preserve">Table </w:t>
      </w:r>
      <w:r w:rsidRPr="00704B78">
        <w:fldChar w:fldCharType="begin"/>
      </w:r>
      <w:r w:rsidRPr="00704B78">
        <w:instrText>SEQ Table \* ARABIC</w:instrText>
      </w:r>
      <w:r w:rsidRPr="00704B78">
        <w:fldChar w:fldCharType="separate"/>
      </w:r>
      <w:r w:rsidR="00875704">
        <w:rPr>
          <w:noProof/>
        </w:rPr>
        <w:t>14</w:t>
      </w:r>
      <w:r w:rsidRPr="00704B78">
        <w:fldChar w:fldCharType="end"/>
      </w:r>
      <w:bookmarkEnd w:id="54"/>
      <w:r w:rsidR="002C435E" w:rsidRPr="00704B78">
        <w:t xml:space="preserve">: Weighted cost effectiveness estimates across both requested myasthenia gravis populations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Weighted cost effectiveness estimates across both requested myasthenia gravis populations "/>
      </w:tblPr>
      <w:tblGrid>
        <w:gridCol w:w="2802"/>
        <w:gridCol w:w="1552"/>
        <w:gridCol w:w="1552"/>
        <w:gridCol w:w="1551"/>
        <w:gridCol w:w="1551"/>
      </w:tblGrid>
      <w:tr w:rsidR="002C435E" w:rsidRPr="00704B78" w14:paraId="206869D7" w14:textId="77777777" w:rsidTr="00767D90">
        <w:trPr>
          <w:trHeight w:val="43"/>
        </w:trPr>
        <w:tc>
          <w:tcPr>
            <w:tcW w:w="1555" w:type="pct"/>
            <w:vAlign w:val="center"/>
          </w:tcPr>
          <w:p w14:paraId="6E49D9F6" w14:textId="77777777" w:rsidR="002C435E" w:rsidRPr="00704B78" w:rsidRDefault="002C435E" w:rsidP="006E2A77">
            <w:pPr>
              <w:pStyle w:val="TableText"/>
              <w:widowControl/>
              <w:rPr>
                <w:b/>
                <w:bCs w:val="0"/>
              </w:rPr>
            </w:pPr>
            <w:r w:rsidRPr="00704B78">
              <w:rPr>
                <w:b/>
                <w:bCs w:val="0"/>
              </w:rPr>
              <w:t>Population</w:t>
            </w:r>
          </w:p>
        </w:tc>
        <w:tc>
          <w:tcPr>
            <w:tcW w:w="861" w:type="pct"/>
            <w:vAlign w:val="center"/>
          </w:tcPr>
          <w:p w14:paraId="223BAD67" w14:textId="744531C0" w:rsidR="002C435E" w:rsidRPr="00704B78" w:rsidRDefault="002C435E" w:rsidP="006E2A77">
            <w:pPr>
              <w:pStyle w:val="TableText"/>
              <w:widowControl/>
              <w:jc w:val="center"/>
              <w:rPr>
                <w:b/>
                <w:bCs w:val="0"/>
              </w:rPr>
            </w:pPr>
            <w:r w:rsidRPr="00704B78">
              <w:rPr>
                <w:b/>
                <w:bCs w:val="0"/>
              </w:rPr>
              <w:t>Incremental cost</w:t>
            </w:r>
            <w:r w:rsidR="0073200D">
              <w:rPr>
                <w:b/>
                <w:bCs w:val="0"/>
              </w:rPr>
              <w:t xml:space="preserve"> ($)</w:t>
            </w:r>
          </w:p>
        </w:tc>
        <w:tc>
          <w:tcPr>
            <w:tcW w:w="861" w:type="pct"/>
            <w:vAlign w:val="center"/>
          </w:tcPr>
          <w:p w14:paraId="667805C8" w14:textId="77777777" w:rsidR="002C435E" w:rsidRPr="00704B78" w:rsidRDefault="002C435E" w:rsidP="006E2A77">
            <w:pPr>
              <w:pStyle w:val="TableText"/>
              <w:widowControl/>
              <w:jc w:val="center"/>
              <w:rPr>
                <w:b/>
                <w:bCs w:val="0"/>
              </w:rPr>
            </w:pPr>
            <w:r w:rsidRPr="00704B78">
              <w:rPr>
                <w:b/>
                <w:bCs w:val="0"/>
              </w:rPr>
              <w:t>Incremental QALY</w:t>
            </w:r>
          </w:p>
        </w:tc>
        <w:tc>
          <w:tcPr>
            <w:tcW w:w="861" w:type="pct"/>
            <w:vAlign w:val="center"/>
          </w:tcPr>
          <w:p w14:paraId="2582C0CB" w14:textId="77777777" w:rsidR="002C435E" w:rsidRPr="00704B78" w:rsidRDefault="002C435E" w:rsidP="006E2A77">
            <w:pPr>
              <w:pStyle w:val="TableText"/>
              <w:widowControl/>
              <w:jc w:val="center"/>
              <w:rPr>
                <w:b/>
                <w:bCs w:val="0"/>
              </w:rPr>
            </w:pPr>
            <w:r w:rsidRPr="00704B78">
              <w:rPr>
                <w:b/>
                <w:bCs w:val="0"/>
              </w:rPr>
              <w:t>Weighting</w:t>
            </w:r>
          </w:p>
        </w:tc>
        <w:tc>
          <w:tcPr>
            <w:tcW w:w="861" w:type="pct"/>
          </w:tcPr>
          <w:p w14:paraId="242AFE3F" w14:textId="77777777" w:rsidR="002C435E" w:rsidRPr="00704B78" w:rsidRDefault="002C435E" w:rsidP="006E2A77">
            <w:pPr>
              <w:pStyle w:val="TableText"/>
              <w:widowControl/>
              <w:jc w:val="center"/>
              <w:rPr>
                <w:b/>
                <w:bCs w:val="0"/>
              </w:rPr>
            </w:pPr>
            <w:r w:rsidRPr="00704B78">
              <w:rPr>
                <w:b/>
                <w:bCs w:val="0"/>
              </w:rPr>
              <w:t>Incremental cost per QALY</w:t>
            </w:r>
          </w:p>
        </w:tc>
      </w:tr>
      <w:tr w:rsidR="002C435E" w:rsidRPr="00704B78" w14:paraId="2D30BA3F" w14:textId="77777777" w:rsidTr="00767D90">
        <w:tc>
          <w:tcPr>
            <w:tcW w:w="1555" w:type="pct"/>
          </w:tcPr>
          <w:p w14:paraId="60B1245C" w14:textId="77777777" w:rsidR="002C435E" w:rsidRPr="00704B78" w:rsidRDefault="002C435E" w:rsidP="006E2A77">
            <w:pPr>
              <w:pStyle w:val="TableText"/>
              <w:widowControl/>
            </w:pPr>
            <w:r w:rsidRPr="00704B78">
              <w:t>Newly diagnosed</w:t>
            </w:r>
          </w:p>
        </w:tc>
        <w:tc>
          <w:tcPr>
            <w:tcW w:w="861" w:type="pct"/>
            <w:vAlign w:val="bottom"/>
          </w:tcPr>
          <w:p w14:paraId="06CCD3AA" w14:textId="712B26B4"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D1412E" w:rsidRPr="00D1412E">
              <w:t xml:space="preserve"> </w:t>
            </w:r>
          </w:p>
        </w:tc>
        <w:tc>
          <w:tcPr>
            <w:tcW w:w="861" w:type="pct"/>
            <w:vAlign w:val="bottom"/>
          </w:tcPr>
          <w:p w14:paraId="7AE0C5FE" w14:textId="77777777" w:rsidR="002C435E" w:rsidRPr="00704B78" w:rsidRDefault="002C435E" w:rsidP="006E2A77">
            <w:pPr>
              <w:pStyle w:val="TableText"/>
              <w:widowControl/>
              <w:jc w:val="center"/>
            </w:pPr>
            <w:r w:rsidRPr="00704B78">
              <w:t>0.9721</w:t>
            </w:r>
          </w:p>
        </w:tc>
        <w:tc>
          <w:tcPr>
            <w:tcW w:w="861" w:type="pct"/>
            <w:vAlign w:val="center"/>
          </w:tcPr>
          <w:p w14:paraId="1C18AC0B" w14:textId="77777777" w:rsidR="002C435E" w:rsidRPr="00704B78" w:rsidRDefault="002C435E" w:rsidP="006E2A77">
            <w:pPr>
              <w:pStyle w:val="TableText"/>
              <w:widowControl/>
              <w:jc w:val="center"/>
            </w:pPr>
            <w:r w:rsidRPr="00704B78">
              <w:t>85%</w:t>
            </w:r>
          </w:p>
        </w:tc>
        <w:tc>
          <w:tcPr>
            <w:tcW w:w="861" w:type="pct"/>
            <w:vAlign w:val="center"/>
          </w:tcPr>
          <w:p w14:paraId="798CE4C1" w14:textId="6C0EB67E"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73200D" w:rsidRPr="0073200D">
              <w:rPr>
                <w:vertAlign w:val="superscript"/>
              </w:rPr>
              <w:t>1</w:t>
            </w:r>
          </w:p>
        </w:tc>
      </w:tr>
      <w:tr w:rsidR="002C435E" w:rsidRPr="00704B78" w14:paraId="3571A338" w14:textId="77777777" w:rsidTr="00767D90">
        <w:tc>
          <w:tcPr>
            <w:tcW w:w="1555" w:type="pct"/>
          </w:tcPr>
          <w:p w14:paraId="4165DFB9" w14:textId="77777777" w:rsidR="002C435E" w:rsidRPr="00704B78" w:rsidRDefault="002C435E" w:rsidP="006E2A77">
            <w:pPr>
              <w:pStyle w:val="TableText"/>
              <w:widowControl/>
            </w:pPr>
            <w:r w:rsidRPr="00704B78">
              <w:t>Treatment refractory</w:t>
            </w:r>
          </w:p>
        </w:tc>
        <w:tc>
          <w:tcPr>
            <w:tcW w:w="861" w:type="pct"/>
            <w:vAlign w:val="bottom"/>
          </w:tcPr>
          <w:p w14:paraId="7C449811" w14:textId="7DA7B409"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D1412E" w:rsidRPr="00D1412E">
              <w:t xml:space="preserve"> </w:t>
            </w:r>
          </w:p>
        </w:tc>
        <w:tc>
          <w:tcPr>
            <w:tcW w:w="861" w:type="pct"/>
            <w:vAlign w:val="bottom"/>
          </w:tcPr>
          <w:p w14:paraId="6E8AB889" w14:textId="77777777" w:rsidR="002C435E" w:rsidRPr="00704B78" w:rsidRDefault="002C435E" w:rsidP="006E2A77">
            <w:pPr>
              <w:pStyle w:val="TableText"/>
              <w:widowControl/>
              <w:jc w:val="center"/>
            </w:pPr>
            <w:r w:rsidRPr="00704B78">
              <w:t>0.6624</w:t>
            </w:r>
          </w:p>
        </w:tc>
        <w:tc>
          <w:tcPr>
            <w:tcW w:w="861" w:type="pct"/>
            <w:vAlign w:val="center"/>
          </w:tcPr>
          <w:p w14:paraId="5AD6636B" w14:textId="77777777" w:rsidR="002C435E" w:rsidRPr="00704B78" w:rsidRDefault="002C435E" w:rsidP="006E2A77">
            <w:pPr>
              <w:pStyle w:val="TableText"/>
              <w:widowControl/>
              <w:jc w:val="center"/>
            </w:pPr>
            <w:r w:rsidRPr="00704B78">
              <w:t>15%</w:t>
            </w:r>
          </w:p>
        </w:tc>
        <w:tc>
          <w:tcPr>
            <w:tcW w:w="861" w:type="pct"/>
            <w:vAlign w:val="center"/>
          </w:tcPr>
          <w:p w14:paraId="6DB0DF41" w14:textId="073DF21C"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73200D" w:rsidRPr="0073200D">
              <w:rPr>
                <w:vertAlign w:val="superscript"/>
              </w:rPr>
              <w:t>2</w:t>
            </w:r>
          </w:p>
        </w:tc>
      </w:tr>
      <w:tr w:rsidR="002C435E" w:rsidRPr="00704B78" w14:paraId="20292FA6" w14:textId="77777777" w:rsidTr="00767D90">
        <w:tc>
          <w:tcPr>
            <w:tcW w:w="1555" w:type="pct"/>
          </w:tcPr>
          <w:p w14:paraId="638F76AE" w14:textId="77777777" w:rsidR="002C435E" w:rsidRPr="00704B78" w:rsidRDefault="002C435E" w:rsidP="006E2A77">
            <w:pPr>
              <w:pStyle w:val="TableText"/>
              <w:widowControl/>
              <w:rPr>
                <w:b/>
                <w:bCs w:val="0"/>
              </w:rPr>
            </w:pPr>
            <w:r w:rsidRPr="00704B78">
              <w:rPr>
                <w:b/>
                <w:bCs w:val="0"/>
              </w:rPr>
              <w:t>Overall</w:t>
            </w:r>
          </w:p>
        </w:tc>
        <w:tc>
          <w:tcPr>
            <w:tcW w:w="861" w:type="pct"/>
            <w:vAlign w:val="bottom"/>
          </w:tcPr>
          <w:p w14:paraId="11C8DB2A" w14:textId="475F21C0"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D1412E" w:rsidRPr="00D1412E">
              <w:t xml:space="preserve"> </w:t>
            </w:r>
          </w:p>
        </w:tc>
        <w:tc>
          <w:tcPr>
            <w:tcW w:w="861" w:type="pct"/>
            <w:vAlign w:val="bottom"/>
          </w:tcPr>
          <w:p w14:paraId="618C8796" w14:textId="77777777" w:rsidR="002C435E" w:rsidRPr="00704B78" w:rsidRDefault="002C435E" w:rsidP="006E2A77">
            <w:pPr>
              <w:pStyle w:val="TableText"/>
              <w:widowControl/>
              <w:jc w:val="center"/>
            </w:pPr>
            <w:r w:rsidRPr="00704B78">
              <w:t>0.9256</w:t>
            </w:r>
          </w:p>
        </w:tc>
        <w:tc>
          <w:tcPr>
            <w:tcW w:w="861" w:type="pct"/>
            <w:vAlign w:val="center"/>
          </w:tcPr>
          <w:p w14:paraId="673A8192" w14:textId="77777777" w:rsidR="002C435E" w:rsidRPr="00704B78" w:rsidRDefault="002C435E" w:rsidP="006E2A77">
            <w:pPr>
              <w:pStyle w:val="TableText"/>
              <w:widowControl/>
              <w:jc w:val="center"/>
            </w:pPr>
            <w:r w:rsidRPr="00704B78">
              <w:t>100%</w:t>
            </w:r>
          </w:p>
        </w:tc>
        <w:tc>
          <w:tcPr>
            <w:tcW w:w="861" w:type="pct"/>
            <w:vAlign w:val="center"/>
          </w:tcPr>
          <w:p w14:paraId="4A89B673" w14:textId="355EFF12" w:rsidR="002C435E" w:rsidRPr="0073200D" w:rsidRDefault="00F555BD" w:rsidP="006E2A77">
            <w:pPr>
              <w:pStyle w:val="TableText"/>
              <w:widowControl/>
              <w:jc w:val="center"/>
              <w:rPr>
                <w:b/>
                <w:highlight w:val="darkGray"/>
              </w:rPr>
            </w:pPr>
            <w:r w:rsidRPr="00F555BD">
              <w:rPr>
                <w:b/>
                <w:color w:val="000000"/>
                <w:shd w:val="solid" w:color="000000" w:fill="000000"/>
                <w14:textFill>
                  <w14:solidFill>
                    <w14:srgbClr w14:val="000000">
                      <w14:alpha w14:val="100000"/>
                    </w14:srgbClr>
                  </w14:solidFill>
                </w14:textFill>
              </w:rPr>
              <w:t>|</w:t>
            </w:r>
            <w:r w:rsidR="0073200D" w:rsidRPr="0073200D">
              <w:rPr>
                <w:vertAlign w:val="superscript"/>
              </w:rPr>
              <w:t>1</w:t>
            </w:r>
          </w:p>
        </w:tc>
      </w:tr>
      <w:tr w:rsidR="00767D90" w:rsidRPr="00704B78" w14:paraId="07996A3C" w14:textId="77777777" w:rsidTr="00767D90">
        <w:tc>
          <w:tcPr>
            <w:tcW w:w="1555" w:type="pct"/>
            <w:shd w:val="clear" w:color="auto" w:fill="C6D9F1" w:themeFill="text2" w:themeFillTint="33"/>
          </w:tcPr>
          <w:p w14:paraId="6715ACEC" w14:textId="77777777" w:rsidR="002C435E" w:rsidRPr="00704B78" w:rsidRDefault="002C435E" w:rsidP="006E2A77">
            <w:pPr>
              <w:pStyle w:val="COMTabletext"/>
            </w:pPr>
            <w:r w:rsidRPr="00704B78">
              <w:t>Immediately prior to treatment refractory (March 2024 submission)</w:t>
            </w:r>
          </w:p>
        </w:tc>
        <w:tc>
          <w:tcPr>
            <w:tcW w:w="861" w:type="pct"/>
            <w:shd w:val="clear" w:color="auto" w:fill="C6D9F1" w:themeFill="text2" w:themeFillTint="33"/>
            <w:vAlign w:val="center"/>
          </w:tcPr>
          <w:p w14:paraId="4597CDB9" w14:textId="4DAAE6B5"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D1412E" w:rsidRPr="00D1412E">
              <w:t xml:space="preserve"> </w:t>
            </w:r>
          </w:p>
        </w:tc>
        <w:tc>
          <w:tcPr>
            <w:tcW w:w="861" w:type="pct"/>
            <w:shd w:val="clear" w:color="auto" w:fill="C6D9F1" w:themeFill="text2" w:themeFillTint="33"/>
            <w:vAlign w:val="center"/>
          </w:tcPr>
          <w:p w14:paraId="6BBC12F0" w14:textId="77777777" w:rsidR="002C435E" w:rsidRPr="00704B78" w:rsidRDefault="002C435E" w:rsidP="006E2A77">
            <w:pPr>
              <w:pStyle w:val="TableText"/>
              <w:widowControl/>
              <w:jc w:val="center"/>
            </w:pPr>
            <w:r w:rsidRPr="00704B78">
              <w:t>1.032</w:t>
            </w:r>
          </w:p>
        </w:tc>
        <w:tc>
          <w:tcPr>
            <w:tcW w:w="861" w:type="pct"/>
            <w:shd w:val="clear" w:color="auto" w:fill="C6D9F1" w:themeFill="text2" w:themeFillTint="33"/>
            <w:vAlign w:val="center"/>
          </w:tcPr>
          <w:p w14:paraId="292F6E23" w14:textId="77777777" w:rsidR="002C435E" w:rsidRPr="00704B78" w:rsidRDefault="002C435E" w:rsidP="006E2A77">
            <w:pPr>
              <w:pStyle w:val="TableText"/>
              <w:widowControl/>
              <w:jc w:val="center"/>
            </w:pPr>
            <w:r w:rsidRPr="00704B78">
              <w:t>-</w:t>
            </w:r>
          </w:p>
        </w:tc>
        <w:tc>
          <w:tcPr>
            <w:tcW w:w="861" w:type="pct"/>
            <w:shd w:val="clear" w:color="auto" w:fill="C6D9F1" w:themeFill="text2" w:themeFillTint="33"/>
            <w:vAlign w:val="center"/>
          </w:tcPr>
          <w:p w14:paraId="1BA0EC64" w14:textId="7796F8C9" w:rsidR="002C435E" w:rsidRPr="0073200D" w:rsidRDefault="00F555BD" w:rsidP="006E2A77">
            <w:pPr>
              <w:pStyle w:val="TableText"/>
              <w:widowControl/>
              <w:jc w:val="center"/>
              <w:rPr>
                <w:highlight w:val="darkGray"/>
              </w:rPr>
            </w:pPr>
            <w:r w:rsidRPr="00F555BD">
              <w:rPr>
                <w:color w:val="000000"/>
                <w:shd w:val="solid" w:color="000000" w:fill="000000"/>
                <w14:textFill>
                  <w14:solidFill>
                    <w14:srgbClr w14:val="000000">
                      <w14:alpha w14:val="100000"/>
                    </w14:srgbClr>
                  </w14:solidFill>
                </w14:textFill>
              </w:rPr>
              <w:t>|</w:t>
            </w:r>
            <w:r w:rsidR="00DC0868" w:rsidRPr="00DC0868">
              <w:rPr>
                <w:vertAlign w:val="superscript"/>
              </w:rPr>
              <w:t>3</w:t>
            </w:r>
          </w:p>
        </w:tc>
      </w:tr>
    </w:tbl>
    <w:p w14:paraId="238D323A" w14:textId="6A8D1190" w:rsidR="002C435E" w:rsidRPr="00704B78" w:rsidRDefault="002C435E" w:rsidP="006E2A77">
      <w:pPr>
        <w:pStyle w:val="COMTablefooter"/>
      </w:pPr>
      <w:r w:rsidRPr="00704B78">
        <w:t xml:space="preserve">Source: </w:t>
      </w:r>
      <w:r w:rsidR="00753F02">
        <w:t>R</w:t>
      </w:r>
      <w:r w:rsidRPr="00704B78">
        <w:t>esubmission</w:t>
      </w:r>
    </w:p>
    <w:p w14:paraId="15C53B4F" w14:textId="77777777" w:rsidR="00DC0868" w:rsidRDefault="002C435E" w:rsidP="006E2A77">
      <w:pPr>
        <w:pStyle w:val="COMTablefooter"/>
      </w:pPr>
      <w:r w:rsidRPr="00704B78">
        <w:t>Abbreviations: QALY, quality-adjusted life year</w:t>
      </w:r>
      <w:r w:rsidR="00DC0868">
        <w:t xml:space="preserve"> </w:t>
      </w:r>
    </w:p>
    <w:p w14:paraId="6E63F1A5" w14:textId="5059880D" w:rsidR="00DC0868" w:rsidRPr="002064FB" w:rsidRDefault="00DC0868" w:rsidP="006E2A77">
      <w:pPr>
        <w:pStyle w:val="COMTablefooter"/>
        <w:rPr>
          <w:i/>
          <w:iCs/>
        </w:rPr>
      </w:pPr>
      <w:r w:rsidRPr="002064FB">
        <w:rPr>
          <w:i/>
          <w:iCs/>
        </w:rPr>
        <w:t>The redacted values correspond to the following ranges:</w:t>
      </w:r>
    </w:p>
    <w:p w14:paraId="51B79701" w14:textId="7E0C88BE" w:rsidR="00DC0868" w:rsidRPr="002064FB" w:rsidRDefault="00DC0868" w:rsidP="006E2A77">
      <w:pPr>
        <w:pStyle w:val="COMTablefooter"/>
        <w:rPr>
          <w:i/>
          <w:iCs/>
        </w:rPr>
      </w:pPr>
      <w:r w:rsidRPr="002064FB">
        <w:rPr>
          <w:i/>
          <w:iCs/>
          <w:vertAlign w:val="superscript"/>
        </w:rPr>
        <w:t>1</w:t>
      </w:r>
      <w:r w:rsidRPr="002064FB">
        <w:rPr>
          <w:i/>
          <w:iCs/>
        </w:rPr>
        <w:t xml:space="preserve"> $155,000 to &lt; $255,000</w:t>
      </w:r>
    </w:p>
    <w:p w14:paraId="26502FD1" w14:textId="77777777" w:rsidR="007676CC" w:rsidRPr="002064FB" w:rsidRDefault="00DC0868" w:rsidP="006E2A77">
      <w:pPr>
        <w:pStyle w:val="COMTablefooter"/>
        <w:rPr>
          <w:i/>
          <w:iCs/>
        </w:rPr>
      </w:pPr>
      <w:r w:rsidRPr="002064FB">
        <w:rPr>
          <w:i/>
          <w:iCs/>
          <w:vertAlign w:val="superscript"/>
        </w:rPr>
        <w:t>2</w:t>
      </w:r>
      <w:r w:rsidRPr="002064FB">
        <w:rPr>
          <w:i/>
          <w:iCs/>
        </w:rPr>
        <w:t xml:space="preserve"> $655,000 to &lt; $755,000</w:t>
      </w:r>
      <w:r w:rsidR="007676CC" w:rsidRPr="002064FB">
        <w:rPr>
          <w:i/>
          <w:iCs/>
        </w:rPr>
        <w:t xml:space="preserve"> </w:t>
      </w:r>
    </w:p>
    <w:p w14:paraId="194A2998" w14:textId="7F2AC18D" w:rsidR="002C435E" w:rsidRPr="002064FB" w:rsidRDefault="007676CC" w:rsidP="006E2A77">
      <w:pPr>
        <w:pStyle w:val="COMTablefooter"/>
        <w:rPr>
          <w:i/>
          <w:iCs/>
        </w:rPr>
      </w:pPr>
      <w:r w:rsidRPr="002064FB">
        <w:rPr>
          <w:i/>
          <w:iCs/>
          <w:vertAlign w:val="superscript"/>
        </w:rPr>
        <w:t>3</w:t>
      </w:r>
      <w:r w:rsidRPr="002064FB">
        <w:rPr>
          <w:i/>
          <w:iCs/>
        </w:rPr>
        <w:t xml:space="preserve"> $255,000 to &lt; $355,000</w:t>
      </w:r>
    </w:p>
    <w:p w14:paraId="6C82A5F8" w14:textId="1FA6D062" w:rsidR="002C435E" w:rsidRPr="00704B78" w:rsidRDefault="002C435E" w:rsidP="006E2A77">
      <w:pPr>
        <w:pStyle w:val="COMexecsummnumbered"/>
      </w:pPr>
      <w:r w:rsidRPr="00704B78">
        <w:t xml:space="preserve">The </w:t>
      </w:r>
      <w:r w:rsidR="00DE68BA" w:rsidRPr="00704B78">
        <w:t>re</w:t>
      </w:r>
      <w:r w:rsidRPr="00704B78">
        <w:t xml:space="preserve">submission estimated a weighted </w:t>
      </w:r>
      <w:r w:rsidR="00DC7744" w:rsidRPr="00704B78">
        <w:t xml:space="preserve">incremental </w:t>
      </w:r>
      <w:r w:rsidRPr="00704B78">
        <w:t xml:space="preserve">cost per QALY gained of </w:t>
      </w:r>
      <w:r w:rsidR="00CE7FE0" w:rsidRPr="00CE7FE0">
        <w:t>$155,000 to &lt; $255,000</w:t>
      </w:r>
      <w:r w:rsidR="002064FB">
        <w:t xml:space="preserve"> </w:t>
      </w:r>
      <w:r w:rsidRPr="00704B78">
        <w:t xml:space="preserve">with ravulizumab compared to placebo across both requested myasthenia gravis populations. </w:t>
      </w:r>
    </w:p>
    <w:p w14:paraId="4C50F143" w14:textId="5CAA39B9" w:rsidR="002C435E" w:rsidRPr="00704B78" w:rsidRDefault="002C435E" w:rsidP="006E2A77">
      <w:pPr>
        <w:pStyle w:val="COMexecsummnumbered"/>
      </w:pPr>
      <w:r w:rsidRPr="00704B78">
        <w:t>In comparison, the March 2024 submission estimated a</w:t>
      </w:r>
      <w:r w:rsidR="00990E46" w:rsidRPr="00704B78">
        <w:t>n incremental</w:t>
      </w:r>
      <w:r w:rsidRPr="00704B78">
        <w:t xml:space="preserve"> cost per QALY gained of </w:t>
      </w:r>
      <w:r w:rsidR="00CE7FE0" w:rsidRPr="00CE7FE0">
        <w:t>$255,000 to &lt; $355,000</w:t>
      </w:r>
      <w:r w:rsidR="002064FB">
        <w:t xml:space="preserve"> </w:t>
      </w:r>
      <w:r w:rsidRPr="00704B78">
        <w:t>with ravulizumab compared to placebo when used as a new line of therapy immediately prior to the classification of patients as having treatment-refractory disease.</w:t>
      </w:r>
    </w:p>
    <w:p w14:paraId="2D16EC69" w14:textId="6D0EB7DA" w:rsidR="002C435E" w:rsidRPr="00704B78" w:rsidRDefault="002C435E" w:rsidP="006E2A77">
      <w:pPr>
        <w:pStyle w:val="COMexecsummnumbered"/>
      </w:pPr>
      <w:r w:rsidRPr="00704B78">
        <w:t>The proposed weights were based on expert advice on the proportion of myasthenia gravis patients who were likely to be treatment refractory. However, this approach inappropriately assumed that all non-refractory patients are newly diagnosed (≤</w:t>
      </w:r>
      <w:r w:rsidR="002064FB">
        <w:t> </w:t>
      </w:r>
      <w:r w:rsidRPr="00704B78">
        <w:t>2</w:t>
      </w:r>
      <w:r w:rsidR="002064FB">
        <w:t> </w:t>
      </w:r>
      <w:r w:rsidRPr="00704B78">
        <w:t xml:space="preserve">years from diagnosis) and does not account for the large pool of patients with established myasthenia gravis (&gt; 2 years from diagnosis). </w:t>
      </w:r>
      <w:r w:rsidR="00F10165" w:rsidRPr="00704B78">
        <w:t xml:space="preserve">Further, </w:t>
      </w:r>
      <w:r w:rsidR="005D4A81" w:rsidRPr="00704B78">
        <w:t>the approach</w:t>
      </w:r>
      <w:r w:rsidR="00F10165" w:rsidRPr="00704B78">
        <w:t xml:space="preserve"> does not account for the higher number of prescriptions likely to be </w:t>
      </w:r>
      <w:r w:rsidR="00564632" w:rsidRPr="00704B78">
        <w:t xml:space="preserve">used </w:t>
      </w:r>
      <w:r w:rsidR="00F10165" w:rsidRPr="00704B78">
        <w:t xml:space="preserve">per </w:t>
      </w:r>
      <w:r w:rsidR="00FD492E" w:rsidRPr="00704B78">
        <w:t xml:space="preserve">patient in the refractory setting. </w:t>
      </w:r>
      <w:r w:rsidRPr="00704B78">
        <w:t xml:space="preserve">Overall, the </w:t>
      </w:r>
      <w:r w:rsidR="00643A83" w:rsidRPr="00704B78">
        <w:t xml:space="preserve">evaluation and the ESC considered that this </w:t>
      </w:r>
      <w:r w:rsidRPr="00704B78">
        <w:t>analysis should be more heavily weighted towards the treatment refractory population.</w:t>
      </w:r>
      <w:r w:rsidR="00F00AD0" w:rsidRPr="00704B78">
        <w:t xml:space="preserve"> The ESC noted this was supported by the </w:t>
      </w:r>
      <w:r w:rsidR="008D65A3" w:rsidRPr="00704B78">
        <w:t xml:space="preserve">IVIg utilisation data (refer to </w:t>
      </w:r>
      <w:r w:rsidR="00346F38">
        <w:t>Section 7</w:t>
      </w:r>
      <w:r w:rsidR="00147E9C" w:rsidRPr="00704B78">
        <w:t>).</w:t>
      </w:r>
      <w:r w:rsidR="00A6396F" w:rsidRPr="00704B78">
        <w:t xml:space="preserve"> </w:t>
      </w:r>
    </w:p>
    <w:p w14:paraId="42A5BDE7" w14:textId="1C957E05" w:rsidR="002C435E" w:rsidRPr="00704B78" w:rsidRDefault="00D23D11" w:rsidP="006E2A77">
      <w:pPr>
        <w:pStyle w:val="COMexecsummnumbered"/>
      </w:pPr>
      <w:r w:rsidRPr="00704B78">
        <w:t>The results of key sensitivity analyses</w:t>
      </w:r>
      <w:r w:rsidR="002C435E" w:rsidRPr="00704B78">
        <w:t xml:space="preserve"> for the newly diagnosed population</w:t>
      </w:r>
      <w:r w:rsidRPr="00704B78">
        <w:t xml:space="preserve"> are summarised </w:t>
      </w:r>
      <w:r w:rsidR="002C435E" w:rsidRPr="00704B78">
        <w:t xml:space="preserve">in </w:t>
      </w:r>
      <w:r w:rsidR="008F400C" w:rsidRPr="00704B78">
        <w:fldChar w:fldCharType="begin"/>
      </w:r>
      <w:r w:rsidR="008F400C" w:rsidRPr="00704B78">
        <w:instrText xml:space="preserve"> REF _Ref187653061 \h </w:instrText>
      </w:r>
      <w:r w:rsidR="004577BE" w:rsidRPr="00704B78">
        <w:instrText xml:space="preserve"> \* MERGEFORMAT </w:instrText>
      </w:r>
      <w:r w:rsidR="008F400C" w:rsidRPr="00704B78">
        <w:fldChar w:fldCharType="separate"/>
      </w:r>
      <w:r w:rsidR="00875704" w:rsidRPr="00704B78">
        <w:t xml:space="preserve">Table </w:t>
      </w:r>
      <w:r w:rsidR="00875704">
        <w:rPr>
          <w:noProof/>
        </w:rPr>
        <w:t>15</w:t>
      </w:r>
      <w:r w:rsidR="008F400C" w:rsidRPr="00704B78">
        <w:fldChar w:fldCharType="end"/>
      </w:r>
      <w:r w:rsidRPr="00704B78">
        <w:t xml:space="preserve">. </w:t>
      </w:r>
    </w:p>
    <w:p w14:paraId="208B7AB8" w14:textId="280DA95D" w:rsidR="002C435E" w:rsidRPr="00704B78" w:rsidRDefault="008F400C" w:rsidP="006E2A77">
      <w:pPr>
        <w:pStyle w:val="COMtablefigcaption"/>
        <w:keepLines/>
        <w:rPr>
          <w:rStyle w:val="CommentReference"/>
          <w:b/>
          <w:szCs w:val="24"/>
        </w:rPr>
      </w:pPr>
      <w:bookmarkStart w:id="55" w:name="_Ref187653061"/>
      <w:r w:rsidRPr="00704B78">
        <w:lastRenderedPageBreak/>
        <w:t xml:space="preserve">Table </w:t>
      </w:r>
      <w:r w:rsidRPr="00704B78">
        <w:fldChar w:fldCharType="begin"/>
      </w:r>
      <w:r w:rsidRPr="00704B78">
        <w:instrText>SEQ Table \* ARABIC</w:instrText>
      </w:r>
      <w:r w:rsidRPr="00704B78">
        <w:fldChar w:fldCharType="separate"/>
      </w:r>
      <w:r w:rsidR="00875704">
        <w:rPr>
          <w:noProof/>
        </w:rPr>
        <w:t>15</w:t>
      </w:r>
      <w:r w:rsidRPr="00704B78">
        <w:fldChar w:fldCharType="end"/>
      </w:r>
      <w:bookmarkEnd w:id="55"/>
      <w:r w:rsidR="002C435E" w:rsidRPr="00704B78">
        <w:rPr>
          <w:rStyle w:val="CommentReference"/>
          <w:b/>
          <w:szCs w:val="24"/>
        </w:rPr>
        <w:t xml:space="preserve">: Results of key sensitivity analyses for newly diagnosed patients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Results of key sensitivity analyses for newly diagnosed patients "/>
      </w:tblPr>
      <w:tblGrid>
        <w:gridCol w:w="4314"/>
        <w:gridCol w:w="1174"/>
        <w:gridCol w:w="1174"/>
        <w:gridCol w:w="1170"/>
        <w:gridCol w:w="1185"/>
      </w:tblGrid>
      <w:tr w:rsidR="00010575" w:rsidRPr="00704B78" w14:paraId="16F433C5" w14:textId="77777777" w:rsidTr="00CC18C2">
        <w:trPr>
          <w:tblHeader/>
        </w:trPr>
        <w:tc>
          <w:tcPr>
            <w:tcW w:w="4323" w:type="dxa"/>
            <w:tcMar>
              <w:top w:w="0" w:type="dxa"/>
              <w:left w:w="28" w:type="dxa"/>
              <w:bottom w:w="0" w:type="dxa"/>
              <w:right w:w="28" w:type="dxa"/>
            </w:tcMar>
            <w:vAlign w:val="center"/>
            <w:hideMark/>
          </w:tcPr>
          <w:p w14:paraId="21EF9A0C" w14:textId="77777777" w:rsidR="002C435E" w:rsidRPr="00704B78" w:rsidRDefault="002C435E" w:rsidP="006E2A77">
            <w:pPr>
              <w:pStyle w:val="Tabletext0"/>
              <w:keepNext/>
              <w:keepLines/>
              <w:rPr>
                <w:szCs w:val="20"/>
              </w:rPr>
            </w:pPr>
            <w:r w:rsidRPr="00704B78">
              <w:rPr>
                <w:b/>
                <w:bCs/>
                <w:szCs w:val="20"/>
              </w:rPr>
              <w:t>Analyses</w:t>
            </w:r>
          </w:p>
        </w:tc>
        <w:tc>
          <w:tcPr>
            <w:tcW w:w="1174" w:type="dxa"/>
            <w:tcMar>
              <w:top w:w="0" w:type="dxa"/>
              <w:left w:w="28" w:type="dxa"/>
              <w:bottom w:w="0" w:type="dxa"/>
              <w:right w:w="28" w:type="dxa"/>
            </w:tcMar>
            <w:vAlign w:val="center"/>
            <w:hideMark/>
          </w:tcPr>
          <w:p w14:paraId="7FF5707C" w14:textId="4DA470EA" w:rsidR="002C435E" w:rsidRPr="00704B78" w:rsidRDefault="002C435E" w:rsidP="006E2A77">
            <w:pPr>
              <w:pStyle w:val="Tabletext0"/>
              <w:keepNext/>
              <w:keepLines/>
              <w:jc w:val="center"/>
              <w:rPr>
                <w:b/>
                <w:bCs/>
                <w:szCs w:val="20"/>
              </w:rPr>
            </w:pPr>
            <w:r w:rsidRPr="00704B78">
              <w:rPr>
                <w:b/>
                <w:bCs/>
                <w:szCs w:val="20"/>
              </w:rPr>
              <w:t>Incremental cost</w:t>
            </w:r>
            <w:r w:rsidR="00CE7FE0">
              <w:rPr>
                <w:b/>
                <w:bCs/>
                <w:szCs w:val="20"/>
              </w:rPr>
              <w:t xml:space="preserve"> ($)</w:t>
            </w:r>
          </w:p>
        </w:tc>
        <w:tc>
          <w:tcPr>
            <w:tcW w:w="1174" w:type="dxa"/>
            <w:tcMar>
              <w:top w:w="0" w:type="dxa"/>
              <w:left w:w="28" w:type="dxa"/>
              <w:bottom w:w="0" w:type="dxa"/>
              <w:right w:w="28" w:type="dxa"/>
            </w:tcMar>
            <w:vAlign w:val="center"/>
            <w:hideMark/>
          </w:tcPr>
          <w:p w14:paraId="05E932BF" w14:textId="77777777" w:rsidR="002C435E" w:rsidRPr="00704B78" w:rsidRDefault="002C435E" w:rsidP="006E2A77">
            <w:pPr>
              <w:pStyle w:val="Tabletext0"/>
              <w:keepNext/>
              <w:keepLines/>
              <w:jc w:val="center"/>
              <w:rPr>
                <w:b/>
                <w:bCs/>
                <w:szCs w:val="20"/>
              </w:rPr>
            </w:pPr>
            <w:r w:rsidRPr="00704B78">
              <w:rPr>
                <w:b/>
                <w:bCs/>
                <w:szCs w:val="20"/>
              </w:rPr>
              <w:t>Incremental QALYs</w:t>
            </w:r>
          </w:p>
        </w:tc>
        <w:tc>
          <w:tcPr>
            <w:tcW w:w="1172" w:type="dxa"/>
            <w:tcMar>
              <w:top w:w="0" w:type="dxa"/>
              <w:left w:w="28" w:type="dxa"/>
              <w:bottom w:w="0" w:type="dxa"/>
              <w:right w:w="28" w:type="dxa"/>
            </w:tcMar>
            <w:vAlign w:val="center"/>
            <w:hideMark/>
          </w:tcPr>
          <w:p w14:paraId="5E4C79DD" w14:textId="77777777" w:rsidR="002C435E" w:rsidRPr="00704B78" w:rsidRDefault="002C435E" w:rsidP="006E2A77">
            <w:pPr>
              <w:pStyle w:val="Tabletext0"/>
              <w:keepNext/>
              <w:keepLines/>
              <w:jc w:val="center"/>
              <w:rPr>
                <w:b/>
                <w:bCs/>
                <w:szCs w:val="20"/>
              </w:rPr>
            </w:pPr>
            <w:r w:rsidRPr="00704B78">
              <w:rPr>
                <w:b/>
                <w:bCs/>
                <w:szCs w:val="20"/>
              </w:rPr>
              <w:t>ICER</w:t>
            </w:r>
          </w:p>
        </w:tc>
        <w:tc>
          <w:tcPr>
            <w:tcW w:w="1186" w:type="dxa"/>
            <w:tcMar>
              <w:left w:w="28" w:type="dxa"/>
              <w:right w:w="28" w:type="dxa"/>
            </w:tcMar>
            <w:vAlign w:val="center"/>
          </w:tcPr>
          <w:p w14:paraId="36EC0122" w14:textId="77777777" w:rsidR="002C435E" w:rsidRPr="00704B78" w:rsidRDefault="002C435E" w:rsidP="006E2A77">
            <w:pPr>
              <w:pStyle w:val="Tabletext0"/>
              <w:keepNext/>
              <w:keepLines/>
              <w:jc w:val="center"/>
              <w:rPr>
                <w:b/>
                <w:bCs/>
                <w:szCs w:val="20"/>
              </w:rPr>
            </w:pPr>
            <w:r w:rsidRPr="00704B78">
              <w:rPr>
                <w:b/>
                <w:bCs/>
              </w:rPr>
              <w:t>Change from base case ICER</w:t>
            </w:r>
          </w:p>
        </w:tc>
      </w:tr>
      <w:tr w:rsidR="00010575" w:rsidRPr="00704B78" w14:paraId="22D0E6F7" w14:textId="77777777" w:rsidTr="00CC18C2">
        <w:trPr>
          <w:tblHeader/>
        </w:trPr>
        <w:tc>
          <w:tcPr>
            <w:tcW w:w="4323" w:type="dxa"/>
            <w:tcMar>
              <w:top w:w="0" w:type="dxa"/>
              <w:left w:w="28" w:type="dxa"/>
              <w:bottom w:w="0" w:type="dxa"/>
              <w:right w:w="28" w:type="dxa"/>
            </w:tcMar>
            <w:hideMark/>
          </w:tcPr>
          <w:p w14:paraId="3172CBCF" w14:textId="77777777" w:rsidR="002C435E" w:rsidRPr="00704B78" w:rsidRDefault="002C435E" w:rsidP="006E2A77">
            <w:pPr>
              <w:pStyle w:val="Tabletext0"/>
              <w:keepNext/>
              <w:keepLines/>
              <w:rPr>
                <w:b/>
                <w:bCs/>
                <w:szCs w:val="20"/>
                <w:vertAlign w:val="superscript"/>
              </w:rPr>
            </w:pPr>
            <w:r w:rsidRPr="00704B78">
              <w:rPr>
                <w:b/>
                <w:bCs/>
                <w:szCs w:val="20"/>
              </w:rPr>
              <w:t>Base case</w:t>
            </w:r>
          </w:p>
        </w:tc>
        <w:tc>
          <w:tcPr>
            <w:tcW w:w="1174" w:type="dxa"/>
            <w:tcMar>
              <w:top w:w="0" w:type="dxa"/>
              <w:left w:w="28" w:type="dxa"/>
              <w:bottom w:w="0" w:type="dxa"/>
              <w:right w:w="28" w:type="dxa"/>
            </w:tcMar>
          </w:tcPr>
          <w:p w14:paraId="1C01835E" w14:textId="4D439B0F" w:rsidR="002C435E" w:rsidRPr="00704B78" w:rsidRDefault="00F555BD" w:rsidP="006E2A77">
            <w:pPr>
              <w:pStyle w:val="Tabletext0"/>
              <w:keepNext/>
              <w:keepLines/>
              <w:jc w:val="center"/>
              <w:rPr>
                <w:b/>
                <w:bCs/>
                <w:szCs w:val="20"/>
              </w:rPr>
            </w:pPr>
            <w:r w:rsidRPr="00F555BD">
              <w:rPr>
                <w:rFonts w:hint="eastAsia"/>
                <w:b/>
                <w:color w:val="000000"/>
                <w:w w:val="15"/>
                <w:szCs w:val="20"/>
                <w:shd w:val="solid" w:color="000000" w:fill="000000"/>
                <w:fitText w:val="38" w:id="-691350010"/>
                <w14:textFill>
                  <w14:solidFill>
                    <w14:srgbClr w14:val="000000">
                      <w14:alpha w14:val="100000"/>
                    </w14:srgbClr>
                  </w14:solidFill>
                </w14:textFill>
              </w:rPr>
              <w:t xml:space="preserve">　</w:t>
            </w:r>
            <w:r w:rsidRPr="00F555BD">
              <w:rPr>
                <w:b/>
                <w:color w:val="000000"/>
                <w:w w:val="15"/>
                <w:szCs w:val="20"/>
                <w:shd w:val="solid" w:color="000000" w:fill="000000"/>
                <w:fitText w:val="38" w:id="-691350010"/>
                <w14:textFill>
                  <w14:solidFill>
                    <w14:srgbClr w14:val="000000">
                      <w14:alpha w14:val="100000"/>
                    </w14:srgbClr>
                  </w14:solidFill>
                </w14:textFill>
              </w:rPr>
              <w:t>|</w:t>
            </w:r>
            <w:r w:rsidRPr="00F555BD">
              <w:rPr>
                <w:rFonts w:hint="eastAsia"/>
                <w:b/>
                <w:color w:val="000000"/>
                <w:spacing w:val="-28"/>
                <w:w w:val="15"/>
                <w:szCs w:val="20"/>
                <w:shd w:val="solid" w:color="000000" w:fill="000000"/>
                <w:fitText w:val="38" w:id="-691350010"/>
                <w14:textFill>
                  <w14:solidFill>
                    <w14:srgbClr w14:val="000000">
                      <w14:alpha w14:val="100000"/>
                    </w14:srgbClr>
                  </w14:solidFill>
                </w14:textFill>
              </w:rPr>
              <w:t xml:space="preserve">　</w:t>
            </w:r>
            <w:r w:rsidR="002064FB">
              <w:rPr>
                <w:b/>
                <w:szCs w:val="20"/>
              </w:rPr>
              <w:t xml:space="preserve"> </w:t>
            </w:r>
          </w:p>
        </w:tc>
        <w:tc>
          <w:tcPr>
            <w:tcW w:w="1174" w:type="dxa"/>
            <w:tcMar>
              <w:top w:w="0" w:type="dxa"/>
              <w:left w:w="28" w:type="dxa"/>
              <w:bottom w:w="0" w:type="dxa"/>
              <w:right w:w="28" w:type="dxa"/>
            </w:tcMar>
          </w:tcPr>
          <w:p w14:paraId="01196559" w14:textId="77777777" w:rsidR="002C435E" w:rsidRPr="00704B78" w:rsidRDefault="002C435E" w:rsidP="006E2A77">
            <w:pPr>
              <w:pStyle w:val="Tabletext0"/>
              <w:keepNext/>
              <w:keepLines/>
              <w:jc w:val="center"/>
              <w:rPr>
                <w:b/>
                <w:bCs/>
                <w:szCs w:val="20"/>
              </w:rPr>
            </w:pPr>
            <w:r w:rsidRPr="00704B78">
              <w:rPr>
                <w:b/>
                <w:bCs/>
                <w:szCs w:val="20"/>
              </w:rPr>
              <w:t>0.9721</w:t>
            </w:r>
          </w:p>
        </w:tc>
        <w:tc>
          <w:tcPr>
            <w:tcW w:w="1172" w:type="dxa"/>
            <w:tcMar>
              <w:top w:w="0" w:type="dxa"/>
              <w:left w:w="28" w:type="dxa"/>
              <w:bottom w:w="0" w:type="dxa"/>
              <w:right w:w="28" w:type="dxa"/>
            </w:tcMar>
          </w:tcPr>
          <w:p w14:paraId="4651C3A6" w14:textId="0A42ABF2" w:rsidR="002C435E" w:rsidRPr="00704B78" w:rsidRDefault="00F555BD" w:rsidP="006E2A77">
            <w:pPr>
              <w:pStyle w:val="Tabletext0"/>
              <w:keepNext/>
              <w:keepLines/>
              <w:jc w:val="center"/>
              <w:rPr>
                <w:b/>
                <w:bCs/>
                <w:szCs w:val="20"/>
              </w:rPr>
            </w:pPr>
            <w:r w:rsidRPr="00F555BD">
              <w:rPr>
                <w:rFonts w:hint="eastAsia"/>
                <w:b/>
                <w:color w:val="000000"/>
                <w:w w:val="15"/>
                <w:szCs w:val="20"/>
                <w:shd w:val="solid" w:color="000000" w:fill="000000"/>
                <w:fitText w:val="62" w:id="-691350009"/>
                <w14:textFill>
                  <w14:solidFill>
                    <w14:srgbClr w14:val="000000">
                      <w14:alpha w14:val="100000"/>
                    </w14:srgbClr>
                  </w14:solidFill>
                </w14:textFill>
              </w:rPr>
              <w:t xml:space="preserve">　</w:t>
            </w:r>
            <w:r w:rsidRPr="00F555BD">
              <w:rPr>
                <w:b/>
                <w:color w:val="000000"/>
                <w:w w:val="15"/>
                <w:szCs w:val="20"/>
                <w:shd w:val="solid" w:color="000000" w:fill="000000"/>
                <w:fitText w:val="62" w:id="-691350009"/>
                <w14:textFill>
                  <w14:solidFill>
                    <w14:srgbClr w14:val="000000">
                      <w14:alpha w14:val="100000"/>
                    </w14:srgbClr>
                  </w14:solidFill>
                </w14:textFill>
              </w:rPr>
              <w:t>|</w:t>
            </w:r>
            <w:r w:rsidRPr="00F555BD">
              <w:rPr>
                <w:rFonts w:hint="eastAsia"/>
                <w:b/>
                <w:color w:val="000000"/>
                <w:spacing w:val="-4"/>
                <w:w w:val="15"/>
                <w:szCs w:val="20"/>
                <w:shd w:val="solid" w:color="000000" w:fill="000000"/>
                <w:fitText w:val="62" w:id="-691350009"/>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tcPr>
          <w:p w14:paraId="49CB999D" w14:textId="77777777" w:rsidR="002C435E" w:rsidRPr="00704B78" w:rsidRDefault="002C435E" w:rsidP="006E2A77">
            <w:pPr>
              <w:pStyle w:val="Tabletext0"/>
              <w:keepNext/>
              <w:keepLines/>
              <w:jc w:val="center"/>
              <w:rPr>
                <w:b/>
                <w:bCs/>
                <w:szCs w:val="20"/>
              </w:rPr>
            </w:pPr>
            <w:r w:rsidRPr="00704B78">
              <w:rPr>
                <w:b/>
                <w:bCs/>
                <w:szCs w:val="20"/>
              </w:rPr>
              <w:t>-</w:t>
            </w:r>
          </w:p>
        </w:tc>
      </w:tr>
      <w:tr w:rsidR="001A0130" w:rsidRPr="00704B78" w14:paraId="0ACFA983" w14:textId="77777777" w:rsidTr="00CC18C2">
        <w:tc>
          <w:tcPr>
            <w:tcW w:w="9029" w:type="dxa"/>
            <w:gridSpan w:val="5"/>
            <w:tcMar>
              <w:top w:w="0" w:type="dxa"/>
              <w:left w:w="28" w:type="dxa"/>
              <w:bottom w:w="0" w:type="dxa"/>
              <w:right w:w="28" w:type="dxa"/>
            </w:tcMar>
            <w:hideMark/>
          </w:tcPr>
          <w:p w14:paraId="43395DC8" w14:textId="77777777" w:rsidR="002C435E" w:rsidRPr="00704B78" w:rsidRDefault="002C435E" w:rsidP="006E2A77">
            <w:pPr>
              <w:pStyle w:val="Tabletext0"/>
              <w:keepNext/>
              <w:keepLines/>
              <w:rPr>
                <w:szCs w:val="20"/>
              </w:rPr>
            </w:pPr>
            <w:r w:rsidRPr="00704B78">
              <w:rPr>
                <w:b/>
                <w:bCs/>
                <w:szCs w:val="20"/>
              </w:rPr>
              <w:t>Discount rate (base case: 5% for benefits and costs)</w:t>
            </w:r>
          </w:p>
        </w:tc>
      </w:tr>
      <w:tr w:rsidR="00790C83" w:rsidRPr="00704B78" w14:paraId="4D93C488" w14:textId="77777777" w:rsidTr="00CC18C2">
        <w:tc>
          <w:tcPr>
            <w:tcW w:w="4323" w:type="dxa"/>
            <w:tcMar>
              <w:top w:w="0" w:type="dxa"/>
              <w:left w:w="28" w:type="dxa"/>
              <w:bottom w:w="0" w:type="dxa"/>
              <w:right w:w="28" w:type="dxa"/>
            </w:tcMar>
            <w:hideMark/>
          </w:tcPr>
          <w:p w14:paraId="5BA6B0A0" w14:textId="77777777" w:rsidR="002C435E" w:rsidRPr="00704B78" w:rsidRDefault="002C435E" w:rsidP="006E2A77">
            <w:pPr>
              <w:pStyle w:val="Tabletext0"/>
              <w:keepNext/>
              <w:keepLines/>
              <w:rPr>
                <w:szCs w:val="20"/>
              </w:rPr>
            </w:pPr>
            <w:r w:rsidRPr="00704B78">
              <w:rPr>
                <w:szCs w:val="20"/>
              </w:rPr>
              <w:t>3.5% discount rate</w:t>
            </w:r>
          </w:p>
        </w:tc>
        <w:tc>
          <w:tcPr>
            <w:tcW w:w="1174" w:type="dxa"/>
            <w:tcMar>
              <w:top w:w="0" w:type="dxa"/>
              <w:left w:w="28" w:type="dxa"/>
              <w:bottom w:w="0" w:type="dxa"/>
              <w:right w:w="28" w:type="dxa"/>
            </w:tcMar>
          </w:tcPr>
          <w:p w14:paraId="24D2C025" w14:textId="41BEB991" w:rsidR="002C435E" w:rsidRPr="00CE7FE0"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442212FF" w14:textId="77777777" w:rsidR="002C435E" w:rsidRPr="00704B78" w:rsidRDefault="002C435E" w:rsidP="006E2A77">
            <w:pPr>
              <w:pStyle w:val="Tabletext0"/>
              <w:keepNext/>
              <w:keepLines/>
              <w:jc w:val="center"/>
              <w:rPr>
                <w:szCs w:val="20"/>
              </w:rPr>
            </w:pPr>
            <w:r w:rsidRPr="00704B78">
              <w:rPr>
                <w:szCs w:val="20"/>
              </w:rPr>
              <w:t>1.0654</w:t>
            </w:r>
          </w:p>
        </w:tc>
        <w:tc>
          <w:tcPr>
            <w:tcW w:w="1172" w:type="dxa"/>
            <w:tcMar>
              <w:top w:w="0" w:type="dxa"/>
              <w:left w:w="28" w:type="dxa"/>
              <w:bottom w:w="0" w:type="dxa"/>
              <w:right w:w="28" w:type="dxa"/>
            </w:tcMar>
          </w:tcPr>
          <w:p w14:paraId="6A3FAC62" w14:textId="11CF1476" w:rsidR="002C435E" w:rsidRPr="00CE7FE0"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8"/>
                <w14:textFill>
                  <w14:solidFill>
                    <w14:srgbClr w14:val="000000">
                      <w14:alpha w14:val="100000"/>
                    </w14:srgbClr>
                  </w14:solidFill>
                </w14:textFill>
              </w:rPr>
              <w:t xml:space="preserve">　</w:t>
            </w:r>
            <w:r w:rsidRPr="00875704">
              <w:rPr>
                <w:color w:val="000000"/>
                <w:w w:val="15"/>
                <w:szCs w:val="20"/>
                <w:shd w:val="solid" w:color="000000" w:fill="000000"/>
                <w:fitText w:val="25" w:id="-691350008"/>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8"/>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tcPr>
          <w:p w14:paraId="27C50D16" w14:textId="75CE8165"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50007"/>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50007"/>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50007"/>
                <w14:textFill>
                  <w14:solidFill>
                    <w14:srgbClr w14:val="000000">
                      <w14:alpha w14:val="100000"/>
                    </w14:srgbClr>
                  </w14:solidFill>
                </w14:textFill>
              </w:rPr>
              <w:t xml:space="preserve">　</w:t>
            </w:r>
            <w:r w:rsidRPr="00704B78">
              <w:rPr>
                <w:szCs w:val="20"/>
              </w:rPr>
              <w:t>%</w:t>
            </w:r>
          </w:p>
        </w:tc>
      </w:tr>
      <w:tr w:rsidR="00790C83" w:rsidRPr="00704B78" w14:paraId="23867279" w14:textId="77777777" w:rsidTr="00CC18C2">
        <w:tc>
          <w:tcPr>
            <w:tcW w:w="4323" w:type="dxa"/>
            <w:tcMar>
              <w:top w:w="0" w:type="dxa"/>
              <w:left w:w="28" w:type="dxa"/>
              <w:bottom w:w="0" w:type="dxa"/>
              <w:right w:w="28" w:type="dxa"/>
            </w:tcMar>
            <w:hideMark/>
          </w:tcPr>
          <w:p w14:paraId="38E77072" w14:textId="77777777" w:rsidR="002C435E" w:rsidRPr="00704B78" w:rsidRDefault="002C435E" w:rsidP="006E2A77">
            <w:pPr>
              <w:pStyle w:val="Tabletext0"/>
              <w:keepNext/>
              <w:keepLines/>
              <w:rPr>
                <w:szCs w:val="20"/>
              </w:rPr>
            </w:pPr>
            <w:r w:rsidRPr="00704B78">
              <w:rPr>
                <w:szCs w:val="20"/>
              </w:rPr>
              <w:t>0% discount rate</w:t>
            </w:r>
          </w:p>
        </w:tc>
        <w:tc>
          <w:tcPr>
            <w:tcW w:w="1174" w:type="dxa"/>
            <w:tcMar>
              <w:top w:w="0" w:type="dxa"/>
              <w:left w:w="28" w:type="dxa"/>
              <w:bottom w:w="0" w:type="dxa"/>
              <w:right w:w="28" w:type="dxa"/>
            </w:tcMar>
          </w:tcPr>
          <w:p w14:paraId="21D1937E" w14:textId="220CDC3E" w:rsidR="002C435E" w:rsidRPr="00CE7FE0"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00140698" w14:textId="77777777" w:rsidR="002C435E" w:rsidRPr="00704B78" w:rsidRDefault="002C435E" w:rsidP="006E2A77">
            <w:pPr>
              <w:pStyle w:val="Tabletext0"/>
              <w:keepNext/>
              <w:keepLines/>
              <w:jc w:val="center"/>
              <w:rPr>
                <w:szCs w:val="20"/>
              </w:rPr>
            </w:pPr>
            <w:r w:rsidRPr="00704B78">
              <w:rPr>
                <w:szCs w:val="20"/>
              </w:rPr>
              <w:t>1.3459</w:t>
            </w:r>
          </w:p>
        </w:tc>
        <w:tc>
          <w:tcPr>
            <w:tcW w:w="1172" w:type="dxa"/>
            <w:tcMar>
              <w:top w:w="0" w:type="dxa"/>
              <w:left w:w="28" w:type="dxa"/>
              <w:bottom w:w="0" w:type="dxa"/>
              <w:right w:w="28" w:type="dxa"/>
            </w:tcMar>
          </w:tcPr>
          <w:p w14:paraId="1B4DA314" w14:textId="3382E6CB" w:rsidR="002C435E" w:rsidRPr="00CE7FE0"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6"/>
                <w14:textFill>
                  <w14:solidFill>
                    <w14:srgbClr w14:val="000000">
                      <w14:alpha w14:val="100000"/>
                    </w14:srgbClr>
                  </w14:solidFill>
                </w14:textFill>
              </w:rPr>
              <w:t xml:space="preserve">　</w:t>
            </w:r>
            <w:r w:rsidRPr="00875704">
              <w:rPr>
                <w:color w:val="000000"/>
                <w:w w:val="15"/>
                <w:szCs w:val="20"/>
                <w:shd w:val="solid" w:color="000000" w:fill="000000"/>
                <w:fitText w:val="25" w:id="-691350006"/>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6"/>
                <w14:textFill>
                  <w14:solidFill>
                    <w14:srgbClr w14:val="000000">
                      <w14:alpha w14:val="100000"/>
                    </w14:srgbClr>
                  </w14:solidFill>
                </w14:textFill>
              </w:rPr>
              <w:t xml:space="preserve">　</w:t>
            </w:r>
            <w:r w:rsidR="00410046" w:rsidRPr="00410046">
              <w:rPr>
                <w:szCs w:val="20"/>
                <w:vertAlign w:val="superscript"/>
              </w:rPr>
              <w:t>2</w:t>
            </w:r>
          </w:p>
        </w:tc>
        <w:tc>
          <w:tcPr>
            <w:tcW w:w="1186" w:type="dxa"/>
            <w:tcMar>
              <w:left w:w="28" w:type="dxa"/>
              <w:right w:w="28" w:type="dxa"/>
            </w:tcMar>
          </w:tcPr>
          <w:p w14:paraId="0C75F00A" w14:textId="20077A4A"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50005"/>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50005"/>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50005"/>
                <w14:textFill>
                  <w14:solidFill>
                    <w14:srgbClr w14:val="000000">
                      <w14:alpha w14:val="100000"/>
                    </w14:srgbClr>
                  </w14:solidFill>
                </w14:textFill>
              </w:rPr>
              <w:t xml:space="preserve">　</w:t>
            </w:r>
            <w:r w:rsidRPr="00704B78">
              <w:rPr>
                <w:szCs w:val="20"/>
              </w:rPr>
              <w:t>%</w:t>
            </w:r>
          </w:p>
        </w:tc>
      </w:tr>
      <w:tr w:rsidR="001A0130" w:rsidRPr="00704B78" w14:paraId="3DCAD572" w14:textId="77777777" w:rsidTr="00CC18C2">
        <w:tc>
          <w:tcPr>
            <w:tcW w:w="9029" w:type="dxa"/>
            <w:gridSpan w:val="5"/>
            <w:tcMar>
              <w:top w:w="0" w:type="dxa"/>
              <w:left w:w="28" w:type="dxa"/>
              <w:bottom w:w="0" w:type="dxa"/>
              <w:right w:w="28" w:type="dxa"/>
            </w:tcMar>
            <w:hideMark/>
          </w:tcPr>
          <w:p w14:paraId="77E24054" w14:textId="77777777" w:rsidR="002C435E" w:rsidRPr="00704B78" w:rsidRDefault="002C435E" w:rsidP="006E2A77">
            <w:pPr>
              <w:pStyle w:val="Tabletext0"/>
              <w:keepNext/>
              <w:keepLines/>
              <w:rPr>
                <w:szCs w:val="20"/>
              </w:rPr>
            </w:pPr>
            <w:r w:rsidRPr="00704B78">
              <w:rPr>
                <w:b/>
                <w:bCs/>
                <w:szCs w:val="20"/>
              </w:rPr>
              <w:t>Time horizon (base case: 15 years)</w:t>
            </w:r>
          </w:p>
        </w:tc>
      </w:tr>
      <w:tr w:rsidR="00790C83" w:rsidRPr="00704B78" w14:paraId="151B4368" w14:textId="77777777" w:rsidTr="00CC18C2">
        <w:tc>
          <w:tcPr>
            <w:tcW w:w="4323" w:type="dxa"/>
            <w:tcMar>
              <w:top w:w="0" w:type="dxa"/>
              <w:left w:w="28" w:type="dxa"/>
              <w:bottom w:w="0" w:type="dxa"/>
              <w:right w:w="28" w:type="dxa"/>
            </w:tcMar>
          </w:tcPr>
          <w:p w14:paraId="296B44DE" w14:textId="77777777" w:rsidR="002C435E" w:rsidRPr="00704B78" w:rsidRDefault="002C435E" w:rsidP="006E2A77">
            <w:pPr>
              <w:pStyle w:val="Tabletext0"/>
              <w:keepNext/>
              <w:keepLines/>
              <w:rPr>
                <w:szCs w:val="20"/>
              </w:rPr>
            </w:pPr>
            <w:r w:rsidRPr="00704B78">
              <w:rPr>
                <w:szCs w:val="20"/>
              </w:rPr>
              <w:t>20 years</w:t>
            </w:r>
          </w:p>
        </w:tc>
        <w:tc>
          <w:tcPr>
            <w:tcW w:w="1174" w:type="dxa"/>
            <w:tcMar>
              <w:top w:w="0" w:type="dxa"/>
              <w:left w:w="28" w:type="dxa"/>
              <w:bottom w:w="0" w:type="dxa"/>
              <w:right w:w="28" w:type="dxa"/>
            </w:tcMar>
          </w:tcPr>
          <w:p w14:paraId="133DB2F2" w14:textId="36E71A2C" w:rsidR="002C435E" w:rsidRPr="00CE7FE0"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4106AD87" w14:textId="77777777" w:rsidR="002C435E" w:rsidRPr="00704B78" w:rsidRDefault="002C435E" w:rsidP="006E2A77">
            <w:pPr>
              <w:pStyle w:val="Tabletext0"/>
              <w:keepNext/>
              <w:keepLines/>
              <w:jc w:val="center"/>
              <w:rPr>
                <w:szCs w:val="20"/>
              </w:rPr>
            </w:pPr>
            <w:r w:rsidRPr="00704B78">
              <w:rPr>
                <w:szCs w:val="20"/>
              </w:rPr>
              <w:t>1.1137</w:t>
            </w:r>
          </w:p>
        </w:tc>
        <w:tc>
          <w:tcPr>
            <w:tcW w:w="1172" w:type="dxa"/>
            <w:tcMar>
              <w:top w:w="0" w:type="dxa"/>
              <w:left w:w="28" w:type="dxa"/>
              <w:bottom w:w="0" w:type="dxa"/>
              <w:right w:w="28" w:type="dxa"/>
            </w:tcMar>
          </w:tcPr>
          <w:p w14:paraId="383BF60D" w14:textId="7DC6879A" w:rsidR="002C435E" w:rsidRPr="00CE7FE0"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4"/>
                <w14:textFill>
                  <w14:solidFill>
                    <w14:srgbClr w14:val="000000">
                      <w14:alpha w14:val="100000"/>
                    </w14:srgbClr>
                  </w14:solidFill>
                </w14:textFill>
              </w:rPr>
              <w:t xml:space="preserve">　</w:t>
            </w:r>
            <w:r w:rsidRPr="00875704">
              <w:rPr>
                <w:color w:val="000000"/>
                <w:w w:val="15"/>
                <w:szCs w:val="20"/>
                <w:shd w:val="solid" w:color="000000" w:fill="000000"/>
                <w:fitText w:val="25" w:id="-691350004"/>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4"/>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tcPr>
          <w:p w14:paraId="6F5B1AAD" w14:textId="542968E9"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50003"/>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50003"/>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50003"/>
                <w14:textFill>
                  <w14:solidFill>
                    <w14:srgbClr w14:val="000000">
                      <w14:alpha w14:val="100000"/>
                    </w14:srgbClr>
                  </w14:solidFill>
                </w14:textFill>
              </w:rPr>
              <w:t xml:space="preserve">　</w:t>
            </w:r>
            <w:r w:rsidRPr="00704B78">
              <w:rPr>
                <w:szCs w:val="20"/>
              </w:rPr>
              <w:t>%</w:t>
            </w:r>
          </w:p>
        </w:tc>
      </w:tr>
      <w:tr w:rsidR="00790C83" w:rsidRPr="00704B78" w14:paraId="5E5E6D68" w14:textId="77777777" w:rsidTr="00CC18C2">
        <w:tc>
          <w:tcPr>
            <w:tcW w:w="4323" w:type="dxa"/>
            <w:tcMar>
              <w:top w:w="0" w:type="dxa"/>
              <w:left w:w="28" w:type="dxa"/>
              <w:bottom w:w="0" w:type="dxa"/>
              <w:right w:w="28" w:type="dxa"/>
            </w:tcMar>
          </w:tcPr>
          <w:p w14:paraId="51F59744" w14:textId="77777777" w:rsidR="002C435E" w:rsidRPr="00704B78" w:rsidRDefault="002C435E" w:rsidP="006E2A77">
            <w:pPr>
              <w:pStyle w:val="Tabletext0"/>
              <w:keepNext/>
              <w:keepLines/>
              <w:rPr>
                <w:szCs w:val="20"/>
              </w:rPr>
            </w:pPr>
            <w:r w:rsidRPr="00704B78">
              <w:rPr>
                <w:szCs w:val="20"/>
              </w:rPr>
              <w:t>10 years</w:t>
            </w:r>
          </w:p>
        </w:tc>
        <w:tc>
          <w:tcPr>
            <w:tcW w:w="1174" w:type="dxa"/>
            <w:tcMar>
              <w:top w:w="0" w:type="dxa"/>
              <w:left w:w="28" w:type="dxa"/>
              <w:bottom w:w="0" w:type="dxa"/>
              <w:right w:w="28" w:type="dxa"/>
            </w:tcMar>
          </w:tcPr>
          <w:p w14:paraId="55B8E52B" w14:textId="73B26255" w:rsidR="002C435E" w:rsidRPr="00CE7FE0"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313C77D1" w14:textId="77777777" w:rsidR="002C435E" w:rsidRPr="00704B78" w:rsidRDefault="002C435E" w:rsidP="006E2A77">
            <w:pPr>
              <w:pStyle w:val="Tabletext0"/>
              <w:keepNext/>
              <w:keepLines/>
              <w:jc w:val="center"/>
              <w:rPr>
                <w:szCs w:val="20"/>
              </w:rPr>
            </w:pPr>
            <w:r w:rsidRPr="00704B78">
              <w:rPr>
                <w:szCs w:val="20"/>
              </w:rPr>
              <w:t>0.7505</w:t>
            </w:r>
          </w:p>
        </w:tc>
        <w:tc>
          <w:tcPr>
            <w:tcW w:w="1172" w:type="dxa"/>
            <w:tcMar>
              <w:top w:w="0" w:type="dxa"/>
              <w:left w:w="28" w:type="dxa"/>
              <w:bottom w:w="0" w:type="dxa"/>
              <w:right w:w="28" w:type="dxa"/>
            </w:tcMar>
          </w:tcPr>
          <w:p w14:paraId="77CD548E" w14:textId="50FE62F8" w:rsidR="002C435E" w:rsidRPr="00CE7FE0"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2"/>
                <w14:textFill>
                  <w14:solidFill>
                    <w14:srgbClr w14:val="000000">
                      <w14:alpha w14:val="100000"/>
                    </w14:srgbClr>
                  </w14:solidFill>
                </w14:textFill>
              </w:rPr>
              <w:t xml:space="preserve">　</w:t>
            </w:r>
            <w:r w:rsidRPr="00875704">
              <w:rPr>
                <w:color w:val="000000"/>
                <w:w w:val="15"/>
                <w:szCs w:val="20"/>
                <w:shd w:val="solid" w:color="000000" w:fill="000000"/>
                <w:fitText w:val="25" w:id="-691350002"/>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2"/>
                <w14:textFill>
                  <w14:solidFill>
                    <w14:srgbClr w14:val="000000">
                      <w14:alpha w14:val="100000"/>
                    </w14:srgbClr>
                  </w14:solidFill>
                </w14:textFill>
              </w:rPr>
              <w:t xml:space="preserve">　</w:t>
            </w:r>
            <w:r w:rsidR="004C1AF0" w:rsidRPr="004C1AF0">
              <w:rPr>
                <w:szCs w:val="20"/>
                <w:vertAlign w:val="superscript"/>
              </w:rPr>
              <w:t>3</w:t>
            </w:r>
          </w:p>
        </w:tc>
        <w:tc>
          <w:tcPr>
            <w:tcW w:w="1186" w:type="dxa"/>
            <w:tcMar>
              <w:left w:w="28" w:type="dxa"/>
              <w:right w:w="28" w:type="dxa"/>
            </w:tcMar>
          </w:tcPr>
          <w:p w14:paraId="1B31BE4E" w14:textId="6654A6E3"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50001"/>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50001"/>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50001"/>
                <w14:textFill>
                  <w14:solidFill>
                    <w14:srgbClr w14:val="000000">
                      <w14:alpha w14:val="100000"/>
                    </w14:srgbClr>
                  </w14:solidFill>
                </w14:textFill>
              </w:rPr>
              <w:t xml:space="preserve">　</w:t>
            </w:r>
            <w:r w:rsidRPr="00704B78">
              <w:rPr>
                <w:szCs w:val="20"/>
              </w:rPr>
              <w:t>%</w:t>
            </w:r>
          </w:p>
        </w:tc>
      </w:tr>
      <w:tr w:rsidR="00790C83" w:rsidRPr="00704B78" w14:paraId="65F864F8" w14:textId="77777777" w:rsidTr="00CC18C2">
        <w:tc>
          <w:tcPr>
            <w:tcW w:w="4323" w:type="dxa"/>
            <w:tcMar>
              <w:top w:w="0" w:type="dxa"/>
              <w:left w:w="28" w:type="dxa"/>
              <w:bottom w:w="0" w:type="dxa"/>
              <w:right w:w="28" w:type="dxa"/>
            </w:tcMar>
          </w:tcPr>
          <w:p w14:paraId="67981C06" w14:textId="77777777" w:rsidR="002C435E" w:rsidRPr="00704B78" w:rsidRDefault="002C435E" w:rsidP="006E2A77">
            <w:pPr>
              <w:pStyle w:val="Tabletext0"/>
              <w:keepNext/>
              <w:keepLines/>
              <w:rPr>
                <w:szCs w:val="20"/>
              </w:rPr>
            </w:pPr>
            <w:r w:rsidRPr="00704B78">
              <w:rPr>
                <w:szCs w:val="20"/>
              </w:rPr>
              <w:t>5 years</w:t>
            </w:r>
          </w:p>
        </w:tc>
        <w:tc>
          <w:tcPr>
            <w:tcW w:w="1174" w:type="dxa"/>
            <w:tcMar>
              <w:top w:w="0" w:type="dxa"/>
              <w:left w:w="28" w:type="dxa"/>
              <w:bottom w:w="0" w:type="dxa"/>
              <w:right w:w="28" w:type="dxa"/>
            </w:tcMar>
          </w:tcPr>
          <w:p w14:paraId="51780BF0" w14:textId="5EA10663" w:rsidR="002C435E" w:rsidRPr="00CE7FE0"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056ED666" w14:textId="77777777" w:rsidR="002C435E" w:rsidRPr="00704B78" w:rsidRDefault="002C435E" w:rsidP="006E2A77">
            <w:pPr>
              <w:pStyle w:val="Tabletext0"/>
              <w:keepNext/>
              <w:keepLines/>
              <w:jc w:val="center"/>
              <w:rPr>
                <w:szCs w:val="20"/>
              </w:rPr>
            </w:pPr>
            <w:r w:rsidRPr="00704B78">
              <w:rPr>
                <w:szCs w:val="20"/>
              </w:rPr>
              <w:t>0.4283</w:t>
            </w:r>
          </w:p>
        </w:tc>
        <w:tc>
          <w:tcPr>
            <w:tcW w:w="1172" w:type="dxa"/>
            <w:tcMar>
              <w:top w:w="0" w:type="dxa"/>
              <w:left w:w="28" w:type="dxa"/>
              <w:bottom w:w="0" w:type="dxa"/>
              <w:right w:w="28" w:type="dxa"/>
            </w:tcMar>
          </w:tcPr>
          <w:p w14:paraId="0823C33A" w14:textId="38FA1162" w:rsidR="002C435E" w:rsidRPr="00CE7FE0"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0"/>
                <w14:textFill>
                  <w14:solidFill>
                    <w14:srgbClr w14:val="000000">
                      <w14:alpha w14:val="100000"/>
                    </w14:srgbClr>
                  </w14:solidFill>
                </w14:textFill>
              </w:rPr>
              <w:t xml:space="preserve">　</w:t>
            </w:r>
            <w:r w:rsidRPr="00875704">
              <w:rPr>
                <w:color w:val="000000"/>
                <w:w w:val="15"/>
                <w:szCs w:val="20"/>
                <w:shd w:val="solid" w:color="000000" w:fill="000000"/>
                <w:fitText w:val="25" w:id="-691350000"/>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0"/>
                <w14:textFill>
                  <w14:solidFill>
                    <w14:srgbClr w14:val="000000">
                      <w14:alpha w14:val="100000"/>
                    </w14:srgbClr>
                  </w14:solidFill>
                </w14:textFill>
              </w:rPr>
              <w:t xml:space="preserve">　</w:t>
            </w:r>
            <w:r w:rsidR="00232358" w:rsidRPr="00232358">
              <w:rPr>
                <w:szCs w:val="20"/>
                <w:vertAlign w:val="superscript"/>
              </w:rPr>
              <w:t>4</w:t>
            </w:r>
          </w:p>
        </w:tc>
        <w:tc>
          <w:tcPr>
            <w:tcW w:w="1186" w:type="dxa"/>
            <w:tcMar>
              <w:left w:w="28" w:type="dxa"/>
              <w:right w:w="28" w:type="dxa"/>
            </w:tcMar>
          </w:tcPr>
          <w:p w14:paraId="5F053613" w14:textId="6A0F0257" w:rsidR="002C435E" w:rsidRPr="00704B78" w:rsidRDefault="002C435E" w:rsidP="006E2A77">
            <w:pPr>
              <w:pStyle w:val="Tabletext0"/>
              <w:keepNext/>
              <w:keepLines/>
              <w:jc w:val="center"/>
            </w:pPr>
            <w:r w:rsidRPr="00704B78">
              <w:t>+</w:t>
            </w:r>
            <w:r w:rsidR="00F555BD" w:rsidRPr="00F555BD">
              <w:rPr>
                <w:rFonts w:hint="eastAsia"/>
                <w:color w:val="000000"/>
                <w:w w:val="25"/>
                <w:shd w:val="solid" w:color="000000" w:fill="000000"/>
                <w:fitText w:val="113" w:id="-691350016"/>
                <w14:textFill>
                  <w14:solidFill>
                    <w14:srgbClr w14:val="000000">
                      <w14:alpha w14:val="100000"/>
                    </w14:srgbClr>
                  </w14:solidFill>
                </w14:textFill>
              </w:rPr>
              <w:t xml:space="preserve">　</w:t>
            </w:r>
            <w:r w:rsidR="00F555BD" w:rsidRPr="00F555BD">
              <w:rPr>
                <w:color w:val="000000"/>
                <w:w w:val="25"/>
                <w:shd w:val="solid" w:color="000000" w:fill="000000"/>
                <w:fitText w:val="113" w:id="-691350016"/>
                <w14:textFill>
                  <w14:solidFill>
                    <w14:srgbClr w14:val="000000">
                      <w14:alpha w14:val="100000"/>
                    </w14:srgbClr>
                  </w14:solidFill>
                </w14:textFill>
              </w:rPr>
              <w:t>|</w:t>
            </w:r>
            <w:r w:rsidR="00F555BD" w:rsidRPr="00F555BD">
              <w:rPr>
                <w:rFonts w:hint="eastAsia"/>
                <w:color w:val="000000"/>
                <w:w w:val="25"/>
                <w:shd w:val="solid" w:color="000000" w:fill="000000"/>
                <w:fitText w:val="113" w:id="-691350016"/>
                <w14:textFill>
                  <w14:solidFill>
                    <w14:srgbClr w14:val="000000">
                      <w14:alpha w14:val="100000"/>
                    </w14:srgbClr>
                  </w14:solidFill>
                </w14:textFill>
              </w:rPr>
              <w:t xml:space="preserve">　</w:t>
            </w:r>
            <w:r w:rsidRPr="00704B78">
              <w:t>%</w:t>
            </w:r>
          </w:p>
        </w:tc>
      </w:tr>
      <w:tr w:rsidR="00790C83" w:rsidRPr="00704B78" w14:paraId="69D2C848" w14:textId="77777777" w:rsidTr="00CC18C2">
        <w:tc>
          <w:tcPr>
            <w:tcW w:w="4323" w:type="dxa"/>
            <w:tcMar>
              <w:top w:w="0" w:type="dxa"/>
              <w:left w:w="28" w:type="dxa"/>
              <w:bottom w:w="0" w:type="dxa"/>
              <w:right w:w="28" w:type="dxa"/>
            </w:tcMar>
          </w:tcPr>
          <w:p w14:paraId="054677C8" w14:textId="77777777" w:rsidR="002C435E" w:rsidRPr="00704B78" w:rsidRDefault="002C435E" w:rsidP="006E2A77">
            <w:pPr>
              <w:pStyle w:val="Tabletext0"/>
              <w:keepNext/>
              <w:keepLines/>
              <w:rPr>
                <w:szCs w:val="20"/>
              </w:rPr>
            </w:pPr>
            <w:r w:rsidRPr="00704B78">
              <w:rPr>
                <w:szCs w:val="20"/>
              </w:rPr>
              <w:t>2 years (consistent with role as bridging therapy)</w:t>
            </w:r>
          </w:p>
        </w:tc>
        <w:tc>
          <w:tcPr>
            <w:tcW w:w="1174" w:type="dxa"/>
            <w:tcMar>
              <w:top w:w="0" w:type="dxa"/>
              <w:left w:w="28" w:type="dxa"/>
              <w:bottom w:w="0" w:type="dxa"/>
              <w:right w:w="28" w:type="dxa"/>
            </w:tcMar>
          </w:tcPr>
          <w:p w14:paraId="7B6DE687" w14:textId="590B234B" w:rsidR="002C435E" w:rsidRPr="00CE7FE0"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4231D60F" w14:textId="77777777" w:rsidR="002C435E" w:rsidRPr="00704B78" w:rsidRDefault="002C435E" w:rsidP="006E2A77">
            <w:pPr>
              <w:pStyle w:val="Tabletext0"/>
              <w:keepNext/>
              <w:keepLines/>
              <w:jc w:val="center"/>
              <w:rPr>
                <w:szCs w:val="20"/>
              </w:rPr>
            </w:pPr>
            <w:r w:rsidRPr="00704B78">
              <w:rPr>
                <w:szCs w:val="20"/>
              </w:rPr>
              <w:t>0.1678</w:t>
            </w:r>
          </w:p>
        </w:tc>
        <w:tc>
          <w:tcPr>
            <w:tcW w:w="1172" w:type="dxa"/>
            <w:tcMar>
              <w:top w:w="0" w:type="dxa"/>
              <w:left w:w="28" w:type="dxa"/>
              <w:bottom w:w="0" w:type="dxa"/>
              <w:right w:w="28" w:type="dxa"/>
            </w:tcMar>
          </w:tcPr>
          <w:p w14:paraId="0CEDD199" w14:textId="6C8F4CE5" w:rsidR="002C435E" w:rsidRPr="00CE7FE0"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15"/>
                <w14:textFill>
                  <w14:solidFill>
                    <w14:srgbClr w14:val="000000">
                      <w14:alpha w14:val="100000"/>
                    </w14:srgbClr>
                  </w14:solidFill>
                </w14:textFill>
              </w:rPr>
              <w:t xml:space="preserve">　</w:t>
            </w:r>
            <w:r w:rsidRPr="00875704">
              <w:rPr>
                <w:color w:val="000000"/>
                <w:w w:val="15"/>
                <w:szCs w:val="20"/>
                <w:shd w:val="solid" w:color="000000" w:fill="000000"/>
                <w:fitText w:val="25" w:id="-691350015"/>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15"/>
                <w14:textFill>
                  <w14:solidFill>
                    <w14:srgbClr w14:val="000000">
                      <w14:alpha w14:val="100000"/>
                    </w14:srgbClr>
                  </w14:solidFill>
                </w14:textFill>
              </w:rPr>
              <w:t xml:space="preserve">　</w:t>
            </w:r>
            <w:r w:rsidR="00384F93" w:rsidRPr="00384F93">
              <w:rPr>
                <w:szCs w:val="20"/>
                <w:vertAlign w:val="superscript"/>
              </w:rPr>
              <w:t>5</w:t>
            </w:r>
          </w:p>
        </w:tc>
        <w:tc>
          <w:tcPr>
            <w:tcW w:w="1186" w:type="dxa"/>
            <w:tcMar>
              <w:left w:w="28" w:type="dxa"/>
              <w:right w:w="28" w:type="dxa"/>
            </w:tcMar>
          </w:tcPr>
          <w:p w14:paraId="1A8E8D63" w14:textId="664AC44C" w:rsidR="002C435E" w:rsidRPr="00704B78" w:rsidRDefault="002C435E" w:rsidP="006E2A77">
            <w:pPr>
              <w:pStyle w:val="Tabletext0"/>
              <w:keepNext/>
              <w:keepLines/>
              <w:jc w:val="center"/>
            </w:pPr>
            <w:r w:rsidRPr="00704B78">
              <w:t>+</w:t>
            </w:r>
            <w:r w:rsidR="00F555BD" w:rsidRPr="00F555BD">
              <w:rPr>
                <w:rFonts w:hint="eastAsia"/>
                <w:color w:val="000000"/>
                <w:w w:val="25"/>
                <w:shd w:val="solid" w:color="000000" w:fill="000000"/>
                <w:fitText w:val="113" w:id="-691350014"/>
                <w14:textFill>
                  <w14:solidFill>
                    <w14:srgbClr w14:val="000000">
                      <w14:alpha w14:val="100000"/>
                    </w14:srgbClr>
                  </w14:solidFill>
                </w14:textFill>
              </w:rPr>
              <w:t xml:space="preserve">　</w:t>
            </w:r>
            <w:r w:rsidR="00F555BD" w:rsidRPr="00F555BD">
              <w:rPr>
                <w:color w:val="000000"/>
                <w:w w:val="25"/>
                <w:shd w:val="solid" w:color="000000" w:fill="000000"/>
                <w:fitText w:val="113" w:id="-691350014"/>
                <w14:textFill>
                  <w14:solidFill>
                    <w14:srgbClr w14:val="000000">
                      <w14:alpha w14:val="100000"/>
                    </w14:srgbClr>
                  </w14:solidFill>
                </w14:textFill>
              </w:rPr>
              <w:t>|</w:t>
            </w:r>
            <w:r w:rsidR="00F555BD" w:rsidRPr="00F555BD">
              <w:rPr>
                <w:rFonts w:hint="eastAsia"/>
                <w:color w:val="000000"/>
                <w:w w:val="25"/>
                <w:shd w:val="solid" w:color="000000" w:fill="000000"/>
                <w:fitText w:val="113" w:id="-691350014"/>
                <w14:textFill>
                  <w14:solidFill>
                    <w14:srgbClr w14:val="000000">
                      <w14:alpha w14:val="100000"/>
                    </w14:srgbClr>
                  </w14:solidFill>
                </w14:textFill>
              </w:rPr>
              <w:t xml:space="preserve">　</w:t>
            </w:r>
            <w:r w:rsidRPr="00704B78">
              <w:t>%</w:t>
            </w:r>
          </w:p>
        </w:tc>
      </w:tr>
      <w:tr w:rsidR="001A0130" w:rsidRPr="00704B78" w14:paraId="45668A94" w14:textId="77777777" w:rsidTr="00CC18C2">
        <w:tc>
          <w:tcPr>
            <w:tcW w:w="9029" w:type="dxa"/>
            <w:gridSpan w:val="5"/>
            <w:tcMar>
              <w:top w:w="0" w:type="dxa"/>
              <w:left w:w="28" w:type="dxa"/>
              <w:bottom w:w="0" w:type="dxa"/>
              <w:right w:w="28" w:type="dxa"/>
            </w:tcMar>
          </w:tcPr>
          <w:p w14:paraId="6F5906CB" w14:textId="77777777" w:rsidR="002C435E" w:rsidRPr="00704B78" w:rsidRDefault="002C435E" w:rsidP="006E2A77">
            <w:pPr>
              <w:pStyle w:val="Tabletext0"/>
              <w:keepNext/>
              <w:keepLines/>
              <w:rPr>
                <w:b/>
                <w:bCs/>
              </w:rPr>
            </w:pPr>
            <w:r w:rsidRPr="00704B78">
              <w:rPr>
                <w:b/>
                <w:bCs/>
              </w:rPr>
              <w:t>Response rates (base case: ravulizumab and placebo response rates based on proportion of patients with a 3-point reduction in MG-ADL scores at 12-weeks in the newly diagnosed subgroup from the CHAMPION-MG trial; response rates for other therapies based on published data using MGFA-PIS outcomes)</w:t>
            </w:r>
          </w:p>
        </w:tc>
      </w:tr>
      <w:tr w:rsidR="00010575" w:rsidRPr="00704B78" w14:paraId="25D23618" w14:textId="77777777" w:rsidTr="00CC18C2">
        <w:tc>
          <w:tcPr>
            <w:tcW w:w="4323" w:type="dxa"/>
            <w:tcMar>
              <w:top w:w="0" w:type="dxa"/>
              <w:left w:w="28" w:type="dxa"/>
              <w:bottom w:w="0" w:type="dxa"/>
              <w:right w:w="28" w:type="dxa"/>
            </w:tcMar>
          </w:tcPr>
          <w:p w14:paraId="09DF2F9A" w14:textId="77777777" w:rsidR="002C435E" w:rsidRPr="00704B78" w:rsidRDefault="002C435E" w:rsidP="006E2A77">
            <w:pPr>
              <w:pStyle w:val="Tabletext0"/>
              <w:keepNext/>
              <w:keepLines/>
              <w:rPr>
                <w:szCs w:val="20"/>
              </w:rPr>
            </w:pPr>
            <w:r w:rsidRPr="00704B78">
              <w:rPr>
                <w:szCs w:val="20"/>
              </w:rPr>
              <w:t>Ravulizumab and placebo response rates based on the overall population at 12 weeks in the CHAMPION-MG trial</w:t>
            </w:r>
          </w:p>
        </w:tc>
        <w:tc>
          <w:tcPr>
            <w:tcW w:w="1174" w:type="dxa"/>
            <w:tcMar>
              <w:top w:w="0" w:type="dxa"/>
              <w:left w:w="28" w:type="dxa"/>
              <w:bottom w:w="0" w:type="dxa"/>
              <w:right w:w="28" w:type="dxa"/>
            </w:tcMar>
            <w:vAlign w:val="center"/>
          </w:tcPr>
          <w:p w14:paraId="5231E6A2" w14:textId="58B8B89B" w:rsidR="002C435E" w:rsidRPr="00704B78" w:rsidRDefault="00F555BD" w:rsidP="006E2A77">
            <w:pPr>
              <w:pStyle w:val="Tabletext0"/>
              <w:keepNext/>
              <w:keepLines/>
              <w:jc w:val="center"/>
              <w:rPr>
                <w:szCs w:val="20"/>
              </w:rPr>
            </w:pPr>
            <w:r w:rsidRPr="00F555BD">
              <w:rPr>
                <w:color w:val="000000"/>
                <w:szCs w:val="20"/>
                <w:shd w:val="solid" w:color="000000" w:fill="000000"/>
                <w14:textFill>
                  <w14:solidFill>
                    <w14:srgbClr w14:val="000000">
                      <w14:alpha w14:val="100000"/>
                    </w14:srgbClr>
                  </w14:solidFill>
                </w14:textFill>
              </w:rPr>
              <w:t>|</w:t>
            </w:r>
            <w:r w:rsidR="002064FB">
              <w:rPr>
                <w:szCs w:val="20"/>
              </w:rPr>
              <w:t xml:space="preserve"> </w:t>
            </w:r>
          </w:p>
        </w:tc>
        <w:tc>
          <w:tcPr>
            <w:tcW w:w="1174" w:type="dxa"/>
            <w:tcMar>
              <w:top w:w="0" w:type="dxa"/>
              <w:left w:w="28" w:type="dxa"/>
              <w:bottom w:w="0" w:type="dxa"/>
              <w:right w:w="28" w:type="dxa"/>
            </w:tcMar>
            <w:vAlign w:val="center"/>
          </w:tcPr>
          <w:p w14:paraId="5F69BDD3" w14:textId="77777777" w:rsidR="002C435E" w:rsidRPr="00704B78" w:rsidRDefault="002C435E" w:rsidP="006E2A77">
            <w:pPr>
              <w:pStyle w:val="Tabletext0"/>
              <w:keepNext/>
              <w:keepLines/>
              <w:jc w:val="center"/>
              <w:rPr>
                <w:szCs w:val="20"/>
              </w:rPr>
            </w:pPr>
            <w:r w:rsidRPr="00704B78">
              <w:rPr>
                <w:szCs w:val="20"/>
              </w:rPr>
              <w:t>0.4957</w:t>
            </w:r>
          </w:p>
        </w:tc>
        <w:tc>
          <w:tcPr>
            <w:tcW w:w="1172" w:type="dxa"/>
            <w:tcMar>
              <w:top w:w="0" w:type="dxa"/>
              <w:left w:w="28" w:type="dxa"/>
              <w:bottom w:w="0" w:type="dxa"/>
              <w:right w:w="28" w:type="dxa"/>
            </w:tcMar>
            <w:vAlign w:val="center"/>
          </w:tcPr>
          <w:p w14:paraId="76A433D9" w14:textId="57CD44AD" w:rsidR="002C435E" w:rsidRPr="00704B78" w:rsidRDefault="00F555BD" w:rsidP="006E2A77">
            <w:pPr>
              <w:pStyle w:val="Tabletext0"/>
              <w:keepNext/>
              <w:keepLines/>
              <w:jc w:val="center"/>
              <w:rPr>
                <w:szCs w:val="20"/>
              </w:rPr>
            </w:pPr>
            <w:r w:rsidRPr="00875704">
              <w:rPr>
                <w:rFonts w:hint="eastAsia"/>
                <w:color w:val="000000"/>
                <w:w w:val="15"/>
                <w:szCs w:val="20"/>
                <w:shd w:val="solid" w:color="000000" w:fill="000000"/>
                <w:fitText w:val="25" w:id="-691350013"/>
                <w14:textFill>
                  <w14:solidFill>
                    <w14:srgbClr w14:val="000000">
                      <w14:alpha w14:val="100000"/>
                    </w14:srgbClr>
                  </w14:solidFill>
                </w14:textFill>
              </w:rPr>
              <w:t xml:space="preserve">　</w:t>
            </w:r>
            <w:r w:rsidRPr="00875704">
              <w:rPr>
                <w:color w:val="000000"/>
                <w:w w:val="15"/>
                <w:szCs w:val="20"/>
                <w:shd w:val="solid" w:color="000000" w:fill="000000"/>
                <w:fitText w:val="25" w:id="-691350013"/>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13"/>
                <w14:textFill>
                  <w14:solidFill>
                    <w14:srgbClr w14:val="000000">
                      <w14:alpha w14:val="100000"/>
                    </w14:srgbClr>
                  </w14:solidFill>
                </w14:textFill>
              </w:rPr>
              <w:t xml:space="preserve">　</w:t>
            </w:r>
            <w:r w:rsidR="00232358" w:rsidRPr="004C1AF0">
              <w:rPr>
                <w:szCs w:val="20"/>
                <w:vertAlign w:val="superscript"/>
              </w:rPr>
              <w:t>3</w:t>
            </w:r>
          </w:p>
        </w:tc>
        <w:tc>
          <w:tcPr>
            <w:tcW w:w="1186" w:type="dxa"/>
            <w:tcMar>
              <w:left w:w="28" w:type="dxa"/>
              <w:right w:w="28" w:type="dxa"/>
            </w:tcMar>
            <w:vAlign w:val="center"/>
          </w:tcPr>
          <w:p w14:paraId="1465F0C3" w14:textId="2E9C9A3C" w:rsidR="002C435E" w:rsidRPr="00704B78" w:rsidRDefault="002C435E" w:rsidP="006E2A77">
            <w:pPr>
              <w:pStyle w:val="Tabletext0"/>
              <w:keepNext/>
              <w:keepLines/>
              <w:jc w:val="center"/>
            </w:pPr>
            <w:r w:rsidRPr="00704B78">
              <w:t>+</w:t>
            </w:r>
            <w:r w:rsidR="00F555BD" w:rsidRPr="00F555BD">
              <w:rPr>
                <w:rFonts w:hint="eastAsia"/>
                <w:color w:val="000000"/>
                <w:w w:val="25"/>
                <w:shd w:val="solid" w:color="000000" w:fill="000000"/>
                <w:fitText w:val="113" w:id="-691350012"/>
                <w14:textFill>
                  <w14:solidFill>
                    <w14:srgbClr w14:val="000000">
                      <w14:alpha w14:val="100000"/>
                    </w14:srgbClr>
                  </w14:solidFill>
                </w14:textFill>
              </w:rPr>
              <w:t xml:space="preserve">　</w:t>
            </w:r>
            <w:r w:rsidR="00F555BD" w:rsidRPr="00F555BD">
              <w:rPr>
                <w:color w:val="000000"/>
                <w:w w:val="25"/>
                <w:shd w:val="solid" w:color="000000" w:fill="000000"/>
                <w:fitText w:val="113" w:id="-691350012"/>
                <w14:textFill>
                  <w14:solidFill>
                    <w14:srgbClr w14:val="000000">
                      <w14:alpha w14:val="100000"/>
                    </w14:srgbClr>
                  </w14:solidFill>
                </w14:textFill>
              </w:rPr>
              <w:t>|</w:t>
            </w:r>
            <w:r w:rsidR="00F555BD" w:rsidRPr="00F555BD">
              <w:rPr>
                <w:rFonts w:hint="eastAsia"/>
                <w:color w:val="000000"/>
                <w:w w:val="25"/>
                <w:shd w:val="solid" w:color="000000" w:fill="000000"/>
                <w:fitText w:val="113" w:id="-691350012"/>
                <w14:textFill>
                  <w14:solidFill>
                    <w14:srgbClr w14:val="000000">
                      <w14:alpha w14:val="100000"/>
                    </w14:srgbClr>
                  </w14:solidFill>
                </w14:textFill>
              </w:rPr>
              <w:t xml:space="preserve">　</w:t>
            </w:r>
            <w:r w:rsidRPr="00704B78">
              <w:t>%</w:t>
            </w:r>
          </w:p>
        </w:tc>
      </w:tr>
      <w:tr w:rsidR="002E5080" w:rsidRPr="00704B78" w14:paraId="0D5E61F3" w14:textId="77777777" w:rsidTr="00CC18C2">
        <w:tc>
          <w:tcPr>
            <w:tcW w:w="9029" w:type="dxa"/>
            <w:gridSpan w:val="5"/>
            <w:tcMar>
              <w:top w:w="0" w:type="dxa"/>
              <w:left w:w="28" w:type="dxa"/>
              <w:bottom w:w="0" w:type="dxa"/>
              <w:right w:w="28" w:type="dxa"/>
            </w:tcMar>
            <w:vAlign w:val="center"/>
          </w:tcPr>
          <w:p w14:paraId="12EF9CC8" w14:textId="77777777" w:rsidR="002C435E" w:rsidRPr="00704B78" w:rsidRDefault="002C435E" w:rsidP="006E2A77">
            <w:pPr>
              <w:pStyle w:val="Tabletext0"/>
              <w:keepNext/>
              <w:keepLines/>
              <w:rPr>
                <w:b/>
                <w:bCs/>
                <w:szCs w:val="20"/>
              </w:rPr>
            </w:pPr>
            <w:r w:rsidRPr="00704B78">
              <w:rPr>
                <w:b/>
                <w:bCs/>
                <w:szCs w:val="20"/>
              </w:rPr>
              <w:t>Loss of response (base case: 12.08% per cycle in the placebo arm [assumption] in first 2 years and 0.34% per cycle in both arms for patients who achieved a pharmacological remission at 2 years)</w:t>
            </w:r>
          </w:p>
        </w:tc>
      </w:tr>
      <w:tr w:rsidR="00010575" w:rsidRPr="00704B78" w14:paraId="7EED97CC" w14:textId="77777777" w:rsidTr="00CC18C2">
        <w:tc>
          <w:tcPr>
            <w:tcW w:w="4323" w:type="dxa"/>
            <w:tcMar>
              <w:top w:w="0" w:type="dxa"/>
              <w:left w:w="28" w:type="dxa"/>
              <w:bottom w:w="0" w:type="dxa"/>
              <w:right w:w="28" w:type="dxa"/>
            </w:tcMar>
            <w:vAlign w:val="center"/>
          </w:tcPr>
          <w:p w14:paraId="78E07114" w14:textId="77777777" w:rsidR="002C435E" w:rsidRPr="00704B78" w:rsidRDefault="002C435E" w:rsidP="006E2A77">
            <w:pPr>
              <w:pStyle w:val="Tabletext0"/>
              <w:keepNext/>
              <w:keepLines/>
              <w:rPr>
                <w:szCs w:val="20"/>
              </w:rPr>
            </w:pPr>
            <w:r w:rsidRPr="00704B78">
              <w:rPr>
                <w:szCs w:val="20"/>
              </w:rPr>
              <w:t>Double placebo loss of response in first 2 years</w:t>
            </w:r>
          </w:p>
        </w:tc>
        <w:tc>
          <w:tcPr>
            <w:tcW w:w="1174" w:type="dxa"/>
            <w:tcMar>
              <w:top w:w="0" w:type="dxa"/>
              <w:left w:w="28" w:type="dxa"/>
              <w:bottom w:w="0" w:type="dxa"/>
              <w:right w:w="28" w:type="dxa"/>
            </w:tcMar>
            <w:vAlign w:val="center"/>
          </w:tcPr>
          <w:p w14:paraId="555F093F" w14:textId="4EF25E9E"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39F28ED4" w14:textId="77777777" w:rsidR="002C435E" w:rsidRPr="00704B78" w:rsidRDefault="002C435E" w:rsidP="006E2A77">
            <w:pPr>
              <w:pStyle w:val="Tabletext0"/>
              <w:keepNext/>
              <w:keepLines/>
              <w:jc w:val="center"/>
              <w:rPr>
                <w:szCs w:val="20"/>
              </w:rPr>
            </w:pPr>
            <w:r w:rsidRPr="00704B78">
              <w:rPr>
                <w:szCs w:val="20"/>
              </w:rPr>
              <w:t>1.1381</w:t>
            </w:r>
          </w:p>
        </w:tc>
        <w:tc>
          <w:tcPr>
            <w:tcW w:w="1172" w:type="dxa"/>
            <w:tcMar>
              <w:top w:w="0" w:type="dxa"/>
              <w:left w:w="28" w:type="dxa"/>
              <w:bottom w:w="0" w:type="dxa"/>
              <w:right w:w="28" w:type="dxa"/>
            </w:tcMar>
            <w:vAlign w:val="center"/>
          </w:tcPr>
          <w:p w14:paraId="295E25CC" w14:textId="540CDAB8"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11"/>
                <w14:textFill>
                  <w14:solidFill>
                    <w14:srgbClr w14:val="000000">
                      <w14:alpha w14:val="100000"/>
                    </w14:srgbClr>
                  </w14:solidFill>
                </w14:textFill>
              </w:rPr>
              <w:t xml:space="preserve">　</w:t>
            </w:r>
            <w:r w:rsidRPr="00875704">
              <w:rPr>
                <w:color w:val="000000"/>
                <w:w w:val="15"/>
                <w:szCs w:val="20"/>
                <w:shd w:val="solid" w:color="000000" w:fill="000000"/>
                <w:fitText w:val="25" w:id="-691350011"/>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11"/>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vAlign w:val="center"/>
          </w:tcPr>
          <w:p w14:paraId="1BDCC13A" w14:textId="2B26D281"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50010"/>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50010"/>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50010"/>
                <w14:textFill>
                  <w14:solidFill>
                    <w14:srgbClr w14:val="000000">
                      <w14:alpha w14:val="100000"/>
                    </w14:srgbClr>
                  </w14:solidFill>
                </w14:textFill>
              </w:rPr>
              <w:t xml:space="preserve">　</w:t>
            </w:r>
            <w:r w:rsidRPr="00704B78">
              <w:rPr>
                <w:szCs w:val="20"/>
              </w:rPr>
              <w:t>%</w:t>
            </w:r>
          </w:p>
        </w:tc>
      </w:tr>
      <w:tr w:rsidR="00010575" w:rsidRPr="00704B78" w14:paraId="3D02845D" w14:textId="77777777" w:rsidTr="00CC18C2">
        <w:tc>
          <w:tcPr>
            <w:tcW w:w="4323" w:type="dxa"/>
            <w:tcMar>
              <w:top w:w="0" w:type="dxa"/>
              <w:left w:w="28" w:type="dxa"/>
              <w:bottom w:w="0" w:type="dxa"/>
              <w:right w:w="28" w:type="dxa"/>
            </w:tcMar>
            <w:vAlign w:val="center"/>
          </w:tcPr>
          <w:p w14:paraId="7BE5631E" w14:textId="77777777" w:rsidR="002C435E" w:rsidRPr="00704B78" w:rsidRDefault="002C435E" w:rsidP="006E2A77">
            <w:pPr>
              <w:pStyle w:val="Tabletext0"/>
              <w:keepNext/>
              <w:keepLines/>
              <w:rPr>
                <w:szCs w:val="20"/>
              </w:rPr>
            </w:pPr>
            <w:r w:rsidRPr="00704B78">
              <w:rPr>
                <w:szCs w:val="20"/>
              </w:rPr>
              <w:t>Halve placebo loss of response in first 2 years</w:t>
            </w:r>
          </w:p>
        </w:tc>
        <w:tc>
          <w:tcPr>
            <w:tcW w:w="1174" w:type="dxa"/>
            <w:tcMar>
              <w:top w:w="0" w:type="dxa"/>
              <w:left w:w="28" w:type="dxa"/>
              <w:bottom w:w="0" w:type="dxa"/>
              <w:right w:w="28" w:type="dxa"/>
            </w:tcMar>
            <w:vAlign w:val="center"/>
          </w:tcPr>
          <w:p w14:paraId="2A187966" w14:textId="0F1265B9"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07F60F81" w14:textId="77777777" w:rsidR="002C435E" w:rsidRPr="00704B78" w:rsidRDefault="002C435E" w:rsidP="006E2A77">
            <w:pPr>
              <w:pStyle w:val="Tabletext0"/>
              <w:keepNext/>
              <w:keepLines/>
              <w:jc w:val="center"/>
              <w:rPr>
                <w:szCs w:val="20"/>
              </w:rPr>
            </w:pPr>
            <w:r w:rsidRPr="00704B78">
              <w:rPr>
                <w:szCs w:val="20"/>
              </w:rPr>
              <w:t>0.8374</w:t>
            </w:r>
          </w:p>
        </w:tc>
        <w:tc>
          <w:tcPr>
            <w:tcW w:w="1172" w:type="dxa"/>
            <w:tcMar>
              <w:top w:w="0" w:type="dxa"/>
              <w:left w:w="28" w:type="dxa"/>
              <w:bottom w:w="0" w:type="dxa"/>
              <w:right w:w="28" w:type="dxa"/>
            </w:tcMar>
            <w:vAlign w:val="center"/>
          </w:tcPr>
          <w:p w14:paraId="05BD8C5A" w14:textId="0E82BD28"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9"/>
                <w14:textFill>
                  <w14:solidFill>
                    <w14:srgbClr w14:val="000000">
                      <w14:alpha w14:val="100000"/>
                    </w14:srgbClr>
                  </w14:solidFill>
                </w14:textFill>
              </w:rPr>
              <w:t xml:space="preserve">　</w:t>
            </w:r>
            <w:r w:rsidRPr="00875704">
              <w:rPr>
                <w:color w:val="000000"/>
                <w:w w:val="15"/>
                <w:szCs w:val="20"/>
                <w:shd w:val="solid" w:color="000000" w:fill="000000"/>
                <w:fitText w:val="25" w:id="-691350009"/>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9"/>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vAlign w:val="center"/>
          </w:tcPr>
          <w:p w14:paraId="53BE0CEB" w14:textId="7778E448"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50008"/>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50008"/>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50008"/>
                <w14:textFill>
                  <w14:solidFill>
                    <w14:srgbClr w14:val="000000">
                      <w14:alpha w14:val="100000"/>
                    </w14:srgbClr>
                  </w14:solidFill>
                </w14:textFill>
              </w:rPr>
              <w:t xml:space="preserve">　</w:t>
            </w:r>
            <w:r w:rsidRPr="00704B78">
              <w:rPr>
                <w:szCs w:val="20"/>
              </w:rPr>
              <w:t>%</w:t>
            </w:r>
          </w:p>
        </w:tc>
      </w:tr>
      <w:tr w:rsidR="001A0130" w:rsidRPr="00704B78" w14:paraId="518EFC30" w14:textId="77777777" w:rsidTr="00CC18C2">
        <w:tc>
          <w:tcPr>
            <w:tcW w:w="9029" w:type="dxa"/>
            <w:gridSpan w:val="5"/>
            <w:tcMar>
              <w:top w:w="0" w:type="dxa"/>
              <w:left w:w="28" w:type="dxa"/>
              <w:bottom w:w="0" w:type="dxa"/>
              <w:right w:w="28" w:type="dxa"/>
            </w:tcMar>
          </w:tcPr>
          <w:p w14:paraId="50F13BC6" w14:textId="77777777" w:rsidR="002C435E" w:rsidRPr="00704B78" w:rsidRDefault="002C435E" w:rsidP="006E2A77">
            <w:pPr>
              <w:pStyle w:val="Tabletext0"/>
              <w:keepNext/>
              <w:keepLines/>
              <w:rPr>
                <w:b/>
                <w:bCs/>
                <w:szCs w:val="20"/>
              </w:rPr>
            </w:pPr>
            <w:r w:rsidRPr="00704B78">
              <w:rPr>
                <w:b/>
                <w:bCs/>
                <w:szCs w:val="20"/>
              </w:rPr>
              <w:t>Events (base case: exacerbation and myasthenic crisis risk based on post hoc analysis of CHAMPION-MG trial and extension; adverse event risk for ravulizumab and placebo based on the CHAMPION-MG trial adverse events; risk for other therapies based on published sources)</w:t>
            </w:r>
          </w:p>
        </w:tc>
      </w:tr>
      <w:tr w:rsidR="00010575" w:rsidRPr="00704B78" w14:paraId="6C548A2C" w14:textId="77777777" w:rsidTr="00CC18C2">
        <w:tc>
          <w:tcPr>
            <w:tcW w:w="4323" w:type="dxa"/>
            <w:tcMar>
              <w:top w:w="0" w:type="dxa"/>
              <w:left w:w="28" w:type="dxa"/>
              <w:bottom w:w="0" w:type="dxa"/>
              <w:right w:w="28" w:type="dxa"/>
            </w:tcMar>
          </w:tcPr>
          <w:p w14:paraId="1EC2EBF5" w14:textId="77777777" w:rsidR="002C435E" w:rsidRPr="00704B78" w:rsidRDefault="002C435E" w:rsidP="006E2A77">
            <w:pPr>
              <w:pStyle w:val="Tabletext0"/>
              <w:keepNext/>
              <w:keepLines/>
              <w:rPr>
                <w:szCs w:val="20"/>
              </w:rPr>
            </w:pPr>
            <w:r w:rsidRPr="00704B78">
              <w:rPr>
                <w:szCs w:val="20"/>
              </w:rPr>
              <w:t>Increase exacerbation risk by 50%</w:t>
            </w:r>
          </w:p>
        </w:tc>
        <w:tc>
          <w:tcPr>
            <w:tcW w:w="1174" w:type="dxa"/>
            <w:tcMar>
              <w:top w:w="0" w:type="dxa"/>
              <w:left w:w="28" w:type="dxa"/>
              <w:bottom w:w="0" w:type="dxa"/>
              <w:right w:w="28" w:type="dxa"/>
            </w:tcMar>
            <w:vAlign w:val="center"/>
          </w:tcPr>
          <w:p w14:paraId="36E2CA4E" w14:textId="620F0E52"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3577E3EF" w14:textId="77777777" w:rsidR="002C435E" w:rsidRPr="00704B78" w:rsidRDefault="002C435E" w:rsidP="006E2A77">
            <w:pPr>
              <w:pStyle w:val="Tabletext0"/>
              <w:keepNext/>
              <w:keepLines/>
              <w:jc w:val="center"/>
              <w:rPr>
                <w:szCs w:val="20"/>
              </w:rPr>
            </w:pPr>
            <w:r w:rsidRPr="00704B78">
              <w:rPr>
                <w:szCs w:val="20"/>
              </w:rPr>
              <w:t>0.9729</w:t>
            </w:r>
          </w:p>
        </w:tc>
        <w:tc>
          <w:tcPr>
            <w:tcW w:w="1172" w:type="dxa"/>
            <w:tcMar>
              <w:top w:w="0" w:type="dxa"/>
              <w:left w:w="28" w:type="dxa"/>
              <w:bottom w:w="0" w:type="dxa"/>
              <w:right w:w="28" w:type="dxa"/>
            </w:tcMar>
            <w:vAlign w:val="center"/>
          </w:tcPr>
          <w:p w14:paraId="53701A3F" w14:textId="66BF1F0E"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7"/>
                <w14:textFill>
                  <w14:solidFill>
                    <w14:srgbClr w14:val="000000">
                      <w14:alpha w14:val="100000"/>
                    </w14:srgbClr>
                  </w14:solidFill>
                </w14:textFill>
              </w:rPr>
              <w:t xml:space="preserve">　</w:t>
            </w:r>
            <w:r w:rsidRPr="00875704">
              <w:rPr>
                <w:color w:val="000000"/>
                <w:w w:val="15"/>
                <w:szCs w:val="20"/>
                <w:shd w:val="solid" w:color="000000" w:fill="000000"/>
                <w:fitText w:val="25" w:id="-691350007"/>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7"/>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vAlign w:val="center"/>
          </w:tcPr>
          <w:p w14:paraId="0EABB53C" w14:textId="172111C9"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50006"/>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50006"/>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50006"/>
                <w14:textFill>
                  <w14:solidFill>
                    <w14:srgbClr w14:val="000000">
                      <w14:alpha w14:val="100000"/>
                    </w14:srgbClr>
                  </w14:solidFill>
                </w14:textFill>
              </w:rPr>
              <w:t xml:space="preserve">　</w:t>
            </w:r>
            <w:r w:rsidRPr="00704B78">
              <w:rPr>
                <w:szCs w:val="20"/>
              </w:rPr>
              <w:t>%</w:t>
            </w:r>
          </w:p>
        </w:tc>
      </w:tr>
      <w:tr w:rsidR="00010575" w:rsidRPr="00704B78" w14:paraId="1BFB0B48" w14:textId="77777777" w:rsidTr="00CC18C2">
        <w:tc>
          <w:tcPr>
            <w:tcW w:w="4323" w:type="dxa"/>
            <w:tcMar>
              <w:top w:w="0" w:type="dxa"/>
              <w:left w:w="28" w:type="dxa"/>
              <w:bottom w:w="0" w:type="dxa"/>
              <w:right w:w="28" w:type="dxa"/>
            </w:tcMar>
          </w:tcPr>
          <w:p w14:paraId="6C4BDEFC" w14:textId="77777777" w:rsidR="002C435E" w:rsidRPr="00704B78" w:rsidRDefault="002C435E" w:rsidP="006E2A77">
            <w:pPr>
              <w:pStyle w:val="Tabletext0"/>
              <w:keepNext/>
              <w:keepLines/>
              <w:rPr>
                <w:szCs w:val="20"/>
              </w:rPr>
            </w:pPr>
            <w:r w:rsidRPr="00704B78">
              <w:rPr>
                <w:szCs w:val="20"/>
              </w:rPr>
              <w:t>Decrease exacerbation risk by 50%</w:t>
            </w:r>
          </w:p>
        </w:tc>
        <w:tc>
          <w:tcPr>
            <w:tcW w:w="1174" w:type="dxa"/>
            <w:tcMar>
              <w:top w:w="0" w:type="dxa"/>
              <w:left w:w="28" w:type="dxa"/>
              <w:bottom w:w="0" w:type="dxa"/>
              <w:right w:w="28" w:type="dxa"/>
            </w:tcMar>
            <w:vAlign w:val="center"/>
          </w:tcPr>
          <w:p w14:paraId="35B65BAA" w14:textId="6D400FA4"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2FE754D0" w14:textId="77777777" w:rsidR="002C435E" w:rsidRPr="00704B78" w:rsidRDefault="002C435E" w:rsidP="006E2A77">
            <w:pPr>
              <w:pStyle w:val="Tabletext0"/>
              <w:keepNext/>
              <w:keepLines/>
              <w:jc w:val="center"/>
              <w:rPr>
                <w:szCs w:val="20"/>
              </w:rPr>
            </w:pPr>
            <w:r w:rsidRPr="00704B78">
              <w:rPr>
                <w:szCs w:val="20"/>
              </w:rPr>
              <w:t>0.9715</w:t>
            </w:r>
          </w:p>
        </w:tc>
        <w:tc>
          <w:tcPr>
            <w:tcW w:w="1172" w:type="dxa"/>
            <w:tcMar>
              <w:top w:w="0" w:type="dxa"/>
              <w:left w:w="28" w:type="dxa"/>
              <w:bottom w:w="0" w:type="dxa"/>
              <w:right w:w="28" w:type="dxa"/>
            </w:tcMar>
            <w:vAlign w:val="center"/>
          </w:tcPr>
          <w:p w14:paraId="58AD710C" w14:textId="11624F0C"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50005"/>
                <w14:textFill>
                  <w14:solidFill>
                    <w14:srgbClr w14:val="000000">
                      <w14:alpha w14:val="100000"/>
                    </w14:srgbClr>
                  </w14:solidFill>
                </w14:textFill>
              </w:rPr>
              <w:t xml:space="preserve">　</w:t>
            </w:r>
            <w:r w:rsidRPr="00875704">
              <w:rPr>
                <w:color w:val="000000"/>
                <w:w w:val="15"/>
                <w:szCs w:val="20"/>
                <w:shd w:val="solid" w:color="000000" w:fill="000000"/>
                <w:fitText w:val="25" w:id="-691350005"/>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50005"/>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vAlign w:val="center"/>
          </w:tcPr>
          <w:p w14:paraId="10D6D020" w14:textId="5E7D4FE3"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50004"/>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50004"/>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50004"/>
                <w14:textFill>
                  <w14:solidFill>
                    <w14:srgbClr w14:val="000000">
                      <w14:alpha w14:val="100000"/>
                    </w14:srgbClr>
                  </w14:solidFill>
                </w14:textFill>
              </w:rPr>
              <w:t xml:space="preserve">　</w:t>
            </w:r>
            <w:r w:rsidRPr="00704B78">
              <w:rPr>
                <w:szCs w:val="20"/>
              </w:rPr>
              <w:t>%</w:t>
            </w:r>
          </w:p>
        </w:tc>
      </w:tr>
      <w:tr w:rsidR="001A0130" w:rsidRPr="00704B78" w14:paraId="3916FB6B" w14:textId="77777777" w:rsidTr="00CC18C2">
        <w:tc>
          <w:tcPr>
            <w:tcW w:w="9029" w:type="dxa"/>
            <w:gridSpan w:val="5"/>
            <w:tcMar>
              <w:top w:w="0" w:type="dxa"/>
              <w:left w:w="28" w:type="dxa"/>
              <w:bottom w:w="0" w:type="dxa"/>
              <w:right w:w="28" w:type="dxa"/>
            </w:tcMar>
          </w:tcPr>
          <w:p w14:paraId="7828321A" w14:textId="77777777" w:rsidR="002C435E" w:rsidRPr="00704B78" w:rsidRDefault="002C435E" w:rsidP="006E2A77">
            <w:pPr>
              <w:pStyle w:val="Tabletext0"/>
              <w:keepNext/>
              <w:keepLines/>
              <w:rPr>
                <w:b/>
                <w:bCs/>
                <w:szCs w:val="20"/>
              </w:rPr>
            </w:pPr>
            <w:r w:rsidRPr="00704B78">
              <w:rPr>
                <w:b/>
                <w:bCs/>
                <w:szCs w:val="20"/>
              </w:rPr>
              <w:t>Utility values (base case: first-line treatment initiator utility values based on baseline EQ-5D-5L scores from the newly diagnosed subgroup in the CHAMPION-MG trial, first-line treatment responder and non-responder utility values for each treatment arm based on change in EQ-5D-5L at Week 12 using an MMRM analysis in the newly diagnosed subgroup in the CHAMPION-MG trial; subsequent-line responder utility values assumed to be the same as mild disease and subsequent-line non-responder utility values assumed to be the same as moderate disease)</w:t>
            </w:r>
          </w:p>
        </w:tc>
      </w:tr>
      <w:tr w:rsidR="00010575" w:rsidRPr="00704B78" w14:paraId="5D8C08A8" w14:textId="77777777" w:rsidTr="00CC18C2">
        <w:tc>
          <w:tcPr>
            <w:tcW w:w="4323" w:type="dxa"/>
            <w:tcMar>
              <w:top w:w="0" w:type="dxa"/>
              <w:left w:w="28" w:type="dxa"/>
              <w:bottom w:w="0" w:type="dxa"/>
              <w:right w:w="28" w:type="dxa"/>
            </w:tcMar>
          </w:tcPr>
          <w:p w14:paraId="41B807F8" w14:textId="77777777" w:rsidR="002C435E" w:rsidRPr="00704B78" w:rsidRDefault="002C435E" w:rsidP="006E2A77">
            <w:pPr>
              <w:pStyle w:val="Tabletext0"/>
              <w:keepNext/>
              <w:keepLines/>
              <w:rPr>
                <w:szCs w:val="20"/>
              </w:rPr>
            </w:pPr>
            <w:r w:rsidRPr="00704B78">
              <w:rPr>
                <w:szCs w:val="20"/>
              </w:rPr>
              <w:t>Treatment initiator utility increased by 5% (0.746)</w:t>
            </w:r>
          </w:p>
        </w:tc>
        <w:tc>
          <w:tcPr>
            <w:tcW w:w="1174" w:type="dxa"/>
            <w:tcMar>
              <w:top w:w="0" w:type="dxa"/>
              <w:left w:w="28" w:type="dxa"/>
              <w:bottom w:w="0" w:type="dxa"/>
              <w:right w:w="28" w:type="dxa"/>
            </w:tcMar>
            <w:vAlign w:val="center"/>
          </w:tcPr>
          <w:p w14:paraId="4C16959A" w14:textId="24AB799D"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19760CFD" w14:textId="77777777" w:rsidR="002C435E" w:rsidRPr="00704B78" w:rsidRDefault="002C435E" w:rsidP="006E2A77">
            <w:pPr>
              <w:pStyle w:val="Tabletext0"/>
              <w:keepNext/>
              <w:keepLines/>
              <w:jc w:val="center"/>
              <w:rPr>
                <w:szCs w:val="20"/>
              </w:rPr>
            </w:pPr>
            <w:r w:rsidRPr="00704B78">
              <w:rPr>
                <w:szCs w:val="20"/>
              </w:rPr>
              <w:t>1.1337</w:t>
            </w:r>
          </w:p>
        </w:tc>
        <w:tc>
          <w:tcPr>
            <w:tcW w:w="1172" w:type="dxa"/>
            <w:tcMar>
              <w:top w:w="0" w:type="dxa"/>
              <w:left w:w="28" w:type="dxa"/>
              <w:bottom w:w="0" w:type="dxa"/>
              <w:right w:w="28" w:type="dxa"/>
            </w:tcMar>
            <w:vAlign w:val="center"/>
          </w:tcPr>
          <w:p w14:paraId="60DD09CB" w14:textId="62FA3E7D"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60"/>
                <w14:textFill>
                  <w14:solidFill>
                    <w14:srgbClr w14:val="000000">
                      <w14:alpha w14:val="100000"/>
                    </w14:srgbClr>
                  </w14:solidFill>
                </w14:textFill>
              </w:rPr>
              <w:t xml:space="preserve">　</w:t>
            </w:r>
            <w:r w:rsidRPr="00875704">
              <w:rPr>
                <w:color w:val="000000"/>
                <w:w w:val="15"/>
                <w:szCs w:val="20"/>
                <w:shd w:val="solid" w:color="000000" w:fill="000000"/>
                <w:fitText w:val="25" w:id="-691349760"/>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60"/>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vAlign w:val="center"/>
          </w:tcPr>
          <w:p w14:paraId="1ACDA051" w14:textId="57CD7199"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59"/>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59"/>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59"/>
                <w14:textFill>
                  <w14:solidFill>
                    <w14:srgbClr w14:val="000000">
                      <w14:alpha w14:val="100000"/>
                    </w14:srgbClr>
                  </w14:solidFill>
                </w14:textFill>
              </w:rPr>
              <w:t xml:space="preserve">　</w:t>
            </w:r>
            <w:r w:rsidRPr="00704B78">
              <w:rPr>
                <w:szCs w:val="20"/>
              </w:rPr>
              <w:t>%</w:t>
            </w:r>
          </w:p>
        </w:tc>
      </w:tr>
      <w:tr w:rsidR="00010575" w:rsidRPr="00704B78" w14:paraId="4199234D" w14:textId="77777777" w:rsidTr="00CC18C2">
        <w:tc>
          <w:tcPr>
            <w:tcW w:w="4323" w:type="dxa"/>
            <w:tcMar>
              <w:top w:w="0" w:type="dxa"/>
              <w:left w:w="28" w:type="dxa"/>
              <w:bottom w:w="0" w:type="dxa"/>
              <w:right w:w="28" w:type="dxa"/>
            </w:tcMar>
          </w:tcPr>
          <w:p w14:paraId="60350EF0" w14:textId="77777777" w:rsidR="002C435E" w:rsidRPr="00704B78" w:rsidRDefault="002C435E" w:rsidP="006E2A77">
            <w:pPr>
              <w:pStyle w:val="Tabletext0"/>
              <w:keepNext/>
              <w:keepLines/>
              <w:rPr>
                <w:szCs w:val="20"/>
              </w:rPr>
            </w:pPr>
            <w:r w:rsidRPr="00704B78">
              <w:rPr>
                <w:szCs w:val="20"/>
              </w:rPr>
              <w:t>Treatment initiator utility decreased by 5% (0.676)</w:t>
            </w:r>
          </w:p>
        </w:tc>
        <w:tc>
          <w:tcPr>
            <w:tcW w:w="1174" w:type="dxa"/>
            <w:tcMar>
              <w:top w:w="0" w:type="dxa"/>
              <w:left w:w="28" w:type="dxa"/>
              <w:bottom w:w="0" w:type="dxa"/>
              <w:right w:w="28" w:type="dxa"/>
            </w:tcMar>
            <w:vAlign w:val="center"/>
          </w:tcPr>
          <w:p w14:paraId="6E8AFB54" w14:textId="44AD4F4D"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64D8C62A" w14:textId="77777777" w:rsidR="002C435E" w:rsidRPr="00704B78" w:rsidRDefault="002C435E" w:rsidP="006E2A77">
            <w:pPr>
              <w:pStyle w:val="Tabletext0"/>
              <w:keepNext/>
              <w:keepLines/>
              <w:jc w:val="center"/>
              <w:rPr>
                <w:szCs w:val="20"/>
              </w:rPr>
            </w:pPr>
            <w:r w:rsidRPr="00704B78">
              <w:rPr>
                <w:szCs w:val="20"/>
              </w:rPr>
              <w:t>0.8182</w:t>
            </w:r>
          </w:p>
        </w:tc>
        <w:tc>
          <w:tcPr>
            <w:tcW w:w="1172" w:type="dxa"/>
            <w:tcMar>
              <w:top w:w="0" w:type="dxa"/>
              <w:left w:w="28" w:type="dxa"/>
              <w:bottom w:w="0" w:type="dxa"/>
              <w:right w:w="28" w:type="dxa"/>
            </w:tcMar>
            <w:vAlign w:val="center"/>
          </w:tcPr>
          <w:p w14:paraId="6B3734D0" w14:textId="1B2A878B"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8"/>
                <w14:textFill>
                  <w14:solidFill>
                    <w14:srgbClr w14:val="000000">
                      <w14:alpha w14:val="100000"/>
                    </w14:srgbClr>
                  </w14:solidFill>
                </w14:textFill>
              </w:rPr>
              <w:t xml:space="preserve">　</w:t>
            </w:r>
            <w:r w:rsidRPr="00875704">
              <w:rPr>
                <w:color w:val="000000"/>
                <w:w w:val="15"/>
                <w:szCs w:val="20"/>
                <w:shd w:val="solid" w:color="000000" w:fill="000000"/>
                <w:fitText w:val="25" w:id="-691349758"/>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8"/>
                <w14:textFill>
                  <w14:solidFill>
                    <w14:srgbClr w14:val="000000">
                      <w14:alpha w14:val="100000"/>
                    </w14:srgbClr>
                  </w14:solidFill>
                </w14:textFill>
              </w:rPr>
              <w:t xml:space="preserve">　</w:t>
            </w:r>
            <w:r w:rsidR="00410046" w:rsidRPr="00410046">
              <w:rPr>
                <w:b/>
                <w:bCs/>
                <w:szCs w:val="20"/>
                <w:vertAlign w:val="superscript"/>
              </w:rPr>
              <w:t>1</w:t>
            </w:r>
          </w:p>
        </w:tc>
        <w:tc>
          <w:tcPr>
            <w:tcW w:w="1186" w:type="dxa"/>
            <w:tcMar>
              <w:left w:w="28" w:type="dxa"/>
              <w:right w:w="28" w:type="dxa"/>
            </w:tcMar>
            <w:vAlign w:val="center"/>
          </w:tcPr>
          <w:p w14:paraId="3FF1FD8F" w14:textId="0F6A9DEC"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57"/>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57"/>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57"/>
                <w14:textFill>
                  <w14:solidFill>
                    <w14:srgbClr w14:val="000000">
                      <w14:alpha w14:val="100000"/>
                    </w14:srgbClr>
                  </w14:solidFill>
                </w14:textFill>
              </w:rPr>
              <w:t xml:space="preserve">　</w:t>
            </w:r>
            <w:r w:rsidRPr="00704B78">
              <w:rPr>
                <w:szCs w:val="20"/>
              </w:rPr>
              <w:t>%</w:t>
            </w:r>
          </w:p>
        </w:tc>
      </w:tr>
      <w:tr w:rsidR="00010575" w:rsidRPr="00704B78" w14:paraId="0E07C93A" w14:textId="77777777" w:rsidTr="00CC18C2">
        <w:tc>
          <w:tcPr>
            <w:tcW w:w="4323" w:type="dxa"/>
            <w:tcMar>
              <w:top w:w="0" w:type="dxa"/>
              <w:left w:w="28" w:type="dxa"/>
              <w:bottom w:w="0" w:type="dxa"/>
              <w:right w:w="28" w:type="dxa"/>
            </w:tcMar>
          </w:tcPr>
          <w:p w14:paraId="01DF1891" w14:textId="77777777" w:rsidR="002C435E" w:rsidRPr="00704B78" w:rsidRDefault="002C435E" w:rsidP="006E2A77">
            <w:pPr>
              <w:pStyle w:val="Tabletext0"/>
              <w:keepNext/>
              <w:keepLines/>
              <w:rPr>
                <w:szCs w:val="20"/>
              </w:rPr>
            </w:pPr>
            <w:r w:rsidRPr="00704B78">
              <w:rPr>
                <w:szCs w:val="20"/>
              </w:rPr>
              <w:t>Assume subsequent-line response and non-response utility values are the same as pooled first-line estimates (MMRM analysis)</w:t>
            </w:r>
          </w:p>
        </w:tc>
        <w:tc>
          <w:tcPr>
            <w:tcW w:w="1174" w:type="dxa"/>
            <w:tcMar>
              <w:top w:w="0" w:type="dxa"/>
              <w:left w:w="28" w:type="dxa"/>
              <w:bottom w:w="0" w:type="dxa"/>
              <w:right w:w="28" w:type="dxa"/>
            </w:tcMar>
            <w:vAlign w:val="center"/>
          </w:tcPr>
          <w:p w14:paraId="66BE3296" w14:textId="7DB12096"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29A7A260" w14:textId="77777777" w:rsidR="002C435E" w:rsidRPr="00704B78" w:rsidRDefault="002C435E" w:rsidP="006E2A77">
            <w:pPr>
              <w:pStyle w:val="Tabletext0"/>
              <w:keepNext/>
              <w:keepLines/>
              <w:jc w:val="center"/>
              <w:rPr>
                <w:szCs w:val="20"/>
              </w:rPr>
            </w:pPr>
            <w:r w:rsidRPr="00704B78">
              <w:rPr>
                <w:szCs w:val="20"/>
              </w:rPr>
              <w:t>0.5097</w:t>
            </w:r>
          </w:p>
        </w:tc>
        <w:tc>
          <w:tcPr>
            <w:tcW w:w="1172" w:type="dxa"/>
            <w:tcMar>
              <w:top w:w="0" w:type="dxa"/>
              <w:left w:w="28" w:type="dxa"/>
              <w:bottom w:w="0" w:type="dxa"/>
              <w:right w:w="28" w:type="dxa"/>
            </w:tcMar>
            <w:vAlign w:val="center"/>
          </w:tcPr>
          <w:p w14:paraId="1F0D0D5A" w14:textId="6AE15FFF"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6"/>
                <w14:textFill>
                  <w14:solidFill>
                    <w14:srgbClr w14:val="000000">
                      <w14:alpha w14:val="100000"/>
                    </w14:srgbClr>
                  </w14:solidFill>
                </w14:textFill>
              </w:rPr>
              <w:t xml:space="preserve">　</w:t>
            </w:r>
            <w:r w:rsidRPr="00875704">
              <w:rPr>
                <w:color w:val="000000"/>
                <w:w w:val="15"/>
                <w:szCs w:val="20"/>
                <w:shd w:val="solid" w:color="000000" w:fill="000000"/>
                <w:fitText w:val="25" w:id="-691349756"/>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6"/>
                <w14:textFill>
                  <w14:solidFill>
                    <w14:srgbClr w14:val="000000">
                      <w14:alpha w14:val="100000"/>
                    </w14:srgbClr>
                  </w14:solidFill>
                </w14:textFill>
              </w:rPr>
              <w:t xml:space="preserve">　</w:t>
            </w:r>
            <w:r w:rsidR="000709B3" w:rsidRPr="000709B3">
              <w:rPr>
                <w:szCs w:val="20"/>
                <w:vertAlign w:val="superscript"/>
              </w:rPr>
              <w:t>6</w:t>
            </w:r>
          </w:p>
        </w:tc>
        <w:tc>
          <w:tcPr>
            <w:tcW w:w="1186" w:type="dxa"/>
            <w:tcMar>
              <w:left w:w="28" w:type="dxa"/>
              <w:right w:w="28" w:type="dxa"/>
            </w:tcMar>
            <w:vAlign w:val="center"/>
          </w:tcPr>
          <w:p w14:paraId="52C5EC51" w14:textId="4F8E986E" w:rsidR="002C435E" w:rsidRPr="00704B78" w:rsidRDefault="002C435E"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55"/>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55"/>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55"/>
                <w14:textFill>
                  <w14:solidFill>
                    <w14:srgbClr w14:val="000000">
                      <w14:alpha w14:val="100000"/>
                    </w14:srgbClr>
                  </w14:solidFill>
                </w14:textFill>
              </w:rPr>
              <w:t xml:space="preserve">　</w:t>
            </w:r>
            <w:r w:rsidRPr="00704B78">
              <w:rPr>
                <w:szCs w:val="20"/>
              </w:rPr>
              <w:t>%</w:t>
            </w:r>
          </w:p>
        </w:tc>
      </w:tr>
      <w:tr w:rsidR="00010575" w:rsidRPr="00704B78" w14:paraId="29B340CA" w14:textId="77777777" w:rsidTr="00CC18C2">
        <w:tc>
          <w:tcPr>
            <w:tcW w:w="4323" w:type="dxa"/>
            <w:tcMar>
              <w:top w:w="0" w:type="dxa"/>
              <w:left w:w="28" w:type="dxa"/>
              <w:bottom w:w="0" w:type="dxa"/>
              <w:right w:w="28" w:type="dxa"/>
            </w:tcMar>
          </w:tcPr>
          <w:p w14:paraId="5BBF7BD4" w14:textId="77777777" w:rsidR="002C435E" w:rsidRPr="00704B78" w:rsidRDefault="002C435E" w:rsidP="006E2A77">
            <w:pPr>
              <w:pStyle w:val="Tabletext0"/>
              <w:keepNext/>
              <w:keepLines/>
              <w:rPr>
                <w:szCs w:val="20"/>
              </w:rPr>
            </w:pPr>
            <w:r w:rsidRPr="00704B78">
              <w:rPr>
                <w:szCs w:val="20"/>
              </w:rPr>
              <w:t>Assume subsequent-line response and non-response utility values are the same as pooled first-line estimates (regression panel analysis)</w:t>
            </w:r>
          </w:p>
        </w:tc>
        <w:tc>
          <w:tcPr>
            <w:tcW w:w="1174" w:type="dxa"/>
            <w:tcMar>
              <w:top w:w="0" w:type="dxa"/>
              <w:left w:w="28" w:type="dxa"/>
              <w:bottom w:w="0" w:type="dxa"/>
              <w:right w:w="28" w:type="dxa"/>
            </w:tcMar>
            <w:vAlign w:val="center"/>
          </w:tcPr>
          <w:p w14:paraId="5BFE51F9" w14:textId="57EEDEF1" w:rsidR="002C435E" w:rsidRPr="007035FF"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469BB51E" w14:textId="77777777" w:rsidR="002C435E" w:rsidRPr="00704B78" w:rsidRDefault="002C435E" w:rsidP="006E2A77">
            <w:pPr>
              <w:pStyle w:val="Tabletext0"/>
              <w:keepNext/>
              <w:keepLines/>
              <w:jc w:val="center"/>
              <w:rPr>
                <w:szCs w:val="20"/>
              </w:rPr>
            </w:pPr>
            <w:r w:rsidRPr="00704B78">
              <w:rPr>
                <w:szCs w:val="20"/>
              </w:rPr>
              <w:t>0.6626</w:t>
            </w:r>
          </w:p>
        </w:tc>
        <w:tc>
          <w:tcPr>
            <w:tcW w:w="1172" w:type="dxa"/>
            <w:tcMar>
              <w:top w:w="0" w:type="dxa"/>
              <w:left w:w="28" w:type="dxa"/>
              <w:bottom w:w="0" w:type="dxa"/>
              <w:right w:w="28" w:type="dxa"/>
            </w:tcMar>
            <w:vAlign w:val="center"/>
          </w:tcPr>
          <w:p w14:paraId="5E801CCF" w14:textId="30609BB8" w:rsidR="002C435E" w:rsidRPr="007035FF"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4"/>
                <w14:textFill>
                  <w14:solidFill>
                    <w14:srgbClr w14:val="000000">
                      <w14:alpha w14:val="100000"/>
                    </w14:srgbClr>
                  </w14:solidFill>
                </w14:textFill>
              </w:rPr>
              <w:t xml:space="preserve">　</w:t>
            </w:r>
            <w:r w:rsidRPr="00875704">
              <w:rPr>
                <w:color w:val="000000"/>
                <w:w w:val="15"/>
                <w:szCs w:val="20"/>
                <w:shd w:val="solid" w:color="000000" w:fill="000000"/>
                <w:fitText w:val="25" w:id="-691349754"/>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4"/>
                <w14:textFill>
                  <w14:solidFill>
                    <w14:srgbClr w14:val="000000">
                      <w14:alpha w14:val="100000"/>
                    </w14:srgbClr>
                  </w14:solidFill>
                </w14:textFill>
              </w:rPr>
              <w:t xml:space="preserve">　</w:t>
            </w:r>
            <w:r w:rsidR="00232358" w:rsidRPr="004C1AF0">
              <w:rPr>
                <w:szCs w:val="20"/>
                <w:vertAlign w:val="superscript"/>
              </w:rPr>
              <w:t>3</w:t>
            </w:r>
          </w:p>
        </w:tc>
        <w:tc>
          <w:tcPr>
            <w:tcW w:w="1186" w:type="dxa"/>
            <w:tcMar>
              <w:left w:w="28" w:type="dxa"/>
              <w:right w:w="28" w:type="dxa"/>
            </w:tcMar>
            <w:vAlign w:val="center"/>
          </w:tcPr>
          <w:p w14:paraId="73DE1407" w14:textId="4D1D7773" w:rsidR="002C435E" w:rsidRPr="00704B78" w:rsidRDefault="002C435E" w:rsidP="006E2A77">
            <w:pPr>
              <w:pStyle w:val="Tabletext0"/>
              <w:keepNext/>
              <w:keepLines/>
              <w:jc w:val="center"/>
              <w:rPr>
                <w:szCs w:val="20"/>
              </w:rPr>
            </w:pPr>
            <w:r w:rsidRPr="00704B78">
              <w:rPr>
                <w:szCs w:val="20"/>
              </w:rPr>
              <w:t>+</w:t>
            </w:r>
            <w:r w:rsidR="00F555BD">
              <w:rPr>
                <w:rFonts w:hint="eastAsia"/>
                <w:color w:val="000000"/>
                <w:w w:val="25"/>
                <w:szCs w:val="20"/>
                <w:shd w:val="solid" w:color="000000" w:fill="000000"/>
                <w:fitText w:val="113" w:id="-691349753"/>
                <w14:textFill>
                  <w14:solidFill>
                    <w14:srgbClr w14:val="000000">
                      <w14:alpha w14:val="100000"/>
                    </w14:srgbClr>
                  </w14:solidFill>
                </w14:textFill>
              </w:rPr>
              <w:t xml:space="preserve">　</w:t>
            </w:r>
            <w:r w:rsidR="00F555BD">
              <w:rPr>
                <w:color w:val="000000"/>
                <w:w w:val="25"/>
                <w:szCs w:val="20"/>
                <w:shd w:val="solid" w:color="000000" w:fill="000000"/>
                <w:fitText w:val="113" w:id="-691349753"/>
                <w14:textFill>
                  <w14:solidFill>
                    <w14:srgbClr w14:val="000000">
                      <w14:alpha w14:val="100000"/>
                    </w14:srgbClr>
                  </w14:solidFill>
                </w14:textFill>
              </w:rPr>
              <w:t>|</w:t>
            </w:r>
            <w:r w:rsidR="00F555BD">
              <w:rPr>
                <w:rFonts w:hint="eastAsia"/>
                <w:color w:val="000000"/>
                <w:spacing w:val="2"/>
                <w:w w:val="25"/>
                <w:szCs w:val="20"/>
                <w:shd w:val="solid" w:color="000000" w:fill="000000"/>
                <w:fitText w:val="113" w:id="-691349753"/>
                <w14:textFill>
                  <w14:solidFill>
                    <w14:srgbClr w14:val="000000">
                      <w14:alpha w14:val="100000"/>
                    </w14:srgbClr>
                  </w14:solidFill>
                </w14:textFill>
              </w:rPr>
              <w:t xml:space="preserve">　</w:t>
            </w:r>
            <w:r w:rsidRPr="00704B78">
              <w:rPr>
                <w:szCs w:val="20"/>
              </w:rPr>
              <w:t>%</w:t>
            </w:r>
          </w:p>
        </w:tc>
      </w:tr>
    </w:tbl>
    <w:p w14:paraId="4A232FCE" w14:textId="40E7A6EA" w:rsidR="002C435E" w:rsidRPr="00704B78" w:rsidRDefault="002C435E" w:rsidP="006E2A77">
      <w:pPr>
        <w:pStyle w:val="COMTablefooter"/>
        <w:keepNext/>
        <w:keepLines/>
      </w:pPr>
      <w:r w:rsidRPr="00704B78">
        <w:t>Source: Table 3A-92 of the resubmission; Section 3A Newly Diagnosed Excel Workbook</w:t>
      </w:r>
    </w:p>
    <w:p w14:paraId="5DB411AF" w14:textId="77777777" w:rsidR="00621DF6" w:rsidRDefault="002C435E" w:rsidP="006E2A77">
      <w:pPr>
        <w:pStyle w:val="COMTablefooter"/>
      </w:pPr>
      <w:r w:rsidRPr="00704B78">
        <w:t>Abbreviations: CI, confidence interval; AEMP, approved ex-manufacturer price; ICER, incremental cost effectiveness ratio; QALY, quality adjusted life year</w:t>
      </w:r>
    </w:p>
    <w:p w14:paraId="115BF3BD" w14:textId="4163FAF5" w:rsidR="00621DF6" w:rsidRPr="002064FB" w:rsidRDefault="00621DF6" w:rsidP="006E2A77">
      <w:pPr>
        <w:pStyle w:val="COMTablefooter"/>
        <w:rPr>
          <w:i/>
          <w:iCs/>
        </w:rPr>
      </w:pPr>
      <w:r w:rsidRPr="002064FB">
        <w:rPr>
          <w:i/>
          <w:iCs/>
        </w:rPr>
        <w:t>The redacted values correspond to the following ranges:</w:t>
      </w:r>
    </w:p>
    <w:p w14:paraId="1CC915AA" w14:textId="77777777" w:rsidR="00717330" w:rsidRPr="002064FB" w:rsidRDefault="00621DF6" w:rsidP="006E2A77">
      <w:pPr>
        <w:pStyle w:val="COMTablefooter"/>
        <w:rPr>
          <w:i/>
          <w:iCs/>
        </w:rPr>
      </w:pPr>
      <w:r w:rsidRPr="002064FB">
        <w:rPr>
          <w:i/>
          <w:iCs/>
          <w:vertAlign w:val="superscript"/>
        </w:rPr>
        <w:t>1</w:t>
      </w:r>
      <w:r w:rsidRPr="002064FB">
        <w:rPr>
          <w:i/>
          <w:iCs/>
        </w:rPr>
        <w:t xml:space="preserve"> $155,000 to &lt; $255,000</w:t>
      </w:r>
    </w:p>
    <w:p w14:paraId="0FA25827" w14:textId="12B74B1B" w:rsidR="00621DF6" w:rsidRPr="002064FB" w:rsidRDefault="00717330" w:rsidP="006E2A77">
      <w:pPr>
        <w:pStyle w:val="COMTablefooter"/>
        <w:rPr>
          <w:i/>
          <w:iCs/>
        </w:rPr>
      </w:pPr>
      <w:r w:rsidRPr="002064FB">
        <w:rPr>
          <w:i/>
          <w:iCs/>
          <w:vertAlign w:val="superscript"/>
        </w:rPr>
        <w:t xml:space="preserve"> 2</w:t>
      </w:r>
      <w:r w:rsidRPr="002064FB">
        <w:rPr>
          <w:i/>
          <w:iCs/>
        </w:rPr>
        <w:t xml:space="preserve"> $135,000 to &lt; $155,000</w:t>
      </w:r>
    </w:p>
    <w:p w14:paraId="72FA86D8" w14:textId="77777777" w:rsidR="00F82EC6" w:rsidRPr="002064FB" w:rsidRDefault="00621DF6" w:rsidP="006E2A77">
      <w:pPr>
        <w:pStyle w:val="COMTablefooter"/>
        <w:rPr>
          <w:i/>
          <w:iCs/>
        </w:rPr>
      </w:pPr>
      <w:r w:rsidRPr="002064FB">
        <w:rPr>
          <w:i/>
          <w:iCs/>
          <w:vertAlign w:val="superscript"/>
        </w:rPr>
        <w:t>3</w:t>
      </w:r>
      <w:r w:rsidRPr="002064FB">
        <w:rPr>
          <w:i/>
          <w:iCs/>
        </w:rPr>
        <w:t xml:space="preserve"> $255,000 to &lt; $355,000</w:t>
      </w:r>
    </w:p>
    <w:p w14:paraId="4AD057FF" w14:textId="77777777" w:rsidR="00913B13" w:rsidRPr="002064FB" w:rsidRDefault="00F82EC6" w:rsidP="006E2A77">
      <w:pPr>
        <w:pStyle w:val="COMTablefooter"/>
        <w:rPr>
          <w:i/>
          <w:iCs/>
        </w:rPr>
      </w:pPr>
      <w:r w:rsidRPr="002064FB">
        <w:rPr>
          <w:i/>
          <w:iCs/>
          <w:vertAlign w:val="superscript"/>
        </w:rPr>
        <w:t>4</w:t>
      </w:r>
      <w:r w:rsidRPr="002064FB">
        <w:rPr>
          <w:i/>
          <w:iCs/>
        </w:rPr>
        <w:t xml:space="preserve"> $455,000 to &lt; $555,000</w:t>
      </w:r>
      <w:r w:rsidR="00913B13" w:rsidRPr="002064FB">
        <w:rPr>
          <w:i/>
          <w:iCs/>
        </w:rPr>
        <w:t xml:space="preserve"> </w:t>
      </w:r>
    </w:p>
    <w:p w14:paraId="071ECDDC" w14:textId="77777777" w:rsidR="00F46D7B" w:rsidRPr="002064FB" w:rsidRDefault="00913B13" w:rsidP="006E2A77">
      <w:pPr>
        <w:pStyle w:val="COMTablefooter"/>
        <w:rPr>
          <w:i/>
          <w:iCs/>
        </w:rPr>
      </w:pPr>
      <w:r w:rsidRPr="002064FB">
        <w:rPr>
          <w:i/>
          <w:iCs/>
          <w:vertAlign w:val="superscript"/>
        </w:rPr>
        <w:t>5</w:t>
      </w:r>
      <w:r w:rsidRPr="002064FB">
        <w:rPr>
          <w:i/>
          <w:iCs/>
        </w:rPr>
        <w:t xml:space="preserve"> &gt; $1,055,000</w:t>
      </w:r>
      <w:r w:rsidR="00F46D7B" w:rsidRPr="002064FB">
        <w:rPr>
          <w:i/>
          <w:iCs/>
        </w:rPr>
        <w:t xml:space="preserve"> </w:t>
      </w:r>
    </w:p>
    <w:p w14:paraId="39919199" w14:textId="32C9E9E5" w:rsidR="002C435E" w:rsidRPr="002064FB" w:rsidRDefault="00F46D7B" w:rsidP="006E2A77">
      <w:pPr>
        <w:pStyle w:val="COMTablefooter"/>
        <w:rPr>
          <w:i/>
          <w:iCs/>
        </w:rPr>
      </w:pPr>
      <w:r w:rsidRPr="002064FB">
        <w:rPr>
          <w:i/>
          <w:iCs/>
          <w:vertAlign w:val="superscript"/>
        </w:rPr>
        <w:t>6</w:t>
      </w:r>
      <w:r w:rsidRPr="002064FB">
        <w:rPr>
          <w:i/>
          <w:iCs/>
        </w:rPr>
        <w:t xml:space="preserve"> $355,000 to &lt; $455,000</w:t>
      </w:r>
    </w:p>
    <w:p w14:paraId="561B17F4" w14:textId="4801C692" w:rsidR="002C435E" w:rsidRPr="00704B78" w:rsidRDefault="002C435E" w:rsidP="006E2A77">
      <w:pPr>
        <w:pStyle w:val="COMexecsummnumbered"/>
      </w:pPr>
      <w:r w:rsidRPr="00704B78">
        <w:t xml:space="preserve">The results of the sensitivity analyses in newly diagnosed patients indicate that the model is most sensitive to time horizon. </w:t>
      </w:r>
    </w:p>
    <w:p w14:paraId="46D69AB1" w14:textId="52851B5D" w:rsidR="002C435E" w:rsidRPr="00704B78" w:rsidRDefault="002C435E" w:rsidP="006E2A77">
      <w:pPr>
        <w:pStyle w:val="COMexecsummnumbered"/>
      </w:pPr>
      <w:r w:rsidRPr="00704B78">
        <w:lastRenderedPageBreak/>
        <w:t xml:space="preserve">The economic model was also sensitive to </w:t>
      </w:r>
      <w:r w:rsidR="00730297" w:rsidRPr="00704B78">
        <w:t xml:space="preserve">the </w:t>
      </w:r>
      <w:r w:rsidRPr="00704B78">
        <w:t>discount rate, baseline patient characteristics (primarily baseline EQ-5D-5L scores), treatment response, placebo loss of response rates, exacerbation risk (primarily due to the costs of hospitalised treatment) and utility values for subsequent-line treatment.</w:t>
      </w:r>
    </w:p>
    <w:p w14:paraId="7C58B61F" w14:textId="079DB82B" w:rsidR="003E5345" w:rsidRPr="00704B78" w:rsidRDefault="003E5345" w:rsidP="006E2A77">
      <w:pPr>
        <w:pStyle w:val="COMexecsummnumbered"/>
      </w:pPr>
      <w:r w:rsidRPr="00704B78">
        <w:t xml:space="preserve">The results of key sensitivity analyses for the treatment refractory population are summarised in </w:t>
      </w:r>
      <w:r w:rsidR="00424773" w:rsidRPr="00704B78">
        <w:fldChar w:fldCharType="begin"/>
      </w:r>
      <w:r w:rsidR="00424773" w:rsidRPr="00704B78">
        <w:instrText xml:space="preserve"> REF _Ref187653110 \h </w:instrText>
      </w:r>
      <w:r w:rsidR="004577BE" w:rsidRPr="00704B78">
        <w:instrText xml:space="preserve"> \* MERGEFORMAT </w:instrText>
      </w:r>
      <w:r w:rsidR="00424773" w:rsidRPr="00704B78">
        <w:fldChar w:fldCharType="separate"/>
      </w:r>
      <w:r w:rsidR="00875704" w:rsidRPr="00704B78">
        <w:t xml:space="preserve">Table </w:t>
      </w:r>
      <w:r w:rsidR="00875704">
        <w:rPr>
          <w:noProof/>
        </w:rPr>
        <w:t>16</w:t>
      </w:r>
      <w:r w:rsidR="00424773" w:rsidRPr="00704B78">
        <w:fldChar w:fldCharType="end"/>
      </w:r>
      <w:r w:rsidRPr="00704B78">
        <w:t xml:space="preserve">. </w:t>
      </w:r>
    </w:p>
    <w:p w14:paraId="54412320" w14:textId="197698AC" w:rsidR="003E5345" w:rsidRPr="00704B78" w:rsidRDefault="00424773" w:rsidP="006E2A77">
      <w:pPr>
        <w:pStyle w:val="COMtablefigcaption"/>
        <w:keepLines/>
        <w:rPr>
          <w:rStyle w:val="CommentReference"/>
          <w:b/>
          <w:szCs w:val="24"/>
        </w:rPr>
      </w:pPr>
      <w:bookmarkStart w:id="56" w:name="_Ref187653110"/>
      <w:r w:rsidRPr="00704B78">
        <w:lastRenderedPageBreak/>
        <w:t xml:space="preserve">Table </w:t>
      </w:r>
      <w:r w:rsidRPr="00704B78">
        <w:fldChar w:fldCharType="begin"/>
      </w:r>
      <w:r w:rsidRPr="00704B78">
        <w:instrText>SEQ Table \* ARABIC</w:instrText>
      </w:r>
      <w:r w:rsidRPr="00704B78">
        <w:fldChar w:fldCharType="separate"/>
      </w:r>
      <w:r w:rsidR="00875704">
        <w:rPr>
          <w:noProof/>
        </w:rPr>
        <w:t>16</w:t>
      </w:r>
      <w:r w:rsidRPr="00704B78">
        <w:fldChar w:fldCharType="end"/>
      </w:r>
      <w:bookmarkEnd w:id="56"/>
      <w:r w:rsidR="003E5345" w:rsidRPr="00704B78">
        <w:rPr>
          <w:rStyle w:val="CommentReference"/>
          <w:b/>
          <w:szCs w:val="24"/>
        </w:rPr>
        <w:t xml:space="preserve">: Results of key sensitivity analyses for treatment refractory patients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Results of key sensitivity analyses for treatment refractory patients "/>
      </w:tblPr>
      <w:tblGrid>
        <w:gridCol w:w="4314"/>
        <w:gridCol w:w="1174"/>
        <w:gridCol w:w="1174"/>
        <w:gridCol w:w="1170"/>
        <w:gridCol w:w="1185"/>
      </w:tblGrid>
      <w:tr w:rsidR="00010575" w:rsidRPr="00704B78" w14:paraId="3F8ADC28" w14:textId="77777777" w:rsidTr="00CC18C2">
        <w:trPr>
          <w:tblHeader/>
        </w:trPr>
        <w:tc>
          <w:tcPr>
            <w:tcW w:w="4323" w:type="dxa"/>
            <w:tcMar>
              <w:top w:w="0" w:type="dxa"/>
              <w:left w:w="28" w:type="dxa"/>
              <w:bottom w:w="0" w:type="dxa"/>
              <w:right w:w="28" w:type="dxa"/>
            </w:tcMar>
            <w:vAlign w:val="center"/>
            <w:hideMark/>
          </w:tcPr>
          <w:p w14:paraId="61ED5545" w14:textId="77777777" w:rsidR="003E5345" w:rsidRPr="00704B78" w:rsidRDefault="003E5345" w:rsidP="006E2A77">
            <w:pPr>
              <w:pStyle w:val="Tabletext0"/>
              <w:keepNext/>
              <w:keepLines/>
              <w:rPr>
                <w:szCs w:val="20"/>
              </w:rPr>
            </w:pPr>
            <w:r w:rsidRPr="00704B78">
              <w:rPr>
                <w:b/>
                <w:bCs/>
                <w:szCs w:val="20"/>
              </w:rPr>
              <w:t>Analyses</w:t>
            </w:r>
          </w:p>
        </w:tc>
        <w:tc>
          <w:tcPr>
            <w:tcW w:w="1174" w:type="dxa"/>
            <w:tcMar>
              <w:top w:w="0" w:type="dxa"/>
              <w:left w:w="28" w:type="dxa"/>
              <w:bottom w:w="0" w:type="dxa"/>
              <w:right w:w="28" w:type="dxa"/>
            </w:tcMar>
            <w:vAlign w:val="center"/>
            <w:hideMark/>
          </w:tcPr>
          <w:p w14:paraId="68ED1F51" w14:textId="2FA6C89E" w:rsidR="003E5345" w:rsidRPr="00704B78" w:rsidRDefault="003E5345" w:rsidP="006E2A77">
            <w:pPr>
              <w:pStyle w:val="Tabletext0"/>
              <w:keepNext/>
              <w:keepLines/>
              <w:jc w:val="center"/>
              <w:rPr>
                <w:b/>
                <w:bCs/>
                <w:szCs w:val="20"/>
              </w:rPr>
            </w:pPr>
            <w:r w:rsidRPr="00704B78">
              <w:rPr>
                <w:b/>
                <w:bCs/>
                <w:szCs w:val="20"/>
              </w:rPr>
              <w:t>Incremental cost</w:t>
            </w:r>
            <w:r w:rsidR="00DA2464">
              <w:rPr>
                <w:b/>
                <w:bCs/>
                <w:szCs w:val="20"/>
              </w:rPr>
              <w:t xml:space="preserve"> ($)</w:t>
            </w:r>
          </w:p>
        </w:tc>
        <w:tc>
          <w:tcPr>
            <w:tcW w:w="1174" w:type="dxa"/>
            <w:tcMar>
              <w:top w:w="0" w:type="dxa"/>
              <w:left w:w="28" w:type="dxa"/>
              <w:bottom w:w="0" w:type="dxa"/>
              <w:right w:w="28" w:type="dxa"/>
            </w:tcMar>
            <w:vAlign w:val="center"/>
            <w:hideMark/>
          </w:tcPr>
          <w:p w14:paraId="6BD74BCD" w14:textId="77777777" w:rsidR="003E5345" w:rsidRPr="00704B78" w:rsidRDefault="003E5345" w:rsidP="006E2A77">
            <w:pPr>
              <w:pStyle w:val="Tabletext0"/>
              <w:keepNext/>
              <w:keepLines/>
              <w:jc w:val="center"/>
              <w:rPr>
                <w:b/>
                <w:bCs/>
                <w:szCs w:val="20"/>
              </w:rPr>
            </w:pPr>
            <w:r w:rsidRPr="00704B78">
              <w:rPr>
                <w:b/>
                <w:bCs/>
                <w:szCs w:val="20"/>
              </w:rPr>
              <w:t>Incremental QALYs</w:t>
            </w:r>
          </w:p>
        </w:tc>
        <w:tc>
          <w:tcPr>
            <w:tcW w:w="1172" w:type="dxa"/>
            <w:tcMar>
              <w:top w:w="0" w:type="dxa"/>
              <w:left w:w="28" w:type="dxa"/>
              <w:bottom w:w="0" w:type="dxa"/>
              <w:right w:w="28" w:type="dxa"/>
            </w:tcMar>
            <w:vAlign w:val="center"/>
            <w:hideMark/>
          </w:tcPr>
          <w:p w14:paraId="3D83EE76" w14:textId="77777777" w:rsidR="003E5345" w:rsidRPr="00704B78" w:rsidRDefault="003E5345" w:rsidP="006E2A77">
            <w:pPr>
              <w:pStyle w:val="Tabletext0"/>
              <w:keepNext/>
              <w:keepLines/>
              <w:jc w:val="center"/>
              <w:rPr>
                <w:b/>
                <w:bCs/>
                <w:szCs w:val="20"/>
              </w:rPr>
            </w:pPr>
            <w:r w:rsidRPr="00704B78">
              <w:rPr>
                <w:b/>
                <w:bCs/>
                <w:szCs w:val="20"/>
              </w:rPr>
              <w:t>ICER</w:t>
            </w:r>
          </w:p>
        </w:tc>
        <w:tc>
          <w:tcPr>
            <w:tcW w:w="1186" w:type="dxa"/>
            <w:tcMar>
              <w:left w:w="28" w:type="dxa"/>
              <w:right w:w="28" w:type="dxa"/>
            </w:tcMar>
            <w:vAlign w:val="center"/>
          </w:tcPr>
          <w:p w14:paraId="095FE96E" w14:textId="77777777" w:rsidR="003E5345" w:rsidRPr="00704B78" w:rsidRDefault="003E5345" w:rsidP="006E2A77">
            <w:pPr>
              <w:pStyle w:val="Tabletext0"/>
              <w:keepNext/>
              <w:keepLines/>
              <w:jc w:val="center"/>
              <w:rPr>
                <w:b/>
                <w:bCs/>
                <w:szCs w:val="20"/>
              </w:rPr>
            </w:pPr>
            <w:r w:rsidRPr="00704B78">
              <w:rPr>
                <w:b/>
                <w:bCs/>
              </w:rPr>
              <w:t>Change from base case ICER</w:t>
            </w:r>
          </w:p>
        </w:tc>
      </w:tr>
      <w:tr w:rsidR="00010575" w:rsidRPr="00704B78" w14:paraId="50861717" w14:textId="77777777" w:rsidTr="00CC18C2">
        <w:trPr>
          <w:tblHeader/>
        </w:trPr>
        <w:tc>
          <w:tcPr>
            <w:tcW w:w="4323" w:type="dxa"/>
            <w:tcMar>
              <w:top w:w="0" w:type="dxa"/>
              <w:left w:w="28" w:type="dxa"/>
              <w:bottom w:w="0" w:type="dxa"/>
              <w:right w:w="28" w:type="dxa"/>
            </w:tcMar>
            <w:hideMark/>
          </w:tcPr>
          <w:p w14:paraId="4D2CB10A" w14:textId="77777777" w:rsidR="003E5345" w:rsidRPr="00704B78" w:rsidRDefault="003E5345" w:rsidP="006E2A77">
            <w:pPr>
              <w:pStyle w:val="Tabletext0"/>
              <w:keepNext/>
              <w:keepLines/>
              <w:rPr>
                <w:b/>
                <w:bCs/>
                <w:szCs w:val="20"/>
                <w:vertAlign w:val="superscript"/>
              </w:rPr>
            </w:pPr>
            <w:r w:rsidRPr="00704B78">
              <w:rPr>
                <w:b/>
                <w:bCs/>
                <w:szCs w:val="20"/>
              </w:rPr>
              <w:t>Base case</w:t>
            </w:r>
          </w:p>
        </w:tc>
        <w:tc>
          <w:tcPr>
            <w:tcW w:w="1174" w:type="dxa"/>
            <w:tcMar>
              <w:top w:w="0" w:type="dxa"/>
              <w:left w:w="28" w:type="dxa"/>
              <w:bottom w:w="0" w:type="dxa"/>
              <w:right w:w="28" w:type="dxa"/>
            </w:tcMar>
          </w:tcPr>
          <w:p w14:paraId="4690A38D" w14:textId="2A76C3C2" w:rsidR="003E5345" w:rsidRPr="00704B78" w:rsidRDefault="00F555BD" w:rsidP="006E2A77">
            <w:pPr>
              <w:pStyle w:val="Tabletext0"/>
              <w:keepNext/>
              <w:keepLines/>
              <w:jc w:val="center"/>
              <w:rPr>
                <w:b/>
                <w:bCs/>
                <w:szCs w:val="20"/>
              </w:rPr>
            </w:pPr>
            <w:r w:rsidRPr="00F555BD">
              <w:rPr>
                <w:rFonts w:hint="eastAsia"/>
                <w:b/>
                <w:color w:val="000000"/>
                <w:w w:val="15"/>
                <w:szCs w:val="20"/>
                <w:shd w:val="solid" w:color="000000" w:fill="000000"/>
                <w:fitText w:val="38" w:id="-691349752"/>
                <w14:textFill>
                  <w14:solidFill>
                    <w14:srgbClr w14:val="000000">
                      <w14:alpha w14:val="100000"/>
                    </w14:srgbClr>
                  </w14:solidFill>
                </w14:textFill>
              </w:rPr>
              <w:t xml:space="preserve">　</w:t>
            </w:r>
            <w:r w:rsidRPr="00F555BD">
              <w:rPr>
                <w:b/>
                <w:color w:val="000000"/>
                <w:w w:val="15"/>
                <w:szCs w:val="20"/>
                <w:shd w:val="solid" w:color="000000" w:fill="000000"/>
                <w:fitText w:val="38" w:id="-691349752"/>
                <w14:textFill>
                  <w14:solidFill>
                    <w14:srgbClr w14:val="000000">
                      <w14:alpha w14:val="100000"/>
                    </w14:srgbClr>
                  </w14:solidFill>
                </w14:textFill>
              </w:rPr>
              <w:t>|</w:t>
            </w:r>
            <w:r w:rsidRPr="00F555BD">
              <w:rPr>
                <w:rFonts w:hint="eastAsia"/>
                <w:b/>
                <w:color w:val="000000"/>
                <w:spacing w:val="-28"/>
                <w:w w:val="15"/>
                <w:szCs w:val="20"/>
                <w:shd w:val="solid" w:color="000000" w:fill="000000"/>
                <w:fitText w:val="38" w:id="-691349752"/>
                <w14:textFill>
                  <w14:solidFill>
                    <w14:srgbClr w14:val="000000">
                      <w14:alpha w14:val="100000"/>
                    </w14:srgbClr>
                  </w14:solidFill>
                </w14:textFill>
              </w:rPr>
              <w:t xml:space="preserve">　</w:t>
            </w:r>
            <w:r w:rsidR="002064FB">
              <w:rPr>
                <w:b/>
                <w:szCs w:val="20"/>
              </w:rPr>
              <w:t xml:space="preserve"> </w:t>
            </w:r>
          </w:p>
        </w:tc>
        <w:tc>
          <w:tcPr>
            <w:tcW w:w="1174" w:type="dxa"/>
            <w:tcMar>
              <w:top w:w="0" w:type="dxa"/>
              <w:left w:w="28" w:type="dxa"/>
              <w:bottom w:w="0" w:type="dxa"/>
              <w:right w:w="28" w:type="dxa"/>
            </w:tcMar>
          </w:tcPr>
          <w:p w14:paraId="35DF26AC" w14:textId="77777777" w:rsidR="003E5345" w:rsidRPr="00704B78" w:rsidRDefault="003E5345" w:rsidP="006E2A77">
            <w:pPr>
              <w:pStyle w:val="Tabletext0"/>
              <w:keepNext/>
              <w:keepLines/>
              <w:jc w:val="center"/>
              <w:rPr>
                <w:b/>
                <w:bCs/>
                <w:szCs w:val="20"/>
              </w:rPr>
            </w:pPr>
            <w:r w:rsidRPr="00704B78">
              <w:rPr>
                <w:b/>
                <w:bCs/>
                <w:szCs w:val="20"/>
              </w:rPr>
              <w:t>0.6624</w:t>
            </w:r>
          </w:p>
        </w:tc>
        <w:tc>
          <w:tcPr>
            <w:tcW w:w="1172" w:type="dxa"/>
            <w:tcMar>
              <w:top w:w="0" w:type="dxa"/>
              <w:left w:w="28" w:type="dxa"/>
              <w:bottom w:w="0" w:type="dxa"/>
              <w:right w:w="28" w:type="dxa"/>
            </w:tcMar>
          </w:tcPr>
          <w:p w14:paraId="4CDB7524" w14:textId="099CF846" w:rsidR="003E5345" w:rsidRPr="00704B78" w:rsidRDefault="00F555BD" w:rsidP="006E2A77">
            <w:pPr>
              <w:pStyle w:val="Tabletext0"/>
              <w:keepNext/>
              <w:keepLines/>
              <w:jc w:val="center"/>
              <w:rPr>
                <w:b/>
                <w:bCs/>
                <w:szCs w:val="20"/>
              </w:rPr>
            </w:pPr>
            <w:r w:rsidRPr="00F555BD">
              <w:rPr>
                <w:rFonts w:hint="eastAsia"/>
                <w:b/>
                <w:color w:val="000000"/>
                <w:w w:val="15"/>
                <w:szCs w:val="20"/>
                <w:shd w:val="solid" w:color="000000" w:fill="000000"/>
                <w:fitText w:val="62" w:id="-691349751"/>
                <w14:textFill>
                  <w14:solidFill>
                    <w14:srgbClr w14:val="000000">
                      <w14:alpha w14:val="100000"/>
                    </w14:srgbClr>
                  </w14:solidFill>
                </w14:textFill>
              </w:rPr>
              <w:t xml:space="preserve">　</w:t>
            </w:r>
            <w:r w:rsidRPr="00F555BD">
              <w:rPr>
                <w:b/>
                <w:color w:val="000000"/>
                <w:w w:val="15"/>
                <w:szCs w:val="20"/>
                <w:shd w:val="solid" w:color="000000" w:fill="000000"/>
                <w:fitText w:val="62" w:id="-691349751"/>
                <w14:textFill>
                  <w14:solidFill>
                    <w14:srgbClr w14:val="000000">
                      <w14:alpha w14:val="100000"/>
                    </w14:srgbClr>
                  </w14:solidFill>
                </w14:textFill>
              </w:rPr>
              <w:t>|</w:t>
            </w:r>
            <w:r w:rsidRPr="00F555BD">
              <w:rPr>
                <w:rFonts w:hint="eastAsia"/>
                <w:b/>
                <w:color w:val="000000"/>
                <w:spacing w:val="-4"/>
                <w:w w:val="15"/>
                <w:szCs w:val="20"/>
                <w:shd w:val="solid" w:color="000000" w:fill="000000"/>
                <w:fitText w:val="62" w:id="-691349751"/>
                <w14:textFill>
                  <w14:solidFill>
                    <w14:srgbClr w14:val="000000">
                      <w14:alpha w14:val="100000"/>
                    </w14:srgbClr>
                  </w14:solidFill>
                </w14:textFill>
              </w:rPr>
              <w:t xml:space="preserve">　</w:t>
            </w:r>
            <w:r w:rsidR="002B4BD6" w:rsidRPr="002B4BD6">
              <w:rPr>
                <w:b/>
                <w:bCs/>
                <w:szCs w:val="20"/>
                <w:vertAlign w:val="superscript"/>
              </w:rPr>
              <w:t>1</w:t>
            </w:r>
          </w:p>
        </w:tc>
        <w:tc>
          <w:tcPr>
            <w:tcW w:w="1186" w:type="dxa"/>
            <w:tcMar>
              <w:left w:w="28" w:type="dxa"/>
              <w:right w:w="28" w:type="dxa"/>
            </w:tcMar>
          </w:tcPr>
          <w:p w14:paraId="1A29CC0F" w14:textId="77777777" w:rsidR="003E5345" w:rsidRPr="00704B78" w:rsidRDefault="003E5345" w:rsidP="006E2A77">
            <w:pPr>
              <w:pStyle w:val="Tabletext0"/>
              <w:keepNext/>
              <w:keepLines/>
              <w:jc w:val="center"/>
              <w:rPr>
                <w:b/>
                <w:bCs/>
                <w:szCs w:val="20"/>
              </w:rPr>
            </w:pPr>
            <w:r w:rsidRPr="00704B78">
              <w:rPr>
                <w:b/>
                <w:bCs/>
                <w:szCs w:val="20"/>
              </w:rPr>
              <w:t>-</w:t>
            </w:r>
          </w:p>
        </w:tc>
      </w:tr>
      <w:tr w:rsidR="001A0130" w:rsidRPr="00704B78" w14:paraId="3FE9540A" w14:textId="77777777" w:rsidTr="00CC18C2">
        <w:tc>
          <w:tcPr>
            <w:tcW w:w="9029" w:type="dxa"/>
            <w:gridSpan w:val="5"/>
            <w:tcMar>
              <w:top w:w="0" w:type="dxa"/>
              <w:left w:w="28" w:type="dxa"/>
              <w:bottom w:w="0" w:type="dxa"/>
              <w:right w:w="28" w:type="dxa"/>
            </w:tcMar>
            <w:hideMark/>
          </w:tcPr>
          <w:p w14:paraId="4330BDAC" w14:textId="77777777" w:rsidR="003E5345" w:rsidRPr="00704B78" w:rsidRDefault="003E5345" w:rsidP="006E2A77">
            <w:pPr>
              <w:pStyle w:val="Tabletext0"/>
              <w:keepNext/>
              <w:keepLines/>
              <w:rPr>
                <w:szCs w:val="20"/>
              </w:rPr>
            </w:pPr>
            <w:r w:rsidRPr="00704B78">
              <w:rPr>
                <w:b/>
                <w:bCs/>
                <w:szCs w:val="20"/>
              </w:rPr>
              <w:t>Discount rate (base case: 5% for benefits and costs)</w:t>
            </w:r>
          </w:p>
        </w:tc>
      </w:tr>
      <w:tr w:rsidR="00790C83" w:rsidRPr="00704B78" w14:paraId="71E50E70" w14:textId="77777777" w:rsidTr="00CC18C2">
        <w:tc>
          <w:tcPr>
            <w:tcW w:w="4323" w:type="dxa"/>
            <w:tcMar>
              <w:top w:w="0" w:type="dxa"/>
              <w:left w:w="28" w:type="dxa"/>
              <w:bottom w:w="0" w:type="dxa"/>
              <w:right w:w="28" w:type="dxa"/>
            </w:tcMar>
            <w:hideMark/>
          </w:tcPr>
          <w:p w14:paraId="7549D454" w14:textId="77777777" w:rsidR="003E5345" w:rsidRPr="00704B78" w:rsidRDefault="003E5345" w:rsidP="006E2A77">
            <w:pPr>
              <w:pStyle w:val="Tabletext0"/>
              <w:keepNext/>
              <w:keepLines/>
              <w:rPr>
                <w:szCs w:val="20"/>
              </w:rPr>
            </w:pPr>
            <w:r w:rsidRPr="00704B78">
              <w:rPr>
                <w:szCs w:val="20"/>
              </w:rPr>
              <w:t>3.5% discount rate</w:t>
            </w:r>
          </w:p>
        </w:tc>
        <w:tc>
          <w:tcPr>
            <w:tcW w:w="1174" w:type="dxa"/>
            <w:tcMar>
              <w:top w:w="0" w:type="dxa"/>
              <w:left w:w="28" w:type="dxa"/>
              <w:bottom w:w="0" w:type="dxa"/>
              <w:right w:w="28" w:type="dxa"/>
            </w:tcMar>
          </w:tcPr>
          <w:p w14:paraId="2C638C68" w14:textId="65AA79A0" w:rsidR="003E5345" w:rsidRPr="00DA2464"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020E4F39" w14:textId="77777777" w:rsidR="003E5345" w:rsidRPr="00704B78" w:rsidRDefault="003E5345" w:rsidP="006E2A77">
            <w:pPr>
              <w:pStyle w:val="Tabletext0"/>
              <w:keepNext/>
              <w:keepLines/>
              <w:jc w:val="center"/>
              <w:rPr>
                <w:szCs w:val="20"/>
              </w:rPr>
            </w:pPr>
            <w:r w:rsidRPr="00704B78">
              <w:rPr>
                <w:szCs w:val="20"/>
              </w:rPr>
              <w:t>0.7178</w:t>
            </w:r>
          </w:p>
        </w:tc>
        <w:tc>
          <w:tcPr>
            <w:tcW w:w="1172" w:type="dxa"/>
            <w:tcMar>
              <w:top w:w="0" w:type="dxa"/>
              <w:left w:w="28" w:type="dxa"/>
              <w:bottom w:w="0" w:type="dxa"/>
              <w:right w:w="28" w:type="dxa"/>
            </w:tcMar>
          </w:tcPr>
          <w:p w14:paraId="7A01DE39" w14:textId="09813E60"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0"/>
                <w14:textFill>
                  <w14:solidFill>
                    <w14:srgbClr w14:val="000000">
                      <w14:alpha w14:val="100000"/>
                    </w14:srgbClr>
                  </w14:solidFill>
                </w14:textFill>
              </w:rPr>
              <w:t xml:space="preserve">　</w:t>
            </w:r>
            <w:r w:rsidRPr="00875704">
              <w:rPr>
                <w:color w:val="000000"/>
                <w:w w:val="15"/>
                <w:szCs w:val="20"/>
                <w:shd w:val="solid" w:color="000000" w:fill="000000"/>
                <w:fitText w:val="25" w:id="-691349750"/>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0"/>
                <w14:textFill>
                  <w14:solidFill>
                    <w14:srgbClr w14:val="000000">
                      <w14:alpha w14:val="100000"/>
                    </w14:srgbClr>
                  </w14:solidFill>
                </w14:textFill>
              </w:rPr>
              <w:t xml:space="preserve">　</w:t>
            </w:r>
            <w:r w:rsidR="00C12260" w:rsidRPr="002B4BD6">
              <w:rPr>
                <w:b/>
                <w:bCs/>
                <w:szCs w:val="20"/>
                <w:vertAlign w:val="superscript"/>
              </w:rPr>
              <w:t>1</w:t>
            </w:r>
          </w:p>
        </w:tc>
        <w:tc>
          <w:tcPr>
            <w:tcW w:w="1186" w:type="dxa"/>
            <w:tcMar>
              <w:left w:w="28" w:type="dxa"/>
              <w:right w:w="28" w:type="dxa"/>
            </w:tcMar>
          </w:tcPr>
          <w:p w14:paraId="34B72A78" w14:textId="282913B6"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49"/>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49"/>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49"/>
                <w14:textFill>
                  <w14:solidFill>
                    <w14:srgbClr w14:val="000000">
                      <w14:alpha w14:val="100000"/>
                    </w14:srgbClr>
                  </w14:solidFill>
                </w14:textFill>
              </w:rPr>
              <w:t xml:space="preserve">　</w:t>
            </w:r>
            <w:r w:rsidRPr="00704B78">
              <w:rPr>
                <w:szCs w:val="20"/>
              </w:rPr>
              <w:t>%</w:t>
            </w:r>
          </w:p>
        </w:tc>
      </w:tr>
      <w:tr w:rsidR="00790C83" w:rsidRPr="00704B78" w14:paraId="6DBB857E" w14:textId="77777777" w:rsidTr="00CC18C2">
        <w:tc>
          <w:tcPr>
            <w:tcW w:w="4323" w:type="dxa"/>
            <w:tcMar>
              <w:top w:w="0" w:type="dxa"/>
              <w:left w:w="28" w:type="dxa"/>
              <w:bottom w:w="0" w:type="dxa"/>
              <w:right w:w="28" w:type="dxa"/>
            </w:tcMar>
            <w:hideMark/>
          </w:tcPr>
          <w:p w14:paraId="7B67DE83" w14:textId="77777777" w:rsidR="003E5345" w:rsidRPr="00704B78" w:rsidRDefault="003E5345" w:rsidP="006E2A77">
            <w:pPr>
              <w:pStyle w:val="Tabletext0"/>
              <w:keepNext/>
              <w:keepLines/>
              <w:rPr>
                <w:szCs w:val="20"/>
              </w:rPr>
            </w:pPr>
            <w:r w:rsidRPr="00704B78">
              <w:rPr>
                <w:szCs w:val="20"/>
              </w:rPr>
              <w:t>0% discount rate</w:t>
            </w:r>
          </w:p>
        </w:tc>
        <w:tc>
          <w:tcPr>
            <w:tcW w:w="1174" w:type="dxa"/>
            <w:tcMar>
              <w:top w:w="0" w:type="dxa"/>
              <w:left w:w="28" w:type="dxa"/>
              <w:bottom w:w="0" w:type="dxa"/>
              <w:right w:w="28" w:type="dxa"/>
            </w:tcMar>
          </w:tcPr>
          <w:p w14:paraId="5AD0434C" w14:textId="67BB754C" w:rsidR="003E5345" w:rsidRPr="00DA2464"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tcPr>
          <w:p w14:paraId="02B29042" w14:textId="77777777" w:rsidR="003E5345" w:rsidRPr="00704B78" w:rsidRDefault="003E5345" w:rsidP="006E2A77">
            <w:pPr>
              <w:pStyle w:val="Tabletext0"/>
              <w:keepNext/>
              <w:keepLines/>
              <w:jc w:val="center"/>
              <w:rPr>
                <w:szCs w:val="20"/>
              </w:rPr>
            </w:pPr>
            <w:r w:rsidRPr="00704B78">
              <w:rPr>
                <w:szCs w:val="20"/>
              </w:rPr>
              <w:t>0.8766</w:t>
            </w:r>
          </w:p>
        </w:tc>
        <w:tc>
          <w:tcPr>
            <w:tcW w:w="1172" w:type="dxa"/>
            <w:tcMar>
              <w:top w:w="0" w:type="dxa"/>
              <w:left w:w="28" w:type="dxa"/>
              <w:bottom w:w="0" w:type="dxa"/>
              <w:right w:w="28" w:type="dxa"/>
            </w:tcMar>
          </w:tcPr>
          <w:p w14:paraId="1754D8B2" w14:textId="54304CEE"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48"/>
                <w14:textFill>
                  <w14:solidFill>
                    <w14:srgbClr w14:val="000000">
                      <w14:alpha w14:val="100000"/>
                    </w14:srgbClr>
                  </w14:solidFill>
                </w14:textFill>
              </w:rPr>
              <w:t xml:space="preserve">　</w:t>
            </w:r>
            <w:r w:rsidRPr="00875704">
              <w:rPr>
                <w:color w:val="000000"/>
                <w:w w:val="15"/>
                <w:szCs w:val="20"/>
                <w:shd w:val="solid" w:color="000000" w:fill="000000"/>
                <w:fitText w:val="25" w:id="-691349748"/>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48"/>
                <w14:textFill>
                  <w14:solidFill>
                    <w14:srgbClr w14:val="000000">
                      <w14:alpha w14:val="100000"/>
                    </w14:srgbClr>
                  </w14:solidFill>
                </w14:textFill>
              </w:rPr>
              <w:t xml:space="preserve">　</w:t>
            </w:r>
            <w:r w:rsidR="00C12260" w:rsidRPr="00C12260">
              <w:rPr>
                <w:szCs w:val="20"/>
                <w:vertAlign w:val="superscript"/>
              </w:rPr>
              <w:t>2</w:t>
            </w:r>
          </w:p>
        </w:tc>
        <w:tc>
          <w:tcPr>
            <w:tcW w:w="1186" w:type="dxa"/>
            <w:tcMar>
              <w:left w:w="28" w:type="dxa"/>
              <w:right w:w="28" w:type="dxa"/>
            </w:tcMar>
          </w:tcPr>
          <w:p w14:paraId="2D09D84B" w14:textId="572C37F3"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47"/>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47"/>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47"/>
                <w14:textFill>
                  <w14:solidFill>
                    <w14:srgbClr w14:val="000000">
                      <w14:alpha w14:val="100000"/>
                    </w14:srgbClr>
                  </w14:solidFill>
                </w14:textFill>
              </w:rPr>
              <w:t xml:space="preserve">　</w:t>
            </w:r>
            <w:r w:rsidRPr="00704B78">
              <w:rPr>
                <w:szCs w:val="20"/>
              </w:rPr>
              <w:t>%</w:t>
            </w:r>
          </w:p>
        </w:tc>
      </w:tr>
      <w:tr w:rsidR="002E5080" w:rsidRPr="00704B78" w14:paraId="23BF0DAB" w14:textId="77777777" w:rsidTr="00CC18C2">
        <w:tc>
          <w:tcPr>
            <w:tcW w:w="9029" w:type="dxa"/>
            <w:gridSpan w:val="5"/>
            <w:tcMar>
              <w:top w:w="0" w:type="dxa"/>
              <w:left w:w="28" w:type="dxa"/>
              <w:bottom w:w="0" w:type="dxa"/>
              <w:right w:w="28" w:type="dxa"/>
            </w:tcMar>
            <w:vAlign w:val="center"/>
          </w:tcPr>
          <w:p w14:paraId="392035DC" w14:textId="77777777" w:rsidR="003E5345" w:rsidRPr="00704B78" w:rsidRDefault="003E5345" w:rsidP="006E2A77">
            <w:pPr>
              <w:pStyle w:val="Tabletext0"/>
              <w:keepNext/>
              <w:keepLines/>
              <w:rPr>
                <w:b/>
                <w:bCs/>
                <w:szCs w:val="20"/>
              </w:rPr>
            </w:pPr>
            <w:r w:rsidRPr="00704B78">
              <w:rPr>
                <w:b/>
                <w:bCs/>
                <w:szCs w:val="20"/>
              </w:rPr>
              <w:t>Circumstances of use (base case: ravulizumab dose intensity 91.7%; the discontinuation rate for responders in the ravulizumab arm was 1.46% per cycle [based on subgroup analysis of the CHAMPION-MG extension study] with a maximum duration of 8 years [assumption]; the discontinuation rate for responders to subsequent therapy was 68.38% per cycle based on an assumed maximum duration 1 year).</w:t>
            </w:r>
          </w:p>
        </w:tc>
      </w:tr>
      <w:tr w:rsidR="00010575" w:rsidRPr="00704B78" w14:paraId="5475BAA7" w14:textId="77777777" w:rsidTr="00CC18C2">
        <w:tc>
          <w:tcPr>
            <w:tcW w:w="4323" w:type="dxa"/>
            <w:tcMar>
              <w:top w:w="0" w:type="dxa"/>
              <w:left w:w="28" w:type="dxa"/>
              <w:bottom w:w="0" w:type="dxa"/>
              <w:right w:w="28" w:type="dxa"/>
            </w:tcMar>
            <w:vAlign w:val="center"/>
          </w:tcPr>
          <w:p w14:paraId="4E95424B" w14:textId="77777777" w:rsidR="003E5345" w:rsidRPr="00704B78" w:rsidRDefault="003E5345" w:rsidP="006E2A77">
            <w:pPr>
              <w:pStyle w:val="Tabletext0"/>
              <w:keepNext/>
              <w:keepLines/>
              <w:rPr>
                <w:szCs w:val="20"/>
              </w:rPr>
            </w:pPr>
            <w:r w:rsidRPr="00704B78">
              <w:rPr>
                <w:szCs w:val="20"/>
              </w:rPr>
              <w:t>Double ravulizumab discontinuation rate in first 8 years</w:t>
            </w:r>
          </w:p>
        </w:tc>
        <w:tc>
          <w:tcPr>
            <w:tcW w:w="1174" w:type="dxa"/>
            <w:tcMar>
              <w:top w:w="0" w:type="dxa"/>
              <w:left w:w="28" w:type="dxa"/>
              <w:bottom w:w="0" w:type="dxa"/>
              <w:right w:w="28" w:type="dxa"/>
            </w:tcMar>
            <w:vAlign w:val="center"/>
          </w:tcPr>
          <w:p w14:paraId="4F1D28D7" w14:textId="2045D4BD"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2CB48D22" w14:textId="77777777" w:rsidR="003E5345" w:rsidRPr="00704B78" w:rsidRDefault="003E5345" w:rsidP="006E2A77">
            <w:pPr>
              <w:pStyle w:val="Tabletext0"/>
              <w:keepNext/>
              <w:keepLines/>
              <w:jc w:val="center"/>
              <w:rPr>
                <w:szCs w:val="20"/>
              </w:rPr>
            </w:pPr>
            <w:r w:rsidRPr="00704B78">
              <w:rPr>
                <w:szCs w:val="20"/>
              </w:rPr>
              <w:t>0.4684</w:t>
            </w:r>
          </w:p>
        </w:tc>
        <w:tc>
          <w:tcPr>
            <w:tcW w:w="1172" w:type="dxa"/>
            <w:tcMar>
              <w:top w:w="0" w:type="dxa"/>
              <w:left w:w="28" w:type="dxa"/>
              <w:bottom w:w="0" w:type="dxa"/>
              <w:right w:w="28" w:type="dxa"/>
            </w:tcMar>
            <w:vAlign w:val="center"/>
          </w:tcPr>
          <w:p w14:paraId="259720B4" w14:textId="016D8749"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46"/>
                <w14:textFill>
                  <w14:solidFill>
                    <w14:srgbClr w14:val="000000">
                      <w14:alpha w14:val="100000"/>
                    </w14:srgbClr>
                  </w14:solidFill>
                </w14:textFill>
              </w:rPr>
              <w:t xml:space="preserve">　</w:t>
            </w:r>
            <w:r w:rsidRPr="00875704">
              <w:rPr>
                <w:color w:val="000000"/>
                <w:w w:val="15"/>
                <w:szCs w:val="20"/>
                <w:shd w:val="solid" w:color="000000" w:fill="000000"/>
                <w:fitText w:val="25" w:id="-691349746"/>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46"/>
                <w14:textFill>
                  <w14:solidFill>
                    <w14:srgbClr w14:val="000000">
                      <w14:alpha w14:val="100000"/>
                    </w14:srgbClr>
                  </w14:solidFill>
                </w14:textFill>
              </w:rPr>
              <w:t xml:space="preserve">　</w:t>
            </w:r>
            <w:r w:rsidR="00A9052E" w:rsidRPr="00147D7D">
              <w:rPr>
                <w:szCs w:val="20"/>
                <w:vertAlign w:val="superscript"/>
              </w:rPr>
              <w:t>3</w:t>
            </w:r>
          </w:p>
        </w:tc>
        <w:tc>
          <w:tcPr>
            <w:tcW w:w="1186" w:type="dxa"/>
            <w:tcMar>
              <w:left w:w="28" w:type="dxa"/>
              <w:right w:w="28" w:type="dxa"/>
            </w:tcMar>
            <w:vAlign w:val="center"/>
          </w:tcPr>
          <w:p w14:paraId="31CE5A94" w14:textId="06B7E6AD"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45"/>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45"/>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45"/>
                <w14:textFill>
                  <w14:solidFill>
                    <w14:srgbClr w14:val="000000">
                      <w14:alpha w14:val="100000"/>
                    </w14:srgbClr>
                  </w14:solidFill>
                </w14:textFill>
              </w:rPr>
              <w:t xml:space="preserve">　</w:t>
            </w:r>
            <w:r w:rsidRPr="00704B78">
              <w:rPr>
                <w:szCs w:val="20"/>
              </w:rPr>
              <w:t>%</w:t>
            </w:r>
          </w:p>
        </w:tc>
      </w:tr>
      <w:tr w:rsidR="00010575" w:rsidRPr="00704B78" w14:paraId="3EC99A8C" w14:textId="77777777" w:rsidTr="00CC18C2">
        <w:tc>
          <w:tcPr>
            <w:tcW w:w="4323" w:type="dxa"/>
            <w:tcMar>
              <w:top w:w="0" w:type="dxa"/>
              <w:left w:w="28" w:type="dxa"/>
              <w:bottom w:w="0" w:type="dxa"/>
              <w:right w:w="28" w:type="dxa"/>
            </w:tcMar>
            <w:vAlign w:val="center"/>
          </w:tcPr>
          <w:p w14:paraId="43867F2C" w14:textId="77777777" w:rsidR="003E5345" w:rsidRPr="00704B78" w:rsidRDefault="003E5345" w:rsidP="006E2A77">
            <w:pPr>
              <w:pStyle w:val="Tabletext0"/>
              <w:keepNext/>
              <w:keepLines/>
              <w:rPr>
                <w:szCs w:val="20"/>
              </w:rPr>
            </w:pPr>
            <w:r w:rsidRPr="00704B78">
              <w:rPr>
                <w:szCs w:val="20"/>
              </w:rPr>
              <w:t>Halve ravulizumab discontinuation rate in first 8 years</w:t>
            </w:r>
          </w:p>
        </w:tc>
        <w:tc>
          <w:tcPr>
            <w:tcW w:w="1174" w:type="dxa"/>
            <w:tcMar>
              <w:top w:w="0" w:type="dxa"/>
              <w:left w:w="28" w:type="dxa"/>
              <w:bottom w:w="0" w:type="dxa"/>
              <w:right w:w="28" w:type="dxa"/>
            </w:tcMar>
            <w:vAlign w:val="center"/>
          </w:tcPr>
          <w:p w14:paraId="19C9810C" w14:textId="05B32602"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62685677" w14:textId="77777777" w:rsidR="003E5345" w:rsidRPr="00704B78" w:rsidRDefault="003E5345" w:rsidP="006E2A77">
            <w:pPr>
              <w:pStyle w:val="Tabletext0"/>
              <w:keepNext/>
              <w:keepLines/>
              <w:jc w:val="center"/>
              <w:rPr>
                <w:szCs w:val="20"/>
              </w:rPr>
            </w:pPr>
            <w:r w:rsidRPr="00704B78">
              <w:rPr>
                <w:szCs w:val="20"/>
              </w:rPr>
              <w:t>0.7810</w:t>
            </w:r>
          </w:p>
        </w:tc>
        <w:tc>
          <w:tcPr>
            <w:tcW w:w="1172" w:type="dxa"/>
            <w:tcMar>
              <w:top w:w="0" w:type="dxa"/>
              <w:left w:w="28" w:type="dxa"/>
              <w:bottom w:w="0" w:type="dxa"/>
              <w:right w:w="28" w:type="dxa"/>
            </w:tcMar>
            <w:vAlign w:val="center"/>
          </w:tcPr>
          <w:p w14:paraId="57C9FA68" w14:textId="5FFAC583"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44"/>
                <w14:textFill>
                  <w14:solidFill>
                    <w14:srgbClr w14:val="000000">
                      <w14:alpha w14:val="100000"/>
                    </w14:srgbClr>
                  </w14:solidFill>
                </w14:textFill>
              </w:rPr>
              <w:t xml:space="preserve">　</w:t>
            </w:r>
            <w:r w:rsidRPr="00875704">
              <w:rPr>
                <w:color w:val="000000"/>
                <w:w w:val="15"/>
                <w:szCs w:val="20"/>
                <w:shd w:val="solid" w:color="000000" w:fill="000000"/>
                <w:fitText w:val="25" w:id="-691349744"/>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44"/>
                <w14:textFill>
                  <w14:solidFill>
                    <w14:srgbClr w14:val="000000">
                      <w14:alpha w14:val="100000"/>
                    </w14:srgbClr>
                  </w14:solidFill>
                </w14:textFill>
              </w:rPr>
              <w:t xml:space="preserve">　</w:t>
            </w:r>
            <w:r w:rsidR="00C12260" w:rsidRPr="002B4BD6">
              <w:rPr>
                <w:b/>
                <w:bCs/>
                <w:szCs w:val="20"/>
                <w:vertAlign w:val="superscript"/>
              </w:rPr>
              <w:t>1</w:t>
            </w:r>
          </w:p>
        </w:tc>
        <w:tc>
          <w:tcPr>
            <w:tcW w:w="1186" w:type="dxa"/>
            <w:tcMar>
              <w:left w:w="28" w:type="dxa"/>
              <w:right w:w="28" w:type="dxa"/>
            </w:tcMar>
            <w:vAlign w:val="center"/>
          </w:tcPr>
          <w:p w14:paraId="7A984630" w14:textId="11EDB783"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60"/>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60"/>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60"/>
                <w14:textFill>
                  <w14:solidFill>
                    <w14:srgbClr w14:val="000000">
                      <w14:alpha w14:val="100000"/>
                    </w14:srgbClr>
                  </w14:solidFill>
                </w14:textFill>
              </w:rPr>
              <w:t xml:space="preserve">　</w:t>
            </w:r>
            <w:r w:rsidRPr="00704B78">
              <w:rPr>
                <w:szCs w:val="20"/>
              </w:rPr>
              <w:t>%</w:t>
            </w:r>
          </w:p>
        </w:tc>
      </w:tr>
      <w:tr w:rsidR="002E5080" w:rsidRPr="00704B78" w14:paraId="659B7635" w14:textId="77777777" w:rsidTr="00CC18C2">
        <w:tc>
          <w:tcPr>
            <w:tcW w:w="9029" w:type="dxa"/>
            <w:gridSpan w:val="5"/>
            <w:tcMar>
              <w:top w:w="0" w:type="dxa"/>
              <w:left w:w="28" w:type="dxa"/>
              <w:bottom w:w="0" w:type="dxa"/>
              <w:right w:w="28" w:type="dxa"/>
            </w:tcMar>
            <w:vAlign w:val="center"/>
          </w:tcPr>
          <w:p w14:paraId="73858DBD" w14:textId="77777777" w:rsidR="003E5345" w:rsidRPr="00704B78" w:rsidRDefault="003E5345" w:rsidP="006E2A77">
            <w:pPr>
              <w:pStyle w:val="Tabletext0"/>
              <w:keepNext/>
              <w:keepLines/>
              <w:rPr>
                <w:b/>
                <w:bCs/>
                <w:szCs w:val="20"/>
              </w:rPr>
            </w:pPr>
            <w:r w:rsidRPr="00704B78">
              <w:rPr>
                <w:b/>
                <w:bCs/>
                <w:szCs w:val="20"/>
              </w:rPr>
              <w:t>Loss of response (base case: loss of response was assumed to be 9.58% per cycle for all placebo patients and patients in the ravulizumab arm who achieved a pharmacological remission at 8 years)</w:t>
            </w:r>
          </w:p>
        </w:tc>
      </w:tr>
      <w:tr w:rsidR="00010575" w:rsidRPr="00704B78" w14:paraId="5DD7DA00" w14:textId="77777777" w:rsidTr="00CC18C2">
        <w:tc>
          <w:tcPr>
            <w:tcW w:w="4323" w:type="dxa"/>
            <w:tcMar>
              <w:top w:w="0" w:type="dxa"/>
              <w:left w:w="28" w:type="dxa"/>
              <w:bottom w:w="0" w:type="dxa"/>
              <w:right w:w="28" w:type="dxa"/>
            </w:tcMar>
            <w:vAlign w:val="center"/>
          </w:tcPr>
          <w:p w14:paraId="1812B47C" w14:textId="77777777" w:rsidR="003E5345" w:rsidRPr="00704B78" w:rsidRDefault="003E5345" w:rsidP="006E2A77">
            <w:pPr>
              <w:pStyle w:val="Tabletext0"/>
              <w:keepNext/>
              <w:keepLines/>
              <w:rPr>
                <w:szCs w:val="20"/>
              </w:rPr>
            </w:pPr>
            <w:r w:rsidRPr="00704B78">
              <w:rPr>
                <w:szCs w:val="20"/>
              </w:rPr>
              <w:t>Double probability of loss of response</w:t>
            </w:r>
          </w:p>
        </w:tc>
        <w:tc>
          <w:tcPr>
            <w:tcW w:w="1174" w:type="dxa"/>
            <w:tcMar>
              <w:top w:w="0" w:type="dxa"/>
              <w:left w:w="28" w:type="dxa"/>
              <w:bottom w:w="0" w:type="dxa"/>
              <w:right w:w="28" w:type="dxa"/>
            </w:tcMar>
            <w:vAlign w:val="center"/>
          </w:tcPr>
          <w:p w14:paraId="20A2BBBC" w14:textId="4457705D"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1E08E81A" w14:textId="77777777" w:rsidR="003E5345" w:rsidRPr="00704B78" w:rsidRDefault="003E5345" w:rsidP="006E2A77">
            <w:pPr>
              <w:pStyle w:val="Tabletext0"/>
              <w:keepNext/>
              <w:keepLines/>
              <w:jc w:val="center"/>
              <w:rPr>
                <w:szCs w:val="20"/>
              </w:rPr>
            </w:pPr>
            <w:r w:rsidRPr="00704B78">
              <w:rPr>
                <w:szCs w:val="20"/>
              </w:rPr>
              <w:t>0.7383</w:t>
            </w:r>
          </w:p>
        </w:tc>
        <w:tc>
          <w:tcPr>
            <w:tcW w:w="1172" w:type="dxa"/>
            <w:tcMar>
              <w:top w:w="0" w:type="dxa"/>
              <w:left w:w="28" w:type="dxa"/>
              <w:bottom w:w="0" w:type="dxa"/>
              <w:right w:w="28" w:type="dxa"/>
            </w:tcMar>
            <w:vAlign w:val="center"/>
          </w:tcPr>
          <w:p w14:paraId="56BCE7E3" w14:textId="650CF1FE"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9"/>
                <w14:textFill>
                  <w14:solidFill>
                    <w14:srgbClr w14:val="000000">
                      <w14:alpha w14:val="100000"/>
                    </w14:srgbClr>
                  </w14:solidFill>
                </w14:textFill>
              </w:rPr>
              <w:t xml:space="preserve">　</w:t>
            </w:r>
            <w:r w:rsidRPr="00875704">
              <w:rPr>
                <w:color w:val="000000"/>
                <w:w w:val="15"/>
                <w:szCs w:val="20"/>
                <w:shd w:val="solid" w:color="000000" w:fill="000000"/>
                <w:fitText w:val="25" w:id="-691349759"/>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9"/>
                <w14:textFill>
                  <w14:solidFill>
                    <w14:srgbClr w14:val="000000">
                      <w14:alpha w14:val="100000"/>
                    </w14:srgbClr>
                  </w14:solidFill>
                </w14:textFill>
              </w:rPr>
              <w:t xml:space="preserve">　</w:t>
            </w:r>
            <w:r w:rsidR="00297EF5" w:rsidRPr="00C12260">
              <w:rPr>
                <w:szCs w:val="20"/>
                <w:vertAlign w:val="superscript"/>
              </w:rPr>
              <w:t>2</w:t>
            </w:r>
          </w:p>
        </w:tc>
        <w:tc>
          <w:tcPr>
            <w:tcW w:w="1186" w:type="dxa"/>
            <w:tcMar>
              <w:left w:w="28" w:type="dxa"/>
              <w:right w:w="28" w:type="dxa"/>
            </w:tcMar>
            <w:vAlign w:val="center"/>
          </w:tcPr>
          <w:p w14:paraId="2818E361" w14:textId="32C3E648"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58"/>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58"/>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58"/>
                <w14:textFill>
                  <w14:solidFill>
                    <w14:srgbClr w14:val="000000">
                      <w14:alpha w14:val="100000"/>
                    </w14:srgbClr>
                  </w14:solidFill>
                </w14:textFill>
              </w:rPr>
              <w:t xml:space="preserve">　</w:t>
            </w:r>
            <w:r w:rsidRPr="00704B78">
              <w:rPr>
                <w:szCs w:val="20"/>
              </w:rPr>
              <w:t>%</w:t>
            </w:r>
          </w:p>
        </w:tc>
      </w:tr>
      <w:tr w:rsidR="00010575" w:rsidRPr="00704B78" w14:paraId="786C93C8" w14:textId="77777777" w:rsidTr="00CC18C2">
        <w:tc>
          <w:tcPr>
            <w:tcW w:w="4323" w:type="dxa"/>
            <w:tcMar>
              <w:top w:w="0" w:type="dxa"/>
              <w:left w:w="28" w:type="dxa"/>
              <w:bottom w:w="0" w:type="dxa"/>
              <w:right w:w="28" w:type="dxa"/>
            </w:tcMar>
            <w:vAlign w:val="center"/>
          </w:tcPr>
          <w:p w14:paraId="3CD32311" w14:textId="77777777" w:rsidR="003E5345" w:rsidRPr="00704B78" w:rsidRDefault="003E5345" w:rsidP="006E2A77">
            <w:pPr>
              <w:pStyle w:val="Tabletext0"/>
              <w:keepNext/>
              <w:keepLines/>
              <w:rPr>
                <w:szCs w:val="20"/>
              </w:rPr>
            </w:pPr>
            <w:r w:rsidRPr="00704B78">
              <w:rPr>
                <w:szCs w:val="20"/>
              </w:rPr>
              <w:t>Halve probability of loss of response</w:t>
            </w:r>
          </w:p>
        </w:tc>
        <w:tc>
          <w:tcPr>
            <w:tcW w:w="1174" w:type="dxa"/>
            <w:tcMar>
              <w:top w:w="0" w:type="dxa"/>
              <w:left w:w="28" w:type="dxa"/>
              <w:bottom w:w="0" w:type="dxa"/>
              <w:right w:w="28" w:type="dxa"/>
            </w:tcMar>
            <w:vAlign w:val="center"/>
          </w:tcPr>
          <w:p w14:paraId="0AF520B1" w14:textId="2593A588"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78F3CDC9" w14:textId="77777777" w:rsidR="003E5345" w:rsidRPr="00704B78" w:rsidRDefault="003E5345" w:rsidP="006E2A77">
            <w:pPr>
              <w:pStyle w:val="Tabletext0"/>
              <w:keepNext/>
              <w:keepLines/>
              <w:jc w:val="center"/>
              <w:rPr>
                <w:szCs w:val="20"/>
              </w:rPr>
            </w:pPr>
            <w:r w:rsidRPr="00704B78">
              <w:rPr>
                <w:szCs w:val="20"/>
              </w:rPr>
              <w:t>0.5187</w:t>
            </w:r>
          </w:p>
        </w:tc>
        <w:tc>
          <w:tcPr>
            <w:tcW w:w="1172" w:type="dxa"/>
            <w:tcMar>
              <w:top w:w="0" w:type="dxa"/>
              <w:left w:w="28" w:type="dxa"/>
              <w:bottom w:w="0" w:type="dxa"/>
              <w:right w:w="28" w:type="dxa"/>
            </w:tcMar>
            <w:vAlign w:val="center"/>
          </w:tcPr>
          <w:p w14:paraId="3C2A8DA8" w14:textId="48975E80"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7"/>
                <w14:textFill>
                  <w14:solidFill>
                    <w14:srgbClr w14:val="000000">
                      <w14:alpha w14:val="100000"/>
                    </w14:srgbClr>
                  </w14:solidFill>
                </w14:textFill>
              </w:rPr>
              <w:t xml:space="preserve">　</w:t>
            </w:r>
            <w:r w:rsidRPr="00875704">
              <w:rPr>
                <w:color w:val="000000"/>
                <w:w w:val="15"/>
                <w:szCs w:val="20"/>
                <w:shd w:val="solid" w:color="000000" w:fill="000000"/>
                <w:fitText w:val="25" w:id="-691349757"/>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7"/>
                <w14:textFill>
                  <w14:solidFill>
                    <w14:srgbClr w14:val="000000">
                      <w14:alpha w14:val="100000"/>
                    </w14:srgbClr>
                  </w14:solidFill>
                </w14:textFill>
              </w:rPr>
              <w:t xml:space="preserve">　</w:t>
            </w:r>
            <w:r w:rsidR="00336F75" w:rsidRPr="00336F75">
              <w:rPr>
                <w:szCs w:val="20"/>
                <w:vertAlign w:val="superscript"/>
              </w:rPr>
              <w:t>4</w:t>
            </w:r>
          </w:p>
        </w:tc>
        <w:tc>
          <w:tcPr>
            <w:tcW w:w="1186" w:type="dxa"/>
            <w:tcMar>
              <w:left w:w="28" w:type="dxa"/>
              <w:right w:w="28" w:type="dxa"/>
            </w:tcMar>
            <w:vAlign w:val="center"/>
          </w:tcPr>
          <w:p w14:paraId="478946C3" w14:textId="256D463B"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56"/>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56"/>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56"/>
                <w14:textFill>
                  <w14:solidFill>
                    <w14:srgbClr w14:val="000000">
                      <w14:alpha w14:val="100000"/>
                    </w14:srgbClr>
                  </w14:solidFill>
                </w14:textFill>
              </w:rPr>
              <w:t xml:space="preserve">　</w:t>
            </w:r>
            <w:r w:rsidRPr="00704B78">
              <w:rPr>
                <w:szCs w:val="20"/>
              </w:rPr>
              <w:t>%</w:t>
            </w:r>
          </w:p>
        </w:tc>
      </w:tr>
      <w:tr w:rsidR="001A0130" w:rsidRPr="00704B78" w14:paraId="054E7ECD" w14:textId="77777777" w:rsidTr="00CC18C2">
        <w:tc>
          <w:tcPr>
            <w:tcW w:w="9029" w:type="dxa"/>
            <w:gridSpan w:val="5"/>
            <w:tcMar>
              <w:top w:w="0" w:type="dxa"/>
              <w:left w:w="28" w:type="dxa"/>
              <w:bottom w:w="0" w:type="dxa"/>
              <w:right w:w="28" w:type="dxa"/>
            </w:tcMar>
          </w:tcPr>
          <w:p w14:paraId="7EF7D90B" w14:textId="77777777" w:rsidR="003E5345" w:rsidRPr="00704B78" w:rsidRDefault="003E5345" w:rsidP="006E2A77">
            <w:pPr>
              <w:pStyle w:val="Tabletext0"/>
              <w:keepNext/>
              <w:keepLines/>
              <w:rPr>
                <w:b/>
                <w:bCs/>
                <w:szCs w:val="20"/>
              </w:rPr>
            </w:pPr>
            <w:r w:rsidRPr="00704B78">
              <w:rPr>
                <w:b/>
                <w:bCs/>
                <w:szCs w:val="20"/>
              </w:rPr>
              <w:t>Utility values (base case: first-line treatment initiator utility values based on baseline EQ-5D-5L scores from the treatment refractory subgroup in the CHAMPION-MG trial, first-line treatment responder and non-responder utility values for each treatment arm based on change in EQ-5D-5L at Week 12 using an MMRM analysis in the treatment refractory subgroup in the CHAMPION-MG trial; subsequent-line responder utility values assumed to be the same as mild disease and subsequent-line non-responder utility values assumed to be the same as moderate-to-severe disease)</w:t>
            </w:r>
          </w:p>
        </w:tc>
      </w:tr>
      <w:tr w:rsidR="00010575" w:rsidRPr="00704B78" w14:paraId="765FCA8B" w14:textId="77777777" w:rsidTr="00CC18C2">
        <w:tc>
          <w:tcPr>
            <w:tcW w:w="4323" w:type="dxa"/>
            <w:tcMar>
              <w:top w:w="0" w:type="dxa"/>
              <w:left w:w="28" w:type="dxa"/>
              <w:bottom w:w="0" w:type="dxa"/>
              <w:right w:w="28" w:type="dxa"/>
            </w:tcMar>
          </w:tcPr>
          <w:p w14:paraId="2F631F11" w14:textId="77777777" w:rsidR="003E5345" w:rsidRPr="00704B78" w:rsidRDefault="003E5345" w:rsidP="006E2A77">
            <w:pPr>
              <w:pStyle w:val="Tabletext0"/>
              <w:keepNext/>
              <w:keepLines/>
              <w:rPr>
                <w:szCs w:val="20"/>
              </w:rPr>
            </w:pPr>
            <w:r w:rsidRPr="00704B78">
              <w:rPr>
                <w:szCs w:val="20"/>
              </w:rPr>
              <w:t>Treatment initiator utility increased by 5% (0.788)</w:t>
            </w:r>
          </w:p>
        </w:tc>
        <w:tc>
          <w:tcPr>
            <w:tcW w:w="1174" w:type="dxa"/>
            <w:tcMar>
              <w:top w:w="0" w:type="dxa"/>
              <w:left w:w="28" w:type="dxa"/>
              <w:bottom w:w="0" w:type="dxa"/>
              <w:right w:w="28" w:type="dxa"/>
            </w:tcMar>
            <w:vAlign w:val="center"/>
          </w:tcPr>
          <w:p w14:paraId="08ABA98B" w14:textId="3AF92ED9"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3C93EF38" w14:textId="77777777" w:rsidR="003E5345" w:rsidRPr="00704B78" w:rsidRDefault="003E5345" w:rsidP="006E2A77">
            <w:pPr>
              <w:pStyle w:val="Tabletext0"/>
              <w:keepNext/>
              <w:keepLines/>
              <w:jc w:val="center"/>
              <w:rPr>
                <w:szCs w:val="20"/>
              </w:rPr>
            </w:pPr>
            <w:r w:rsidRPr="00704B78">
              <w:rPr>
                <w:szCs w:val="20"/>
              </w:rPr>
              <w:t>0.7472</w:t>
            </w:r>
          </w:p>
        </w:tc>
        <w:tc>
          <w:tcPr>
            <w:tcW w:w="1172" w:type="dxa"/>
            <w:tcMar>
              <w:top w:w="0" w:type="dxa"/>
              <w:left w:w="28" w:type="dxa"/>
              <w:bottom w:w="0" w:type="dxa"/>
              <w:right w:w="28" w:type="dxa"/>
            </w:tcMar>
            <w:vAlign w:val="center"/>
          </w:tcPr>
          <w:p w14:paraId="124D1A41" w14:textId="068F4AE6"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5"/>
                <w14:textFill>
                  <w14:solidFill>
                    <w14:srgbClr w14:val="000000">
                      <w14:alpha w14:val="100000"/>
                    </w14:srgbClr>
                  </w14:solidFill>
                </w14:textFill>
              </w:rPr>
              <w:t xml:space="preserve">　</w:t>
            </w:r>
            <w:r w:rsidRPr="00875704">
              <w:rPr>
                <w:color w:val="000000"/>
                <w:w w:val="15"/>
                <w:szCs w:val="20"/>
                <w:shd w:val="solid" w:color="000000" w:fill="000000"/>
                <w:fitText w:val="25" w:id="-691349755"/>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5"/>
                <w14:textFill>
                  <w14:solidFill>
                    <w14:srgbClr w14:val="000000">
                      <w14:alpha w14:val="100000"/>
                    </w14:srgbClr>
                  </w14:solidFill>
                </w14:textFill>
              </w:rPr>
              <w:t xml:space="preserve">　</w:t>
            </w:r>
            <w:r w:rsidR="00297EF5" w:rsidRPr="00C12260">
              <w:rPr>
                <w:szCs w:val="20"/>
                <w:vertAlign w:val="superscript"/>
              </w:rPr>
              <w:t>2</w:t>
            </w:r>
          </w:p>
        </w:tc>
        <w:tc>
          <w:tcPr>
            <w:tcW w:w="1186" w:type="dxa"/>
            <w:tcMar>
              <w:left w:w="28" w:type="dxa"/>
              <w:right w:w="28" w:type="dxa"/>
            </w:tcMar>
            <w:vAlign w:val="center"/>
          </w:tcPr>
          <w:p w14:paraId="32F4DA19" w14:textId="1B7A6A4B"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54"/>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54"/>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54"/>
                <w14:textFill>
                  <w14:solidFill>
                    <w14:srgbClr w14:val="000000">
                      <w14:alpha w14:val="100000"/>
                    </w14:srgbClr>
                  </w14:solidFill>
                </w14:textFill>
              </w:rPr>
              <w:t xml:space="preserve">　</w:t>
            </w:r>
            <w:r w:rsidRPr="00704B78">
              <w:rPr>
                <w:szCs w:val="20"/>
              </w:rPr>
              <w:t>%</w:t>
            </w:r>
          </w:p>
        </w:tc>
      </w:tr>
      <w:tr w:rsidR="00010575" w:rsidRPr="00704B78" w14:paraId="2BE2AFE4" w14:textId="77777777" w:rsidTr="00CC18C2">
        <w:tc>
          <w:tcPr>
            <w:tcW w:w="4323" w:type="dxa"/>
            <w:tcMar>
              <w:top w:w="0" w:type="dxa"/>
              <w:left w:w="28" w:type="dxa"/>
              <w:bottom w:w="0" w:type="dxa"/>
              <w:right w:w="28" w:type="dxa"/>
            </w:tcMar>
          </w:tcPr>
          <w:p w14:paraId="53EA320D" w14:textId="77777777" w:rsidR="003E5345" w:rsidRPr="00704B78" w:rsidRDefault="003E5345" w:rsidP="006E2A77">
            <w:pPr>
              <w:pStyle w:val="Tabletext0"/>
              <w:keepNext/>
              <w:keepLines/>
              <w:rPr>
                <w:szCs w:val="20"/>
              </w:rPr>
            </w:pPr>
            <w:r w:rsidRPr="00704B78">
              <w:rPr>
                <w:szCs w:val="20"/>
              </w:rPr>
              <w:t>Treatment initiator utility decreased by 5% (0.714)</w:t>
            </w:r>
          </w:p>
        </w:tc>
        <w:tc>
          <w:tcPr>
            <w:tcW w:w="1174" w:type="dxa"/>
            <w:tcMar>
              <w:top w:w="0" w:type="dxa"/>
              <w:left w:w="28" w:type="dxa"/>
              <w:bottom w:w="0" w:type="dxa"/>
              <w:right w:w="28" w:type="dxa"/>
            </w:tcMar>
            <w:vAlign w:val="center"/>
          </w:tcPr>
          <w:p w14:paraId="5A8F0ACB" w14:textId="3089569F"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3C9DE111" w14:textId="77777777" w:rsidR="003E5345" w:rsidRPr="00704B78" w:rsidRDefault="003E5345" w:rsidP="006E2A77">
            <w:pPr>
              <w:pStyle w:val="Tabletext0"/>
              <w:keepNext/>
              <w:keepLines/>
              <w:jc w:val="center"/>
              <w:rPr>
                <w:szCs w:val="20"/>
              </w:rPr>
            </w:pPr>
            <w:r w:rsidRPr="00704B78">
              <w:rPr>
                <w:szCs w:val="20"/>
              </w:rPr>
              <w:t>0.5817</w:t>
            </w:r>
          </w:p>
        </w:tc>
        <w:tc>
          <w:tcPr>
            <w:tcW w:w="1172" w:type="dxa"/>
            <w:tcMar>
              <w:top w:w="0" w:type="dxa"/>
              <w:left w:w="28" w:type="dxa"/>
              <w:bottom w:w="0" w:type="dxa"/>
              <w:right w:w="28" w:type="dxa"/>
            </w:tcMar>
            <w:vAlign w:val="center"/>
          </w:tcPr>
          <w:p w14:paraId="0FD0226B" w14:textId="3C6A3317"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3"/>
                <w14:textFill>
                  <w14:solidFill>
                    <w14:srgbClr w14:val="000000">
                      <w14:alpha w14:val="100000"/>
                    </w14:srgbClr>
                  </w14:solidFill>
                </w14:textFill>
              </w:rPr>
              <w:t xml:space="preserve">　</w:t>
            </w:r>
            <w:r w:rsidRPr="00875704">
              <w:rPr>
                <w:color w:val="000000"/>
                <w:w w:val="15"/>
                <w:szCs w:val="20"/>
                <w:shd w:val="solid" w:color="000000" w:fill="000000"/>
                <w:fitText w:val="25" w:id="-691349753"/>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3"/>
                <w14:textFill>
                  <w14:solidFill>
                    <w14:srgbClr w14:val="000000">
                      <w14:alpha w14:val="100000"/>
                    </w14:srgbClr>
                  </w14:solidFill>
                </w14:textFill>
              </w:rPr>
              <w:t xml:space="preserve">　</w:t>
            </w:r>
            <w:r w:rsidR="00147D7D" w:rsidRPr="00147D7D">
              <w:rPr>
                <w:szCs w:val="20"/>
                <w:vertAlign w:val="superscript"/>
              </w:rPr>
              <w:t>3</w:t>
            </w:r>
          </w:p>
        </w:tc>
        <w:tc>
          <w:tcPr>
            <w:tcW w:w="1186" w:type="dxa"/>
            <w:tcMar>
              <w:left w:w="28" w:type="dxa"/>
              <w:right w:w="28" w:type="dxa"/>
            </w:tcMar>
            <w:vAlign w:val="center"/>
          </w:tcPr>
          <w:p w14:paraId="3EC52329" w14:textId="0681936E"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52"/>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52"/>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52"/>
                <w14:textFill>
                  <w14:solidFill>
                    <w14:srgbClr w14:val="000000">
                      <w14:alpha w14:val="100000"/>
                    </w14:srgbClr>
                  </w14:solidFill>
                </w14:textFill>
              </w:rPr>
              <w:t xml:space="preserve">　</w:t>
            </w:r>
            <w:r w:rsidRPr="00704B78">
              <w:rPr>
                <w:szCs w:val="20"/>
              </w:rPr>
              <w:t>%</w:t>
            </w:r>
          </w:p>
        </w:tc>
      </w:tr>
      <w:tr w:rsidR="00010575" w:rsidRPr="00704B78" w14:paraId="62F8FB8E" w14:textId="77777777" w:rsidTr="00CC18C2">
        <w:tc>
          <w:tcPr>
            <w:tcW w:w="4323" w:type="dxa"/>
            <w:tcMar>
              <w:top w:w="0" w:type="dxa"/>
              <w:left w:w="28" w:type="dxa"/>
              <w:bottom w:w="0" w:type="dxa"/>
              <w:right w:w="28" w:type="dxa"/>
            </w:tcMar>
          </w:tcPr>
          <w:p w14:paraId="3282890F" w14:textId="77777777" w:rsidR="003E5345" w:rsidRPr="00704B78" w:rsidRDefault="003E5345" w:rsidP="006E2A77">
            <w:pPr>
              <w:pStyle w:val="Tabletext0"/>
              <w:keepNext/>
              <w:keepLines/>
              <w:rPr>
                <w:szCs w:val="20"/>
              </w:rPr>
            </w:pPr>
            <w:r w:rsidRPr="00704B78">
              <w:rPr>
                <w:szCs w:val="20"/>
              </w:rPr>
              <w:t xml:space="preserve">Use first-line responder (0.880) and non-responder </w:t>
            </w:r>
            <w:r w:rsidRPr="00704B78">
              <w:rPr>
                <w:szCs w:val="20"/>
              </w:rPr>
              <w:br/>
              <w:t>(0.749) values based on pooled estimates from both treatment arms (MMRM analysis)</w:t>
            </w:r>
          </w:p>
        </w:tc>
        <w:tc>
          <w:tcPr>
            <w:tcW w:w="1174" w:type="dxa"/>
            <w:tcMar>
              <w:top w:w="0" w:type="dxa"/>
              <w:left w:w="28" w:type="dxa"/>
              <w:bottom w:w="0" w:type="dxa"/>
              <w:right w:w="28" w:type="dxa"/>
            </w:tcMar>
            <w:vAlign w:val="center"/>
          </w:tcPr>
          <w:p w14:paraId="54D0C603" w14:textId="521DE2DB"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68493874" w14:textId="77777777" w:rsidR="003E5345" w:rsidRPr="00704B78" w:rsidRDefault="003E5345" w:rsidP="006E2A77">
            <w:pPr>
              <w:pStyle w:val="Tabletext0"/>
              <w:keepNext/>
              <w:keepLines/>
              <w:jc w:val="center"/>
              <w:rPr>
                <w:szCs w:val="20"/>
              </w:rPr>
            </w:pPr>
            <w:r w:rsidRPr="00704B78">
              <w:rPr>
                <w:szCs w:val="20"/>
              </w:rPr>
              <w:t>0.6638</w:t>
            </w:r>
          </w:p>
        </w:tc>
        <w:tc>
          <w:tcPr>
            <w:tcW w:w="1172" w:type="dxa"/>
            <w:tcMar>
              <w:top w:w="0" w:type="dxa"/>
              <w:left w:w="28" w:type="dxa"/>
              <w:bottom w:w="0" w:type="dxa"/>
              <w:right w:w="28" w:type="dxa"/>
            </w:tcMar>
            <w:vAlign w:val="center"/>
          </w:tcPr>
          <w:p w14:paraId="5C07B266" w14:textId="5D0398DA"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51"/>
                <w14:textFill>
                  <w14:solidFill>
                    <w14:srgbClr w14:val="000000">
                      <w14:alpha w14:val="100000"/>
                    </w14:srgbClr>
                  </w14:solidFill>
                </w14:textFill>
              </w:rPr>
              <w:t xml:space="preserve">　</w:t>
            </w:r>
            <w:r w:rsidRPr="00875704">
              <w:rPr>
                <w:color w:val="000000"/>
                <w:w w:val="15"/>
                <w:szCs w:val="20"/>
                <w:shd w:val="solid" w:color="000000" w:fill="000000"/>
                <w:fitText w:val="25" w:id="-691349751"/>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51"/>
                <w14:textFill>
                  <w14:solidFill>
                    <w14:srgbClr w14:val="000000">
                      <w14:alpha w14:val="100000"/>
                    </w14:srgbClr>
                  </w14:solidFill>
                </w14:textFill>
              </w:rPr>
              <w:t xml:space="preserve">　</w:t>
            </w:r>
            <w:r w:rsidR="00C12260" w:rsidRPr="002B4BD6">
              <w:rPr>
                <w:b/>
                <w:bCs/>
                <w:szCs w:val="20"/>
                <w:vertAlign w:val="superscript"/>
              </w:rPr>
              <w:t>1</w:t>
            </w:r>
          </w:p>
        </w:tc>
        <w:tc>
          <w:tcPr>
            <w:tcW w:w="1186" w:type="dxa"/>
            <w:tcMar>
              <w:left w:w="28" w:type="dxa"/>
              <w:right w:w="28" w:type="dxa"/>
            </w:tcMar>
            <w:vAlign w:val="center"/>
          </w:tcPr>
          <w:p w14:paraId="2E53E15A" w14:textId="4C838B13"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16"/>
                <w:szCs w:val="20"/>
                <w:shd w:val="solid" w:color="000000" w:fill="000000"/>
                <w:fitText w:val="75" w:id="-691349750"/>
                <w14:textFill>
                  <w14:solidFill>
                    <w14:srgbClr w14:val="000000">
                      <w14:alpha w14:val="100000"/>
                    </w14:srgbClr>
                  </w14:solidFill>
                </w14:textFill>
              </w:rPr>
              <w:t xml:space="preserve">　</w:t>
            </w:r>
            <w:r w:rsidR="00F555BD" w:rsidRPr="00F555BD">
              <w:rPr>
                <w:color w:val="000000"/>
                <w:w w:val="16"/>
                <w:szCs w:val="20"/>
                <w:shd w:val="solid" w:color="000000" w:fill="000000"/>
                <w:fitText w:val="75" w:id="-691349750"/>
                <w14:textFill>
                  <w14:solidFill>
                    <w14:srgbClr w14:val="000000">
                      <w14:alpha w14:val="100000"/>
                    </w14:srgbClr>
                  </w14:solidFill>
                </w14:textFill>
              </w:rPr>
              <w:t>|</w:t>
            </w:r>
            <w:r w:rsidR="00F555BD" w:rsidRPr="00F555BD">
              <w:rPr>
                <w:rFonts w:hint="eastAsia"/>
                <w:color w:val="000000"/>
                <w:w w:val="16"/>
                <w:szCs w:val="20"/>
                <w:shd w:val="solid" w:color="000000" w:fill="000000"/>
                <w:fitText w:val="75" w:id="-691349750"/>
                <w14:textFill>
                  <w14:solidFill>
                    <w14:srgbClr w14:val="000000">
                      <w14:alpha w14:val="100000"/>
                    </w14:srgbClr>
                  </w14:solidFill>
                </w14:textFill>
              </w:rPr>
              <w:t xml:space="preserve">　</w:t>
            </w:r>
            <w:r w:rsidRPr="00704B78">
              <w:rPr>
                <w:szCs w:val="20"/>
              </w:rPr>
              <w:t>%</w:t>
            </w:r>
          </w:p>
        </w:tc>
      </w:tr>
      <w:tr w:rsidR="00010575" w:rsidRPr="00704B78" w14:paraId="2E420F33" w14:textId="77777777" w:rsidTr="00CC18C2">
        <w:tc>
          <w:tcPr>
            <w:tcW w:w="4323" w:type="dxa"/>
            <w:tcMar>
              <w:top w:w="0" w:type="dxa"/>
              <w:left w:w="28" w:type="dxa"/>
              <w:bottom w:w="0" w:type="dxa"/>
              <w:right w:w="28" w:type="dxa"/>
            </w:tcMar>
          </w:tcPr>
          <w:p w14:paraId="04D769D4" w14:textId="77777777" w:rsidR="003E5345" w:rsidRPr="00704B78" w:rsidRDefault="003E5345" w:rsidP="006E2A77">
            <w:pPr>
              <w:pStyle w:val="Tabletext0"/>
              <w:keepNext/>
              <w:keepLines/>
              <w:rPr>
                <w:szCs w:val="20"/>
              </w:rPr>
            </w:pPr>
            <w:r w:rsidRPr="00704B78">
              <w:rPr>
                <w:szCs w:val="20"/>
              </w:rPr>
              <w:t xml:space="preserve">Use first-line responder (0.841) and non-responder </w:t>
            </w:r>
            <w:r w:rsidRPr="00704B78">
              <w:rPr>
                <w:szCs w:val="20"/>
              </w:rPr>
              <w:br/>
              <w:t>(0.754) values based on pooled estimates from both treatment arms (regression panel analysis)</w:t>
            </w:r>
          </w:p>
        </w:tc>
        <w:tc>
          <w:tcPr>
            <w:tcW w:w="1174" w:type="dxa"/>
            <w:tcMar>
              <w:top w:w="0" w:type="dxa"/>
              <w:left w:w="28" w:type="dxa"/>
              <w:bottom w:w="0" w:type="dxa"/>
              <w:right w:w="28" w:type="dxa"/>
            </w:tcMar>
            <w:vAlign w:val="center"/>
          </w:tcPr>
          <w:p w14:paraId="5703AB6D" w14:textId="1877558C"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42D46464" w14:textId="77777777" w:rsidR="003E5345" w:rsidRPr="00704B78" w:rsidRDefault="003E5345" w:rsidP="006E2A77">
            <w:pPr>
              <w:pStyle w:val="Tabletext0"/>
              <w:keepNext/>
              <w:keepLines/>
              <w:jc w:val="center"/>
              <w:rPr>
                <w:szCs w:val="20"/>
              </w:rPr>
            </w:pPr>
            <w:r w:rsidRPr="00704B78">
              <w:rPr>
                <w:szCs w:val="20"/>
              </w:rPr>
              <w:t>0.5745</w:t>
            </w:r>
          </w:p>
        </w:tc>
        <w:tc>
          <w:tcPr>
            <w:tcW w:w="1172" w:type="dxa"/>
            <w:tcMar>
              <w:top w:w="0" w:type="dxa"/>
              <w:left w:w="28" w:type="dxa"/>
              <w:bottom w:w="0" w:type="dxa"/>
              <w:right w:w="28" w:type="dxa"/>
            </w:tcMar>
            <w:vAlign w:val="center"/>
          </w:tcPr>
          <w:p w14:paraId="691C2A77" w14:textId="542B019E"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49"/>
                <w14:textFill>
                  <w14:solidFill>
                    <w14:srgbClr w14:val="000000">
                      <w14:alpha w14:val="100000"/>
                    </w14:srgbClr>
                  </w14:solidFill>
                </w14:textFill>
              </w:rPr>
              <w:t xml:space="preserve">　</w:t>
            </w:r>
            <w:r w:rsidRPr="00875704">
              <w:rPr>
                <w:color w:val="000000"/>
                <w:w w:val="15"/>
                <w:szCs w:val="20"/>
                <w:shd w:val="solid" w:color="000000" w:fill="000000"/>
                <w:fitText w:val="25" w:id="-691349749"/>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49"/>
                <w14:textFill>
                  <w14:solidFill>
                    <w14:srgbClr w14:val="000000">
                      <w14:alpha w14:val="100000"/>
                    </w14:srgbClr>
                  </w14:solidFill>
                </w14:textFill>
              </w:rPr>
              <w:t xml:space="preserve">　</w:t>
            </w:r>
            <w:r w:rsidR="00147D7D" w:rsidRPr="00147D7D">
              <w:rPr>
                <w:szCs w:val="20"/>
                <w:vertAlign w:val="superscript"/>
              </w:rPr>
              <w:t>3</w:t>
            </w:r>
          </w:p>
        </w:tc>
        <w:tc>
          <w:tcPr>
            <w:tcW w:w="1186" w:type="dxa"/>
            <w:tcMar>
              <w:left w:w="28" w:type="dxa"/>
              <w:right w:w="28" w:type="dxa"/>
            </w:tcMar>
            <w:vAlign w:val="center"/>
          </w:tcPr>
          <w:p w14:paraId="789604C6" w14:textId="0933C2A6"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48"/>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48"/>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48"/>
                <w14:textFill>
                  <w14:solidFill>
                    <w14:srgbClr w14:val="000000">
                      <w14:alpha w14:val="100000"/>
                    </w14:srgbClr>
                  </w14:solidFill>
                </w14:textFill>
              </w:rPr>
              <w:t xml:space="preserve">　</w:t>
            </w:r>
            <w:r w:rsidRPr="00704B78">
              <w:rPr>
                <w:szCs w:val="20"/>
              </w:rPr>
              <w:t>%</w:t>
            </w:r>
          </w:p>
        </w:tc>
      </w:tr>
      <w:tr w:rsidR="00010575" w:rsidRPr="00704B78" w14:paraId="54282B61" w14:textId="77777777" w:rsidTr="00CC18C2">
        <w:tc>
          <w:tcPr>
            <w:tcW w:w="4323" w:type="dxa"/>
            <w:tcMar>
              <w:top w:w="0" w:type="dxa"/>
              <w:left w:w="28" w:type="dxa"/>
              <w:bottom w:w="0" w:type="dxa"/>
              <w:right w:w="28" w:type="dxa"/>
            </w:tcMar>
          </w:tcPr>
          <w:p w14:paraId="374DE754" w14:textId="77777777" w:rsidR="003E5345" w:rsidRPr="00704B78" w:rsidRDefault="003E5345" w:rsidP="006E2A77">
            <w:pPr>
              <w:pStyle w:val="Tabletext0"/>
              <w:keepNext/>
              <w:keepLines/>
              <w:rPr>
                <w:szCs w:val="20"/>
              </w:rPr>
            </w:pPr>
            <w:r w:rsidRPr="00704B78">
              <w:rPr>
                <w:szCs w:val="20"/>
              </w:rPr>
              <w:t>Use first-line responder (ravulizumab: 0.850; placebo 0.832) and non-responder (ravulizumab: 0.759; placebo 0.749) values separately for each treatment arm (regression panel analysis)</w:t>
            </w:r>
          </w:p>
        </w:tc>
        <w:tc>
          <w:tcPr>
            <w:tcW w:w="1174" w:type="dxa"/>
            <w:tcMar>
              <w:top w:w="0" w:type="dxa"/>
              <w:left w:w="28" w:type="dxa"/>
              <w:bottom w:w="0" w:type="dxa"/>
              <w:right w:w="28" w:type="dxa"/>
            </w:tcMar>
            <w:vAlign w:val="center"/>
          </w:tcPr>
          <w:p w14:paraId="42B04626" w14:textId="338B6AF5"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7F800853" w14:textId="77777777" w:rsidR="003E5345" w:rsidRPr="00704B78" w:rsidRDefault="003E5345" w:rsidP="006E2A77">
            <w:pPr>
              <w:pStyle w:val="Tabletext0"/>
              <w:keepNext/>
              <w:keepLines/>
              <w:jc w:val="center"/>
              <w:rPr>
                <w:szCs w:val="20"/>
              </w:rPr>
            </w:pPr>
            <w:r w:rsidRPr="00704B78">
              <w:rPr>
                <w:szCs w:val="20"/>
              </w:rPr>
              <w:t>0.6086</w:t>
            </w:r>
          </w:p>
        </w:tc>
        <w:tc>
          <w:tcPr>
            <w:tcW w:w="1172" w:type="dxa"/>
            <w:tcMar>
              <w:top w:w="0" w:type="dxa"/>
              <w:left w:w="28" w:type="dxa"/>
              <w:bottom w:w="0" w:type="dxa"/>
              <w:right w:w="28" w:type="dxa"/>
            </w:tcMar>
            <w:vAlign w:val="center"/>
          </w:tcPr>
          <w:p w14:paraId="6DCC6743" w14:textId="73F5B9CF"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47"/>
                <w14:textFill>
                  <w14:solidFill>
                    <w14:srgbClr w14:val="000000">
                      <w14:alpha w14:val="100000"/>
                    </w14:srgbClr>
                  </w14:solidFill>
                </w14:textFill>
              </w:rPr>
              <w:t xml:space="preserve">　</w:t>
            </w:r>
            <w:r w:rsidRPr="00875704">
              <w:rPr>
                <w:color w:val="000000"/>
                <w:w w:val="15"/>
                <w:szCs w:val="20"/>
                <w:shd w:val="solid" w:color="000000" w:fill="000000"/>
                <w:fitText w:val="25" w:id="-691349747"/>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47"/>
                <w14:textFill>
                  <w14:solidFill>
                    <w14:srgbClr w14:val="000000">
                      <w14:alpha w14:val="100000"/>
                    </w14:srgbClr>
                  </w14:solidFill>
                </w14:textFill>
              </w:rPr>
              <w:t xml:space="preserve">　</w:t>
            </w:r>
            <w:r w:rsidR="00147D7D" w:rsidRPr="00147D7D">
              <w:rPr>
                <w:szCs w:val="20"/>
                <w:vertAlign w:val="superscript"/>
              </w:rPr>
              <w:t>3</w:t>
            </w:r>
          </w:p>
        </w:tc>
        <w:tc>
          <w:tcPr>
            <w:tcW w:w="1186" w:type="dxa"/>
            <w:tcMar>
              <w:left w:w="28" w:type="dxa"/>
              <w:right w:w="28" w:type="dxa"/>
            </w:tcMar>
            <w:vAlign w:val="center"/>
          </w:tcPr>
          <w:p w14:paraId="55A27325" w14:textId="7F02C65B"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46"/>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46"/>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46"/>
                <w14:textFill>
                  <w14:solidFill>
                    <w14:srgbClr w14:val="000000">
                      <w14:alpha w14:val="100000"/>
                    </w14:srgbClr>
                  </w14:solidFill>
                </w14:textFill>
              </w:rPr>
              <w:t xml:space="preserve">　</w:t>
            </w:r>
            <w:r w:rsidRPr="00704B78">
              <w:rPr>
                <w:szCs w:val="20"/>
              </w:rPr>
              <w:t>%</w:t>
            </w:r>
          </w:p>
        </w:tc>
      </w:tr>
      <w:tr w:rsidR="00010575" w:rsidRPr="00704B78" w14:paraId="2428D96D" w14:textId="77777777" w:rsidTr="00CC18C2">
        <w:tc>
          <w:tcPr>
            <w:tcW w:w="4323" w:type="dxa"/>
            <w:tcMar>
              <w:top w:w="0" w:type="dxa"/>
              <w:left w:w="28" w:type="dxa"/>
              <w:bottom w:w="0" w:type="dxa"/>
              <w:right w:w="28" w:type="dxa"/>
            </w:tcMar>
          </w:tcPr>
          <w:p w14:paraId="24151962" w14:textId="77777777" w:rsidR="003E5345" w:rsidRPr="00704B78" w:rsidRDefault="003E5345" w:rsidP="006E2A77">
            <w:pPr>
              <w:pStyle w:val="Tabletext0"/>
              <w:keepNext/>
              <w:keepLines/>
              <w:rPr>
                <w:szCs w:val="20"/>
              </w:rPr>
            </w:pPr>
            <w:r w:rsidRPr="00704B78">
              <w:rPr>
                <w:szCs w:val="20"/>
              </w:rPr>
              <w:t>Assume subsequent-line response and non-response utility values are the same as pooled first-line estimates (MMRM analysis)</w:t>
            </w:r>
          </w:p>
        </w:tc>
        <w:tc>
          <w:tcPr>
            <w:tcW w:w="1174" w:type="dxa"/>
            <w:tcMar>
              <w:top w:w="0" w:type="dxa"/>
              <w:left w:w="28" w:type="dxa"/>
              <w:bottom w:w="0" w:type="dxa"/>
              <w:right w:w="28" w:type="dxa"/>
            </w:tcMar>
            <w:vAlign w:val="center"/>
          </w:tcPr>
          <w:p w14:paraId="587B82B7" w14:textId="3A64781A"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15529693" w14:textId="77777777" w:rsidR="003E5345" w:rsidRPr="00704B78" w:rsidRDefault="003E5345" w:rsidP="006E2A77">
            <w:pPr>
              <w:pStyle w:val="Tabletext0"/>
              <w:keepNext/>
              <w:keepLines/>
              <w:jc w:val="center"/>
              <w:rPr>
                <w:szCs w:val="20"/>
              </w:rPr>
            </w:pPr>
            <w:r w:rsidRPr="00704B78">
              <w:rPr>
                <w:szCs w:val="20"/>
              </w:rPr>
              <w:t>0.3032</w:t>
            </w:r>
          </w:p>
        </w:tc>
        <w:tc>
          <w:tcPr>
            <w:tcW w:w="1172" w:type="dxa"/>
            <w:tcMar>
              <w:top w:w="0" w:type="dxa"/>
              <w:left w:w="28" w:type="dxa"/>
              <w:bottom w:w="0" w:type="dxa"/>
              <w:right w:w="28" w:type="dxa"/>
            </w:tcMar>
            <w:vAlign w:val="center"/>
          </w:tcPr>
          <w:p w14:paraId="1C67550E" w14:textId="6ADA9C03"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45"/>
                <w14:textFill>
                  <w14:solidFill>
                    <w14:srgbClr w14:val="000000">
                      <w14:alpha w14:val="100000"/>
                    </w14:srgbClr>
                  </w14:solidFill>
                </w14:textFill>
              </w:rPr>
              <w:t xml:space="preserve">　</w:t>
            </w:r>
            <w:r w:rsidRPr="00875704">
              <w:rPr>
                <w:color w:val="000000"/>
                <w:w w:val="15"/>
                <w:szCs w:val="20"/>
                <w:shd w:val="solid" w:color="000000" w:fill="000000"/>
                <w:fitText w:val="25" w:id="-691349745"/>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45"/>
                <w14:textFill>
                  <w14:solidFill>
                    <w14:srgbClr w14:val="000000">
                      <w14:alpha w14:val="100000"/>
                    </w14:srgbClr>
                  </w14:solidFill>
                </w14:textFill>
              </w:rPr>
              <w:t xml:space="preserve">　</w:t>
            </w:r>
            <w:r w:rsidR="00336F75" w:rsidRPr="00336F75">
              <w:rPr>
                <w:szCs w:val="20"/>
                <w:vertAlign w:val="superscript"/>
              </w:rPr>
              <w:t>5</w:t>
            </w:r>
          </w:p>
        </w:tc>
        <w:tc>
          <w:tcPr>
            <w:tcW w:w="1186" w:type="dxa"/>
            <w:tcMar>
              <w:left w:w="28" w:type="dxa"/>
              <w:right w:w="28" w:type="dxa"/>
            </w:tcMar>
            <w:vAlign w:val="center"/>
          </w:tcPr>
          <w:p w14:paraId="4336B0C9" w14:textId="4420513F" w:rsidR="003E5345" w:rsidRPr="00704B78" w:rsidRDefault="003E5345" w:rsidP="006E2A77">
            <w:pPr>
              <w:pStyle w:val="Tabletext0"/>
              <w:keepNext/>
              <w:keepLines/>
              <w:jc w:val="center"/>
              <w:rPr>
                <w:szCs w:val="20"/>
              </w:rPr>
            </w:pPr>
            <w:r w:rsidRPr="00704B78">
              <w:rPr>
                <w:szCs w:val="20"/>
              </w:rPr>
              <w:t>+</w:t>
            </w:r>
            <w:r w:rsidR="00F555BD" w:rsidRPr="00F555BD">
              <w:rPr>
                <w:rFonts w:hint="eastAsia"/>
                <w:color w:val="000000"/>
                <w:w w:val="25"/>
                <w:szCs w:val="20"/>
                <w:shd w:val="solid" w:color="000000" w:fill="000000"/>
                <w:fitText w:val="113" w:id="-691349744"/>
                <w14:textFill>
                  <w14:solidFill>
                    <w14:srgbClr w14:val="000000">
                      <w14:alpha w14:val="100000"/>
                    </w14:srgbClr>
                  </w14:solidFill>
                </w14:textFill>
              </w:rPr>
              <w:t xml:space="preserve">　</w:t>
            </w:r>
            <w:r w:rsidR="00F555BD" w:rsidRPr="00F555BD">
              <w:rPr>
                <w:color w:val="000000"/>
                <w:w w:val="25"/>
                <w:szCs w:val="20"/>
                <w:shd w:val="solid" w:color="000000" w:fill="000000"/>
                <w:fitText w:val="113" w:id="-691349744"/>
                <w14:textFill>
                  <w14:solidFill>
                    <w14:srgbClr w14:val="000000">
                      <w14:alpha w14:val="100000"/>
                    </w14:srgbClr>
                  </w14:solidFill>
                </w14:textFill>
              </w:rPr>
              <w:t>|</w:t>
            </w:r>
            <w:r w:rsidR="00F555BD" w:rsidRPr="00F555BD">
              <w:rPr>
                <w:rFonts w:hint="eastAsia"/>
                <w:color w:val="000000"/>
                <w:w w:val="25"/>
                <w:szCs w:val="20"/>
                <w:shd w:val="solid" w:color="000000" w:fill="000000"/>
                <w:fitText w:val="113" w:id="-691349744"/>
                <w14:textFill>
                  <w14:solidFill>
                    <w14:srgbClr w14:val="000000">
                      <w14:alpha w14:val="100000"/>
                    </w14:srgbClr>
                  </w14:solidFill>
                </w14:textFill>
              </w:rPr>
              <w:t xml:space="preserve">　</w:t>
            </w:r>
            <w:r w:rsidRPr="00704B78">
              <w:rPr>
                <w:szCs w:val="20"/>
              </w:rPr>
              <w:t>%</w:t>
            </w:r>
          </w:p>
        </w:tc>
      </w:tr>
      <w:tr w:rsidR="00010575" w:rsidRPr="00704B78" w14:paraId="309DE5EA" w14:textId="77777777" w:rsidTr="00CC18C2">
        <w:tc>
          <w:tcPr>
            <w:tcW w:w="4323" w:type="dxa"/>
            <w:tcMar>
              <w:top w:w="0" w:type="dxa"/>
              <w:left w:w="28" w:type="dxa"/>
              <w:bottom w:w="0" w:type="dxa"/>
              <w:right w:w="28" w:type="dxa"/>
            </w:tcMar>
          </w:tcPr>
          <w:p w14:paraId="4E29EC3C" w14:textId="77777777" w:rsidR="003E5345" w:rsidRPr="00704B78" w:rsidRDefault="003E5345" w:rsidP="006E2A77">
            <w:pPr>
              <w:pStyle w:val="Tabletext0"/>
              <w:keepNext/>
              <w:keepLines/>
              <w:rPr>
                <w:szCs w:val="20"/>
              </w:rPr>
            </w:pPr>
            <w:r w:rsidRPr="00704B78">
              <w:rPr>
                <w:szCs w:val="20"/>
              </w:rPr>
              <w:t>Assume subsequent-line response and non-response utility values are the same as pooled first-line estimates (regression panel analysis)</w:t>
            </w:r>
          </w:p>
        </w:tc>
        <w:tc>
          <w:tcPr>
            <w:tcW w:w="1174" w:type="dxa"/>
            <w:tcMar>
              <w:top w:w="0" w:type="dxa"/>
              <w:left w:w="28" w:type="dxa"/>
              <w:bottom w:w="0" w:type="dxa"/>
              <w:right w:w="28" w:type="dxa"/>
            </w:tcMar>
            <w:vAlign w:val="center"/>
          </w:tcPr>
          <w:p w14:paraId="39589822" w14:textId="0033CC72" w:rsidR="003E5345" w:rsidRPr="0028617B" w:rsidRDefault="00F555BD" w:rsidP="006E2A77">
            <w:pPr>
              <w:pStyle w:val="Tabletext0"/>
              <w:keepNext/>
              <w:keepLines/>
              <w:jc w:val="center"/>
              <w:rPr>
                <w:szCs w:val="20"/>
                <w:highlight w:val="darkGray"/>
              </w:rPr>
            </w:pPr>
            <w:r w:rsidRPr="00F555BD">
              <w:rPr>
                <w:color w:val="000000"/>
                <w:szCs w:val="20"/>
                <w:shd w:val="solid" w:color="000000" w:fill="000000"/>
                <w14:textFill>
                  <w14:solidFill>
                    <w14:srgbClr w14:val="000000">
                      <w14:alpha w14:val="100000"/>
                    </w14:srgbClr>
                  </w14:solidFill>
                </w14:textFill>
              </w:rPr>
              <w:t>|</w:t>
            </w:r>
            <w:r w:rsidR="00D1412E" w:rsidRPr="00D1412E">
              <w:rPr>
                <w:szCs w:val="20"/>
              </w:rPr>
              <w:t xml:space="preserve"> </w:t>
            </w:r>
          </w:p>
        </w:tc>
        <w:tc>
          <w:tcPr>
            <w:tcW w:w="1174" w:type="dxa"/>
            <w:tcMar>
              <w:top w:w="0" w:type="dxa"/>
              <w:left w:w="28" w:type="dxa"/>
              <w:bottom w:w="0" w:type="dxa"/>
              <w:right w:w="28" w:type="dxa"/>
            </w:tcMar>
            <w:vAlign w:val="center"/>
          </w:tcPr>
          <w:p w14:paraId="16D11E21" w14:textId="77777777" w:rsidR="003E5345" w:rsidRPr="00704B78" w:rsidRDefault="003E5345" w:rsidP="006E2A77">
            <w:pPr>
              <w:pStyle w:val="Tabletext0"/>
              <w:keepNext/>
              <w:keepLines/>
              <w:jc w:val="center"/>
              <w:rPr>
                <w:szCs w:val="20"/>
              </w:rPr>
            </w:pPr>
            <w:r w:rsidRPr="00704B78">
              <w:rPr>
                <w:szCs w:val="20"/>
              </w:rPr>
              <w:t>0.2930</w:t>
            </w:r>
          </w:p>
        </w:tc>
        <w:tc>
          <w:tcPr>
            <w:tcW w:w="1172" w:type="dxa"/>
            <w:tcMar>
              <w:top w:w="0" w:type="dxa"/>
              <w:left w:w="28" w:type="dxa"/>
              <w:bottom w:w="0" w:type="dxa"/>
              <w:right w:w="28" w:type="dxa"/>
            </w:tcMar>
            <w:vAlign w:val="center"/>
          </w:tcPr>
          <w:p w14:paraId="6F7DA04B" w14:textId="75FD8096" w:rsidR="003E5345" w:rsidRPr="0028617B" w:rsidRDefault="00F555BD" w:rsidP="006E2A77">
            <w:pPr>
              <w:pStyle w:val="Tabletext0"/>
              <w:keepNext/>
              <w:keepLines/>
              <w:jc w:val="center"/>
              <w:rPr>
                <w:szCs w:val="20"/>
                <w:highlight w:val="darkGray"/>
              </w:rPr>
            </w:pPr>
            <w:r w:rsidRPr="00875704">
              <w:rPr>
                <w:rFonts w:hint="eastAsia"/>
                <w:color w:val="000000"/>
                <w:w w:val="15"/>
                <w:szCs w:val="20"/>
                <w:shd w:val="solid" w:color="000000" w:fill="000000"/>
                <w:fitText w:val="25" w:id="-691349760"/>
                <w14:textFill>
                  <w14:solidFill>
                    <w14:srgbClr w14:val="000000">
                      <w14:alpha w14:val="100000"/>
                    </w14:srgbClr>
                  </w14:solidFill>
                </w14:textFill>
              </w:rPr>
              <w:t xml:space="preserve">　</w:t>
            </w:r>
            <w:r w:rsidRPr="00875704">
              <w:rPr>
                <w:color w:val="000000"/>
                <w:w w:val="15"/>
                <w:szCs w:val="20"/>
                <w:shd w:val="solid" w:color="000000" w:fill="000000"/>
                <w:fitText w:val="25" w:id="-691349760"/>
                <w14:textFill>
                  <w14:solidFill>
                    <w14:srgbClr w14:val="000000">
                      <w14:alpha w14:val="100000"/>
                    </w14:srgbClr>
                  </w14:solidFill>
                </w14:textFill>
              </w:rPr>
              <w:t>|</w:t>
            </w:r>
            <w:r w:rsidRPr="00875704">
              <w:rPr>
                <w:rFonts w:hint="eastAsia"/>
                <w:color w:val="000000"/>
                <w:spacing w:val="-40"/>
                <w:w w:val="15"/>
                <w:szCs w:val="20"/>
                <w:shd w:val="solid" w:color="000000" w:fill="000000"/>
                <w:fitText w:val="25" w:id="-691349760"/>
                <w14:textFill>
                  <w14:solidFill>
                    <w14:srgbClr w14:val="000000">
                      <w14:alpha w14:val="100000"/>
                    </w14:srgbClr>
                  </w14:solidFill>
                </w14:textFill>
              </w:rPr>
              <w:t xml:space="preserve">　</w:t>
            </w:r>
            <w:r w:rsidR="00336F75" w:rsidRPr="00336F75">
              <w:rPr>
                <w:szCs w:val="20"/>
                <w:vertAlign w:val="superscript"/>
              </w:rPr>
              <w:t>5</w:t>
            </w:r>
          </w:p>
        </w:tc>
        <w:tc>
          <w:tcPr>
            <w:tcW w:w="1186" w:type="dxa"/>
            <w:tcMar>
              <w:left w:w="28" w:type="dxa"/>
              <w:right w:w="28" w:type="dxa"/>
            </w:tcMar>
            <w:vAlign w:val="center"/>
          </w:tcPr>
          <w:p w14:paraId="417B41F3" w14:textId="7B7CDE67" w:rsidR="003E5345" w:rsidRPr="00704B78" w:rsidRDefault="003E5345" w:rsidP="006E2A77">
            <w:pPr>
              <w:pStyle w:val="Tabletext0"/>
              <w:keepNext/>
              <w:keepLines/>
              <w:jc w:val="center"/>
              <w:rPr>
                <w:szCs w:val="20"/>
              </w:rPr>
            </w:pPr>
            <w:r w:rsidRPr="00704B78">
              <w:rPr>
                <w:szCs w:val="20"/>
              </w:rPr>
              <w:t>+</w:t>
            </w:r>
            <w:r w:rsidR="00F555BD">
              <w:rPr>
                <w:rFonts w:hint="eastAsia"/>
                <w:color w:val="000000"/>
                <w:w w:val="25"/>
                <w:szCs w:val="20"/>
                <w:shd w:val="solid" w:color="000000" w:fill="000000"/>
                <w:fitText w:val="113" w:id="-691349759"/>
                <w14:textFill>
                  <w14:solidFill>
                    <w14:srgbClr w14:val="000000">
                      <w14:alpha w14:val="100000"/>
                    </w14:srgbClr>
                  </w14:solidFill>
                </w14:textFill>
              </w:rPr>
              <w:t xml:space="preserve">　</w:t>
            </w:r>
            <w:r w:rsidR="00F555BD">
              <w:rPr>
                <w:color w:val="000000"/>
                <w:w w:val="25"/>
                <w:szCs w:val="20"/>
                <w:shd w:val="solid" w:color="000000" w:fill="000000"/>
                <w:fitText w:val="113" w:id="-691349759"/>
                <w14:textFill>
                  <w14:solidFill>
                    <w14:srgbClr w14:val="000000">
                      <w14:alpha w14:val="100000"/>
                    </w14:srgbClr>
                  </w14:solidFill>
                </w14:textFill>
              </w:rPr>
              <w:t>|</w:t>
            </w:r>
            <w:r w:rsidR="00F555BD">
              <w:rPr>
                <w:rFonts w:hint="eastAsia"/>
                <w:color w:val="000000"/>
                <w:spacing w:val="2"/>
                <w:w w:val="25"/>
                <w:szCs w:val="20"/>
                <w:shd w:val="solid" w:color="000000" w:fill="000000"/>
                <w:fitText w:val="113" w:id="-691349759"/>
                <w14:textFill>
                  <w14:solidFill>
                    <w14:srgbClr w14:val="000000">
                      <w14:alpha w14:val="100000"/>
                    </w14:srgbClr>
                  </w14:solidFill>
                </w14:textFill>
              </w:rPr>
              <w:t xml:space="preserve">　</w:t>
            </w:r>
            <w:r w:rsidRPr="00704B78">
              <w:rPr>
                <w:szCs w:val="20"/>
              </w:rPr>
              <w:t>%</w:t>
            </w:r>
          </w:p>
        </w:tc>
      </w:tr>
    </w:tbl>
    <w:p w14:paraId="00D7A248" w14:textId="11FB448A" w:rsidR="003E5345" w:rsidRPr="00704B78" w:rsidRDefault="003E5345" w:rsidP="006E2A77">
      <w:pPr>
        <w:pStyle w:val="COMTablefooter"/>
        <w:keepNext/>
        <w:keepLines/>
      </w:pPr>
      <w:r w:rsidRPr="00704B78">
        <w:t>Source: Table 3B-16, of the resubmission; Section 3B Optimised Refractory Excel Workbook</w:t>
      </w:r>
    </w:p>
    <w:p w14:paraId="126BFC02" w14:textId="77777777" w:rsidR="0028617B" w:rsidRDefault="003E5345" w:rsidP="006E2A77">
      <w:pPr>
        <w:pStyle w:val="COMTablefooter"/>
        <w:keepNext/>
        <w:keepLines/>
      </w:pPr>
      <w:r w:rsidRPr="00704B78">
        <w:t>Abbreviations: CI, confidence interval; AEMP, approved ex-manufacturer price; ICER, incremental cost effectiveness ratio; QALY, quality adjusted life year</w:t>
      </w:r>
    </w:p>
    <w:p w14:paraId="38ABF191" w14:textId="030F7D20" w:rsidR="0028617B" w:rsidRPr="0096187C" w:rsidRDefault="0028617B" w:rsidP="006E2A77">
      <w:pPr>
        <w:pStyle w:val="COMTablefooter"/>
        <w:keepNext/>
        <w:keepLines/>
        <w:rPr>
          <w:i/>
          <w:iCs/>
        </w:rPr>
      </w:pPr>
      <w:r w:rsidRPr="0096187C">
        <w:rPr>
          <w:i/>
          <w:iCs/>
        </w:rPr>
        <w:t>The redacted values correspond to the following ranges:</w:t>
      </w:r>
    </w:p>
    <w:p w14:paraId="7126D682" w14:textId="47D21828" w:rsidR="00C12260" w:rsidRPr="0096187C" w:rsidRDefault="0028617B" w:rsidP="006E2A77">
      <w:pPr>
        <w:pStyle w:val="COMTablefooter"/>
        <w:keepNext/>
        <w:keepLines/>
        <w:rPr>
          <w:i/>
          <w:iCs/>
        </w:rPr>
      </w:pPr>
      <w:r w:rsidRPr="0096187C">
        <w:rPr>
          <w:i/>
          <w:iCs/>
          <w:vertAlign w:val="superscript"/>
        </w:rPr>
        <w:t>1</w:t>
      </w:r>
      <w:r w:rsidRPr="0096187C">
        <w:rPr>
          <w:i/>
          <w:iCs/>
        </w:rPr>
        <w:t xml:space="preserve"> </w:t>
      </w:r>
      <w:r w:rsidR="00C12260" w:rsidRPr="0096187C">
        <w:rPr>
          <w:i/>
          <w:iCs/>
        </w:rPr>
        <w:t>$655,000 to &lt; $755,000</w:t>
      </w:r>
    </w:p>
    <w:p w14:paraId="56270108" w14:textId="77777777" w:rsidR="00297EF5" w:rsidRPr="0096187C" w:rsidRDefault="00297EF5" w:rsidP="006E2A77">
      <w:pPr>
        <w:pStyle w:val="COMTablefooter"/>
        <w:keepNext/>
        <w:keepLines/>
        <w:rPr>
          <w:i/>
          <w:iCs/>
        </w:rPr>
      </w:pPr>
      <w:r w:rsidRPr="0096187C">
        <w:rPr>
          <w:i/>
          <w:iCs/>
          <w:vertAlign w:val="superscript"/>
        </w:rPr>
        <w:t>2</w:t>
      </w:r>
      <w:r w:rsidRPr="0096187C">
        <w:rPr>
          <w:i/>
          <w:iCs/>
        </w:rPr>
        <w:t xml:space="preserve"> </w:t>
      </w:r>
      <w:r w:rsidR="0028617B" w:rsidRPr="0096187C">
        <w:rPr>
          <w:i/>
          <w:iCs/>
        </w:rPr>
        <w:t>$</w:t>
      </w:r>
      <w:r w:rsidRPr="0096187C">
        <w:rPr>
          <w:i/>
          <w:iCs/>
        </w:rPr>
        <w:t>$555,000 to &lt; $655,000</w:t>
      </w:r>
    </w:p>
    <w:p w14:paraId="0B8963CF" w14:textId="77777777" w:rsidR="002D6E06" w:rsidRPr="0096187C" w:rsidRDefault="00147D7D" w:rsidP="006E2A77">
      <w:pPr>
        <w:pStyle w:val="COMTablefooter"/>
        <w:keepNext/>
        <w:keepLines/>
        <w:rPr>
          <w:i/>
          <w:iCs/>
        </w:rPr>
      </w:pPr>
      <w:r w:rsidRPr="0096187C">
        <w:rPr>
          <w:i/>
          <w:iCs/>
          <w:vertAlign w:val="superscript"/>
        </w:rPr>
        <w:t>3</w:t>
      </w:r>
      <w:r w:rsidRPr="0096187C">
        <w:rPr>
          <w:i/>
          <w:iCs/>
        </w:rPr>
        <w:t xml:space="preserve"> $755,000 to &lt; $855,000</w:t>
      </w:r>
      <w:r w:rsidR="002D6E06" w:rsidRPr="0096187C">
        <w:rPr>
          <w:i/>
          <w:iCs/>
        </w:rPr>
        <w:t xml:space="preserve"> </w:t>
      </w:r>
    </w:p>
    <w:p w14:paraId="1D119763" w14:textId="3F7496E9" w:rsidR="00147D7D" w:rsidRPr="0096187C" w:rsidRDefault="002D6E06" w:rsidP="006E2A77">
      <w:pPr>
        <w:pStyle w:val="COMTablefooter"/>
        <w:keepNext/>
        <w:keepLines/>
        <w:rPr>
          <w:i/>
          <w:iCs/>
        </w:rPr>
      </w:pPr>
      <w:r w:rsidRPr="0096187C">
        <w:rPr>
          <w:i/>
          <w:iCs/>
          <w:vertAlign w:val="superscript"/>
        </w:rPr>
        <w:t>4</w:t>
      </w:r>
      <w:r w:rsidRPr="0096187C">
        <w:rPr>
          <w:i/>
          <w:iCs/>
        </w:rPr>
        <w:t xml:space="preserve"> $855,000 to &lt; $955,000</w:t>
      </w:r>
    </w:p>
    <w:p w14:paraId="79448221" w14:textId="2546E2A3" w:rsidR="003E5345" w:rsidRPr="0096187C" w:rsidRDefault="0028617B" w:rsidP="006E2A77">
      <w:pPr>
        <w:pStyle w:val="COMTablefooter"/>
        <w:rPr>
          <w:i/>
          <w:iCs/>
        </w:rPr>
      </w:pPr>
      <w:r w:rsidRPr="0096187C">
        <w:rPr>
          <w:i/>
          <w:iCs/>
          <w:vertAlign w:val="superscript"/>
        </w:rPr>
        <w:t>5</w:t>
      </w:r>
      <w:r w:rsidRPr="0096187C">
        <w:rPr>
          <w:i/>
          <w:iCs/>
        </w:rPr>
        <w:t xml:space="preserve"> &gt; $1,055,000 </w:t>
      </w:r>
    </w:p>
    <w:p w14:paraId="0FBA408D" w14:textId="68605940" w:rsidR="003E5345" w:rsidRDefault="003E5345" w:rsidP="006E2A77">
      <w:pPr>
        <w:pStyle w:val="COMexecsummnumbered"/>
      </w:pPr>
      <w:r w:rsidRPr="00704B78">
        <w:t xml:space="preserve">The results of the sensitivity analyses in treatment refractory patients indicate that the model is most sensitive to the assumed utility values for subsequent-line responders and non-responders. The economic model was also sensitive to </w:t>
      </w:r>
      <w:r w:rsidRPr="00704B78">
        <w:lastRenderedPageBreak/>
        <w:t>ravulizumab discontinuation rates, loss of response rates, baseline utility scores and the calculation method for first-line responder and non-responder utility values</w:t>
      </w:r>
      <w:r w:rsidR="00F35707">
        <w:t>.</w:t>
      </w:r>
    </w:p>
    <w:p w14:paraId="1C8FA915" w14:textId="77777777" w:rsidR="00F35707" w:rsidRDefault="00F35707" w:rsidP="006E2A77">
      <w:pPr>
        <w:pStyle w:val="COMexecsummnumbered"/>
      </w:pPr>
      <w:r>
        <w:t>The ESC considered the economic model was limited due to the lack of long-term data available and the complex nature of the condition. Specifically, the ESC considered:</w:t>
      </w:r>
    </w:p>
    <w:p w14:paraId="4E56470F" w14:textId="77777777" w:rsidR="00F35707" w:rsidRDefault="00F35707" w:rsidP="006E2A77">
      <w:pPr>
        <w:pStyle w:val="COMexecsummbulletlist"/>
        <w:ind w:left="1134" w:hanging="283"/>
      </w:pPr>
      <w:r>
        <w:t>there was a lack of data to inform treatment discontinuations/loss of response over time which resulted in the economic evaluation being highly dependent on numerous assumptions to model these effects.</w:t>
      </w:r>
    </w:p>
    <w:p w14:paraId="5EF0E406" w14:textId="77777777" w:rsidR="00F35707" w:rsidRDefault="00F35707" w:rsidP="006E2A77">
      <w:pPr>
        <w:pStyle w:val="COMexecsummbulletlist"/>
        <w:ind w:left="1134" w:hanging="283"/>
      </w:pPr>
      <w:r>
        <w:t xml:space="preserve">impacts on the treatment algorithm were unclear, such as whether it was appropriate to model rituximab and cyclophosphamide as subsequent-line therapies for the newly diagnosed population (as these therapies are typically reserved for treatment refractory disease) or the treatment refractory population (as ravulizumab is proposed as a last-line therapy in treatment refractory disease). </w:t>
      </w:r>
    </w:p>
    <w:p w14:paraId="44B6E240" w14:textId="406932E6" w:rsidR="00F35707" w:rsidRPr="00704B78" w:rsidRDefault="00F35707" w:rsidP="006E2A77">
      <w:pPr>
        <w:pStyle w:val="COMexecsummbulletlist"/>
        <w:ind w:left="1134" w:hanging="283"/>
      </w:pPr>
      <w:r>
        <w:t>the subgroup data (which were used to inform treatment response estimates and patient characteristics) may not be sufficiently reliable.</w:t>
      </w:r>
    </w:p>
    <w:p w14:paraId="472842D7" w14:textId="1D89DC66" w:rsidR="00C25D9C" w:rsidRPr="00704B78" w:rsidRDefault="00C25D9C" w:rsidP="006E2A77">
      <w:pPr>
        <w:pStyle w:val="COMH2-non-numbered"/>
        <w:rPr>
          <w:iCs/>
        </w:rPr>
      </w:pPr>
      <w:bookmarkStart w:id="57" w:name="_Toc22897646"/>
      <w:bookmarkStart w:id="58" w:name="_Toc188350832"/>
      <w:r w:rsidRPr="00704B78">
        <w:rPr>
          <w:iCs/>
        </w:rPr>
        <w:t>Drug cost/patient/year</w:t>
      </w:r>
      <w:bookmarkEnd w:id="57"/>
      <w:bookmarkEnd w:id="58"/>
    </w:p>
    <w:p w14:paraId="6EEFAE4B" w14:textId="77777777" w:rsidR="00C35350" w:rsidRPr="00704B78" w:rsidRDefault="00C35350" w:rsidP="006E2A77">
      <w:pPr>
        <w:pStyle w:val="COMexecsummnumbered"/>
      </w:pPr>
      <w:bookmarkStart w:id="59" w:name="_Hlk107307804"/>
      <w:r w:rsidRPr="00704B78">
        <w:t>The estimation of ravulizumab drug costs was broadly consistent between the economic model and budget impact estimates, the only difference was the assumption of perfect persistence in newly diagnosed patients treated with ravulizumab in the first two years of financial estimates while the economic model allowed for a small number of patients to discontinue therapy each cycle.</w:t>
      </w:r>
    </w:p>
    <w:p w14:paraId="2E6A8420" w14:textId="73E26646" w:rsidR="00A96DEE" w:rsidRPr="00704B78" w:rsidRDefault="00A96DEE" w:rsidP="006E2A77">
      <w:pPr>
        <w:pStyle w:val="COMexecsummnumbered"/>
      </w:pPr>
      <w:r w:rsidRPr="00704B78">
        <w:t xml:space="preserve">The </w:t>
      </w:r>
      <w:r w:rsidR="00603DB7">
        <w:t xml:space="preserve">commentary stated that the </w:t>
      </w:r>
      <w:r w:rsidRPr="00704B78">
        <w:t>estimated drug cost for ravulizumab in the first year of treatment was $</w:t>
      </w:r>
      <w:r w:rsidR="00F555BD" w:rsidRPr="00875704">
        <w:rPr>
          <w:color w:val="000000"/>
          <w:w w:val="15"/>
          <w:shd w:val="solid" w:color="000000" w:fill="000000"/>
          <w:fitText w:val="-20" w:id="-691349758"/>
          <w14:textFill>
            <w14:solidFill>
              <w14:srgbClr w14:val="000000">
                <w14:alpha w14:val="100000"/>
              </w14:srgbClr>
            </w14:solidFill>
          </w14:textFill>
        </w:rPr>
        <w:t>|</w:t>
      </w:r>
      <w:r w:rsidR="00D61CA6" w:rsidRPr="00875704">
        <w:rPr>
          <w:color w:val="000000"/>
          <w:w w:val="15"/>
          <w:shd w:val="solid" w:color="000000" w:fill="000000"/>
          <w:fitText w:val="-20" w:id="-691349758"/>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8"/>
          <w14:textFill>
            <w14:solidFill>
              <w14:srgbClr w14:val="000000">
                <w14:alpha w14:val="100000"/>
              </w14:srgbClr>
            </w14:solidFill>
          </w14:textFill>
        </w:rPr>
        <w:t>|</w:t>
      </w:r>
      <w:r w:rsidRPr="00704B78">
        <w:t xml:space="preserve"> (based on patients receiving 1 loading dose and 7 maintenance doses, assuming the same distribution of patients across weight categories as the CHAMPION-MG trial, and using the effective AEMP of $</w:t>
      </w:r>
      <w:r w:rsidR="00F555BD" w:rsidRPr="00875704">
        <w:rPr>
          <w:color w:val="000000"/>
          <w:w w:val="15"/>
          <w:shd w:val="solid" w:color="000000" w:fill="000000"/>
          <w:fitText w:val="-20" w:id="-691349757"/>
          <w14:textFill>
            <w14:solidFill>
              <w14:srgbClr w14:val="000000">
                <w14:alpha w14:val="100000"/>
              </w14:srgbClr>
            </w14:solidFill>
          </w14:textFill>
        </w:rPr>
        <w:t>|</w:t>
      </w:r>
      <w:r w:rsidR="00D61CA6" w:rsidRPr="00875704">
        <w:rPr>
          <w:color w:val="000000"/>
          <w:w w:val="15"/>
          <w:shd w:val="solid" w:color="000000" w:fill="000000"/>
          <w:fitText w:val="-20" w:id="-691349757"/>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7"/>
          <w14:textFill>
            <w14:solidFill>
              <w14:srgbClr w14:val="000000">
                <w14:alpha w14:val="100000"/>
              </w14:srgbClr>
            </w14:solidFill>
          </w14:textFill>
        </w:rPr>
        <w:t>|</w:t>
      </w:r>
      <w:r w:rsidRPr="00704B78">
        <w:t xml:space="preserve"> for the 300 mg vial, with additional fees and markup</w:t>
      </w:r>
      <w:r w:rsidR="001135D3" w:rsidRPr="00704B78">
        <w:t>s</w:t>
      </w:r>
      <w:r w:rsidRPr="00704B78">
        <w:t xml:space="preserve"> for use in the private hospital setting). The estimated drug cost for ravulizumab in the second year of treatment was $</w:t>
      </w:r>
      <w:r w:rsidR="00F555BD" w:rsidRPr="00875704">
        <w:rPr>
          <w:color w:val="000000"/>
          <w:w w:val="15"/>
          <w:shd w:val="solid" w:color="000000" w:fill="000000"/>
          <w:fitText w:val="-20" w:id="-691349756"/>
          <w14:textFill>
            <w14:solidFill>
              <w14:srgbClr w14:val="000000">
                <w14:alpha w14:val="100000"/>
              </w14:srgbClr>
            </w14:solidFill>
          </w14:textFill>
        </w:rPr>
        <w:t>|</w:t>
      </w:r>
      <w:r w:rsidR="00D61CA6" w:rsidRPr="00875704">
        <w:rPr>
          <w:color w:val="000000"/>
          <w:w w:val="15"/>
          <w:shd w:val="solid" w:color="000000" w:fill="000000"/>
          <w:fitText w:val="-20" w:id="-691349756"/>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6"/>
          <w14:textFill>
            <w14:solidFill>
              <w14:srgbClr w14:val="000000">
                <w14:alpha w14:val="100000"/>
              </w14:srgbClr>
            </w14:solidFill>
          </w14:textFill>
        </w:rPr>
        <w:t>|</w:t>
      </w:r>
      <w:r w:rsidRPr="00704B78">
        <w:t xml:space="preserve"> (based on patients receiving 6 maintenance doses with the same assumptions as the first-year calculations). The estimated drug cost for ravulizumab in the third year of treatment was $</w:t>
      </w:r>
      <w:r w:rsidR="00F555BD" w:rsidRPr="00875704">
        <w:rPr>
          <w:color w:val="000000"/>
          <w:w w:val="15"/>
          <w:shd w:val="solid" w:color="000000" w:fill="000000"/>
          <w:fitText w:val="-20" w:id="-691349755"/>
          <w14:textFill>
            <w14:solidFill>
              <w14:srgbClr w14:val="000000">
                <w14:alpha w14:val="100000"/>
              </w14:srgbClr>
            </w14:solidFill>
          </w14:textFill>
        </w:rPr>
        <w:t>|</w:t>
      </w:r>
      <w:r w:rsidR="00D61CA6" w:rsidRPr="00875704">
        <w:rPr>
          <w:color w:val="000000"/>
          <w:w w:val="15"/>
          <w:shd w:val="solid" w:color="000000" w:fill="000000"/>
          <w:fitText w:val="-20" w:id="-691349755"/>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5"/>
          <w14:textFill>
            <w14:solidFill>
              <w14:srgbClr w14:val="000000">
                <w14:alpha w14:val="100000"/>
              </w14:srgbClr>
            </w14:solidFill>
          </w14:textFill>
        </w:rPr>
        <w:t>|</w:t>
      </w:r>
      <w:r w:rsidRPr="00704B78">
        <w:t xml:space="preserve"> (based on patients receiving 7 maintenance doses with the same assumptions as the first-year calculations). The cost in subsequent years then alternates between second year and third year costs depending on the timing of doses.</w:t>
      </w:r>
    </w:p>
    <w:p w14:paraId="021F69EE" w14:textId="1B34F318" w:rsidR="00A96DEE" w:rsidRDefault="00A96DEE" w:rsidP="006E2A77">
      <w:pPr>
        <w:pStyle w:val="COMexecsummnumbered"/>
      </w:pPr>
      <w:r w:rsidRPr="00704B78">
        <w:t>The estimated drug costs per year decreased in the current resubmission compared to the March 2024 submission due to the proposed lower effective price of ravulizumab (effective AEMP reduced from $</w:t>
      </w:r>
      <w:r w:rsidR="00F555BD" w:rsidRPr="00875704">
        <w:rPr>
          <w:color w:val="000000"/>
          <w:w w:val="15"/>
          <w:shd w:val="solid" w:color="000000" w:fill="000000"/>
          <w:fitText w:val="-20" w:id="-691349754"/>
          <w14:textFill>
            <w14:solidFill>
              <w14:srgbClr w14:val="000000">
                <w14:alpha w14:val="100000"/>
              </w14:srgbClr>
            </w14:solidFill>
          </w14:textFill>
        </w:rPr>
        <w:t>|</w:t>
      </w:r>
      <w:r w:rsidR="00D61CA6" w:rsidRPr="00875704">
        <w:rPr>
          <w:color w:val="000000"/>
          <w:w w:val="15"/>
          <w:shd w:val="solid" w:color="000000" w:fill="000000"/>
          <w:fitText w:val="-20" w:id="-691349754"/>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4"/>
          <w14:textFill>
            <w14:solidFill>
              <w14:srgbClr w14:val="000000">
                <w14:alpha w14:val="100000"/>
              </w14:srgbClr>
            </w14:solidFill>
          </w14:textFill>
        </w:rPr>
        <w:t>|</w:t>
      </w:r>
      <w:r w:rsidRPr="00704B78">
        <w:t xml:space="preserve"> to $</w:t>
      </w:r>
      <w:r w:rsidR="00F555BD" w:rsidRPr="00875704">
        <w:rPr>
          <w:color w:val="000000"/>
          <w:w w:val="15"/>
          <w:shd w:val="solid" w:color="000000" w:fill="000000"/>
          <w:fitText w:val="-20" w:id="-691349753"/>
          <w14:textFill>
            <w14:solidFill>
              <w14:srgbClr w14:val="000000">
                <w14:alpha w14:val="100000"/>
              </w14:srgbClr>
            </w14:solidFill>
          </w14:textFill>
        </w:rPr>
        <w:t>|</w:t>
      </w:r>
      <w:r w:rsidR="00D61CA6" w:rsidRPr="00875704">
        <w:rPr>
          <w:color w:val="000000"/>
          <w:w w:val="15"/>
          <w:shd w:val="solid" w:color="000000" w:fill="000000"/>
          <w:fitText w:val="-20" w:id="-691349753"/>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3"/>
          <w14:textFill>
            <w14:solidFill>
              <w14:srgbClr w14:val="000000">
                <w14:alpha w14:val="100000"/>
              </w14:srgbClr>
            </w14:solidFill>
          </w14:textFill>
        </w:rPr>
        <w:t>|</w:t>
      </w:r>
      <w:r w:rsidRPr="00704B78">
        <w:t xml:space="preserve"> per 300 mg vial).</w:t>
      </w:r>
    </w:p>
    <w:p w14:paraId="6C618985" w14:textId="4A11BD67" w:rsidR="00A96DEE" w:rsidRDefault="00A96DEE" w:rsidP="006E2A77">
      <w:pPr>
        <w:pStyle w:val="COMexecsummnumbered"/>
      </w:pPr>
      <w:r w:rsidRPr="00704B78">
        <w:t xml:space="preserve">The estimated annual drug cost for standard therapy (anticholinesterases, corticosteroids and other immunosuppressive agents) was $2,261 per year. The estimated annual cost for rituximab was $877 per year and for cyclophosphamide was $1,071 per year. </w:t>
      </w:r>
    </w:p>
    <w:p w14:paraId="0F4A1EAF" w14:textId="13B70E68" w:rsidR="00F35707" w:rsidRPr="00704B78" w:rsidRDefault="00F35707" w:rsidP="006E2A77">
      <w:pPr>
        <w:pStyle w:val="COMexecsummnumbered"/>
        <w:keepNext/>
        <w:keepLines/>
        <w:numPr>
          <w:ilvl w:val="0"/>
          <w:numId w:val="0"/>
        </w:numPr>
        <w:outlineLvl w:val="2"/>
      </w:pPr>
      <w:bookmarkStart w:id="60" w:name="_Hlk194069512"/>
      <w:r w:rsidRPr="00AA17C4">
        <w:rPr>
          <w:u w:val="single"/>
        </w:rPr>
        <w:lastRenderedPageBreak/>
        <w:t>Cost-comparison</w:t>
      </w:r>
    </w:p>
    <w:bookmarkEnd w:id="60"/>
    <w:p w14:paraId="5BA3AFDD" w14:textId="2D85AF01" w:rsidR="000B13C5" w:rsidRPr="00704B78" w:rsidRDefault="00A96DEE" w:rsidP="006E2A77">
      <w:pPr>
        <w:pStyle w:val="COMexecsummnumbered"/>
        <w:keepNext/>
        <w:keepLines/>
      </w:pPr>
      <w:r w:rsidRPr="00704B78">
        <w:t xml:space="preserve">The resubmission noted previous PBAC advice that the cost of chronic IVIg/PLEX should be considered as a frame of reference for the cost of ravulizumab in the refractory setting (para 7.10, ravulizumab Public Summary Document, July 2024 PBAC meeting). Therefore, the resubmission presented a comparison of the average annual cost for maintenance therapy (excluding loading doses) with ravulizumab and IVIg (summarised in </w:t>
      </w:r>
      <w:r w:rsidRPr="00704B78">
        <w:fldChar w:fldCharType="begin"/>
      </w:r>
      <w:r w:rsidRPr="00704B78">
        <w:instrText xml:space="preserve"> REF _Ref187653162 \h </w:instrText>
      </w:r>
      <w:r w:rsidR="00704B78" w:rsidRPr="00704B78">
        <w:instrText xml:space="preserve"> \* MERGEFORMAT </w:instrText>
      </w:r>
      <w:r w:rsidRPr="00704B78">
        <w:fldChar w:fldCharType="separate"/>
      </w:r>
      <w:r w:rsidR="00875704" w:rsidRPr="00704B78">
        <w:t xml:space="preserve">Table </w:t>
      </w:r>
      <w:r w:rsidR="00875704">
        <w:rPr>
          <w:noProof/>
        </w:rPr>
        <w:t>17</w:t>
      </w:r>
      <w:r w:rsidRPr="00704B78">
        <w:fldChar w:fldCharType="end"/>
      </w:r>
      <w:r w:rsidRPr="00704B78">
        <w:t>).</w:t>
      </w:r>
    </w:p>
    <w:p w14:paraId="01CAD5B0" w14:textId="7E1D1666" w:rsidR="000B13C5" w:rsidRPr="00704B78" w:rsidRDefault="00CD3841" w:rsidP="006E2A77">
      <w:pPr>
        <w:pStyle w:val="COMtablefigcaption"/>
      </w:pPr>
      <w:bookmarkStart w:id="61" w:name="_Ref187653162"/>
      <w:bookmarkStart w:id="62" w:name="_Hlk194069564"/>
      <w:r w:rsidRPr="00704B78">
        <w:t xml:space="preserve">Table </w:t>
      </w:r>
      <w:r w:rsidRPr="00704B78">
        <w:fldChar w:fldCharType="begin"/>
      </w:r>
      <w:r w:rsidRPr="00704B78">
        <w:instrText>SEQ Table \* ARABIC</w:instrText>
      </w:r>
      <w:r w:rsidRPr="00704B78">
        <w:fldChar w:fldCharType="separate"/>
      </w:r>
      <w:r w:rsidR="00875704">
        <w:rPr>
          <w:noProof/>
        </w:rPr>
        <w:t>17</w:t>
      </w:r>
      <w:r w:rsidRPr="00704B78">
        <w:fldChar w:fldCharType="end"/>
      </w:r>
      <w:bookmarkEnd w:id="61"/>
      <w:r w:rsidR="000B13C5" w:rsidRPr="00704B78">
        <w:t xml:space="preserve">: Comparison of the annual </w:t>
      </w:r>
      <w:r w:rsidR="00112EA7">
        <w:t>dose and</w:t>
      </w:r>
      <w:r w:rsidR="00880015">
        <w:t>/or</w:t>
      </w:r>
      <w:r w:rsidR="00112EA7">
        <w:t xml:space="preserve"> </w:t>
      </w:r>
      <w:r w:rsidR="00992D30">
        <w:t xml:space="preserve">drug </w:t>
      </w:r>
      <w:r w:rsidR="000B13C5" w:rsidRPr="00704B78">
        <w:t>cost of ravulizumab and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7: Comparison of the annual dose and/or drug cost of ravulizumab and IVIg"/>
      </w:tblPr>
      <w:tblGrid>
        <w:gridCol w:w="1129"/>
        <w:gridCol w:w="851"/>
        <w:gridCol w:w="7037"/>
      </w:tblGrid>
      <w:tr w:rsidR="000B13C5" w:rsidRPr="00704B78" w14:paraId="646A2F38" w14:textId="77777777" w:rsidTr="00415E1D">
        <w:trPr>
          <w:cantSplit/>
          <w:trHeight w:val="40"/>
          <w:tblHeader/>
        </w:trPr>
        <w:tc>
          <w:tcPr>
            <w:tcW w:w="626" w:type="pct"/>
            <w:vAlign w:val="center"/>
          </w:tcPr>
          <w:p w14:paraId="5D747071" w14:textId="77777777" w:rsidR="000B13C5" w:rsidRPr="00704B78" w:rsidRDefault="000B13C5" w:rsidP="006E2A77">
            <w:pPr>
              <w:pStyle w:val="TableText"/>
              <w:keepNext w:val="0"/>
              <w:widowControl/>
              <w:rPr>
                <w:b/>
              </w:rPr>
            </w:pPr>
            <w:r w:rsidRPr="00704B78">
              <w:rPr>
                <w:b/>
              </w:rPr>
              <w:t>Treatment</w:t>
            </w:r>
          </w:p>
        </w:tc>
        <w:tc>
          <w:tcPr>
            <w:tcW w:w="472" w:type="pct"/>
            <w:vAlign w:val="center"/>
          </w:tcPr>
          <w:p w14:paraId="570A7F09" w14:textId="5F03888D" w:rsidR="000B13C5" w:rsidRPr="00704B78" w:rsidRDefault="000B13C5" w:rsidP="006E2A77">
            <w:pPr>
              <w:pStyle w:val="TableText"/>
              <w:keepNext w:val="0"/>
              <w:widowControl/>
              <w:jc w:val="center"/>
              <w:rPr>
                <w:b/>
              </w:rPr>
            </w:pPr>
            <w:r w:rsidRPr="00704B78">
              <w:rPr>
                <w:b/>
              </w:rPr>
              <w:t>Annual cost</w:t>
            </w:r>
            <w:r w:rsidR="00EC26C7">
              <w:rPr>
                <w:b/>
              </w:rPr>
              <w:t xml:space="preserve"> </w:t>
            </w:r>
            <w:r w:rsidR="00112EA7">
              <w:rPr>
                <w:b/>
              </w:rPr>
              <w:t>or</w:t>
            </w:r>
            <w:r w:rsidR="00EC26C7">
              <w:rPr>
                <w:b/>
              </w:rPr>
              <w:t xml:space="preserve"> dose</w:t>
            </w:r>
          </w:p>
        </w:tc>
        <w:tc>
          <w:tcPr>
            <w:tcW w:w="3902" w:type="pct"/>
            <w:vAlign w:val="center"/>
          </w:tcPr>
          <w:p w14:paraId="48B860E6" w14:textId="77777777" w:rsidR="000B13C5" w:rsidRPr="00704B78" w:rsidRDefault="000B13C5" w:rsidP="006E2A77">
            <w:pPr>
              <w:pStyle w:val="TableText"/>
              <w:keepNext w:val="0"/>
              <w:widowControl/>
              <w:jc w:val="center"/>
              <w:rPr>
                <w:b/>
              </w:rPr>
            </w:pPr>
            <w:r w:rsidRPr="00704B78">
              <w:rPr>
                <w:b/>
              </w:rPr>
              <w:t>Source</w:t>
            </w:r>
          </w:p>
        </w:tc>
      </w:tr>
      <w:tr w:rsidR="000B13C5" w:rsidRPr="00704B78" w14:paraId="6BCDDF74" w14:textId="77777777" w:rsidTr="00AA17C4">
        <w:trPr>
          <w:trHeight w:val="43"/>
        </w:trPr>
        <w:tc>
          <w:tcPr>
            <w:tcW w:w="626" w:type="pct"/>
            <w:vAlign w:val="center"/>
          </w:tcPr>
          <w:p w14:paraId="58A2651D" w14:textId="3875698A" w:rsidR="000B13C5" w:rsidRPr="00704B78" w:rsidRDefault="000B13C5" w:rsidP="006E2A77">
            <w:pPr>
              <w:pStyle w:val="TableText"/>
              <w:keepNext w:val="0"/>
              <w:widowControl/>
            </w:pPr>
            <w:r w:rsidRPr="00704B78">
              <w:t>Ravulizumab</w:t>
            </w:r>
            <w:r w:rsidR="004C798E">
              <w:t xml:space="preserve"> (</w:t>
            </w:r>
            <w:r w:rsidR="001163FD">
              <w:t>not accounting for the loading dose</w:t>
            </w:r>
            <w:r w:rsidR="004C798E">
              <w:t>)</w:t>
            </w:r>
          </w:p>
        </w:tc>
        <w:tc>
          <w:tcPr>
            <w:tcW w:w="472" w:type="pct"/>
            <w:vAlign w:val="center"/>
          </w:tcPr>
          <w:p w14:paraId="5DE2CF92" w14:textId="77777777" w:rsidR="00EC26C7" w:rsidRDefault="00EC26C7" w:rsidP="006E2A77">
            <w:pPr>
              <w:pStyle w:val="TableText"/>
              <w:keepNext w:val="0"/>
              <w:widowControl/>
              <w:jc w:val="center"/>
            </w:pPr>
            <w:r>
              <w:t>21,951 mg</w:t>
            </w:r>
          </w:p>
          <w:p w14:paraId="690DE758" w14:textId="588CCF24" w:rsidR="000B13C5" w:rsidRPr="00704B78" w:rsidRDefault="00EC26C7" w:rsidP="006E2A77">
            <w:pPr>
              <w:pStyle w:val="TableText"/>
              <w:keepNext w:val="0"/>
              <w:widowControl/>
              <w:jc w:val="center"/>
            </w:pPr>
            <w:r>
              <w:t xml:space="preserve">per year </w:t>
            </w:r>
          </w:p>
        </w:tc>
        <w:tc>
          <w:tcPr>
            <w:tcW w:w="3902" w:type="pct"/>
            <w:vAlign w:val="center"/>
          </w:tcPr>
          <w:p w14:paraId="1FC8DBFD" w14:textId="4C7AFF5B" w:rsidR="001552A0" w:rsidRDefault="00112EA7" w:rsidP="006E2A77">
            <w:pPr>
              <w:pStyle w:val="TableText"/>
              <w:keepNext w:val="0"/>
              <w:widowControl/>
            </w:pPr>
            <w:r>
              <w:t>A</w:t>
            </w:r>
            <w:r w:rsidR="003817CA">
              <w:t>ssuming the same weight distribution as patients in the trial (</w:t>
            </w:r>
            <w:r w:rsidR="00E1372D">
              <w:t xml:space="preserve">average dose of 3,377 mg per maintenance dose, </w:t>
            </w:r>
            <w:r w:rsidR="003817CA">
              <w:t xml:space="preserve">see row below) </w:t>
            </w:r>
            <w:r w:rsidR="000B13C5" w:rsidRPr="00704B78">
              <w:t>with 6.5 administrations per year</w:t>
            </w:r>
            <w:r w:rsidR="00E1372D">
              <w:t xml:space="preserve"> (total ravulizumab dose of</w:t>
            </w:r>
            <w:r w:rsidR="00FF5E80" w:rsidRPr="00704B78">
              <w:t xml:space="preserve"> </w:t>
            </w:r>
            <w:r w:rsidR="00E1372D">
              <w:t xml:space="preserve">21,951 mg per year). </w:t>
            </w:r>
            <w:r w:rsidR="001552A0" w:rsidRPr="00704B78">
              <w:t xml:space="preserve">The ESC noted this </w:t>
            </w:r>
            <w:r w:rsidR="00F4515F" w:rsidRPr="00704B78">
              <w:t>d</w:t>
            </w:r>
            <w:r w:rsidR="00F4515F">
              <w:t>id</w:t>
            </w:r>
            <w:r w:rsidR="00F4515F" w:rsidRPr="00704B78">
              <w:t xml:space="preserve"> </w:t>
            </w:r>
            <w:r w:rsidR="001E17D2" w:rsidRPr="00704B78">
              <w:t>not account for the loading dose</w:t>
            </w:r>
            <w:r w:rsidR="00444641" w:rsidRPr="00704B78">
              <w:t xml:space="preserve"> or dose intensity</w:t>
            </w:r>
            <w:r w:rsidR="00662131">
              <w:t>/compliance.</w:t>
            </w:r>
          </w:p>
          <w:p w14:paraId="557104B1" w14:textId="35456DE8" w:rsidR="00EC26C7" w:rsidRPr="00704B78" w:rsidRDefault="00EC26C7" w:rsidP="006E2A77">
            <w:pPr>
              <w:pStyle w:val="TableText"/>
              <w:keepNext w:val="0"/>
              <w:widowControl/>
              <w:numPr>
                <w:ilvl w:val="0"/>
                <w:numId w:val="36"/>
              </w:numPr>
            </w:pPr>
            <w:r>
              <w:t>With 95% compliance, this would be 20,854 mg per year (21,951 mg x 95%)</w:t>
            </w:r>
          </w:p>
        </w:tc>
      </w:tr>
      <w:tr w:rsidR="004C798E" w:rsidRPr="00704B78" w14:paraId="6A52A9BB" w14:textId="77777777" w:rsidTr="00AA17C4">
        <w:trPr>
          <w:trHeight w:val="43"/>
        </w:trPr>
        <w:tc>
          <w:tcPr>
            <w:tcW w:w="626" w:type="pct"/>
            <w:vAlign w:val="center"/>
          </w:tcPr>
          <w:p w14:paraId="5D7BB124" w14:textId="7D552A2B" w:rsidR="004C798E" w:rsidRPr="00704B78" w:rsidRDefault="004C798E" w:rsidP="006E2A77">
            <w:pPr>
              <w:pStyle w:val="TableText"/>
              <w:keepNext w:val="0"/>
              <w:widowControl/>
            </w:pPr>
            <w:r>
              <w:t>Ravulizumab (</w:t>
            </w:r>
            <w:r w:rsidR="001163FD">
              <w:t>accounting for the loading dose</w:t>
            </w:r>
            <w:r>
              <w:t>)</w:t>
            </w:r>
          </w:p>
        </w:tc>
        <w:tc>
          <w:tcPr>
            <w:tcW w:w="472" w:type="pct"/>
            <w:vAlign w:val="center"/>
          </w:tcPr>
          <w:p w14:paraId="452791F5" w14:textId="026DC3ED" w:rsidR="004C798E" w:rsidRDefault="00112EA7" w:rsidP="006E2A77">
            <w:pPr>
              <w:pStyle w:val="TableText"/>
              <w:keepNext w:val="0"/>
              <w:widowControl/>
              <w:jc w:val="center"/>
            </w:pPr>
            <w:r w:rsidRPr="00EC26C7">
              <w:t>23,340</w:t>
            </w:r>
            <w:r>
              <w:t xml:space="preserve"> mg </w:t>
            </w:r>
            <w:r w:rsidR="004C798E">
              <w:t xml:space="preserve">per year for the first </w:t>
            </w:r>
            <w:r w:rsidR="00BB3207">
              <w:t>2</w:t>
            </w:r>
            <w:r w:rsidR="004C798E">
              <w:t xml:space="preserve"> years </w:t>
            </w:r>
          </w:p>
          <w:p w14:paraId="6D479C2D" w14:textId="139F5BF0" w:rsidR="00EC26C7" w:rsidRPr="00704B78" w:rsidRDefault="00EC26C7" w:rsidP="006E2A77">
            <w:pPr>
              <w:pStyle w:val="TableText"/>
              <w:keepNext w:val="0"/>
              <w:widowControl/>
              <w:jc w:val="center"/>
            </w:pPr>
          </w:p>
        </w:tc>
        <w:tc>
          <w:tcPr>
            <w:tcW w:w="3902" w:type="pct"/>
            <w:vAlign w:val="center"/>
          </w:tcPr>
          <w:p w14:paraId="5D69B4AE" w14:textId="063FE296" w:rsidR="004C798E" w:rsidRDefault="004C798E" w:rsidP="006E2A77">
            <w:pPr>
              <w:pStyle w:val="TableText"/>
              <w:keepNext w:val="0"/>
              <w:widowControl/>
              <w:rPr>
                <w:szCs w:val="20"/>
              </w:rPr>
            </w:pPr>
            <w:r w:rsidRPr="00F94798">
              <w:rPr>
                <w:szCs w:val="20"/>
              </w:rPr>
              <w:t>Based on the dose in the Product Information</w:t>
            </w:r>
            <w:r w:rsidR="00F35707">
              <w:rPr>
                <w:szCs w:val="20"/>
              </w:rPr>
              <w:t xml:space="preserve"> comprising </w:t>
            </w:r>
            <w:r w:rsidRPr="00F94798">
              <w:rPr>
                <w:szCs w:val="20"/>
              </w:rPr>
              <w:t>one loading dose (</w:t>
            </w:r>
            <w:r w:rsidR="00F94798" w:rsidRPr="00F94798">
              <w:rPr>
                <w:szCs w:val="20"/>
              </w:rPr>
              <w:t xml:space="preserve">at Week 0, </w:t>
            </w:r>
            <w:r w:rsidRPr="00F94798">
              <w:rPr>
                <w:szCs w:val="20"/>
              </w:rPr>
              <w:t>average of 2,777 mg) and 13 maintenance doses (</w:t>
            </w:r>
            <w:r w:rsidR="00F94798" w:rsidRPr="00F94798">
              <w:rPr>
                <w:szCs w:val="20"/>
              </w:rPr>
              <w:t xml:space="preserve">from Week 2 to Week </w:t>
            </w:r>
            <w:r w:rsidR="00BB3207">
              <w:rPr>
                <w:szCs w:val="20"/>
              </w:rPr>
              <w:t>104</w:t>
            </w:r>
            <w:r w:rsidR="00F94798" w:rsidRPr="00F94798">
              <w:rPr>
                <w:szCs w:val="20"/>
              </w:rPr>
              <w:t xml:space="preserve">, </w:t>
            </w:r>
            <w:r w:rsidR="00394FF7" w:rsidRPr="00F94798">
              <w:rPr>
                <w:szCs w:val="20"/>
              </w:rPr>
              <w:t xml:space="preserve">average of </w:t>
            </w:r>
            <w:r w:rsidRPr="00F94798">
              <w:rPr>
                <w:szCs w:val="20"/>
              </w:rPr>
              <w:t>3,377 mg</w:t>
            </w:r>
            <w:r w:rsidR="00F94798" w:rsidRPr="00F94798">
              <w:rPr>
                <w:szCs w:val="20"/>
              </w:rPr>
              <w:t xml:space="preserve"> per maintenance dose</w:t>
            </w:r>
            <w:r w:rsidRPr="00F94798">
              <w:rPr>
                <w:szCs w:val="20"/>
              </w:rPr>
              <w:t>) over the first two years, at 100% dose intensity (46,</w:t>
            </w:r>
            <w:r w:rsidR="00394FF7" w:rsidRPr="00F94798">
              <w:rPr>
                <w:szCs w:val="20"/>
              </w:rPr>
              <w:t>6</w:t>
            </w:r>
            <w:r w:rsidRPr="00F94798">
              <w:rPr>
                <w:szCs w:val="20"/>
              </w:rPr>
              <w:t>80 mg over the first two years</w:t>
            </w:r>
            <w:r w:rsidR="00394FF7" w:rsidRPr="00F94798">
              <w:rPr>
                <w:szCs w:val="20"/>
              </w:rPr>
              <w:t>, or 23,340 mg per year over the first two years</w:t>
            </w:r>
            <w:r w:rsidRPr="00F94798">
              <w:rPr>
                <w:szCs w:val="20"/>
              </w:rPr>
              <w:t xml:space="preserve">). </w:t>
            </w:r>
            <w:r w:rsidR="00992D30" w:rsidRPr="00F94798">
              <w:rPr>
                <w:szCs w:val="20"/>
              </w:rPr>
              <w:t xml:space="preserve">Assuming the same weight distribution as patients in the trial (i.e. 10.3% of patents weigh &lt;60kg, 53.7% weigh ≥ 60 kg to &lt; 100 kg; and 36% weigh ≥ 100 kg). </w:t>
            </w:r>
            <w:r w:rsidR="00394FF7" w:rsidRPr="00F94798">
              <w:rPr>
                <w:szCs w:val="20"/>
              </w:rPr>
              <w:t xml:space="preserve">This was based on the doses </w:t>
            </w:r>
            <w:r w:rsidR="00F94798" w:rsidRPr="00F94798">
              <w:rPr>
                <w:szCs w:val="20"/>
              </w:rPr>
              <w:t xml:space="preserve">outlined </w:t>
            </w:r>
            <w:r w:rsidR="00394FF7" w:rsidRPr="00F94798">
              <w:rPr>
                <w:szCs w:val="20"/>
              </w:rPr>
              <w:t>in the Product Information and does not account for dose intensity/compliance or response rates.</w:t>
            </w:r>
          </w:p>
          <w:p w14:paraId="74DACD1A" w14:textId="77777777" w:rsidR="00F94798" w:rsidRPr="00F94798" w:rsidRDefault="00F94798" w:rsidP="006E2A77">
            <w:pPr>
              <w:pStyle w:val="TableText"/>
              <w:keepNext w:val="0"/>
              <w:widowControl/>
              <w:rPr>
                <w:szCs w:val="20"/>
              </w:rPr>
            </w:pPr>
          </w:p>
          <w:p w14:paraId="75FD77CE" w14:textId="77588D7F" w:rsidR="00F94798" w:rsidRDefault="00F94798" w:rsidP="006E2A77">
            <w:pPr>
              <w:pStyle w:val="TableText"/>
              <w:keepNext w:val="0"/>
              <w:widowControl/>
              <w:rPr>
                <w:rFonts w:cs="Times New Roman"/>
                <w:b/>
                <w:sz w:val="18"/>
                <w:szCs w:val="18"/>
              </w:rPr>
            </w:pPr>
            <w:r w:rsidRPr="00F94798">
              <w:rPr>
                <w:rFonts w:cs="Times New Roman"/>
                <w:b/>
                <w:color w:val="000000"/>
                <w:sz w:val="18"/>
                <w:szCs w:val="18"/>
              </w:rPr>
              <w:t>Loading and maintenance doses by patient weight</w:t>
            </w:r>
            <w:r w:rsidR="00BB3207">
              <w:rPr>
                <w:rFonts w:cs="Times New Roman"/>
                <w:b/>
                <w:color w:val="000000"/>
                <w:sz w:val="18"/>
                <w:szCs w:val="18"/>
              </w:rPr>
              <w:t xml:space="preserve"> (</w:t>
            </w:r>
            <w:r w:rsidR="00BB3207" w:rsidRPr="00F94798">
              <w:rPr>
                <w:rFonts w:cs="Times New Roman"/>
                <w:b/>
                <w:sz w:val="18"/>
                <w:szCs w:val="18"/>
              </w:rPr>
              <w:t>100% dose intensity</w:t>
            </w:r>
            <w:r w:rsidR="00BB3207">
              <w:rPr>
                <w:rFonts w:cs="Times New Roman"/>
                <w:b/>
                <w:sz w:val="18"/>
                <w:szCs w:val="18"/>
              </w:rPr>
              <w:t>)</w:t>
            </w:r>
          </w:p>
          <w:tbl>
            <w:tblPr>
              <w:tblW w:w="6768" w:type="dxa"/>
              <w:tblLayout w:type="fixed"/>
              <w:tblLook w:val="04A0" w:firstRow="1" w:lastRow="0" w:firstColumn="1" w:lastColumn="0" w:noHBand="0" w:noVBand="1"/>
            </w:tblPr>
            <w:tblGrid>
              <w:gridCol w:w="2655"/>
              <w:gridCol w:w="1559"/>
              <w:gridCol w:w="995"/>
              <w:gridCol w:w="1559"/>
            </w:tblGrid>
            <w:tr w:rsidR="0042723E" w:rsidRPr="00F94798" w14:paraId="08A70B97" w14:textId="77777777">
              <w:trPr>
                <w:trHeight w:val="20"/>
              </w:trPr>
              <w:tc>
                <w:tcPr>
                  <w:tcW w:w="2655" w:type="dxa"/>
                  <w:tcBorders>
                    <w:top w:val="nil"/>
                    <w:left w:val="single" w:sz="4" w:space="0" w:color="auto"/>
                    <w:bottom w:val="single" w:sz="4" w:space="0" w:color="auto"/>
                    <w:right w:val="single" w:sz="4" w:space="0" w:color="auto"/>
                  </w:tcBorders>
                  <w:noWrap/>
                  <w:vAlign w:val="bottom"/>
                  <w:hideMark/>
                </w:tcPr>
                <w:p w14:paraId="522BFD17" w14:textId="77777777" w:rsidR="0042723E" w:rsidRPr="00F94798" w:rsidRDefault="0042723E" w:rsidP="006E2A77">
                  <w:pPr>
                    <w:jc w:val="left"/>
                    <w:rPr>
                      <w:rFonts w:ascii="Arial Narrow" w:hAnsi="Arial Narrow" w:cs="Times New Roman"/>
                      <w:color w:val="000000"/>
                      <w:sz w:val="18"/>
                      <w:szCs w:val="18"/>
                    </w:rPr>
                  </w:pPr>
                  <w:r>
                    <w:rPr>
                      <w:rFonts w:ascii="Arial Narrow" w:hAnsi="Arial Narrow" w:cs="Times New Roman"/>
                      <w:color w:val="000000"/>
                      <w:sz w:val="18"/>
                      <w:szCs w:val="18"/>
                    </w:rPr>
                    <w:t>Weight</w:t>
                  </w:r>
                  <w:r w:rsidRPr="00F94798">
                    <w:rPr>
                      <w:rFonts w:ascii="Arial Narrow" w:hAnsi="Arial Narrow" w:cs="Times New Roman"/>
                      <w:color w:val="000000"/>
                      <w:sz w:val="18"/>
                      <w:szCs w:val="18"/>
                    </w:rPr>
                    <w:t xml:space="preserve"> category</w:t>
                  </w:r>
                  <w:r>
                    <w:rPr>
                      <w:rFonts w:ascii="Arial Narrow" w:hAnsi="Arial Narrow" w:cs="Times New Roman"/>
                      <w:color w:val="000000"/>
                      <w:sz w:val="18"/>
                      <w:szCs w:val="18"/>
                    </w:rPr>
                    <w:t xml:space="preserve"> for dosing</w:t>
                  </w:r>
                </w:p>
              </w:tc>
              <w:tc>
                <w:tcPr>
                  <w:tcW w:w="1559" w:type="dxa"/>
                  <w:tcBorders>
                    <w:top w:val="nil"/>
                    <w:left w:val="nil"/>
                    <w:bottom w:val="single" w:sz="4" w:space="0" w:color="auto"/>
                    <w:right w:val="single" w:sz="4" w:space="0" w:color="auto"/>
                  </w:tcBorders>
                  <w:noWrap/>
                  <w:vAlign w:val="bottom"/>
                  <w:hideMark/>
                </w:tcPr>
                <w:p w14:paraId="7C993198" w14:textId="77777777" w:rsidR="0042723E" w:rsidRPr="00F94798" w:rsidRDefault="0042723E" w:rsidP="006E2A77">
                  <w:pPr>
                    <w:jc w:val="left"/>
                    <w:rPr>
                      <w:rFonts w:ascii="Arial Narrow" w:hAnsi="Arial Narrow" w:cs="Times New Roman"/>
                      <w:b/>
                      <w:bCs/>
                      <w:color w:val="000000"/>
                      <w:sz w:val="18"/>
                      <w:szCs w:val="18"/>
                    </w:rPr>
                  </w:pPr>
                  <w:r w:rsidRPr="00F94798">
                    <w:rPr>
                      <w:rFonts w:ascii="Arial Narrow" w:hAnsi="Arial Narrow" w:cs="Times New Roman"/>
                      <w:b/>
                      <w:bCs/>
                      <w:color w:val="000000"/>
                      <w:sz w:val="18"/>
                      <w:szCs w:val="18"/>
                    </w:rPr>
                    <w:t>≥ 40 kg to &lt; 60 kg</w:t>
                  </w:r>
                </w:p>
              </w:tc>
              <w:tc>
                <w:tcPr>
                  <w:tcW w:w="995" w:type="dxa"/>
                  <w:tcBorders>
                    <w:top w:val="nil"/>
                    <w:left w:val="nil"/>
                    <w:bottom w:val="single" w:sz="4" w:space="0" w:color="auto"/>
                    <w:right w:val="single" w:sz="4" w:space="0" w:color="auto"/>
                  </w:tcBorders>
                  <w:noWrap/>
                  <w:vAlign w:val="bottom"/>
                  <w:hideMark/>
                </w:tcPr>
                <w:p w14:paraId="1C10970C" w14:textId="77777777" w:rsidR="0042723E" w:rsidRPr="00F94798" w:rsidRDefault="0042723E" w:rsidP="006E2A77">
                  <w:pPr>
                    <w:jc w:val="left"/>
                    <w:rPr>
                      <w:rFonts w:ascii="Arial Narrow" w:hAnsi="Arial Narrow" w:cs="Times New Roman"/>
                      <w:b/>
                      <w:bCs/>
                      <w:color w:val="000000"/>
                      <w:sz w:val="18"/>
                      <w:szCs w:val="18"/>
                    </w:rPr>
                  </w:pPr>
                  <w:r w:rsidRPr="00F94798">
                    <w:rPr>
                      <w:rFonts w:ascii="Arial Narrow" w:hAnsi="Arial Narrow" w:cs="Times New Roman"/>
                      <w:b/>
                      <w:bCs/>
                      <w:color w:val="000000"/>
                      <w:sz w:val="18"/>
                      <w:szCs w:val="18"/>
                    </w:rPr>
                    <w:t>≥ 60 kg to &lt; 100 kg</w:t>
                  </w:r>
                </w:p>
              </w:tc>
              <w:tc>
                <w:tcPr>
                  <w:tcW w:w="1559" w:type="dxa"/>
                  <w:tcBorders>
                    <w:top w:val="nil"/>
                    <w:left w:val="nil"/>
                    <w:bottom w:val="single" w:sz="4" w:space="0" w:color="auto"/>
                    <w:right w:val="single" w:sz="4" w:space="0" w:color="auto"/>
                  </w:tcBorders>
                  <w:noWrap/>
                  <w:vAlign w:val="bottom"/>
                  <w:hideMark/>
                </w:tcPr>
                <w:p w14:paraId="437F6088" w14:textId="77777777" w:rsidR="0042723E" w:rsidRPr="00F94798" w:rsidRDefault="0042723E" w:rsidP="006E2A77">
                  <w:pPr>
                    <w:tabs>
                      <w:tab w:val="left" w:pos="566"/>
                    </w:tabs>
                    <w:jc w:val="left"/>
                    <w:rPr>
                      <w:rFonts w:ascii="Arial Narrow" w:hAnsi="Arial Narrow" w:cs="Times New Roman"/>
                      <w:b/>
                      <w:bCs/>
                      <w:color w:val="000000"/>
                      <w:sz w:val="18"/>
                      <w:szCs w:val="18"/>
                    </w:rPr>
                  </w:pPr>
                  <w:r w:rsidRPr="00F94798">
                    <w:rPr>
                      <w:rFonts w:ascii="Arial Narrow" w:hAnsi="Arial Narrow" w:cs="Times New Roman"/>
                      <w:b/>
                      <w:bCs/>
                      <w:color w:val="000000"/>
                      <w:sz w:val="18"/>
                      <w:szCs w:val="18"/>
                    </w:rPr>
                    <w:t>≥ 100 kg</w:t>
                  </w:r>
                </w:p>
              </w:tc>
            </w:tr>
            <w:tr w:rsidR="0042723E" w:rsidRPr="00F94798" w14:paraId="0067D2E3" w14:textId="77777777">
              <w:trPr>
                <w:trHeight w:val="20"/>
              </w:trPr>
              <w:tc>
                <w:tcPr>
                  <w:tcW w:w="2655" w:type="dxa"/>
                  <w:tcBorders>
                    <w:top w:val="nil"/>
                    <w:left w:val="single" w:sz="4" w:space="0" w:color="auto"/>
                    <w:bottom w:val="single" w:sz="4" w:space="0" w:color="auto"/>
                    <w:right w:val="single" w:sz="4" w:space="0" w:color="auto"/>
                  </w:tcBorders>
                  <w:noWrap/>
                  <w:vAlign w:val="bottom"/>
                  <w:hideMark/>
                </w:tcPr>
                <w:p w14:paraId="0B744C97" w14:textId="77777777" w:rsidR="0042723E" w:rsidRPr="00F94798" w:rsidRDefault="0042723E" w:rsidP="006E2A77">
                  <w:pPr>
                    <w:jc w:val="left"/>
                    <w:rPr>
                      <w:rFonts w:ascii="Arial Narrow" w:hAnsi="Arial Narrow" w:cs="Times New Roman"/>
                      <w:color w:val="000000"/>
                      <w:sz w:val="18"/>
                      <w:szCs w:val="18"/>
                    </w:rPr>
                  </w:pPr>
                  <w:r w:rsidRPr="00F94798">
                    <w:rPr>
                      <w:rFonts w:ascii="Arial Narrow" w:hAnsi="Arial Narrow" w:cs="Times New Roman"/>
                      <w:color w:val="000000"/>
                      <w:sz w:val="18"/>
                      <w:szCs w:val="18"/>
                    </w:rPr>
                    <w:t>Loading (Dose 1 only)</w:t>
                  </w:r>
                </w:p>
              </w:tc>
              <w:tc>
                <w:tcPr>
                  <w:tcW w:w="1559" w:type="dxa"/>
                  <w:tcBorders>
                    <w:top w:val="nil"/>
                    <w:left w:val="nil"/>
                    <w:bottom w:val="single" w:sz="4" w:space="0" w:color="auto"/>
                    <w:right w:val="single" w:sz="4" w:space="0" w:color="auto"/>
                  </w:tcBorders>
                  <w:noWrap/>
                  <w:vAlign w:val="center"/>
                  <w:hideMark/>
                </w:tcPr>
                <w:p w14:paraId="07AB0132" w14:textId="77777777" w:rsidR="0042723E" w:rsidRPr="00F94798" w:rsidRDefault="0042723E" w:rsidP="006E2A77">
                  <w:pPr>
                    <w:jc w:val="center"/>
                    <w:rPr>
                      <w:rFonts w:ascii="Arial Narrow" w:hAnsi="Arial Narrow" w:cs="Times New Roman"/>
                      <w:color w:val="000000"/>
                      <w:sz w:val="18"/>
                      <w:szCs w:val="18"/>
                    </w:rPr>
                  </w:pPr>
                  <w:r w:rsidRPr="00F94798">
                    <w:rPr>
                      <w:rFonts w:ascii="Arial Narrow" w:hAnsi="Arial Narrow" w:cs="Times New Roman"/>
                      <w:color w:val="000000"/>
                      <w:sz w:val="18"/>
                      <w:szCs w:val="18"/>
                    </w:rPr>
                    <w:t>2</w:t>
                  </w:r>
                  <w:r>
                    <w:rPr>
                      <w:rFonts w:ascii="Arial Narrow" w:hAnsi="Arial Narrow" w:cs="Times New Roman"/>
                      <w:color w:val="000000"/>
                      <w:sz w:val="18"/>
                      <w:szCs w:val="18"/>
                    </w:rPr>
                    <w:t>,</w:t>
                  </w:r>
                  <w:r w:rsidRPr="00F94798">
                    <w:rPr>
                      <w:rFonts w:ascii="Arial Narrow" w:hAnsi="Arial Narrow" w:cs="Times New Roman"/>
                      <w:color w:val="000000"/>
                      <w:sz w:val="18"/>
                      <w:szCs w:val="18"/>
                    </w:rPr>
                    <w:t>400</w:t>
                  </w:r>
                  <w:r>
                    <w:rPr>
                      <w:rFonts w:ascii="Arial Narrow" w:hAnsi="Arial Narrow" w:cs="Times New Roman"/>
                      <w:color w:val="000000"/>
                      <w:sz w:val="18"/>
                      <w:szCs w:val="18"/>
                    </w:rPr>
                    <w:t xml:space="preserve"> mg</w:t>
                  </w:r>
                </w:p>
              </w:tc>
              <w:tc>
                <w:tcPr>
                  <w:tcW w:w="995" w:type="dxa"/>
                  <w:tcBorders>
                    <w:top w:val="nil"/>
                    <w:left w:val="nil"/>
                    <w:bottom w:val="single" w:sz="4" w:space="0" w:color="auto"/>
                    <w:right w:val="single" w:sz="4" w:space="0" w:color="auto"/>
                  </w:tcBorders>
                  <w:noWrap/>
                  <w:vAlign w:val="center"/>
                  <w:hideMark/>
                </w:tcPr>
                <w:p w14:paraId="46598174" w14:textId="77777777" w:rsidR="0042723E" w:rsidRPr="00F94798" w:rsidRDefault="0042723E" w:rsidP="006E2A77">
                  <w:pPr>
                    <w:jc w:val="center"/>
                    <w:rPr>
                      <w:rFonts w:ascii="Arial Narrow" w:hAnsi="Arial Narrow" w:cs="Times New Roman"/>
                      <w:color w:val="000000"/>
                      <w:sz w:val="18"/>
                      <w:szCs w:val="18"/>
                    </w:rPr>
                  </w:pPr>
                  <w:r w:rsidRPr="00F94798">
                    <w:rPr>
                      <w:rFonts w:ascii="Arial Narrow" w:hAnsi="Arial Narrow" w:cs="Times New Roman"/>
                      <w:color w:val="000000"/>
                      <w:sz w:val="18"/>
                      <w:szCs w:val="18"/>
                    </w:rPr>
                    <w:t>2</w:t>
                  </w:r>
                  <w:r>
                    <w:rPr>
                      <w:rFonts w:ascii="Arial Narrow" w:hAnsi="Arial Narrow" w:cs="Times New Roman"/>
                      <w:color w:val="000000"/>
                      <w:sz w:val="18"/>
                      <w:szCs w:val="18"/>
                    </w:rPr>
                    <w:t>,</w:t>
                  </w:r>
                  <w:r w:rsidRPr="00F94798">
                    <w:rPr>
                      <w:rFonts w:ascii="Arial Narrow" w:hAnsi="Arial Narrow" w:cs="Times New Roman"/>
                      <w:color w:val="000000"/>
                      <w:sz w:val="18"/>
                      <w:szCs w:val="18"/>
                    </w:rPr>
                    <w:t>700</w:t>
                  </w:r>
                  <w:r>
                    <w:rPr>
                      <w:rFonts w:ascii="Arial Narrow" w:hAnsi="Arial Narrow" w:cs="Times New Roman"/>
                      <w:color w:val="000000"/>
                      <w:sz w:val="18"/>
                      <w:szCs w:val="18"/>
                    </w:rPr>
                    <w:t xml:space="preserve"> mg</w:t>
                  </w:r>
                </w:p>
              </w:tc>
              <w:tc>
                <w:tcPr>
                  <w:tcW w:w="1559" w:type="dxa"/>
                  <w:tcBorders>
                    <w:top w:val="nil"/>
                    <w:left w:val="nil"/>
                    <w:bottom w:val="single" w:sz="4" w:space="0" w:color="auto"/>
                    <w:right w:val="single" w:sz="4" w:space="0" w:color="auto"/>
                  </w:tcBorders>
                  <w:noWrap/>
                  <w:vAlign w:val="center"/>
                  <w:hideMark/>
                </w:tcPr>
                <w:p w14:paraId="72C81202" w14:textId="77777777" w:rsidR="0042723E" w:rsidRPr="00F94798" w:rsidRDefault="0042723E" w:rsidP="006E2A77">
                  <w:pPr>
                    <w:tabs>
                      <w:tab w:val="left" w:pos="566"/>
                    </w:tabs>
                    <w:jc w:val="center"/>
                    <w:rPr>
                      <w:rFonts w:ascii="Arial Narrow" w:hAnsi="Arial Narrow" w:cs="Times New Roman"/>
                      <w:color w:val="000000"/>
                      <w:sz w:val="18"/>
                      <w:szCs w:val="18"/>
                    </w:rPr>
                  </w:pPr>
                  <w:r w:rsidRPr="00F94798">
                    <w:rPr>
                      <w:rFonts w:ascii="Arial Narrow" w:hAnsi="Arial Narrow" w:cs="Times New Roman"/>
                      <w:color w:val="000000"/>
                      <w:sz w:val="18"/>
                      <w:szCs w:val="18"/>
                    </w:rPr>
                    <w:t>3</w:t>
                  </w:r>
                  <w:r>
                    <w:rPr>
                      <w:rFonts w:ascii="Arial Narrow" w:hAnsi="Arial Narrow" w:cs="Times New Roman"/>
                      <w:color w:val="000000"/>
                      <w:sz w:val="18"/>
                      <w:szCs w:val="18"/>
                    </w:rPr>
                    <w:t>,</w:t>
                  </w:r>
                  <w:r w:rsidRPr="00F94798">
                    <w:rPr>
                      <w:rFonts w:ascii="Arial Narrow" w:hAnsi="Arial Narrow" w:cs="Times New Roman"/>
                      <w:color w:val="000000"/>
                      <w:sz w:val="18"/>
                      <w:szCs w:val="18"/>
                    </w:rPr>
                    <w:t>000</w:t>
                  </w:r>
                  <w:r>
                    <w:rPr>
                      <w:rFonts w:ascii="Arial Narrow" w:hAnsi="Arial Narrow" w:cs="Times New Roman"/>
                      <w:color w:val="000000"/>
                      <w:sz w:val="18"/>
                      <w:szCs w:val="18"/>
                    </w:rPr>
                    <w:t xml:space="preserve"> mg</w:t>
                  </w:r>
                </w:p>
              </w:tc>
            </w:tr>
            <w:tr w:rsidR="0042723E" w:rsidRPr="00F94798" w14:paraId="78F6DCC5" w14:textId="77777777">
              <w:trPr>
                <w:trHeight w:val="20"/>
              </w:trPr>
              <w:tc>
                <w:tcPr>
                  <w:tcW w:w="2655" w:type="dxa"/>
                  <w:tcBorders>
                    <w:top w:val="nil"/>
                    <w:left w:val="single" w:sz="4" w:space="0" w:color="auto"/>
                    <w:bottom w:val="single" w:sz="4" w:space="0" w:color="auto"/>
                    <w:right w:val="single" w:sz="4" w:space="0" w:color="auto"/>
                  </w:tcBorders>
                  <w:noWrap/>
                  <w:vAlign w:val="bottom"/>
                  <w:hideMark/>
                </w:tcPr>
                <w:p w14:paraId="2A120131" w14:textId="77777777" w:rsidR="0042723E" w:rsidRPr="00F94798" w:rsidRDefault="0042723E" w:rsidP="006E2A77">
                  <w:pPr>
                    <w:jc w:val="left"/>
                    <w:rPr>
                      <w:rFonts w:ascii="Arial Narrow" w:hAnsi="Arial Narrow" w:cs="Times New Roman"/>
                      <w:color w:val="000000"/>
                      <w:sz w:val="18"/>
                      <w:szCs w:val="18"/>
                    </w:rPr>
                  </w:pPr>
                  <w:r w:rsidRPr="00F94798">
                    <w:rPr>
                      <w:rFonts w:ascii="Arial Narrow" w:hAnsi="Arial Narrow" w:cs="Times New Roman"/>
                      <w:color w:val="000000"/>
                      <w:sz w:val="18"/>
                      <w:szCs w:val="18"/>
                    </w:rPr>
                    <w:t>Maintenance (Week 2</w:t>
                  </w:r>
                  <w:r>
                    <w:rPr>
                      <w:rFonts w:ascii="Arial Narrow" w:hAnsi="Arial Narrow" w:cs="Times New Roman"/>
                      <w:color w:val="000000"/>
                      <w:sz w:val="18"/>
                      <w:szCs w:val="18"/>
                    </w:rPr>
                    <w:t xml:space="preserve"> </w:t>
                  </w:r>
                  <w:r w:rsidRPr="00F94798">
                    <w:rPr>
                      <w:rFonts w:ascii="Arial Narrow" w:hAnsi="Arial Narrow" w:cs="Times New Roman"/>
                      <w:color w:val="000000"/>
                      <w:sz w:val="18"/>
                      <w:szCs w:val="18"/>
                    </w:rPr>
                    <w:t>then every 8 weeks)</w:t>
                  </w:r>
                </w:p>
              </w:tc>
              <w:tc>
                <w:tcPr>
                  <w:tcW w:w="1559" w:type="dxa"/>
                  <w:tcBorders>
                    <w:top w:val="nil"/>
                    <w:left w:val="nil"/>
                    <w:bottom w:val="single" w:sz="4" w:space="0" w:color="auto"/>
                    <w:right w:val="single" w:sz="4" w:space="0" w:color="auto"/>
                  </w:tcBorders>
                  <w:noWrap/>
                  <w:vAlign w:val="center"/>
                  <w:hideMark/>
                </w:tcPr>
                <w:p w14:paraId="0FC48D85" w14:textId="77777777" w:rsidR="0042723E" w:rsidRPr="00F94798" w:rsidRDefault="0042723E" w:rsidP="006E2A77">
                  <w:pPr>
                    <w:jc w:val="center"/>
                    <w:rPr>
                      <w:rFonts w:ascii="Arial Narrow" w:hAnsi="Arial Narrow" w:cs="Times New Roman"/>
                      <w:color w:val="000000"/>
                      <w:sz w:val="18"/>
                      <w:szCs w:val="18"/>
                    </w:rPr>
                  </w:pPr>
                  <w:r w:rsidRPr="00F94798">
                    <w:rPr>
                      <w:rFonts w:ascii="Arial Narrow" w:hAnsi="Arial Narrow" w:cs="Times New Roman"/>
                      <w:color w:val="000000"/>
                      <w:sz w:val="18"/>
                      <w:szCs w:val="18"/>
                    </w:rPr>
                    <w:t>3</w:t>
                  </w:r>
                  <w:r>
                    <w:rPr>
                      <w:rFonts w:ascii="Arial Narrow" w:hAnsi="Arial Narrow" w:cs="Times New Roman"/>
                      <w:color w:val="000000"/>
                      <w:sz w:val="18"/>
                      <w:szCs w:val="18"/>
                    </w:rPr>
                    <w:t>,</w:t>
                  </w:r>
                  <w:r w:rsidRPr="00F94798">
                    <w:rPr>
                      <w:rFonts w:ascii="Arial Narrow" w:hAnsi="Arial Narrow" w:cs="Times New Roman"/>
                      <w:color w:val="000000"/>
                      <w:sz w:val="18"/>
                      <w:szCs w:val="18"/>
                    </w:rPr>
                    <w:t>000</w:t>
                  </w:r>
                  <w:r>
                    <w:rPr>
                      <w:rFonts w:ascii="Arial Narrow" w:hAnsi="Arial Narrow" w:cs="Times New Roman"/>
                      <w:color w:val="000000"/>
                      <w:sz w:val="18"/>
                      <w:szCs w:val="18"/>
                    </w:rPr>
                    <w:t xml:space="preserve"> mg</w:t>
                  </w:r>
                </w:p>
              </w:tc>
              <w:tc>
                <w:tcPr>
                  <w:tcW w:w="995" w:type="dxa"/>
                  <w:tcBorders>
                    <w:top w:val="nil"/>
                    <w:left w:val="nil"/>
                    <w:bottom w:val="single" w:sz="4" w:space="0" w:color="auto"/>
                    <w:right w:val="single" w:sz="4" w:space="0" w:color="auto"/>
                  </w:tcBorders>
                  <w:noWrap/>
                  <w:vAlign w:val="center"/>
                  <w:hideMark/>
                </w:tcPr>
                <w:p w14:paraId="0275EB95" w14:textId="77777777" w:rsidR="0042723E" w:rsidRPr="00F94798" w:rsidRDefault="0042723E" w:rsidP="006E2A77">
                  <w:pPr>
                    <w:jc w:val="center"/>
                    <w:rPr>
                      <w:rFonts w:ascii="Arial Narrow" w:hAnsi="Arial Narrow" w:cs="Times New Roman"/>
                      <w:color w:val="000000"/>
                      <w:sz w:val="18"/>
                      <w:szCs w:val="18"/>
                    </w:rPr>
                  </w:pPr>
                  <w:r w:rsidRPr="00F94798">
                    <w:rPr>
                      <w:rFonts w:ascii="Arial Narrow" w:hAnsi="Arial Narrow" w:cs="Times New Roman"/>
                      <w:color w:val="000000"/>
                      <w:sz w:val="18"/>
                      <w:szCs w:val="18"/>
                    </w:rPr>
                    <w:t>3</w:t>
                  </w:r>
                  <w:r>
                    <w:rPr>
                      <w:rFonts w:ascii="Arial Narrow" w:hAnsi="Arial Narrow" w:cs="Times New Roman"/>
                      <w:color w:val="000000"/>
                      <w:sz w:val="18"/>
                      <w:szCs w:val="18"/>
                    </w:rPr>
                    <w:t>,</w:t>
                  </w:r>
                  <w:r w:rsidRPr="00F94798">
                    <w:rPr>
                      <w:rFonts w:ascii="Arial Narrow" w:hAnsi="Arial Narrow" w:cs="Times New Roman"/>
                      <w:color w:val="000000"/>
                      <w:sz w:val="18"/>
                      <w:szCs w:val="18"/>
                    </w:rPr>
                    <w:t>300</w:t>
                  </w:r>
                  <w:r>
                    <w:rPr>
                      <w:rFonts w:ascii="Arial Narrow" w:hAnsi="Arial Narrow" w:cs="Times New Roman"/>
                      <w:color w:val="000000"/>
                      <w:sz w:val="18"/>
                      <w:szCs w:val="18"/>
                    </w:rPr>
                    <w:t xml:space="preserve"> mg</w:t>
                  </w:r>
                </w:p>
              </w:tc>
              <w:tc>
                <w:tcPr>
                  <w:tcW w:w="1559" w:type="dxa"/>
                  <w:tcBorders>
                    <w:top w:val="nil"/>
                    <w:left w:val="nil"/>
                    <w:bottom w:val="single" w:sz="4" w:space="0" w:color="auto"/>
                    <w:right w:val="single" w:sz="4" w:space="0" w:color="auto"/>
                  </w:tcBorders>
                  <w:noWrap/>
                  <w:vAlign w:val="center"/>
                  <w:hideMark/>
                </w:tcPr>
                <w:p w14:paraId="00DB5274" w14:textId="77777777" w:rsidR="0042723E" w:rsidRPr="00F94798" w:rsidRDefault="0042723E" w:rsidP="006E2A77">
                  <w:pPr>
                    <w:tabs>
                      <w:tab w:val="left" w:pos="566"/>
                    </w:tabs>
                    <w:jc w:val="center"/>
                    <w:rPr>
                      <w:rFonts w:ascii="Arial Narrow" w:hAnsi="Arial Narrow" w:cs="Times New Roman"/>
                      <w:color w:val="000000"/>
                      <w:sz w:val="18"/>
                      <w:szCs w:val="18"/>
                    </w:rPr>
                  </w:pPr>
                  <w:r w:rsidRPr="00F94798">
                    <w:rPr>
                      <w:rFonts w:ascii="Arial Narrow" w:hAnsi="Arial Narrow" w:cs="Times New Roman"/>
                      <w:color w:val="000000"/>
                      <w:sz w:val="18"/>
                      <w:szCs w:val="18"/>
                    </w:rPr>
                    <w:t>3</w:t>
                  </w:r>
                  <w:r>
                    <w:rPr>
                      <w:rFonts w:ascii="Arial Narrow" w:hAnsi="Arial Narrow" w:cs="Times New Roman"/>
                      <w:color w:val="000000"/>
                      <w:sz w:val="18"/>
                      <w:szCs w:val="18"/>
                    </w:rPr>
                    <w:t>,</w:t>
                  </w:r>
                  <w:r w:rsidRPr="00F94798">
                    <w:rPr>
                      <w:rFonts w:ascii="Arial Narrow" w:hAnsi="Arial Narrow" w:cs="Times New Roman"/>
                      <w:color w:val="000000"/>
                      <w:sz w:val="18"/>
                      <w:szCs w:val="18"/>
                    </w:rPr>
                    <w:t>600</w:t>
                  </w:r>
                  <w:r>
                    <w:rPr>
                      <w:rFonts w:ascii="Arial Narrow" w:hAnsi="Arial Narrow" w:cs="Times New Roman"/>
                      <w:color w:val="000000"/>
                      <w:sz w:val="18"/>
                      <w:szCs w:val="18"/>
                    </w:rPr>
                    <w:t xml:space="preserve"> mg</w:t>
                  </w:r>
                </w:p>
              </w:tc>
            </w:tr>
            <w:tr w:rsidR="0042723E" w:rsidRPr="00F94798" w14:paraId="13950E99" w14:textId="77777777">
              <w:trPr>
                <w:trHeight w:val="20"/>
              </w:trPr>
              <w:tc>
                <w:tcPr>
                  <w:tcW w:w="2655" w:type="dxa"/>
                  <w:tcBorders>
                    <w:top w:val="nil"/>
                    <w:left w:val="single" w:sz="4" w:space="0" w:color="auto"/>
                    <w:bottom w:val="single" w:sz="4" w:space="0" w:color="auto"/>
                    <w:right w:val="single" w:sz="4" w:space="0" w:color="auto"/>
                  </w:tcBorders>
                  <w:noWrap/>
                  <w:vAlign w:val="bottom"/>
                  <w:hideMark/>
                </w:tcPr>
                <w:p w14:paraId="31805DFC" w14:textId="77777777" w:rsidR="0042723E" w:rsidRPr="00F94798" w:rsidRDefault="0042723E" w:rsidP="006E2A77">
                  <w:pPr>
                    <w:jc w:val="left"/>
                    <w:rPr>
                      <w:rFonts w:ascii="Arial Narrow" w:hAnsi="Arial Narrow" w:cs="Times New Roman"/>
                      <w:color w:val="000000"/>
                      <w:sz w:val="18"/>
                      <w:szCs w:val="18"/>
                    </w:rPr>
                  </w:pPr>
                  <w:r w:rsidRPr="00F94798">
                    <w:rPr>
                      <w:rFonts w:ascii="Arial Narrow" w:hAnsi="Arial Narrow" w:cs="Times New Roman"/>
                      <w:color w:val="000000"/>
                      <w:sz w:val="18"/>
                      <w:szCs w:val="18"/>
                    </w:rPr>
                    <w:t>Proportion of patients in each weight range in trial</w:t>
                  </w:r>
                </w:p>
              </w:tc>
              <w:tc>
                <w:tcPr>
                  <w:tcW w:w="1559" w:type="dxa"/>
                  <w:tcBorders>
                    <w:top w:val="nil"/>
                    <w:left w:val="nil"/>
                    <w:bottom w:val="single" w:sz="4" w:space="0" w:color="auto"/>
                    <w:right w:val="single" w:sz="4" w:space="0" w:color="auto"/>
                  </w:tcBorders>
                  <w:noWrap/>
                  <w:vAlign w:val="center"/>
                  <w:hideMark/>
                </w:tcPr>
                <w:p w14:paraId="24A24CEA" w14:textId="77777777" w:rsidR="0042723E" w:rsidRPr="00F94798" w:rsidRDefault="0042723E" w:rsidP="006E2A77">
                  <w:pPr>
                    <w:jc w:val="center"/>
                    <w:rPr>
                      <w:rFonts w:ascii="Arial Narrow" w:hAnsi="Arial Narrow" w:cs="Times New Roman"/>
                      <w:color w:val="000000"/>
                      <w:sz w:val="18"/>
                      <w:szCs w:val="18"/>
                    </w:rPr>
                  </w:pPr>
                  <w:r w:rsidRPr="00F94798">
                    <w:rPr>
                      <w:rFonts w:ascii="Arial Narrow" w:hAnsi="Arial Narrow" w:cs="Times New Roman"/>
                      <w:color w:val="000000"/>
                      <w:sz w:val="18"/>
                      <w:szCs w:val="18"/>
                    </w:rPr>
                    <w:t>10.3%</w:t>
                  </w:r>
                </w:p>
              </w:tc>
              <w:tc>
                <w:tcPr>
                  <w:tcW w:w="995" w:type="dxa"/>
                  <w:tcBorders>
                    <w:top w:val="nil"/>
                    <w:left w:val="nil"/>
                    <w:bottom w:val="single" w:sz="4" w:space="0" w:color="auto"/>
                    <w:right w:val="single" w:sz="4" w:space="0" w:color="auto"/>
                  </w:tcBorders>
                  <w:noWrap/>
                  <w:vAlign w:val="center"/>
                  <w:hideMark/>
                </w:tcPr>
                <w:p w14:paraId="016D619D" w14:textId="77777777" w:rsidR="0042723E" w:rsidRPr="00F94798" w:rsidRDefault="0042723E" w:rsidP="006E2A77">
                  <w:pPr>
                    <w:jc w:val="center"/>
                    <w:rPr>
                      <w:rFonts w:ascii="Arial Narrow" w:hAnsi="Arial Narrow" w:cs="Times New Roman"/>
                      <w:color w:val="000000"/>
                      <w:sz w:val="18"/>
                      <w:szCs w:val="18"/>
                    </w:rPr>
                  </w:pPr>
                  <w:r w:rsidRPr="00F94798">
                    <w:rPr>
                      <w:rFonts w:ascii="Arial Narrow" w:hAnsi="Arial Narrow" w:cs="Times New Roman"/>
                      <w:color w:val="000000"/>
                      <w:sz w:val="18"/>
                      <w:szCs w:val="18"/>
                    </w:rPr>
                    <w:t>53.7%</w:t>
                  </w:r>
                </w:p>
              </w:tc>
              <w:tc>
                <w:tcPr>
                  <w:tcW w:w="1559" w:type="dxa"/>
                  <w:tcBorders>
                    <w:top w:val="nil"/>
                    <w:left w:val="nil"/>
                    <w:bottom w:val="single" w:sz="4" w:space="0" w:color="auto"/>
                    <w:right w:val="single" w:sz="4" w:space="0" w:color="auto"/>
                  </w:tcBorders>
                  <w:noWrap/>
                  <w:vAlign w:val="center"/>
                  <w:hideMark/>
                </w:tcPr>
                <w:p w14:paraId="5C4664C7" w14:textId="77777777" w:rsidR="0042723E" w:rsidRPr="00F94798" w:rsidRDefault="0042723E" w:rsidP="006E2A77">
                  <w:pPr>
                    <w:tabs>
                      <w:tab w:val="left" w:pos="566"/>
                    </w:tabs>
                    <w:jc w:val="center"/>
                    <w:rPr>
                      <w:rFonts w:ascii="Arial Narrow" w:hAnsi="Arial Narrow" w:cs="Times New Roman"/>
                      <w:color w:val="000000"/>
                      <w:sz w:val="18"/>
                      <w:szCs w:val="18"/>
                    </w:rPr>
                  </w:pPr>
                  <w:r w:rsidRPr="00F94798">
                    <w:rPr>
                      <w:rFonts w:ascii="Arial Narrow" w:hAnsi="Arial Narrow" w:cs="Times New Roman"/>
                      <w:color w:val="000000"/>
                      <w:sz w:val="18"/>
                      <w:szCs w:val="18"/>
                    </w:rPr>
                    <w:t>36.0%</w:t>
                  </w:r>
                </w:p>
              </w:tc>
            </w:tr>
            <w:tr w:rsidR="0042723E" w:rsidRPr="00F94798" w14:paraId="38D48CAC" w14:textId="77777777">
              <w:trPr>
                <w:trHeight w:val="20"/>
              </w:trPr>
              <w:tc>
                <w:tcPr>
                  <w:tcW w:w="2655" w:type="dxa"/>
                  <w:tcBorders>
                    <w:top w:val="nil"/>
                    <w:left w:val="single" w:sz="4" w:space="0" w:color="auto"/>
                    <w:bottom w:val="single" w:sz="4" w:space="0" w:color="auto"/>
                    <w:right w:val="single" w:sz="4" w:space="0" w:color="auto"/>
                  </w:tcBorders>
                  <w:noWrap/>
                  <w:vAlign w:val="center"/>
                  <w:hideMark/>
                </w:tcPr>
                <w:p w14:paraId="585DBC87" w14:textId="77777777" w:rsidR="0042723E" w:rsidRPr="00F94798" w:rsidRDefault="0042723E" w:rsidP="006E2A77">
                  <w:pPr>
                    <w:jc w:val="left"/>
                    <w:rPr>
                      <w:rFonts w:ascii="Arial Narrow" w:hAnsi="Arial Narrow" w:cs="Times New Roman"/>
                      <w:b/>
                      <w:bCs/>
                      <w:sz w:val="18"/>
                      <w:szCs w:val="18"/>
                    </w:rPr>
                  </w:pPr>
                  <w:r>
                    <w:rPr>
                      <w:rFonts w:ascii="Arial Narrow" w:hAnsi="Arial Narrow" w:cs="Times New Roman"/>
                      <w:b/>
                      <w:bCs/>
                      <w:sz w:val="18"/>
                      <w:szCs w:val="18"/>
                    </w:rPr>
                    <w:t>A</w:t>
                  </w:r>
                  <w:r w:rsidRPr="00F94798">
                    <w:rPr>
                      <w:rFonts w:ascii="Arial Narrow" w:hAnsi="Arial Narrow" w:cs="Times New Roman"/>
                      <w:b/>
                      <w:bCs/>
                      <w:sz w:val="18"/>
                      <w:szCs w:val="18"/>
                    </w:rPr>
                    <w:t>verage loading dose (mg)</w:t>
                  </w:r>
                </w:p>
              </w:tc>
              <w:tc>
                <w:tcPr>
                  <w:tcW w:w="4113" w:type="dxa"/>
                  <w:gridSpan w:val="3"/>
                  <w:tcBorders>
                    <w:top w:val="nil"/>
                    <w:left w:val="nil"/>
                    <w:bottom w:val="single" w:sz="4" w:space="0" w:color="auto"/>
                    <w:right w:val="single" w:sz="4" w:space="0" w:color="auto"/>
                  </w:tcBorders>
                  <w:noWrap/>
                  <w:vAlign w:val="center"/>
                  <w:hideMark/>
                </w:tcPr>
                <w:p w14:paraId="1F1662AF" w14:textId="77777777" w:rsidR="0042723E" w:rsidRPr="00F94798" w:rsidRDefault="0042723E" w:rsidP="006E2A77">
                  <w:pPr>
                    <w:tabs>
                      <w:tab w:val="left" w:pos="566"/>
                    </w:tabs>
                    <w:jc w:val="center"/>
                    <w:rPr>
                      <w:rFonts w:ascii="Arial Narrow" w:hAnsi="Arial Narrow" w:cs="Times New Roman"/>
                      <w:b/>
                      <w:bCs/>
                      <w:sz w:val="18"/>
                      <w:szCs w:val="18"/>
                    </w:rPr>
                  </w:pPr>
                  <w:r w:rsidRPr="00F94798">
                    <w:rPr>
                      <w:rFonts w:ascii="Arial Narrow" w:hAnsi="Arial Narrow" w:cs="Times New Roman"/>
                      <w:b/>
                      <w:bCs/>
                      <w:color w:val="000000"/>
                      <w:sz w:val="18"/>
                      <w:szCs w:val="18"/>
                    </w:rPr>
                    <w:t>2,777</w:t>
                  </w:r>
                  <w:r>
                    <w:rPr>
                      <w:rFonts w:ascii="Arial Narrow" w:hAnsi="Arial Narrow" w:cs="Times New Roman"/>
                      <w:b/>
                      <w:bCs/>
                      <w:color w:val="000000"/>
                      <w:sz w:val="18"/>
                      <w:szCs w:val="18"/>
                    </w:rPr>
                    <w:t xml:space="preserve"> mg (one dose at Week 0)</w:t>
                  </w:r>
                </w:p>
              </w:tc>
            </w:tr>
            <w:tr w:rsidR="0042723E" w:rsidRPr="00F94798" w14:paraId="5EE8860F" w14:textId="77777777">
              <w:trPr>
                <w:trHeight w:val="20"/>
              </w:trPr>
              <w:tc>
                <w:tcPr>
                  <w:tcW w:w="2655" w:type="dxa"/>
                  <w:tcBorders>
                    <w:top w:val="nil"/>
                    <w:left w:val="single" w:sz="4" w:space="0" w:color="auto"/>
                    <w:bottom w:val="single" w:sz="4" w:space="0" w:color="auto"/>
                    <w:right w:val="single" w:sz="4" w:space="0" w:color="auto"/>
                  </w:tcBorders>
                  <w:noWrap/>
                  <w:vAlign w:val="center"/>
                  <w:hideMark/>
                </w:tcPr>
                <w:p w14:paraId="4D2565B2" w14:textId="77777777" w:rsidR="0042723E" w:rsidRPr="00F94798" w:rsidRDefault="0042723E" w:rsidP="006E2A77">
                  <w:pPr>
                    <w:jc w:val="left"/>
                    <w:rPr>
                      <w:rFonts w:ascii="Arial Narrow" w:hAnsi="Arial Narrow" w:cs="Times New Roman"/>
                      <w:b/>
                      <w:bCs/>
                      <w:sz w:val="18"/>
                      <w:szCs w:val="18"/>
                    </w:rPr>
                  </w:pPr>
                  <w:r>
                    <w:rPr>
                      <w:rFonts w:ascii="Arial Narrow" w:hAnsi="Arial Narrow" w:cs="Times New Roman"/>
                      <w:b/>
                      <w:bCs/>
                      <w:sz w:val="18"/>
                      <w:szCs w:val="18"/>
                    </w:rPr>
                    <w:t>A</w:t>
                  </w:r>
                  <w:r w:rsidRPr="00F94798">
                    <w:rPr>
                      <w:rFonts w:ascii="Arial Narrow" w:hAnsi="Arial Narrow" w:cs="Times New Roman"/>
                      <w:b/>
                      <w:bCs/>
                      <w:sz w:val="18"/>
                      <w:szCs w:val="18"/>
                    </w:rPr>
                    <w:t xml:space="preserve">verage maintenance dose (mg) </w:t>
                  </w:r>
                </w:p>
              </w:tc>
              <w:tc>
                <w:tcPr>
                  <w:tcW w:w="4113" w:type="dxa"/>
                  <w:gridSpan w:val="3"/>
                  <w:tcBorders>
                    <w:top w:val="nil"/>
                    <w:left w:val="nil"/>
                    <w:bottom w:val="single" w:sz="4" w:space="0" w:color="auto"/>
                    <w:right w:val="single" w:sz="4" w:space="0" w:color="auto"/>
                  </w:tcBorders>
                  <w:noWrap/>
                  <w:vAlign w:val="center"/>
                  <w:hideMark/>
                </w:tcPr>
                <w:p w14:paraId="2EBB34E2" w14:textId="77777777" w:rsidR="0042723E" w:rsidRPr="00F94798" w:rsidRDefault="0042723E" w:rsidP="006E2A77">
                  <w:pPr>
                    <w:tabs>
                      <w:tab w:val="left" w:pos="566"/>
                    </w:tabs>
                    <w:jc w:val="center"/>
                    <w:rPr>
                      <w:rFonts w:ascii="Arial Narrow" w:hAnsi="Arial Narrow" w:cs="Times New Roman"/>
                      <w:b/>
                      <w:bCs/>
                      <w:sz w:val="18"/>
                      <w:szCs w:val="18"/>
                    </w:rPr>
                  </w:pPr>
                  <w:r w:rsidRPr="00F94798">
                    <w:rPr>
                      <w:rFonts w:ascii="Arial Narrow" w:hAnsi="Arial Narrow" w:cs="Times New Roman"/>
                      <w:b/>
                      <w:bCs/>
                      <w:sz w:val="18"/>
                      <w:szCs w:val="18"/>
                    </w:rPr>
                    <w:t>3,377</w:t>
                  </w:r>
                  <w:r>
                    <w:rPr>
                      <w:rFonts w:ascii="Arial Narrow" w:hAnsi="Arial Narrow" w:cs="Times New Roman"/>
                      <w:b/>
                      <w:bCs/>
                      <w:sz w:val="18"/>
                      <w:szCs w:val="18"/>
                    </w:rPr>
                    <w:t xml:space="preserve"> mg (13 doses from Week 2 to 104)</w:t>
                  </w:r>
                </w:p>
              </w:tc>
            </w:tr>
          </w:tbl>
          <w:p w14:paraId="6F3F4BFA" w14:textId="4D06003A" w:rsidR="00F94798" w:rsidRPr="00704B78" w:rsidRDefault="00F94798" w:rsidP="006E2A77">
            <w:pPr>
              <w:pStyle w:val="TableText"/>
              <w:keepNext w:val="0"/>
              <w:widowControl/>
            </w:pPr>
          </w:p>
        </w:tc>
      </w:tr>
      <w:tr w:rsidR="000B13C5" w:rsidRPr="00704B78" w14:paraId="767326B4" w14:textId="77777777" w:rsidTr="00AA17C4">
        <w:trPr>
          <w:trHeight w:val="43"/>
        </w:trPr>
        <w:tc>
          <w:tcPr>
            <w:tcW w:w="5000" w:type="pct"/>
            <w:gridSpan w:val="3"/>
            <w:vAlign w:val="center"/>
          </w:tcPr>
          <w:p w14:paraId="54024739" w14:textId="77777777" w:rsidR="000B13C5" w:rsidRPr="00704B78" w:rsidRDefault="000B13C5" w:rsidP="006E2A77">
            <w:pPr>
              <w:pStyle w:val="TableText"/>
              <w:keepNext w:val="0"/>
              <w:widowControl/>
              <w:rPr>
                <w:b/>
                <w:bCs w:val="0"/>
              </w:rPr>
            </w:pPr>
            <w:r w:rsidRPr="00704B78">
              <w:rPr>
                <w:b/>
                <w:bCs w:val="0"/>
              </w:rPr>
              <w:t>IVIg costing scenarios</w:t>
            </w:r>
          </w:p>
        </w:tc>
      </w:tr>
      <w:tr w:rsidR="000B13C5" w:rsidRPr="00704B78" w14:paraId="1AEEF2A8" w14:textId="77777777" w:rsidTr="00AA17C4">
        <w:trPr>
          <w:trHeight w:val="43"/>
        </w:trPr>
        <w:tc>
          <w:tcPr>
            <w:tcW w:w="626" w:type="pct"/>
            <w:vAlign w:val="center"/>
          </w:tcPr>
          <w:p w14:paraId="415E6EB3" w14:textId="3901A896" w:rsidR="000B13C5" w:rsidRPr="009827F5" w:rsidRDefault="00E10224" w:rsidP="006E2A77">
            <w:pPr>
              <w:pStyle w:val="TableText"/>
              <w:keepNext w:val="0"/>
              <w:widowControl/>
            </w:pPr>
            <w:r w:rsidRPr="009827F5">
              <w:t xml:space="preserve">Submission: </w:t>
            </w:r>
            <w:r w:rsidR="000B13C5" w:rsidRPr="009827F5">
              <w:t xml:space="preserve">IVIg (weight based on </w:t>
            </w:r>
            <w:r w:rsidR="00F35707" w:rsidRPr="009827F5">
              <w:t xml:space="preserve">NBA data or </w:t>
            </w:r>
            <w:r w:rsidR="000B13C5" w:rsidRPr="009827F5">
              <w:t>CHAMPION-MG data)</w:t>
            </w:r>
          </w:p>
        </w:tc>
        <w:tc>
          <w:tcPr>
            <w:tcW w:w="472" w:type="pct"/>
            <w:vAlign w:val="center"/>
          </w:tcPr>
          <w:p w14:paraId="5EC99168" w14:textId="14892B8C" w:rsidR="000B13C5" w:rsidRPr="009827F5" w:rsidRDefault="00F35707" w:rsidP="006E2A77">
            <w:pPr>
              <w:pStyle w:val="TableText"/>
              <w:keepNext w:val="0"/>
              <w:widowControl/>
              <w:jc w:val="center"/>
            </w:pPr>
            <w:r w:rsidRPr="009827F5">
              <w:t>$</w:t>
            </w:r>
            <w:r w:rsidR="00F555BD" w:rsidRPr="00EF170A">
              <w:rPr>
                <w:color w:val="000000"/>
                <w:spacing w:val="43"/>
                <w:shd w:val="solid" w:color="000000" w:fill="000000"/>
                <w:fitText w:val="301" w:id="-691349752"/>
                <w14:textFill>
                  <w14:solidFill>
                    <w14:srgbClr w14:val="000000">
                      <w14:alpha w14:val="100000"/>
                    </w14:srgbClr>
                  </w14:solidFill>
                </w14:textFill>
              </w:rPr>
              <w:t>|||</w:t>
            </w:r>
            <w:r w:rsidR="00F555BD" w:rsidRPr="00EF170A">
              <w:rPr>
                <w:color w:val="000000"/>
                <w:spacing w:val="2"/>
                <w:shd w:val="solid" w:color="000000" w:fill="000000"/>
                <w:fitText w:val="301" w:id="-691349752"/>
                <w14:textFill>
                  <w14:solidFill>
                    <w14:srgbClr w14:val="000000">
                      <w14:alpha w14:val="100000"/>
                    </w14:srgbClr>
                  </w14:solidFill>
                </w14:textFill>
              </w:rPr>
              <w:t>|</w:t>
            </w:r>
            <w:r w:rsidRPr="009827F5">
              <w:t xml:space="preserve"> to </w:t>
            </w:r>
            <w:r w:rsidR="000B13C5" w:rsidRPr="009827F5">
              <w:t>$</w:t>
            </w:r>
            <w:r w:rsidR="00F555BD" w:rsidRPr="00F555BD">
              <w:rPr>
                <w:color w:val="000000"/>
                <w:spacing w:val="101"/>
                <w:shd w:val="solid" w:color="000000" w:fill="000000"/>
                <w:fitText w:val="187" w:id="-691349751"/>
                <w14:textFill>
                  <w14:solidFill>
                    <w14:srgbClr w14:val="000000">
                      <w14:alpha w14:val="100000"/>
                    </w14:srgbClr>
                  </w14:solidFill>
                </w14:textFill>
              </w:rPr>
              <w:t>|</w:t>
            </w:r>
            <w:r w:rsidR="00F555BD" w:rsidRPr="00F555BD">
              <w:rPr>
                <w:color w:val="000000"/>
                <w:spacing w:val="1"/>
                <w:shd w:val="solid" w:color="000000" w:fill="000000"/>
                <w:fitText w:val="187" w:id="-691349751"/>
                <w14:textFill>
                  <w14:solidFill>
                    <w14:srgbClr w14:val="000000">
                      <w14:alpha w14:val="100000"/>
                    </w14:srgbClr>
                  </w14:solidFill>
                </w14:textFill>
              </w:rPr>
              <w:t>|</w:t>
            </w:r>
          </w:p>
        </w:tc>
        <w:tc>
          <w:tcPr>
            <w:tcW w:w="3902" w:type="pct"/>
            <w:vAlign w:val="center"/>
          </w:tcPr>
          <w:p w14:paraId="6D7E775C" w14:textId="1BA7EF5F" w:rsidR="00F35707" w:rsidRPr="009827F5" w:rsidRDefault="000B13C5" w:rsidP="006E2A77">
            <w:pPr>
              <w:pStyle w:val="TableText"/>
              <w:keepNext w:val="0"/>
              <w:widowControl/>
            </w:pPr>
            <w:r w:rsidRPr="009827F5">
              <w:t>Based on an estimated cost of $</w:t>
            </w:r>
            <w:r w:rsidR="005F6EC2" w:rsidRPr="00262C6D">
              <w:rPr>
                <w:color w:val="000000"/>
                <w:spacing w:val="55"/>
                <w:w w:val="96"/>
                <w:shd w:val="solid" w:color="000000" w:fill="000000"/>
                <w:fitText w:val="330" w:id="-656716544"/>
                <w14:textFill>
                  <w14:solidFill>
                    <w14:srgbClr w14:val="000000">
                      <w14:alpha w14:val="100000"/>
                    </w14:srgbClr>
                  </w14:solidFill>
                </w14:textFill>
              </w:rPr>
              <w:t>|||</w:t>
            </w:r>
            <w:r w:rsidR="005F6EC2" w:rsidRPr="00262C6D">
              <w:rPr>
                <w:color w:val="000000"/>
                <w:spacing w:val="2"/>
                <w:w w:val="96"/>
                <w:shd w:val="solid" w:color="000000" w:fill="000000"/>
                <w:fitText w:val="330" w:id="-656716544"/>
                <w14:textFill>
                  <w14:solidFill>
                    <w14:srgbClr w14:val="000000">
                      <w14:alpha w14:val="100000"/>
                    </w14:srgbClr>
                  </w14:solidFill>
                </w14:textFill>
              </w:rPr>
              <w:t>|</w:t>
            </w:r>
            <w:r w:rsidRPr="009827F5">
              <w:t xml:space="preserve"> per gram for </w:t>
            </w:r>
            <w:proofErr w:type="spellStart"/>
            <w:r w:rsidRPr="009827F5">
              <w:t>IVIg</w:t>
            </w:r>
            <w:r w:rsidRPr="009827F5">
              <w:rPr>
                <w:vertAlign w:val="superscript"/>
              </w:rPr>
              <w:t>a</w:t>
            </w:r>
            <w:proofErr w:type="spellEnd"/>
            <w:r w:rsidRPr="009827F5">
              <w:t xml:space="preserve"> and the assumption that all patients would be treated at the maximum recommended dose (1 g/kg every 4 weeks) and have an average weight based on</w:t>
            </w:r>
            <w:r w:rsidR="00F35707" w:rsidRPr="009827F5">
              <w:t xml:space="preserve"> either:</w:t>
            </w:r>
          </w:p>
          <w:p w14:paraId="6E22DF2F" w14:textId="521DAA57" w:rsidR="00F35707" w:rsidRPr="009827F5" w:rsidRDefault="00F35707" w:rsidP="006E2A77">
            <w:pPr>
              <w:pStyle w:val="TableText"/>
              <w:keepNext w:val="0"/>
              <w:widowControl/>
              <w:numPr>
                <w:ilvl w:val="0"/>
                <w:numId w:val="22"/>
              </w:numPr>
              <w:ind w:left="396" w:hanging="283"/>
            </w:pPr>
            <w:r w:rsidRPr="009827F5">
              <w:t>the distribution on adult patients accessing IVIg under the NBA for all indications (79.6 kg). Total estimated dose: 1,035 grams per year</w:t>
            </w:r>
          </w:p>
          <w:p w14:paraId="75DC2E73" w14:textId="6500E375" w:rsidR="000B13C5" w:rsidRPr="009827F5" w:rsidRDefault="000B13C5" w:rsidP="006E2A77">
            <w:pPr>
              <w:pStyle w:val="TableText"/>
              <w:keepNext w:val="0"/>
              <w:widowControl/>
              <w:numPr>
                <w:ilvl w:val="0"/>
                <w:numId w:val="22"/>
              </w:numPr>
              <w:ind w:left="396" w:hanging="283"/>
            </w:pPr>
            <w:r w:rsidRPr="009827F5">
              <w:t>the CHAMPION-MG trial (91.2 kg). Total estimated dose: 1,186 grams per year</w:t>
            </w:r>
          </w:p>
        </w:tc>
      </w:tr>
      <w:tr w:rsidR="00E95B7A" w:rsidRPr="00704B78" w14:paraId="07CC04C4" w14:textId="77777777" w:rsidTr="00AA17C4">
        <w:trPr>
          <w:trHeight w:val="43"/>
        </w:trPr>
        <w:tc>
          <w:tcPr>
            <w:tcW w:w="626" w:type="pct"/>
            <w:vAlign w:val="center"/>
          </w:tcPr>
          <w:p w14:paraId="6816D9FE" w14:textId="1AF4F8B4" w:rsidR="00E95B7A" w:rsidRPr="00704B78" w:rsidRDefault="00F4515F" w:rsidP="006E2A77">
            <w:pPr>
              <w:pStyle w:val="TableText"/>
              <w:keepNext w:val="0"/>
              <w:widowControl/>
            </w:pPr>
            <w:r>
              <w:t xml:space="preserve">ESC: </w:t>
            </w:r>
            <w:r w:rsidR="00E95B7A" w:rsidRPr="00704B78">
              <w:t xml:space="preserve">IVIg </w:t>
            </w:r>
            <w:r w:rsidR="00E95B7A" w:rsidRPr="00704B78">
              <w:br/>
              <w:t>(</w:t>
            </w:r>
            <w:r w:rsidR="00E10224" w:rsidRPr="00704B78">
              <w:t xml:space="preserve">average </w:t>
            </w:r>
            <w:r w:rsidR="00E10224">
              <w:t>IVIg dose per NBA data</w:t>
            </w:r>
            <w:r w:rsidR="00E95B7A" w:rsidRPr="00704B78">
              <w:t>)</w:t>
            </w:r>
          </w:p>
        </w:tc>
        <w:tc>
          <w:tcPr>
            <w:tcW w:w="472" w:type="pct"/>
            <w:vAlign w:val="center"/>
          </w:tcPr>
          <w:p w14:paraId="4FB5CD6C" w14:textId="3580B0F1" w:rsidR="00E95B7A" w:rsidRPr="00D821C7" w:rsidRDefault="00E95B7A" w:rsidP="006E2A77">
            <w:pPr>
              <w:pStyle w:val="TableText"/>
              <w:keepNext w:val="0"/>
              <w:widowControl/>
              <w:jc w:val="center"/>
            </w:pPr>
            <w:r w:rsidRPr="00D821C7">
              <w:t>$</w:t>
            </w:r>
            <w:r w:rsidR="005F6EC2" w:rsidRPr="00262C6D">
              <w:rPr>
                <w:color w:val="000000"/>
                <w:spacing w:val="55"/>
                <w:w w:val="96"/>
                <w:shd w:val="solid" w:color="000000" w:fill="000000"/>
                <w:fitText w:val="330" w:id="-656716543"/>
                <w14:textFill>
                  <w14:solidFill>
                    <w14:srgbClr w14:val="000000">
                      <w14:alpha w14:val="100000"/>
                    </w14:srgbClr>
                  </w14:solidFill>
                </w14:textFill>
              </w:rPr>
              <w:t>|||</w:t>
            </w:r>
            <w:r w:rsidR="005F6EC2" w:rsidRPr="00262C6D">
              <w:rPr>
                <w:color w:val="000000"/>
                <w:spacing w:val="2"/>
                <w:w w:val="96"/>
                <w:shd w:val="solid" w:color="000000" w:fill="000000"/>
                <w:fitText w:val="330" w:id="-656716543"/>
                <w14:textFill>
                  <w14:solidFill>
                    <w14:srgbClr w14:val="000000">
                      <w14:alpha w14:val="100000"/>
                    </w14:srgbClr>
                  </w14:solidFill>
                </w14:textFill>
              </w:rPr>
              <w:t>|</w:t>
            </w:r>
          </w:p>
        </w:tc>
        <w:tc>
          <w:tcPr>
            <w:tcW w:w="3902" w:type="pct"/>
            <w:vAlign w:val="center"/>
          </w:tcPr>
          <w:p w14:paraId="2A9D63D7" w14:textId="62C4C59F" w:rsidR="006C6F83" w:rsidRPr="00D821C7" w:rsidRDefault="00E95B7A" w:rsidP="006E2A77">
            <w:pPr>
              <w:pStyle w:val="TableText"/>
              <w:keepNext w:val="0"/>
              <w:widowControl/>
              <w:rPr>
                <w:vertAlign w:val="superscript"/>
              </w:rPr>
            </w:pPr>
            <w:r w:rsidRPr="00D821C7">
              <w:t>Based on an estimated cost of $</w:t>
            </w:r>
            <w:r w:rsidR="005F6EC2" w:rsidRPr="00262C6D">
              <w:rPr>
                <w:color w:val="000000"/>
                <w:spacing w:val="55"/>
                <w:w w:val="96"/>
                <w:shd w:val="solid" w:color="000000" w:fill="000000"/>
                <w:fitText w:val="330" w:id="-656716542"/>
                <w14:textFill>
                  <w14:solidFill>
                    <w14:srgbClr w14:val="000000">
                      <w14:alpha w14:val="100000"/>
                    </w14:srgbClr>
                  </w14:solidFill>
                </w14:textFill>
              </w:rPr>
              <w:t>|||</w:t>
            </w:r>
            <w:r w:rsidR="005F6EC2" w:rsidRPr="00262C6D">
              <w:rPr>
                <w:color w:val="000000"/>
                <w:spacing w:val="2"/>
                <w:w w:val="96"/>
                <w:shd w:val="solid" w:color="000000" w:fill="000000"/>
                <w:fitText w:val="330" w:id="-656716542"/>
                <w14:textFill>
                  <w14:solidFill>
                    <w14:srgbClr w14:val="000000">
                      <w14:alpha w14:val="100000"/>
                    </w14:srgbClr>
                  </w14:solidFill>
                </w14:textFill>
              </w:rPr>
              <w:t>|</w:t>
            </w:r>
            <w:r w:rsidRPr="00D821C7">
              <w:t xml:space="preserve"> per gram for IVIg and average dose of </w:t>
            </w:r>
            <w:r w:rsidR="005E2758" w:rsidRPr="00D821C7">
              <w:t>541</w:t>
            </w:r>
            <w:r w:rsidRPr="00D821C7">
              <w:t xml:space="preserve"> grams per patient per year </w:t>
            </w:r>
            <w:r w:rsidR="006C6F83" w:rsidRPr="00D821C7">
              <w:t xml:space="preserve">based on </w:t>
            </w:r>
            <w:r w:rsidR="005E2758" w:rsidRPr="00D821C7">
              <w:t xml:space="preserve">data received from the NBA for 2023-24 (refer to </w:t>
            </w:r>
            <w:r w:rsidR="00346F38" w:rsidRPr="00D821C7">
              <w:t>Section 7</w:t>
            </w:r>
            <w:r w:rsidR="00236180" w:rsidRPr="00D821C7">
              <w:t>).</w:t>
            </w:r>
            <w:r w:rsidR="000873BF" w:rsidRPr="00D821C7">
              <w:rPr>
                <w:vertAlign w:val="superscript"/>
              </w:rPr>
              <w:t>b</w:t>
            </w:r>
          </w:p>
          <w:p w14:paraId="0C969482" w14:textId="4B85BC0C" w:rsidR="00F4515F" w:rsidRPr="00D821C7" w:rsidRDefault="00F4515F" w:rsidP="006E2A77">
            <w:pPr>
              <w:pStyle w:val="TableText"/>
              <w:keepNext w:val="0"/>
              <w:widowControl/>
            </w:pPr>
            <w:r w:rsidRPr="00D821C7">
              <w:t xml:space="preserve">This excludes patients who commenced in 2023-24, as this may represent a part year of treatment </w:t>
            </w:r>
            <w:r w:rsidR="006C6F83" w:rsidRPr="00D821C7">
              <w:t xml:space="preserve">for some patients, </w:t>
            </w:r>
            <w:r w:rsidRPr="00D821C7">
              <w:t>and may include non-responders.</w:t>
            </w:r>
          </w:p>
        </w:tc>
      </w:tr>
      <w:tr w:rsidR="00FF5E80" w:rsidRPr="00704B78" w14:paraId="348EBB40" w14:textId="77777777" w:rsidTr="00AA17C4">
        <w:trPr>
          <w:trHeight w:val="43"/>
        </w:trPr>
        <w:tc>
          <w:tcPr>
            <w:tcW w:w="626" w:type="pct"/>
            <w:vAlign w:val="center"/>
          </w:tcPr>
          <w:p w14:paraId="55F5BDD8" w14:textId="4AA3BD40" w:rsidR="00FF5E80" w:rsidRPr="00704B78" w:rsidRDefault="00F4515F" w:rsidP="006E2A77">
            <w:pPr>
              <w:pStyle w:val="TableText"/>
              <w:keepNext w:val="0"/>
              <w:widowControl/>
            </w:pPr>
            <w:r>
              <w:t xml:space="preserve">pre-PBAC response: </w:t>
            </w:r>
            <w:r w:rsidR="00FF5E80">
              <w:t xml:space="preserve">IVIg </w:t>
            </w:r>
          </w:p>
        </w:tc>
        <w:tc>
          <w:tcPr>
            <w:tcW w:w="472" w:type="pct"/>
            <w:vAlign w:val="center"/>
          </w:tcPr>
          <w:p w14:paraId="4F80E68D" w14:textId="13FD2183" w:rsidR="00FF5E80" w:rsidRPr="00DD0F38" w:rsidRDefault="00FF5E80" w:rsidP="006E2A77">
            <w:pPr>
              <w:pStyle w:val="TableText"/>
              <w:keepNext w:val="0"/>
              <w:widowControl/>
              <w:jc w:val="center"/>
            </w:pPr>
            <w:r w:rsidRPr="00DD0F38">
              <w:t>$</w:t>
            </w:r>
            <w:r w:rsidR="005F6EC2" w:rsidRPr="005F6EC2">
              <w:rPr>
                <w:color w:val="000000"/>
                <w:spacing w:val="53"/>
                <w:shd w:val="solid" w:color="000000" w:fill="000000"/>
                <w:fitText w:val="330" w:id="-656716541"/>
                <w14:textFill>
                  <w14:solidFill>
                    <w14:srgbClr w14:val="000000">
                      <w14:alpha w14:val="100000"/>
                    </w14:srgbClr>
                  </w14:solidFill>
                </w14:textFill>
              </w:rPr>
              <w:t>|||</w:t>
            </w:r>
            <w:r w:rsidR="005F6EC2" w:rsidRPr="005F6EC2">
              <w:rPr>
                <w:color w:val="000000"/>
                <w:spacing w:val="1"/>
                <w:shd w:val="solid" w:color="000000" w:fill="000000"/>
                <w:fitText w:val="330" w:id="-656716541"/>
                <w14:textFill>
                  <w14:solidFill>
                    <w14:srgbClr w14:val="000000">
                      <w14:alpha w14:val="100000"/>
                    </w14:srgbClr>
                  </w14:solidFill>
                </w14:textFill>
              </w:rPr>
              <w:t>|</w:t>
            </w:r>
            <w:r w:rsidRPr="00DD0F38">
              <w:t xml:space="preserve"> to $</w:t>
            </w:r>
            <w:r w:rsidR="005F6EC2" w:rsidRPr="005F6EC2">
              <w:rPr>
                <w:color w:val="000000"/>
                <w:spacing w:val="53"/>
                <w:shd w:val="solid" w:color="000000" w:fill="000000"/>
                <w:fitText w:val="330" w:id="-656716540"/>
                <w14:textFill>
                  <w14:solidFill>
                    <w14:srgbClr w14:val="000000">
                      <w14:alpha w14:val="100000"/>
                    </w14:srgbClr>
                  </w14:solidFill>
                </w14:textFill>
              </w:rPr>
              <w:t>|||</w:t>
            </w:r>
            <w:r w:rsidR="005F6EC2" w:rsidRPr="005F6EC2">
              <w:rPr>
                <w:color w:val="000000"/>
                <w:spacing w:val="1"/>
                <w:shd w:val="solid" w:color="000000" w:fill="000000"/>
                <w:fitText w:val="330" w:id="-656716540"/>
                <w14:textFill>
                  <w14:solidFill>
                    <w14:srgbClr w14:val="000000">
                      <w14:alpha w14:val="100000"/>
                    </w14:srgbClr>
                  </w14:solidFill>
                </w14:textFill>
              </w:rPr>
              <w:t>|</w:t>
            </w:r>
          </w:p>
        </w:tc>
        <w:tc>
          <w:tcPr>
            <w:tcW w:w="3902" w:type="pct"/>
            <w:vAlign w:val="center"/>
          </w:tcPr>
          <w:p w14:paraId="1F199C52" w14:textId="45A5DC3C" w:rsidR="00FF5E80" w:rsidRPr="00DD0F38" w:rsidRDefault="00FF5E80" w:rsidP="006E2A77">
            <w:pPr>
              <w:pStyle w:val="TableText"/>
              <w:keepNext w:val="0"/>
              <w:widowControl/>
            </w:pPr>
            <w:r w:rsidRPr="00DD0F38">
              <w:t>Based on IVIg cost of $</w:t>
            </w:r>
            <w:r w:rsidR="005F6EC2" w:rsidRPr="005F6EC2">
              <w:rPr>
                <w:color w:val="000000"/>
                <w:spacing w:val="49"/>
                <w:shd w:val="solid" w:color="000000" w:fill="000000"/>
                <w:fitText w:val="320" w:id="-656716539"/>
                <w14:textFill>
                  <w14:solidFill>
                    <w14:srgbClr w14:val="000000">
                      <w14:alpha w14:val="100000"/>
                    </w14:srgbClr>
                  </w14:solidFill>
                </w14:textFill>
              </w:rPr>
              <w:t>|||</w:t>
            </w:r>
            <w:r w:rsidR="005F6EC2" w:rsidRPr="005F6EC2">
              <w:rPr>
                <w:color w:val="000000"/>
                <w:spacing w:val="3"/>
                <w:shd w:val="solid" w:color="000000" w:fill="000000"/>
                <w:fitText w:val="320" w:id="-656716539"/>
                <w14:textFill>
                  <w14:solidFill>
                    <w14:srgbClr w14:val="000000">
                      <w14:alpha w14:val="100000"/>
                    </w14:srgbClr>
                  </w14:solidFill>
                </w14:textFill>
              </w:rPr>
              <w:t>|</w:t>
            </w:r>
            <w:r w:rsidRPr="00DD0F38">
              <w:t xml:space="preserve"> per gram, loading dose of 2 g/kg; maintenance dose of 0.8 g/kg Q4W (lower value) or 1 g/kg Q4W (upper value); and patient weight of 84kg</w:t>
            </w:r>
            <w:r w:rsidR="006C6F83" w:rsidRPr="00DD0F38">
              <w:t>.</w:t>
            </w:r>
          </w:p>
        </w:tc>
      </w:tr>
      <w:tr w:rsidR="00E10224" w:rsidRPr="00704B78" w14:paraId="6586EAC1" w14:textId="77777777" w:rsidTr="00E10224">
        <w:trPr>
          <w:trHeight w:val="43"/>
        </w:trPr>
        <w:tc>
          <w:tcPr>
            <w:tcW w:w="5000" w:type="pct"/>
            <w:gridSpan w:val="3"/>
            <w:vAlign w:val="center"/>
          </w:tcPr>
          <w:p w14:paraId="205E87A8" w14:textId="4A9C5E4A" w:rsidR="00E10224" w:rsidRDefault="00E10224" w:rsidP="006E2A77">
            <w:pPr>
              <w:pStyle w:val="TableText"/>
              <w:keepLines/>
              <w:widowControl/>
            </w:pPr>
            <w:r w:rsidRPr="00704B78">
              <w:rPr>
                <w:b/>
                <w:bCs w:val="0"/>
              </w:rPr>
              <w:lastRenderedPageBreak/>
              <w:t>IVIg costing scenarios</w:t>
            </w:r>
            <w:r>
              <w:rPr>
                <w:b/>
                <w:bCs w:val="0"/>
              </w:rPr>
              <w:t>: sensitivity analyses</w:t>
            </w:r>
          </w:p>
        </w:tc>
      </w:tr>
      <w:tr w:rsidR="00E10224" w:rsidRPr="00704B78" w14:paraId="7511DBD6" w14:textId="77777777" w:rsidTr="00AA17C4">
        <w:trPr>
          <w:trHeight w:val="43"/>
        </w:trPr>
        <w:tc>
          <w:tcPr>
            <w:tcW w:w="626" w:type="pct"/>
            <w:vAlign w:val="center"/>
          </w:tcPr>
          <w:p w14:paraId="6B337823" w14:textId="71483220" w:rsidR="00E10224" w:rsidRPr="004919EF" w:rsidRDefault="00E20F4F" w:rsidP="006E2A77">
            <w:pPr>
              <w:pStyle w:val="TableText"/>
              <w:keepLines/>
              <w:widowControl/>
            </w:pPr>
            <w:r w:rsidRPr="004919EF">
              <w:t>A</w:t>
            </w:r>
            <w:r w:rsidR="00E10224" w:rsidRPr="004919EF">
              <w:t xml:space="preserve">verage IVIg dose per NBA data plus </w:t>
            </w:r>
            <w:r w:rsidRPr="004919EF">
              <w:t xml:space="preserve">IVIg price based on MSAC review </w:t>
            </w:r>
          </w:p>
        </w:tc>
        <w:tc>
          <w:tcPr>
            <w:tcW w:w="472" w:type="pct"/>
            <w:vAlign w:val="center"/>
          </w:tcPr>
          <w:p w14:paraId="3094D74B" w14:textId="5DC90125" w:rsidR="00E10224" w:rsidRPr="004919EF" w:rsidRDefault="005C5895" w:rsidP="006E2A77">
            <w:pPr>
              <w:pStyle w:val="TableText"/>
              <w:keepLines/>
              <w:widowControl/>
              <w:jc w:val="center"/>
            </w:pPr>
            <w:r w:rsidRPr="004919EF">
              <w:t>$32,688</w:t>
            </w:r>
          </w:p>
        </w:tc>
        <w:tc>
          <w:tcPr>
            <w:tcW w:w="3902" w:type="pct"/>
            <w:vAlign w:val="center"/>
          </w:tcPr>
          <w:p w14:paraId="18CA0D97" w14:textId="2F63BFCA" w:rsidR="005C5895" w:rsidRDefault="00E20F4F" w:rsidP="006E2A77">
            <w:pPr>
              <w:pStyle w:val="TableText"/>
              <w:keepLines/>
              <w:widowControl/>
            </w:pPr>
            <w:r>
              <w:t xml:space="preserve">The </w:t>
            </w:r>
            <w:r w:rsidRPr="00E20F4F">
              <w:t>MSAC review of ‘Immunoglobulin therapy for Myasthenia Gravis’</w:t>
            </w:r>
            <w:r w:rsidR="00CF3FBB">
              <w:t xml:space="preserve"> from April 2020</w:t>
            </w:r>
            <w:r w:rsidR="005C5895">
              <w:t xml:space="preserve"> </w:t>
            </w:r>
            <w:r w:rsidR="000873BF">
              <w:rPr>
                <w:vertAlign w:val="superscript"/>
              </w:rPr>
              <w:t>c</w:t>
            </w:r>
            <w:r w:rsidRPr="00E20F4F">
              <w:t xml:space="preserve"> used a price </w:t>
            </w:r>
            <w:r w:rsidRPr="004919EF">
              <w:t>of $60.41 per gram in the</w:t>
            </w:r>
            <w:r w:rsidRPr="00E20F4F">
              <w:t xml:space="preserve"> base case</w:t>
            </w:r>
            <w:r>
              <w:t xml:space="preserve"> based on NBA data from 2017-18 i.e. this was the cost at which the cost-effectiveness of IVIg was assessed. </w:t>
            </w:r>
          </w:p>
          <w:p w14:paraId="59142665" w14:textId="66975DB8" w:rsidR="00E10224" w:rsidRDefault="005C5895" w:rsidP="006E2A77">
            <w:pPr>
              <w:pStyle w:val="TableText"/>
              <w:keepLines/>
              <w:widowControl/>
            </w:pPr>
            <w:r>
              <w:t>A</w:t>
            </w:r>
            <w:r w:rsidRPr="005C5895">
              <w:t xml:space="preserve">verage </w:t>
            </w:r>
            <w:r>
              <w:t xml:space="preserve">IVIg </w:t>
            </w:r>
            <w:r w:rsidRPr="005C5895">
              <w:t>dose of 541 grams per patient per year based on data received from the NBA for 2023-24</w:t>
            </w:r>
          </w:p>
        </w:tc>
      </w:tr>
      <w:tr w:rsidR="00E10224" w:rsidRPr="00704B78" w14:paraId="01710EB6" w14:textId="77777777" w:rsidTr="00AA17C4">
        <w:trPr>
          <w:trHeight w:val="43"/>
        </w:trPr>
        <w:tc>
          <w:tcPr>
            <w:tcW w:w="626" w:type="pct"/>
            <w:vAlign w:val="center"/>
          </w:tcPr>
          <w:p w14:paraId="1AC01FDC" w14:textId="7C4BDA1E" w:rsidR="00E10224" w:rsidRDefault="00E10224" w:rsidP="006E2A77">
            <w:pPr>
              <w:pStyle w:val="TableText"/>
              <w:keepNext w:val="0"/>
              <w:widowControl/>
            </w:pPr>
            <w:r>
              <w:t xml:space="preserve">Pre-PBAC response dose of IVIg </w:t>
            </w:r>
            <w:r w:rsidR="005C5895" w:rsidRPr="00E20F4F">
              <w:t>plus IVIg price based on MSAC review</w:t>
            </w:r>
          </w:p>
        </w:tc>
        <w:tc>
          <w:tcPr>
            <w:tcW w:w="472" w:type="pct"/>
            <w:vAlign w:val="center"/>
          </w:tcPr>
          <w:p w14:paraId="57930480" w14:textId="6F0245CC" w:rsidR="00E10224" w:rsidRDefault="005C5895" w:rsidP="006E2A77">
            <w:pPr>
              <w:pStyle w:val="TableText"/>
              <w:keepNext w:val="0"/>
              <w:widowControl/>
              <w:jc w:val="center"/>
            </w:pPr>
            <w:r w:rsidRPr="004F18C4">
              <w:t>$70,788</w:t>
            </w:r>
          </w:p>
        </w:tc>
        <w:tc>
          <w:tcPr>
            <w:tcW w:w="3902" w:type="pct"/>
            <w:vAlign w:val="center"/>
          </w:tcPr>
          <w:p w14:paraId="3E208A93" w14:textId="2FF48EF4" w:rsidR="00E10224" w:rsidRDefault="005C5895" w:rsidP="006E2A77">
            <w:pPr>
              <w:pStyle w:val="TableText"/>
              <w:keepNext w:val="0"/>
              <w:widowControl/>
            </w:pPr>
            <w:r>
              <w:t xml:space="preserve">As above for the price of IVIg. IVIg dose based on a </w:t>
            </w:r>
            <w:r w:rsidRPr="005C5895">
              <w:t>loading dose of 2 g/kg; maintenance dose of 1 g/kg Q4W (upper value</w:t>
            </w:r>
            <w:r>
              <w:t xml:space="preserve"> from pre-PBAC response) for a total of 1,172 g per year</w:t>
            </w:r>
          </w:p>
        </w:tc>
      </w:tr>
    </w:tbl>
    <w:p w14:paraId="34E52907" w14:textId="77777777" w:rsidR="000B13C5" w:rsidRPr="00704B78" w:rsidRDefault="000B13C5" w:rsidP="006E2A77">
      <w:pPr>
        <w:pStyle w:val="COMTablefooter"/>
      </w:pPr>
      <w:r w:rsidRPr="00704B78">
        <w:t>Source: Table 4-16, p292 of the resubmission; Section 3A Newly Diagnosed Excel Workbook</w:t>
      </w:r>
    </w:p>
    <w:p w14:paraId="5663C7A2" w14:textId="4A9EEC3A" w:rsidR="000B13C5" w:rsidRDefault="000B13C5" w:rsidP="006E2A77">
      <w:pPr>
        <w:pStyle w:val="COMTablefooter"/>
        <w:spacing w:after="0"/>
      </w:pPr>
      <w:r w:rsidRPr="00704B78">
        <w:t>Abbreviations: IVIg, intravenous immunoglobulin</w:t>
      </w:r>
      <w:bookmarkEnd w:id="62"/>
      <w:r w:rsidRPr="00704B78">
        <w:t>; NBA, National Blood Authority</w:t>
      </w:r>
    </w:p>
    <w:p w14:paraId="7E5FB75A" w14:textId="0E8D8C33" w:rsidR="00F35707" w:rsidRDefault="00F35707" w:rsidP="006E2A77">
      <w:pPr>
        <w:rPr>
          <w:rFonts w:ascii="Arial Narrow" w:hAnsi="Arial Narrow"/>
          <w:snapToGrid w:val="0"/>
          <w:sz w:val="18"/>
          <w:szCs w:val="22"/>
        </w:rPr>
      </w:pPr>
      <w:proofErr w:type="spellStart"/>
      <w:r w:rsidRPr="00F35707">
        <w:rPr>
          <w:rFonts w:ascii="Arial Narrow" w:hAnsi="Arial Narrow"/>
          <w:snapToGrid w:val="0"/>
          <w:sz w:val="18"/>
          <w:szCs w:val="22"/>
          <w:vertAlign w:val="superscript"/>
        </w:rPr>
        <w:t>a</w:t>
      </w:r>
      <w:proofErr w:type="spellEnd"/>
      <w:r w:rsidRPr="00F35707">
        <w:rPr>
          <w:rFonts w:ascii="Arial Narrow" w:hAnsi="Arial Narrow"/>
          <w:snapToGrid w:val="0"/>
          <w:sz w:val="18"/>
          <w:szCs w:val="22"/>
        </w:rPr>
        <w:t xml:space="preserve"> </w:t>
      </w:r>
      <w:proofErr w:type="gramStart"/>
      <w:r w:rsidRPr="00F35707">
        <w:rPr>
          <w:rFonts w:ascii="Arial Narrow" w:hAnsi="Arial Narrow"/>
          <w:snapToGrid w:val="0"/>
          <w:sz w:val="18"/>
          <w:szCs w:val="22"/>
        </w:rPr>
        <w:t>The</w:t>
      </w:r>
      <w:proofErr w:type="gramEnd"/>
      <w:r w:rsidRPr="00F35707">
        <w:rPr>
          <w:rFonts w:ascii="Arial Narrow" w:hAnsi="Arial Narrow"/>
          <w:snapToGrid w:val="0"/>
          <w:sz w:val="18"/>
          <w:szCs w:val="22"/>
        </w:rPr>
        <w:t xml:space="preserve"> cost per gram was estimated based on total expenditure / total grams dispensed by the NBA reported in 2021-2022 annual report which accounted for the costs of plasma fractionation as well as domestic and imported products; inflated to 2024 values using the AIHW health inflation index</w:t>
      </w:r>
    </w:p>
    <w:p w14:paraId="15609644" w14:textId="6BD1E4B5" w:rsidR="000873BF" w:rsidRPr="000873BF" w:rsidRDefault="000873BF" w:rsidP="006E2A77">
      <w:pPr>
        <w:rPr>
          <w:rFonts w:ascii="Arial Narrow" w:hAnsi="Arial Narrow"/>
          <w:snapToGrid w:val="0"/>
          <w:sz w:val="18"/>
          <w:szCs w:val="22"/>
        </w:rPr>
      </w:pPr>
      <w:r>
        <w:rPr>
          <w:rFonts w:ascii="Arial Narrow" w:hAnsi="Arial Narrow"/>
          <w:snapToGrid w:val="0"/>
          <w:sz w:val="18"/>
          <w:szCs w:val="22"/>
          <w:vertAlign w:val="superscript"/>
        </w:rPr>
        <w:t>b</w:t>
      </w:r>
      <w:r>
        <w:rPr>
          <w:rFonts w:ascii="Arial Narrow" w:hAnsi="Arial Narrow"/>
          <w:snapToGrid w:val="0"/>
          <w:sz w:val="18"/>
          <w:szCs w:val="22"/>
        </w:rPr>
        <w:t xml:space="preserve"> </w:t>
      </w:r>
      <w:r w:rsidRPr="000873BF">
        <w:rPr>
          <w:rFonts w:ascii="Arial Narrow" w:hAnsi="Arial Narrow"/>
          <w:snapToGrid w:val="0"/>
          <w:sz w:val="18"/>
          <w:szCs w:val="22"/>
        </w:rPr>
        <w:t xml:space="preserve">Actual IVIg dose used in the calculations </w:t>
      </w:r>
      <w:r w:rsidRPr="00963890">
        <w:rPr>
          <w:rFonts w:ascii="Arial Narrow" w:hAnsi="Arial Narrow"/>
          <w:snapToGrid w:val="0"/>
          <w:sz w:val="18"/>
          <w:szCs w:val="22"/>
        </w:rPr>
        <w:t>was 541.0625 g</w:t>
      </w:r>
    </w:p>
    <w:p w14:paraId="127E81BC" w14:textId="73DD02AF" w:rsidR="005C5895" w:rsidRPr="005C5895" w:rsidRDefault="000873BF" w:rsidP="006E2A77">
      <w:pPr>
        <w:spacing w:after="120"/>
        <w:rPr>
          <w:rFonts w:ascii="Arial Narrow" w:hAnsi="Arial Narrow"/>
          <w:snapToGrid w:val="0"/>
          <w:sz w:val="18"/>
          <w:szCs w:val="22"/>
        </w:rPr>
      </w:pPr>
      <w:r>
        <w:rPr>
          <w:rFonts w:ascii="Arial Narrow" w:hAnsi="Arial Narrow"/>
          <w:snapToGrid w:val="0"/>
          <w:sz w:val="18"/>
          <w:szCs w:val="22"/>
          <w:vertAlign w:val="superscript"/>
        </w:rPr>
        <w:t>c</w:t>
      </w:r>
      <w:r w:rsidR="005C5895">
        <w:rPr>
          <w:rFonts w:ascii="Arial Narrow" w:hAnsi="Arial Narrow"/>
          <w:snapToGrid w:val="0"/>
          <w:sz w:val="18"/>
          <w:szCs w:val="22"/>
        </w:rPr>
        <w:t xml:space="preserve"> Based on MSAC P</w:t>
      </w:r>
      <w:r w:rsidR="005C5895" w:rsidRPr="005C5895">
        <w:rPr>
          <w:rFonts w:ascii="Arial Narrow" w:hAnsi="Arial Narrow"/>
          <w:snapToGrid w:val="0"/>
          <w:sz w:val="18"/>
          <w:szCs w:val="22"/>
        </w:rPr>
        <w:t>ublic Summary Document</w:t>
      </w:r>
      <w:r w:rsidR="005C5895">
        <w:rPr>
          <w:rFonts w:ascii="Arial Narrow" w:hAnsi="Arial Narrow"/>
          <w:snapToGrid w:val="0"/>
          <w:sz w:val="18"/>
          <w:szCs w:val="22"/>
        </w:rPr>
        <w:t>,</w:t>
      </w:r>
      <w:r w:rsidR="005C5895" w:rsidRPr="005C5895">
        <w:rPr>
          <w:rFonts w:ascii="Arial Narrow" w:hAnsi="Arial Narrow"/>
          <w:snapToGrid w:val="0"/>
          <w:sz w:val="18"/>
          <w:szCs w:val="22"/>
        </w:rPr>
        <w:t xml:space="preserve"> Application No. 1566 – Review of immunoglobulin use for Myasthenia Gravi</w:t>
      </w:r>
      <w:r w:rsidR="005C5895">
        <w:rPr>
          <w:rFonts w:ascii="Arial Narrow" w:hAnsi="Arial Narrow"/>
          <w:snapToGrid w:val="0"/>
          <w:sz w:val="18"/>
          <w:szCs w:val="22"/>
        </w:rPr>
        <w:t>s, 3 April 2020. Available at:</w:t>
      </w:r>
      <w:r w:rsidR="005C5895" w:rsidRPr="005C5895">
        <w:rPr>
          <w:rFonts w:ascii="Arial Narrow" w:hAnsi="Arial Narrow"/>
          <w:snapToGrid w:val="0"/>
          <w:sz w:val="18"/>
          <w:szCs w:val="22"/>
        </w:rPr>
        <w:t xml:space="preserve"> https://www.msac.gov.au/sites/default/files/documents/1566%2520Final%2520PSD_Apr2020.pdf </w:t>
      </w:r>
    </w:p>
    <w:p w14:paraId="163A5AB3" w14:textId="63F84B1E" w:rsidR="000B13C5" w:rsidRDefault="000B13C5" w:rsidP="006E2A77">
      <w:pPr>
        <w:pStyle w:val="COMexecsummnumbered"/>
      </w:pPr>
      <w:r w:rsidRPr="00704B78">
        <w:t xml:space="preserve">The </w:t>
      </w:r>
      <w:r w:rsidR="003750BF" w:rsidRPr="00704B78">
        <w:t xml:space="preserve">evaluation and the ESC considered that </w:t>
      </w:r>
      <w:r w:rsidRPr="00704B78">
        <w:t>costing scenarios based on the maximum recommended dose of IVIg were not plausible as these estimates substantially exceed</w:t>
      </w:r>
      <w:r w:rsidR="00F4515F">
        <w:t>ed</w:t>
      </w:r>
      <w:r w:rsidRPr="00704B78">
        <w:t xml:space="preserve"> the quantities of IVIg dispensed </w:t>
      </w:r>
      <w:r w:rsidR="00DF4FEA">
        <w:t>by</w:t>
      </w:r>
      <w:r w:rsidR="00DF4FEA" w:rsidRPr="00704B78">
        <w:t xml:space="preserve"> </w:t>
      </w:r>
      <w:r w:rsidRPr="00704B78">
        <w:t xml:space="preserve">the </w:t>
      </w:r>
      <w:r w:rsidR="00621D63">
        <w:t>NBA</w:t>
      </w:r>
      <w:r w:rsidRPr="00704B78">
        <w:t xml:space="preserve">. </w:t>
      </w:r>
      <w:r w:rsidR="00FF5E80">
        <w:t>B</w:t>
      </w:r>
      <w:r w:rsidRPr="00704B78">
        <w:t xml:space="preserve">ased on the average </w:t>
      </w:r>
      <w:r w:rsidR="00F4515F">
        <w:t>amount</w:t>
      </w:r>
      <w:r w:rsidR="00F4515F" w:rsidRPr="00704B78">
        <w:t xml:space="preserve"> </w:t>
      </w:r>
      <w:r w:rsidR="006C6F83">
        <w:t xml:space="preserve">of IVIg </w:t>
      </w:r>
      <w:r w:rsidRPr="00704B78">
        <w:t xml:space="preserve">dispensed per patient as maintenance therapy for myasthenia gravis, the cost of IVIg was </w:t>
      </w:r>
      <w:r w:rsidRPr="00010F6F">
        <w:t xml:space="preserve">approximately </w:t>
      </w:r>
      <w:r w:rsidR="00F00F7C" w:rsidRPr="00010F6F">
        <w:t>$</w:t>
      </w:r>
      <w:r w:rsidR="005F6EC2" w:rsidRPr="00D61CA6">
        <w:rPr>
          <w:color w:val="000000"/>
          <w:spacing w:val="6"/>
          <w:w w:val="62"/>
          <w:shd w:val="solid" w:color="000000" w:fill="000000"/>
          <w:fitText w:val="480" w:id="-656716538"/>
          <w14:textFill>
            <w14:solidFill>
              <w14:srgbClr w14:val="000000">
                <w14:alpha w14:val="100000"/>
              </w14:srgbClr>
            </w14:solidFill>
          </w14:textFill>
        </w:rPr>
        <w:t>|||</w:t>
      </w:r>
      <w:r w:rsidR="00D61CA6" w:rsidRPr="00D61CA6">
        <w:rPr>
          <w:color w:val="000000"/>
          <w:spacing w:val="6"/>
          <w:w w:val="62"/>
          <w:shd w:val="solid" w:color="000000" w:fill="000000"/>
          <w:fitText w:val="480" w:id="-656716538"/>
          <w14:textFill>
            <w14:solidFill>
              <w14:srgbClr w14:val="000000">
                <w14:alpha w14:val="100000"/>
              </w14:srgbClr>
            </w14:solidFill>
          </w14:textFill>
        </w:rPr>
        <w:t xml:space="preserve"> </w:t>
      </w:r>
      <w:r w:rsidR="005F6EC2" w:rsidRPr="00D61CA6">
        <w:rPr>
          <w:color w:val="000000"/>
          <w:spacing w:val="6"/>
          <w:w w:val="62"/>
          <w:shd w:val="solid" w:color="000000" w:fill="000000"/>
          <w:fitText w:val="480" w:id="-656716538"/>
          <w14:textFill>
            <w14:solidFill>
              <w14:srgbClr w14:val="000000">
                <w14:alpha w14:val="100000"/>
              </w14:srgbClr>
            </w14:solidFill>
          </w14:textFill>
        </w:rPr>
        <w:t>|||</w:t>
      </w:r>
      <w:r w:rsidR="00444641" w:rsidRPr="00010F6F">
        <w:t xml:space="preserve"> </w:t>
      </w:r>
      <w:r w:rsidRPr="00010F6F">
        <w:t>per year</w:t>
      </w:r>
      <w:r w:rsidR="00FF5E80" w:rsidRPr="00010F6F">
        <w:t>,</w:t>
      </w:r>
      <w:r w:rsidR="00FF5E80">
        <w:t xml:space="preserve"> which the ESC considered was more </w:t>
      </w:r>
      <w:r w:rsidR="00FF5E80" w:rsidRPr="0006307B">
        <w:t xml:space="preserve">plausible. The ESC noted </w:t>
      </w:r>
      <w:r w:rsidRPr="0006307B">
        <w:t xml:space="preserve">the proposed effective cost of ravulizumab </w:t>
      </w:r>
      <w:r w:rsidR="00FF5E80" w:rsidRPr="0006307B">
        <w:t>was</w:t>
      </w:r>
      <w:r w:rsidRPr="0006307B">
        <w:t xml:space="preserve"> </w:t>
      </w:r>
      <w:r w:rsidR="00F555BD" w:rsidRPr="00875704">
        <w:rPr>
          <w:color w:val="000000"/>
          <w:w w:val="15"/>
          <w:shd w:val="solid" w:color="000000" w:fill="000000"/>
          <w:fitText w:val="-20" w:id="-691349750"/>
          <w14:textFill>
            <w14:solidFill>
              <w14:srgbClr w14:val="000000">
                <w14:alpha w14:val="100000"/>
              </w14:srgbClr>
            </w14:solidFill>
          </w14:textFill>
        </w:rPr>
        <w:t>|</w:t>
      </w:r>
      <w:r w:rsidR="00D61CA6" w:rsidRPr="00875704">
        <w:rPr>
          <w:color w:val="000000"/>
          <w:w w:val="15"/>
          <w:shd w:val="solid" w:color="000000" w:fill="000000"/>
          <w:fitText w:val="-20" w:id="-691349750"/>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0"/>
          <w14:textFill>
            <w14:solidFill>
              <w14:srgbClr w14:val="000000">
                <w14:alpha w14:val="100000"/>
              </w14:srgbClr>
            </w14:solidFill>
          </w14:textFill>
        </w:rPr>
        <w:t>|</w:t>
      </w:r>
      <w:r w:rsidR="00D1412E" w:rsidRPr="00D1412E">
        <w:t xml:space="preserve"> </w:t>
      </w:r>
      <w:r w:rsidR="00F555BD" w:rsidRPr="00875704">
        <w:rPr>
          <w:color w:val="000000"/>
          <w:w w:val="15"/>
          <w:shd w:val="solid" w:color="000000" w:fill="000000"/>
          <w:fitText w:val="-20" w:id="-691349749"/>
          <w14:textFill>
            <w14:solidFill>
              <w14:srgbClr w14:val="000000">
                <w14:alpha w14:val="100000"/>
              </w14:srgbClr>
            </w14:solidFill>
          </w14:textFill>
        </w:rPr>
        <w:t>|</w:t>
      </w:r>
      <w:r w:rsidR="00D61CA6" w:rsidRPr="00875704">
        <w:rPr>
          <w:color w:val="000000"/>
          <w:w w:val="15"/>
          <w:shd w:val="solid" w:color="000000" w:fill="000000"/>
          <w:fitText w:val="-20" w:id="-691349749"/>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9"/>
          <w14:textFill>
            <w14:solidFill>
              <w14:srgbClr w14:val="000000">
                <w14:alpha w14:val="100000"/>
              </w14:srgbClr>
            </w14:solidFill>
          </w14:textFill>
        </w:rPr>
        <w:t>|</w:t>
      </w:r>
      <w:r w:rsidR="00D1412E" w:rsidRPr="00D1412E">
        <w:t xml:space="preserve"> </w:t>
      </w:r>
      <w:r w:rsidR="00F555BD" w:rsidRPr="00875704">
        <w:rPr>
          <w:color w:val="000000"/>
          <w:w w:val="15"/>
          <w:shd w:val="solid" w:color="000000" w:fill="000000"/>
          <w:fitText w:val="-20" w:id="-691349748"/>
          <w14:textFill>
            <w14:solidFill>
              <w14:srgbClr w14:val="000000">
                <w14:alpha w14:val="100000"/>
              </w14:srgbClr>
            </w14:solidFill>
          </w14:textFill>
        </w:rPr>
        <w:t>|</w:t>
      </w:r>
      <w:r w:rsidR="00D61CA6" w:rsidRPr="00875704">
        <w:rPr>
          <w:color w:val="000000"/>
          <w:w w:val="15"/>
          <w:shd w:val="solid" w:color="000000" w:fill="000000"/>
          <w:fitText w:val="-20" w:id="-691349748"/>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8"/>
          <w14:textFill>
            <w14:solidFill>
              <w14:srgbClr w14:val="000000">
                <w14:alpha w14:val="100000"/>
              </w14:srgbClr>
            </w14:solidFill>
          </w14:textFill>
        </w:rPr>
        <w:t>|</w:t>
      </w:r>
      <w:r w:rsidR="00D1412E" w:rsidRPr="00D1412E">
        <w:t xml:space="preserve"> </w:t>
      </w:r>
      <w:r w:rsidR="00F555BD" w:rsidRPr="00875704">
        <w:rPr>
          <w:color w:val="000000"/>
          <w:w w:val="15"/>
          <w:shd w:val="solid" w:color="000000" w:fill="000000"/>
          <w:fitText w:val="-20" w:id="-691349747"/>
          <w14:textFill>
            <w14:solidFill>
              <w14:srgbClr w14:val="000000">
                <w14:alpha w14:val="100000"/>
              </w14:srgbClr>
            </w14:solidFill>
          </w14:textFill>
        </w:rPr>
        <w:t>|</w:t>
      </w:r>
      <w:r w:rsidR="00D61CA6" w:rsidRPr="00875704">
        <w:rPr>
          <w:color w:val="000000"/>
          <w:w w:val="15"/>
          <w:shd w:val="solid" w:color="000000" w:fill="000000"/>
          <w:fitText w:val="-20" w:id="-691349747"/>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7"/>
          <w14:textFill>
            <w14:solidFill>
              <w14:srgbClr w14:val="000000">
                <w14:alpha w14:val="100000"/>
              </w14:srgbClr>
            </w14:solidFill>
          </w14:textFill>
        </w:rPr>
        <w:t>|</w:t>
      </w:r>
      <w:r w:rsidR="00D1412E" w:rsidRPr="00D1412E">
        <w:t xml:space="preserve"> </w:t>
      </w:r>
      <w:r w:rsidR="00F555BD" w:rsidRPr="00875704">
        <w:rPr>
          <w:color w:val="000000"/>
          <w:w w:val="15"/>
          <w:shd w:val="solid" w:color="000000" w:fill="000000"/>
          <w:fitText w:val="-20" w:id="-691349746"/>
          <w14:textFill>
            <w14:solidFill>
              <w14:srgbClr w14:val="000000">
                <w14:alpha w14:val="100000"/>
              </w14:srgbClr>
            </w14:solidFill>
          </w14:textFill>
        </w:rPr>
        <w:t>|</w:t>
      </w:r>
      <w:r w:rsidR="00D61CA6" w:rsidRPr="00875704">
        <w:rPr>
          <w:color w:val="000000"/>
          <w:w w:val="15"/>
          <w:shd w:val="solid" w:color="000000" w:fill="000000"/>
          <w:fitText w:val="-20" w:id="-691349746"/>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6"/>
          <w14:textFill>
            <w14:solidFill>
              <w14:srgbClr w14:val="000000">
                <w14:alpha w14:val="100000"/>
              </w14:srgbClr>
            </w14:solidFill>
          </w14:textFill>
        </w:rPr>
        <w:t>|</w:t>
      </w:r>
      <w:r w:rsidRPr="0006307B">
        <w:t>.</w:t>
      </w:r>
    </w:p>
    <w:p w14:paraId="41C09E54" w14:textId="0FDAEEE1" w:rsidR="003817CA" w:rsidRDefault="00AA17C4" w:rsidP="006E2A77">
      <w:pPr>
        <w:pStyle w:val="COMexecsummnumbered"/>
      </w:pPr>
      <w:r>
        <w:t xml:space="preserve">The PBAC noted that the average dose of ravulizumab would be 46,680 mg over the first two years (or 23,340 mg per year over the first two years) based on the dose </w:t>
      </w:r>
      <w:r w:rsidR="005C5895">
        <w:t xml:space="preserve">recommended </w:t>
      </w:r>
      <w:r>
        <w:t xml:space="preserve">in the Product Information, with 100% dose intensity and compliance, and assuming the same weight distribution as patients in the trial (refer to Table 17). </w:t>
      </w:r>
      <w:r w:rsidR="003817CA">
        <w:t>Alternatively</w:t>
      </w:r>
      <w:r w:rsidR="00E1372D">
        <w:t>,</w:t>
      </w:r>
      <w:r w:rsidR="003817CA">
        <w:t xml:space="preserve"> </w:t>
      </w:r>
      <w:r w:rsidR="00E1372D">
        <w:t>excluding</w:t>
      </w:r>
      <w:r w:rsidR="003817CA">
        <w:t xml:space="preserve"> </w:t>
      </w:r>
      <w:r w:rsidR="00E1372D">
        <w:t xml:space="preserve">the </w:t>
      </w:r>
      <w:r w:rsidR="003817CA">
        <w:t xml:space="preserve">loading dose, and assuming 6.5 maintenance doses per year (7 doses one year and 6 doses the next), the average annual dose of ravulizumab would be </w:t>
      </w:r>
      <w:r w:rsidR="00E1372D">
        <w:t>21,951 mg per year (assuming the same weight distribution as patients in the trial).</w:t>
      </w:r>
    </w:p>
    <w:p w14:paraId="6371B9DE" w14:textId="406BBF3E" w:rsidR="00AA17C4" w:rsidRDefault="00AA17C4" w:rsidP="006E2A77">
      <w:pPr>
        <w:pStyle w:val="COMexecsummnumbered"/>
      </w:pPr>
      <w:bookmarkStart w:id="63" w:name="_Ref194073688"/>
      <w:r>
        <w:t>The economic model assumed 91.7% compliance from the 5th administration onwards because the clinical study report stated that 91.7% of patients who received ravulizumab had 100% compliance over 60 weeks (</w:t>
      </w:r>
      <w:r w:rsidR="009B6AAF">
        <w:t xml:space="preserve">i.e. the patient </w:t>
      </w:r>
      <w:r>
        <w:t xml:space="preserve">received </w:t>
      </w:r>
      <w:r w:rsidR="009B6AAF">
        <w:t xml:space="preserve">the </w:t>
      </w:r>
      <w:r>
        <w:t xml:space="preserve">dose at </w:t>
      </w:r>
      <w:r w:rsidR="009B6AAF">
        <w:t xml:space="preserve">the </w:t>
      </w:r>
      <w:r>
        <w:t xml:space="preserve">scheduled visit). However, the clinical study report stated half of the patients who had missed </w:t>
      </w:r>
      <w:r w:rsidR="006C6F83">
        <w:t xml:space="preserve">a </w:t>
      </w:r>
      <w:r>
        <w:t>ravulizumab infusion at the protocol-specified time point, received the infusion at an unscheduled visit (and one of the most common reasons for missing a scheduled dose was due to COVID-19). Overall,</w:t>
      </w:r>
      <w:r w:rsidR="008F6179">
        <w:t xml:space="preserve"> the PBAC considered</w:t>
      </w:r>
      <w:r>
        <w:t xml:space="preserve"> it was likely that the </w:t>
      </w:r>
      <w:r w:rsidR="00662131">
        <w:t>compliance</w:t>
      </w:r>
      <w:r>
        <w:t xml:space="preserve"> in the trial would have been </w:t>
      </w:r>
      <w:r w:rsidR="006C6F83">
        <w:t xml:space="preserve">greater than </w:t>
      </w:r>
      <w:r>
        <w:t>91.7%</w:t>
      </w:r>
      <w:r w:rsidR="008F6179">
        <w:t>, potentially around 95%</w:t>
      </w:r>
      <w:r>
        <w:t>.</w:t>
      </w:r>
      <w:bookmarkEnd w:id="63"/>
    </w:p>
    <w:p w14:paraId="1CF45C1B" w14:textId="0601D566" w:rsidR="00AA17C4" w:rsidRDefault="00AA17C4" w:rsidP="006E2A77">
      <w:pPr>
        <w:pStyle w:val="COMexecsummnumbered"/>
      </w:pPr>
      <w:r>
        <w:lastRenderedPageBreak/>
        <w:t>Additional costs associated with ravulizumab include:</w:t>
      </w:r>
    </w:p>
    <w:p w14:paraId="657E4535" w14:textId="4F9C3046" w:rsidR="00AA17C4" w:rsidRDefault="00AA17C4" w:rsidP="006E2A77">
      <w:pPr>
        <w:pStyle w:val="COMexecsummbulletlist"/>
        <w:ind w:left="1134" w:hanging="283"/>
      </w:pPr>
      <w:r>
        <w:t xml:space="preserve">meningococcal vaccines (meningococcal B and ACWY boosters), and </w:t>
      </w:r>
      <w:r w:rsidR="006C6F83">
        <w:t xml:space="preserve">for </w:t>
      </w:r>
      <w:r>
        <w:t>patients who initiate ravulizumab less than 2 weeks after receiving a meningococcal vaccine</w:t>
      </w:r>
      <w:r w:rsidR="00CA76DA">
        <w:t>,</w:t>
      </w:r>
      <w:r>
        <w:t xml:space="preserve"> prophylactic antibiotics </w:t>
      </w:r>
      <w:r w:rsidR="006C6F83">
        <w:t xml:space="preserve">are required </w:t>
      </w:r>
      <w:r>
        <w:t xml:space="preserve">until 2 weeks after vaccination; and </w:t>
      </w:r>
    </w:p>
    <w:p w14:paraId="4687F197" w14:textId="4DB3FA83" w:rsidR="00AA17C4" w:rsidRDefault="00AA17C4" w:rsidP="006E2A77">
      <w:pPr>
        <w:pStyle w:val="COMexecsummbulletlist"/>
        <w:ind w:left="1134" w:hanging="283"/>
      </w:pPr>
      <w:r>
        <w:t>administration costs, with the Product Information stating ravulizumab is to be administered as an intravenous infusion over 25 to 55 minutes depending on body weight. Over the first 2 years, 14 infusions would be required (1 loading dose at Week 0, and 13 maintenance doses commencing in Week 2) and the submission’s economic model assumed MBS item 105 would be required for each administration, with a fee of $49.75.</w:t>
      </w:r>
    </w:p>
    <w:p w14:paraId="500A7CB2" w14:textId="4F4E46C1" w:rsidR="00B7386D" w:rsidRPr="009B6AAF" w:rsidRDefault="00B7386D" w:rsidP="006E2A77">
      <w:pPr>
        <w:pStyle w:val="COMexecsummnumbered"/>
      </w:pPr>
      <w:bookmarkStart w:id="64" w:name="_Ref194048667"/>
      <w:r>
        <w:t xml:space="preserve">The </w:t>
      </w:r>
      <w:r w:rsidRPr="009B6AAF">
        <w:t xml:space="preserve">pre-PBAC response </w:t>
      </w:r>
      <w:r w:rsidR="00F4515F" w:rsidRPr="009B6AAF">
        <w:t>argu</w:t>
      </w:r>
      <w:r w:rsidR="00CB7EBC" w:rsidRPr="009B6AAF">
        <w:t xml:space="preserve">ed that the NBA criteria </w:t>
      </w:r>
      <w:r w:rsidR="00F4515F" w:rsidRPr="009B6AAF">
        <w:t xml:space="preserve">for IVIg </w:t>
      </w:r>
      <w:r w:rsidR="00CB7EBC" w:rsidRPr="009B6AAF">
        <w:t xml:space="preserve">are less stringent than the proposed PBS restriction for ravulizumab, and </w:t>
      </w:r>
      <w:r w:rsidR="00F4515F" w:rsidRPr="009B6AAF">
        <w:t xml:space="preserve">as such </w:t>
      </w:r>
      <w:r w:rsidR="00CB7EBC" w:rsidRPr="009B6AAF">
        <w:t xml:space="preserve">allow access in patients with moderate disease activity who </w:t>
      </w:r>
      <w:r w:rsidR="00F4515F" w:rsidRPr="009B6AAF">
        <w:t>may receive</w:t>
      </w:r>
      <w:r w:rsidR="00CB7EBC" w:rsidRPr="009B6AAF">
        <w:t xml:space="preserve"> lower doses of IVIg. The pre-PBAC response stated that according to Australian neurologists, patients with an MG-ADL score ≥ 6 require higher IVIg doses, consistent with the maximum recommended dose of 1 g/kg as outlined in various guidelines, Bril 2024 and the Product Information. </w:t>
      </w:r>
      <w:r w:rsidR="00F4515F" w:rsidRPr="009B6AAF">
        <w:t xml:space="preserve">The pre-PBAC response argued the average annual dose of 541.1 grams underestimated the dose used in </w:t>
      </w:r>
      <w:r w:rsidR="00CB7EBC" w:rsidRPr="009B6AAF">
        <w:t>the proposed population.</w:t>
      </w:r>
      <w:r w:rsidR="00502A20" w:rsidRPr="009B6AAF">
        <w:t xml:space="preserve"> </w:t>
      </w:r>
      <w:bookmarkEnd w:id="64"/>
    </w:p>
    <w:p w14:paraId="4B24C654" w14:textId="3B0F52AE" w:rsidR="00AA17C4" w:rsidRDefault="00AA17C4" w:rsidP="006E2A77">
      <w:pPr>
        <w:pStyle w:val="COMexecsummnumbered"/>
      </w:pPr>
      <w:r w:rsidRPr="009B6AAF">
        <w:t>Further, the pre-PBAC response argued that the average IVIg dose in the NBA data may include patients who are unresponsive to IVIg</w:t>
      </w:r>
      <w:r w:rsidRPr="00AA17C4">
        <w:t xml:space="preserve"> and includes all patients irrespective of treatment duration.</w:t>
      </w:r>
      <w:r>
        <w:t xml:space="preserve"> However, the PBAC noted the average dose of IVIg </w:t>
      </w:r>
      <w:r w:rsidRPr="00AA17C4">
        <w:t xml:space="preserve">excluded patients who commenced </w:t>
      </w:r>
      <w:r>
        <w:t xml:space="preserve">treatment </w:t>
      </w:r>
      <w:r w:rsidRPr="00AA17C4">
        <w:t>in 2023-24</w:t>
      </w:r>
      <w:r>
        <w:t xml:space="preserve"> (the most recent year of data)</w:t>
      </w:r>
      <w:r w:rsidRPr="00AA17C4">
        <w:t xml:space="preserve">, as this may represent a part year of treatment and may include non-responders. </w:t>
      </w:r>
    </w:p>
    <w:p w14:paraId="116876BA" w14:textId="53030844" w:rsidR="00CB7EBC" w:rsidRDefault="00CB7EBC" w:rsidP="006E2A77">
      <w:pPr>
        <w:pStyle w:val="COMexecsummnumbered"/>
      </w:pPr>
      <w:r>
        <w:t xml:space="preserve">The pre-PBAC response stated that the following should </w:t>
      </w:r>
      <w:r w:rsidRPr="00CB7EBC">
        <w:t xml:space="preserve">be captured </w:t>
      </w:r>
      <w:r>
        <w:t xml:space="preserve">in a </w:t>
      </w:r>
      <w:r w:rsidRPr="00CB7EBC">
        <w:t>cost</w:t>
      </w:r>
      <w:r>
        <w:t>-</w:t>
      </w:r>
      <w:r w:rsidRPr="00CB7EBC">
        <w:t>comparison: 1) the IVIg dose used in patients with an MG-ADL ≥ 6; (2) calculation based on responding patients only</w:t>
      </w:r>
      <w:r w:rsidR="00FF5E80">
        <w:t>;</w:t>
      </w:r>
      <w:r w:rsidRPr="00CB7EBC">
        <w:t xml:space="preserve"> (3) inclusion of any administration costs and additional costs such as vaccinations; (4) the cost of IVIg inclusive of locally manufactured or globally imported</w:t>
      </w:r>
      <w:r w:rsidR="006C6F83">
        <w:t xml:space="preserve"> product.</w:t>
      </w:r>
      <w:r w:rsidR="00FF5E80">
        <w:t xml:space="preserve"> Further, the pre-PBAC response requested a price premium given the</w:t>
      </w:r>
      <w:r w:rsidR="00111C12">
        <w:t>:</w:t>
      </w:r>
      <w:r w:rsidR="00FF5E80">
        <w:t xml:space="preserve"> lengthy administration of IVIg and the impact this has on patient employment</w:t>
      </w:r>
      <w:r w:rsidR="00111C12">
        <w:t xml:space="preserve"> and</w:t>
      </w:r>
      <w:r w:rsidR="00FF5E80">
        <w:t xml:space="preserve"> hospital resources</w:t>
      </w:r>
      <w:r w:rsidR="00111C12">
        <w:t xml:space="preserve">; </w:t>
      </w:r>
      <w:r w:rsidR="00F4515F">
        <w:t xml:space="preserve">and the </w:t>
      </w:r>
      <w:r w:rsidR="00111C12">
        <w:t>potential for adverse events with IVIg.</w:t>
      </w:r>
      <w:r w:rsidR="00FF5E80">
        <w:t xml:space="preserve"> </w:t>
      </w:r>
    </w:p>
    <w:p w14:paraId="4A43353E" w14:textId="19CE7C06" w:rsidR="00111C12" w:rsidRPr="00111C12" w:rsidRDefault="00111C12" w:rsidP="006E2A77">
      <w:pPr>
        <w:pStyle w:val="COMexecsummnumbered"/>
        <w:numPr>
          <w:ilvl w:val="0"/>
          <w:numId w:val="0"/>
        </w:numPr>
        <w:outlineLvl w:val="2"/>
        <w:rPr>
          <w:u w:val="single"/>
        </w:rPr>
      </w:pPr>
      <w:r w:rsidRPr="00111C12">
        <w:rPr>
          <w:u w:val="single"/>
        </w:rPr>
        <w:t>Cost</w:t>
      </w:r>
      <w:r>
        <w:rPr>
          <w:u w:val="single"/>
        </w:rPr>
        <w:t>-</w:t>
      </w:r>
      <w:r w:rsidRPr="00111C12">
        <w:rPr>
          <w:u w:val="single"/>
        </w:rPr>
        <w:t>per</w:t>
      </w:r>
      <w:r>
        <w:rPr>
          <w:u w:val="single"/>
        </w:rPr>
        <w:t>-</w:t>
      </w:r>
      <w:r w:rsidRPr="00111C12">
        <w:rPr>
          <w:u w:val="single"/>
        </w:rPr>
        <w:t>responder</w:t>
      </w:r>
    </w:p>
    <w:p w14:paraId="0219BCB6" w14:textId="481125BA" w:rsidR="00CA36C2" w:rsidRPr="00E1372D" w:rsidRDefault="00CA36C2" w:rsidP="006E2A77">
      <w:pPr>
        <w:pStyle w:val="COMexecsummnumbered"/>
      </w:pPr>
      <w:bookmarkStart w:id="65" w:name="_Ref193117741"/>
      <w:r w:rsidRPr="00E1372D">
        <w:t>The PBAC noted that, at the price proposed by the sponsor, the</w:t>
      </w:r>
      <w:r w:rsidR="003F0438">
        <w:t xml:space="preserve"> incremental</w:t>
      </w:r>
      <w:r w:rsidRPr="00E1372D">
        <w:t xml:space="preserve"> cost</w:t>
      </w:r>
      <w:r w:rsidR="00111C12" w:rsidRPr="00E1372D">
        <w:t>-p</w:t>
      </w:r>
      <w:r w:rsidRPr="00E1372D">
        <w:t>er</w:t>
      </w:r>
      <w:r w:rsidR="00111C12" w:rsidRPr="00E1372D">
        <w:t>-responder</w:t>
      </w:r>
      <w:r w:rsidRPr="00E1372D">
        <w:t xml:space="preserve"> </w:t>
      </w:r>
      <w:r w:rsidR="006B1654">
        <w:t xml:space="preserve">versus placebo </w:t>
      </w:r>
      <w:r w:rsidRPr="00E1372D">
        <w:t xml:space="preserve">would </w:t>
      </w:r>
      <w:r w:rsidRPr="00B42AA7">
        <w:t>be $</w:t>
      </w:r>
      <w:r w:rsidR="006E1B7E" w:rsidRPr="006E1B7E">
        <w:t>755,000 to &lt; $855,000</w:t>
      </w:r>
      <w:r w:rsidR="006E1B7E" w:rsidRPr="006E1B7E" w:rsidDel="006E1B7E">
        <w:t xml:space="preserve"> </w:t>
      </w:r>
      <w:r w:rsidRPr="00E1372D">
        <w:t>(based on 10.9% difference in the proportion of patients with ≥2 point reduction in MG-ADL at 26</w:t>
      </w:r>
      <w:r w:rsidR="00C5658B">
        <w:t> </w:t>
      </w:r>
      <w:r w:rsidRPr="00E1372D">
        <w:t>weeks, and a cost of $</w:t>
      </w:r>
      <w:r w:rsidR="00F555BD" w:rsidRPr="00875704">
        <w:rPr>
          <w:color w:val="000000"/>
          <w:w w:val="15"/>
          <w:shd w:val="solid" w:color="000000" w:fill="000000"/>
          <w:fitText w:val="-20" w:id="-691349745"/>
          <w14:textFill>
            <w14:solidFill>
              <w14:srgbClr w14:val="000000">
                <w14:alpha w14:val="100000"/>
              </w14:srgbClr>
            </w14:solidFill>
          </w14:textFill>
        </w:rPr>
        <w:t>|</w:t>
      </w:r>
      <w:r w:rsidR="00D61CA6" w:rsidRPr="00875704">
        <w:rPr>
          <w:color w:val="000000"/>
          <w:w w:val="15"/>
          <w:shd w:val="solid" w:color="000000" w:fill="000000"/>
          <w:fitText w:val="-20" w:id="-691349745"/>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5"/>
          <w14:textFill>
            <w14:solidFill>
              <w14:srgbClr w14:val="000000">
                <w14:alpha w14:val="100000"/>
              </w14:srgbClr>
            </w14:solidFill>
          </w14:textFill>
        </w:rPr>
        <w:t>|</w:t>
      </w:r>
      <w:r w:rsidRPr="00E1372D">
        <w:t xml:space="preserve"> for 26 weeks of therapy). The PBAC advised that this was unacceptably high in the context of previous cost-per-responder analyses.</w:t>
      </w:r>
      <w:bookmarkEnd w:id="65"/>
      <w:r w:rsidRPr="00E1372D">
        <w:t xml:space="preserve"> </w:t>
      </w:r>
    </w:p>
    <w:p w14:paraId="0A8BBCEE" w14:textId="332DE0B4" w:rsidR="00557A99" w:rsidRPr="00557A99" w:rsidRDefault="00704485" w:rsidP="006E2A77">
      <w:pPr>
        <w:pStyle w:val="COMexecsummnumbered"/>
      </w:pPr>
      <w:bookmarkStart w:id="66" w:name="_Ref193117743"/>
      <w:r w:rsidRPr="00704485">
        <w:t xml:space="preserve">The PBAC noted that, at a cost per patient per year of </w:t>
      </w:r>
      <w:r w:rsidRPr="009400D5">
        <w:t>$</w:t>
      </w:r>
    </w:p>
    <w:p w14:paraId="78EF62C5" w14:textId="5B86E270" w:rsidR="00CA36C2" w:rsidRPr="00E1372D" w:rsidRDefault="00262C6D" w:rsidP="006E2A77">
      <w:pPr>
        <w:pStyle w:val="COMexecsummnumbered"/>
      </w:pPr>
      <w:r w:rsidRPr="00D61CA6">
        <w:rPr>
          <w:color w:val="000000"/>
          <w:spacing w:val="12"/>
          <w:w w:val="67"/>
          <w:shd w:val="solid" w:color="000000" w:fill="000000"/>
          <w:fitText w:val="556" w:id="-656715776"/>
          <w14:textFill>
            <w14:solidFill>
              <w14:srgbClr w14:val="000000">
                <w14:alpha w14:val="100000"/>
              </w14:srgbClr>
            </w14:solidFill>
          </w14:textFill>
        </w:rPr>
        <w:lastRenderedPageBreak/>
        <w:t>|||</w:t>
      </w:r>
      <w:r w:rsidR="00D61CA6" w:rsidRPr="00D61CA6">
        <w:rPr>
          <w:color w:val="000000"/>
          <w:spacing w:val="12"/>
          <w:w w:val="67"/>
          <w:shd w:val="solid" w:color="000000" w:fill="000000"/>
          <w:fitText w:val="556" w:id="-656715776"/>
          <w14:textFill>
            <w14:solidFill>
              <w14:srgbClr w14:val="000000">
                <w14:alpha w14:val="100000"/>
              </w14:srgbClr>
            </w14:solidFill>
          </w14:textFill>
        </w:rPr>
        <w:t xml:space="preserve"> </w:t>
      </w:r>
      <w:r w:rsidRPr="00D61CA6">
        <w:rPr>
          <w:color w:val="000000"/>
          <w:spacing w:val="12"/>
          <w:w w:val="67"/>
          <w:shd w:val="solid" w:color="000000" w:fill="000000"/>
          <w:fitText w:val="556" w:id="-656715776"/>
          <w14:textFill>
            <w14:solidFill>
              <w14:srgbClr w14:val="000000">
                <w14:alpha w14:val="100000"/>
              </w14:srgbClr>
            </w14:solidFill>
          </w14:textFill>
        </w:rPr>
        <w:t>||</w:t>
      </w:r>
      <w:r w:rsidRPr="00D61CA6">
        <w:rPr>
          <w:color w:val="000000"/>
          <w:spacing w:val="4"/>
          <w:w w:val="67"/>
          <w:shd w:val="solid" w:color="000000" w:fill="000000"/>
          <w:fitText w:val="556" w:id="-656715776"/>
          <w14:textFill>
            <w14:solidFill>
              <w14:srgbClr w14:val="000000">
                <w14:alpha w14:val="100000"/>
              </w14:srgbClr>
            </w14:solidFill>
          </w14:textFill>
        </w:rPr>
        <w:t>|</w:t>
      </w:r>
      <w:r w:rsidR="00704485" w:rsidRPr="00265244">
        <w:t>,</w:t>
      </w:r>
      <w:r w:rsidR="00704485" w:rsidRPr="00704485">
        <w:t xml:space="preserve"> and assuming the average of the incremental difference in response rates across the four gMG trials (24% at 12 weeks, based on a simple mean of the proportion of patients with ≥2 point reduction in MG-ADL in the four key trials), the incremental cost-per-responder versus placebo would be around </w:t>
      </w:r>
      <w:r w:rsidR="00366625" w:rsidRPr="00366625">
        <w:t>$55,000 to &lt; $75,000</w:t>
      </w:r>
      <w:r w:rsidR="00704485" w:rsidRPr="00704485">
        <w:t xml:space="preserve">. </w:t>
      </w:r>
      <w:bookmarkEnd w:id="66"/>
    </w:p>
    <w:p w14:paraId="268768EF" w14:textId="3626F292" w:rsidR="00B60939" w:rsidRPr="00704B78" w:rsidRDefault="00B60939" w:rsidP="006E2A77">
      <w:pPr>
        <w:pStyle w:val="COMH2-non-numbered"/>
        <w:rPr>
          <w:iCs/>
        </w:rPr>
      </w:pPr>
      <w:bookmarkStart w:id="67" w:name="_Toc22897647"/>
      <w:bookmarkStart w:id="68" w:name="_Toc188350833"/>
      <w:bookmarkEnd w:id="59"/>
      <w:r w:rsidRPr="00704B78">
        <w:rPr>
          <w:iCs/>
        </w:rPr>
        <w:t>Estimated PBS usage &amp; financial implications</w:t>
      </w:r>
      <w:bookmarkEnd w:id="67"/>
      <w:bookmarkEnd w:id="68"/>
    </w:p>
    <w:p w14:paraId="493F5FC7" w14:textId="0B70AE99" w:rsidR="0003580D" w:rsidRPr="00704B78" w:rsidRDefault="0003580D" w:rsidP="006E2A77">
      <w:pPr>
        <w:pStyle w:val="COMexecsummnumbered"/>
      </w:pPr>
      <w:r w:rsidRPr="00704B78">
        <w:t>The</w:t>
      </w:r>
      <w:r w:rsidR="00F4515F">
        <w:t xml:space="preserve"> financial estimates presented in the </w:t>
      </w:r>
      <w:r w:rsidR="007F1EE4">
        <w:t>re</w:t>
      </w:r>
      <w:r w:rsidR="00F4515F">
        <w:t xml:space="preserve">submission were </w:t>
      </w:r>
      <w:r w:rsidRPr="00704B78">
        <w:t>extensively revised from the March 2024 submission</w:t>
      </w:r>
      <w:r w:rsidR="001416A4" w:rsidRPr="00704B78">
        <w:t xml:space="preserve">. The March </w:t>
      </w:r>
      <w:r w:rsidR="00C11136" w:rsidRPr="00704B78">
        <w:t xml:space="preserve">2024 </w:t>
      </w:r>
      <w:r w:rsidR="001416A4" w:rsidRPr="00704B78">
        <w:t>submission</w:t>
      </w:r>
      <w:r w:rsidRPr="00704B78">
        <w:t xml:space="preserve"> requested a broad listing in patients with functional impairment while the current </w:t>
      </w:r>
      <w:r w:rsidR="00D445D3" w:rsidRPr="00704B78">
        <w:t>re</w:t>
      </w:r>
      <w:r w:rsidRPr="00704B78">
        <w:t>submission proposed more narrow listings for newly diagnosed and treatment refractory patients.</w:t>
      </w:r>
    </w:p>
    <w:p w14:paraId="3C0C56E3" w14:textId="2B17F3C8" w:rsidR="0003580D" w:rsidRPr="00704B78" w:rsidRDefault="00C25D9C" w:rsidP="006E2A77">
      <w:pPr>
        <w:pStyle w:val="COMexecsummnumbered"/>
      </w:pPr>
      <w:r w:rsidRPr="00704B78">
        <w:t xml:space="preserve">This </w:t>
      </w:r>
      <w:r w:rsidR="0003580D" w:rsidRPr="00704B78">
        <w:t>re</w:t>
      </w:r>
      <w:r w:rsidRPr="00704B78">
        <w:t xml:space="preserve">submission </w:t>
      </w:r>
      <w:r w:rsidR="000B08A9" w:rsidRPr="00704B78">
        <w:t>was not</w:t>
      </w:r>
      <w:r w:rsidR="00D23D11" w:rsidRPr="00704B78">
        <w:t xml:space="preserve"> </w:t>
      </w:r>
      <w:r w:rsidRPr="00704B78">
        <w:t>considered by DUSC</w:t>
      </w:r>
      <w:r w:rsidRPr="00704B78">
        <w:rPr>
          <w:color w:val="0070C0"/>
        </w:rPr>
        <w:t>.</w:t>
      </w:r>
      <w:r w:rsidR="00BC591F" w:rsidRPr="00704B78">
        <w:rPr>
          <w:color w:val="0070C0"/>
        </w:rPr>
        <w:t xml:space="preserve"> </w:t>
      </w:r>
      <w:r w:rsidR="0003580D" w:rsidRPr="00704B78">
        <w:t>The resubmission used an epidemiological approach to estimate the utilisation and financial impacts of listing ravulizumab as a therapy for newly diagnosed patients and treatment refractory patients with generalised myasthenia gravis.</w:t>
      </w:r>
    </w:p>
    <w:p w14:paraId="61E08B8A" w14:textId="1A487226" w:rsidR="00E534BF" w:rsidRPr="00704B78" w:rsidRDefault="0003580D" w:rsidP="006E2A77">
      <w:pPr>
        <w:pStyle w:val="COMexecsummnumbered"/>
      </w:pPr>
      <w:r w:rsidRPr="00704B78">
        <w:t xml:space="preserve">The key inputs used to derive the financial implications are presented in </w:t>
      </w:r>
      <w:r w:rsidR="00D25323" w:rsidRPr="00704B78">
        <w:fldChar w:fldCharType="begin"/>
      </w:r>
      <w:r w:rsidR="00D25323" w:rsidRPr="00704B78">
        <w:instrText xml:space="preserve"> REF _Ref187653216 \h </w:instrText>
      </w:r>
      <w:r w:rsidR="004577BE" w:rsidRPr="00704B78">
        <w:instrText xml:space="preserve"> \* MERGEFORMAT </w:instrText>
      </w:r>
      <w:r w:rsidR="00D25323" w:rsidRPr="00704B78">
        <w:fldChar w:fldCharType="separate"/>
      </w:r>
      <w:r w:rsidR="00875704" w:rsidRPr="00704B78">
        <w:t xml:space="preserve">Table </w:t>
      </w:r>
      <w:r w:rsidR="00875704">
        <w:rPr>
          <w:noProof/>
        </w:rPr>
        <w:t>18</w:t>
      </w:r>
      <w:r w:rsidR="00D25323" w:rsidRPr="00704B78">
        <w:fldChar w:fldCharType="end"/>
      </w:r>
      <w:r w:rsidRPr="00704B78">
        <w:t>.</w:t>
      </w:r>
    </w:p>
    <w:p w14:paraId="056825F9" w14:textId="4C6E63E4" w:rsidR="00E534BF" w:rsidRPr="00704B78" w:rsidRDefault="00D25323" w:rsidP="006E2A77">
      <w:pPr>
        <w:pStyle w:val="COMtablefigcaption"/>
      </w:pPr>
      <w:bookmarkStart w:id="69" w:name="_Ref187653216"/>
      <w:r w:rsidRPr="00704B78">
        <w:t xml:space="preserve">Table </w:t>
      </w:r>
      <w:r w:rsidRPr="00704B78">
        <w:fldChar w:fldCharType="begin"/>
      </w:r>
      <w:r w:rsidRPr="00704B78">
        <w:instrText>SEQ Table \* ARABIC</w:instrText>
      </w:r>
      <w:r w:rsidRPr="00704B78">
        <w:fldChar w:fldCharType="separate"/>
      </w:r>
      <w:r w:rsidR="00875704">
        <w:rPr>
          <w:noProof/>
        </w:rPr>
        <w:t>18</w:t>
      </w:r>
      <w:r w:rsidRPr="00704B78">
        <w:fldChar w:fldCharType="end"/>
      </w:r>
      <w:bookmarkEnd w:id="69"/>
      <w:r w:rsidR="00E534BF" w:rsidRPr="00704B78">
        <w:t xml:space="preserve">: Key </w:t>
      </w:r>
      <w:r w:rsidRPr="00704B78">
        <w:t xml:space="preserve">inputs for </w:t>
      </w:r>
      <w:r w:rsidR="00E534BF" w:rsidRPr="00704B78">
        <w:t>financial estimates</w:t>
      </w:r>
      <w:r w:rsidR="00623D83">
        <w:t xml:space="preserve"> </w:t>
      </w:r>
      <w:bookmarkStart w:id="70" w:name="_Hlk193787565"/>
      <w:r w:rsidR="00623D83">
        <w:t xml:space="preserve">presented in the resubmission </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Key inputs for financial estimates presented in the resubmission "/>
      </w:tblPr>
      <w:tblGrid>
        <w:gridCol w:w="1509"/>
        <w:gridCol w:w="3507"/>
        <w:gridCol w:w="4001"/>
      </w:tblGrid>
      <w:tr w:rsidR="00E534BF" w:rsidRPr="00704B78" w14:paraId="0D09DF1D" w14:textId="77777777" w:rsidTr="006A7D48">
        <w:trPr>
          <w:tblHeader/>
        </w:trPr>
        <w:tc>
          <w:tcPr>
            <w:tcW w:w="1524" w:type="dxa"/>
            <w:vAlign w:val="center"/>
          </w:tcPr>
          <w:p w14:paraId="07857F5A" w14:textId="77777777" w:rsidR="00E534BF" w:rsidRPr="00704B78" w:rsidRDefault="00E534BF" w:rsidP="006E2A77">
            <w:pPr>
              <w:pStyle w:val="COMTableheadingrow"/>
              <w:keepNext w:val="0"/>
            </w:pPr>
            <w:r w:rsidRPr="00704B78">
              <w:t>Data</w:t>
            </w:r>
          </w:p>
        </w:tc>
        <w:tc>
          <w:tcPr>
            <w:tcW w:w="3574" w:type="dxa"/>
            <w:vAlign w:val="center"/>
          </w:tcPr>
          <w:p w14:paraId="0E7E4E55" w14:textId="178724B8" w:rsidR="00E534BF" w:rsidRPr="00704B78" w:rsidRDefault="00E534BF" w:rsidP="006E2A77">
            <w:pPr>
              <w:pStyle w:val="COMTableheadingrow"/>
              <w:keepNext w:val="0"/>
            </w:pPr>
            <w:r w:rsidRPr="00704B78">
              <w:t>Value applied and source</w:t>
            </w:r>
          </w:p>
        </w:tc>
        <w:tc>
          <w:tcPr>
            <w:tcW w:w="4082" w:type="dxa"/>
            <w:vAlign w:val="center"/>
          </w:tcPr>
          <w:p w14:paraId="1E8FC874" w14:textId="77777777" w:rsidR="00E534BF" w:rsidRPr="00704B78" w:rsidRDefault="00E534BF" w:rsidP="006E2A77">
            <w:pPr>
              <w:pStyle w:val="COMTableheadingrow"/>
              <w:keepNext w:val="0"/>
            </w:pPr>
            <w:r w:rsidRPr="00704B78">
              <w:t>Comment</w:t>
            </w:r>
          </w:p>
        </w:tc>
      </w:tr>
      <w:tr w:rsidR="00C35350" w:rsidRPr="00704B78" w14:paraId="16F79E02" w14:textId="77777777" w:rsidTr="006A7D48">
        <w:trPr>
          <w:trHeight w:val="7015"/>
        </w:trPr>
        <w:tc>
          <w:tcPr>
            <w:tcW w:w="1524" w:type="dxa"/>
            <w:vAlign w:val="center"/>
          </w:tcPr>
          <w:p w14:paraId="20140293" w14:textId="36D06B29" w:rsidR="00C35350" w:rsidRPr="00704B78" w:rsidRDefault="00C35350" w:rsidP="006E2A77">
            <w:pPr>
              <w:pStyle w:val="COMTabletext"/>
              <w:keepNext w:val="0"/>
            </w:pPr>
            <w:r w:rsidRPr="00704B78">
              <w:t>Incidence and prevalence of myasthenia gravis</w:t>
            </w:r>
          </w:p>
        </w:tc>
        <w:tc>
          <w:tcPr>
            <w:tcW w:w="3574" w:type="dxa"/>
            <w:vAlign w:val="center"/>
          </w:tcPr>
          <w:p w14:paraId="3B04F2A4" w14:textId="4F56005D" w:rsidR="00C35350" w:rsidRPr="00704B78" w:rsidRDefault="00C35350" w:rsidP="006E2A77">
            <w:pPr>
              <w:pStyle w:val="COMTabletext"/>
              <w:keepNext w:val="0"/>
              <w:spacing w:after="120"/>
            </w:pPr>
            <w:r w:rsidRPr="00704B78">
              <w:t>Incidence: 47 per 1,000,000 persons in 2022 with an average annual increase of 3%.</w:t>
            </w:r>
          </w:p>
          <w:p w14:paraId="77BF45AE" w14:textId="101B9DE8" w:rsidR="00C35350" w:rsidRPr="00704B78" w:rsidRDefault="00C35350" w:rsidP="006E2A77">
            <w:pPr>
              <w:pStyle w:val="COMTabletext"/>
              <w:spacing w:after="120"/>
            </w:pPr>
            <w:r w:rsidRPr="00704B78">
              <w:t>Prevalence: 20.3 per 100,000 persons in 2022 with an average annual increase of 5%.</w:t>
            </w:r>
          </w:p>
          <w:p w14:paraId="165D5673" w14:textId="1AB6B666" w:rsidR="00C35350" w:rsidRPr="00704B78" w:rsidRDefault="00C35350" w:rsidP="006E2A77">
            <w:pPr>
              <w:pStyle w:val="COMTableheadingrow"/>
              <w:keepNext w:val="0"/>
              <w:spacing w:after="60"/>
              <w:rPr>
                <w:b w:val="0"/>
                <w:bCs/>
                <w:lang w:val="en-AU"/>
              </w:rPr>
            </w:pPr>
            <w:r w:rsidRPr="00704B78">
              <w:rPr>
                <w:b w:val="0"/>
                <w:bCs/>
                <w:lang w:val="en-AU"/>
              </w:rPr>
              <w:t xml:space="preserve">Based on a sponsor-commissioned analysis of PBS data for the cholinesterase inhibitor pyridostigmine, based on the methodology reported in </w:t>
            </w:r>
            <w:proofErr w:type="spellStart"/>
            <w:r w:rsidRPr="00704B78">
              <w:rPr>
                <w:b w:val="0"/>
                <w:bCs/>
                <w:lang w:val="en-AU"/>
              </w:rPr>
              <w:t>Gattellari</w:t>
            </w:r>
            <w:proofErr w:type="spellEnd"/>
            <w:r w:rsidRPr="00704B78">
              <w:rPr>
                <w:b w:val="0"/>
                <w:bCs/>
                <w:lang w:val="en-AU"/>
              </w:rPr>
              <w:t xml:space="preserve"> 2012 (IQVIA analysis provided with the resubmission).</w:t>
            </w:r>
          </w:p>
          <w:p w14:paraId="0A22722D" w14:textId="3ACF47B5" w:rsidR="00C35350" w:rsidRPr="00704B78" w:rsidRDefault="00C35350" w:rsidP="006E2A77">
            <w:pPr>
              <w:pStyle w:val="COMTabletext"/>
              <w:keepNext w:val="0"/>
            </w:pPr>
          </w:p>
        </w:tc>
        <w:tc>
          <w:tcPr>
            <w:tcW w:w="4082" w:type="dxa"/>
            <w:vAlign w:val="center"/>
          </w:tcPr>
          <w:p w14:paraId="6682CD36" w14:textId="77777777" w:rsidR="00C35350" w:rsidRPr="00704B78" w:rsidRDefault="00C35350" w:rsidP="006E2A77">
            <w:pPr>
              <w:pStyle w:val="TableText"/>
              <w:widowControl/>
              <w:spacing w:after="120"/>
            </w:pPr>
            <w:r w:rsidRPr="00704B78">
              <w:t>This was the same data source used in the March 2024 submission. DUSC previously considered that pyridostigmine prescriptions may not be an appropriate method to identify myasthenia gravis patients (particularly given that a substantial proportion of prevalent patients may not be using this treatment, and pyridostigmine may also be used for other indications) (Table 13, ravulizumab PSD, July 2024 PBAC meeting).</w:t>
            </w:r>
          </w:p>
          <w:p w14:paraId="4307788B" w14:textId="77777777" w:rsidR="00C35350" w:rsidRPr="00704B78" w:rsidRDefault="00C35350" w:rsidP="006E2A77">
            <w:pPr>
              <w:pStyle w:val="TableText"/>
              <w:widowControl/>
              <w:spacing w:after="120"/>
            </w:pPr>
            <w:r w:rsidRPr="00704B78">
              <w:t>Additionally, the ratio of incidence to prevalence using this methodology is not plausible, with prevalence estimates approximately 5 times higher than incidence which is not consistent with the life expectancy of patients with myasthenia gravis.</w:t>
            </w:r>
          </w:p>
          <w:p w14:paraId="10A843DE" w14:textId="178E0CEB" w:rsidR="00C35350" w:rsidRPr="00704B78" w:rsidRDefault="00C35350" w:rsidP="006E2A77">
            <w:pPr>
              <w:pStyle w:val="TableText"/>
              <w:widowControl/>
              <w:spacing w:after="120"/>
            </w:pPr>
            <w:r w:rsidRPr="00704B78">
              <w:t>The previous submission assumed no change in prevalence over time which DUSC considered to be inconsistent with the available data. The current resubmission includes annual growth rates for incidence and prevalence based on the sponsor-commissioned study.</w:t>
            </w:r>
          </w:p>
          <w:p w14:paraId="2240472F" w14:textId="77777777" w:rsidR="00C35350" w:rsidRPr="00704B78" w:rsidRDefault="00C35350" w:rsidP="006E2A77">
            <w:pPr>
              <w:pStyle w:val="TableText"/>
              <w:widowControl/>
            </w:pPr>
            <w:r w:rsidRPr="00704B78">
              <w:t>A recent systematic review and meta-analysis of myasthenia gravis epidemiology studies (Sciancalepore 2024) noted that that the global incidence and prevalence of myasthenia gravis has been growing over time with an incidence of 22.9 cases per 1,000,000 persons and a prevalence of 22 cases per 1,000,000 cases between 2008-2022 (prevalence is approximately 10-20 times higher than incidence in most published studies).</w:t>
            </w:r>
          </w:p>
        </w:tc>
      </w:tr>
      <w:tr w:rsidR="007E1021" w:rsidRPr="00704B78" w14:paraId="4BBF1ECC" w14:textId="77777777" w:rsidTr="007E1021">
        <w:trPr>
          <w:trHeight w:val="280"/>
        </w:trPr>
        <w:tc>
          <w:tcPr>
            <w:tcW w:w="1524" w:type="dxa"/>
            <w:vAlign w:val="center"/>
          </w:tcPr>
          <w:p w14:paraId="101FD812" w14:textId="78FFF938" w:rsidR="007E1021" w:rsidRPr="00704B78" w:rsidRDefault="007E1021" w:rsidP="006E2A77">
            <w:pPr>
              <w:pStyle w:val="COMTabletext"/>
              <w:keepNext w:val="0"/>
            </w:pPr>
            <w:r>
              <w:t>% with AChR+</w:t>
            </w:r>
          </w:p>
        </w:tc>
        <w:tc>
          <w:tcPr>
            <w:tcW w:w="3574" w:type="dxa"/>
            <w:vAlign w:val="center"/>
          </w:tcPr>
          <w:p w14:paraId="30B0E2F6" w14:textId="13C2CA16" w:rsidR="007E1021" w:rsidRPr="00704B78" w:rsidRDefault="007E1021" w:rsidP="006E2A77">
            <w:pPr>
              <w:pStyle w:val="COMTabletext"/>
              <w:keepNext w:val="0"/>
              <w:spacing w:after="120"/>
            </w:pPr>
            <w:r>
              <w:t xml:space="preserve">77%. </w:t>
            </w:r>
            <w:r w:rsidRPr="007E1021">
              <w:t>The</w:t>
            </w:r>
            <w:r>
              <w:t xml:space="preserve"> submission stated this was based on the</w:t>
            </w:r>
            <w:r w:rsidRPr="007E1021">
              <w:t xml:space="preserve"> midpoint of multiple studies reporting the </w:t>
            </w:r>
            <w:r w:rsidRPr="007E1021">
              <w:lastRenderedPageBreak/>
              <w:t>proportion of MG which is AChR+</w:t>
            </w:r>
            <w:r>
              <w:t>, with e</w:t>
            </w:r>
            <w:r w:rsidRPr="007E1021">
              <w:t>stimates rang</w:t>
            </w:r>
            <w:r>
              <w:t>ing</w:t>
            </w:r>
            <w:r w:rsidRPr="007E1021">
              <w:t xml:space="preserve"> from 68.5% to 88%; (Anil et al. 2020; Oh et al. 2009; Hendricks et al. 2019; Tomschik et al. 2020), consistent with </w:t>
            </w:r>
            <w:proofErr w:type="spellStart"/>
            <w:r w:rsidRPr="007E1021">
              <w:t>MGBase</w:t>
            </w:r>
            <w:proofErr w:type="spellEnd"/>
            <w:r w:rsidRPr="007E1021">
              <w:t xml:space="preserve"> registry of Australian patients (subgroup of interest).</w:t>
            </w:r>
          </w:p>
        </w:tc>
        <w:tc>
          <w:tcPr>
            <w:tcW w:w="4082" w:type="dxa"/>
            <w:vAlign w:val="center"/>
          </w:tcPr>
          <w:p w14:paraId="0CFFC898" w14:textId="25A4DEC8" w:rsidR="007E1021" w:rsidRPr="00704B78" w:rsidRDefault="007E1021" w:rsidP="006E2A77">
            <w:pPr>
              <w:pStyle w:val="TableText"/>
              <w:widowControl/>
              <w:spacing w:after="120"/>
            </w:pPr>
            <w:r>
              <w:lastRenderedPageBreak/>
              <w:t xml:space="preserve">The previous evaluation noted </w:t>
            </w:r>
            <w:proofErr w:type="gramStart"/>
            <w:r>
              <w:t>the majority of</w:t>
            </w:r>
            <w:proofErr w:type="gramEnd"/>
            <w:r>
              <w:t xml:space="preserve"> included estimates were based on all myasthenia gravis </w:t>
            </w:r>
            <w:r>
              <w:lastRenderedPageBreak/>
              <w:t xml:space="preserve">patients, with only one estimate based on a gMG population (Hendricks 2019; 88% of patients with generalised myasthenia gravis were AChR +). Where reported, a higher proportion of patients with gMG were AChR positive compared to all, or ocular, myasthenia gravis patients (e.g. Hendricks 2019, </w:t>
            </w:r>
            <w:proofErr w:type="spellStart"/>
            <w:r>
              <w:t>Pallaver</w:t>
            </w:r>
            <w:proofErr w:type="spellEnd"/>
            <w:r>
              <w:t xml:space="preserve"> 2011). The previous evaluation stated that the midpoint value is consistent with data from the Australian </w:t>
            </w:r>
            <w:proofErr w:type="spellStart"/>
            <w:r>
              <w:t>MGBase</w:t>
            </w:r>
            <w:proofErr w:type="spellEnd"/>
            <w:r>
              <w:t xml:space="preserve"> cohort indicating that 79.4% of generalised myasthenia gravis patients were AChR positive.</w:t>
            </w:r>
            <w:r w:rsidR="002832DE">
              <w:t xml:space="preserve"> Refer to paragraph </w:t>
            </w:r>
            <w:r w:rsidR="00E12A0E">
              <w:fldChar w:fldCharType="begin"/>
            </w:r>
            <w:r w:rsidR="00E12A0E">
              <w:instrText xml:space="preserve"> REF _Ref194349212 \r \h </w:instrText>
            </w:r>
            <w:r w:rsidR="00E12A0E">
              <w:fldChar w:fldCharType="separate"/>
            </w:r>
            <w:r w:rsidR="00875704">
              <w:t>8.25</w:t>
            </w:r>
            <w:r w:rsidR="00E12A0E">
              <w:fldChar w:fldCharType="end"/>
            </w:r>
            <w:r w:rsidR="00E12A0E">
              <w:t xml:space="preserve"> </w:t>
            </w:r>
            <w:r w:rsidR="002832DE">
              <w:t>for PBAC advice on this parameter.</w:t>
            </w:r>
          </w:p>
        </w:tc>
      </w:tr>
      <w:tr w:rsidR="000658CC" w:rsidRPr="00704B78" w14:paraId="4A60323C" w14:textId="77777777" w:rsidTr="006A7D48">
        <w:tc>
          <w:tcPr>
            <w:tcW w:w="1524" w:type="dxa"/>
            <w:vAlign w:val="center"/>
          </w:tcPr>
          <w:p w14:paraId="2C9173EF" w14:textId="77777777" w:rsidR="000658CC" w:rsidRPr="00704B78" w:rsidRDefault="000658CC" w:rsidP="006E2A77">
            <w:pPr>
              <w:pStyle w:val="COMTabletext"/>
              <w:keepNext w:val="0"/>
            </w:pPr>
            <w:r w:rsidRPr="00704B78">
              <w:lastRenderedPageBreak/>
              <w:t xml:space="preserve">Proportion with MG-ADL score </w:t>
            </w:r>
            <w:r w:rsidRPr="00704B78">
              <w:br/>
              <w:t>≥ 6</w:t>
            </w:r>
          </w:p>
        </w:tc>
        <w:tc>
          <w:tcPr>
            <w:tcW w:w="3574" w:type="dxa"/>
            <w:vAlign w:val="center"/>
          </w:tcPr>
          <w:p w14:paraId="6F0954D3" w14:textId="129DEC77" w:rsidR="000658CC" w:rsidRPr="00704B78" w:rsidRDefault="000658CC" w:rsidP="006E2A77">
            <w:pPr>
              <w:pStyle w:val="COMTabletext"/>
              <w:keepNext w:val="0"/>
              <w:spacing w:after="120"/>
            </w:pPr>
            <w:r w:rsidRPr="00704B78">
              <w:t>17%. Based on the proportion of patients with MG-ADL ≥ 6, with ≥ 1 point from non-ocular items from Petersson 2021, a Swedish cross-sectional cohort study of 1,077 patients with myasthenia gravis (2018-2019). The estimate appears to have been extracted from Figure 3B which showed 17% of patients with early-onset, 18% with late-onset, and 4% with thymoma-associated myasthenia gravis had MG-ADL ≥ 6 and ≥ 1 point from non-ocular items, weighted by the proportion of patients from each subgroup (47% early-onset; 49% late-onset; 4% thymoma-associated myasthenia gravis).</w:t>
            </w:r>
          </w:p>
          <w:p w14:paraId="7AA981D1" w14:textId="17E4C095" w:rsidR="000658CC" w:rsidRPr="00704B78" w:rsidRDefault="000658CC" w:rsidP="006E2A77">
            <w:pPr>
              <w:pStyle w:val="COMTabletext"/>
              <w:keepNext w:val="0"/>
              <w:spacing w:after="120"/>
            </w:pPr>
            <w:r w:rsidRPr="00704B78">
              <w:t xml:space="preserve">The resubmission also noted that only 11.53% of AChR+ myasthenia gravis patients with a recorded visit in the last 2 years in the </w:t>
            </w:r>
            <w:proofErr w:type="spellStart"/>
            <w:r w:rsidRPr="00704B78">
              <w:t>MGBase</w:t>
            </w:r>
            <w:proofErr w:type="spellEnd"/>
            <w:r w:rsidRPr="00704B78">
              <w:t xml:space="preserve"> registry reported an MG-ADL score ≥ 8 as their worst ever recorded score (July 2024 analysis </w:t>
            </w:r>
            <w:proofErr w:type="spellStart"/>
            <w:r w:rsidRPr="00704B78">
              <w:t>MGBase</w:t>
            </w:r>
            <w:proofErr w:type="spellEnd"/>
            <w:r w:rsidRPr="00704B78">
              <w:t xml:space="preserve"> analysis provided with the resubmission).</w:t>
            </w:r>
          </w:p>
          <w:p w14:paraId="53E61DBE" w14:textId="08FCFE31" w:rsidR="000658CC" w:rsidRPr="00704B78" w:rsidRDefault="000658CC" w:rsidP="006E2A77">
            <w:pPr>
              <w:pStyle w:val="COMTabletext"/>
              <w:keepNext w:val="0"/>
            </w:pPr>
            <w:r w:rsidRPr="00704B78">
              <w:t xml:space="preserve">Expert advice from treating physicians </w:t>
            </w:r>
            <w:r w:rsidR="007250BA" w:rsidRPr="00704B78">
              <w:t xml:space="preserve">(provided </w:t>
            </w:r>
            <w:r w:rsidR="00F44A57" w:rsidRPr="00704B78">
              <w:t>in</w:t>
            </w:r>
            <w:r w:rsidR="007250BA" w:rsidRPr="00704B78">
              <w:t xml:space="preserve"> the </w:t>
            </w:r>
            <w:r w:rsidR="001969B0">
              <w:t>re</w:t>
            </w:r>
            <w:r w:rsidR="007250BA" w:rsidRPr="00704B78">
              <w:t xml:space="preserve">submission) </w:t>
            </w:r>
            <w:r w:rsidRPr="00704B78">
              <w:t>indicated that the proportion of generalised myasthenia patients expressing an MG-ADL score of 6 or more ranges between 10% and 20%.</w:t>
            </w:r>
          </w:p>
        </w:tc>
        <w:tc>
          <w:tcPr>
            <w:tcW w:w="4082" w:type="dxa"/>
            <w:vAlign w:val="center"/>
          </w:tcPr>
          <w:p w14:paraId="3E0FF4BD" w14:textId="77777777" w:rsidR="000658CC" w:rsidRPr="00704B78" w:rsidRDefault="000658CC" w:rsidP="006E2A77">
            <w:pPr>
              <w:pStyle w:val="TableText"/>
              <w:widowControl/>
              <w:spacing w:after="120"/>
            </w:pPr>
            <w:r w:rsidRPr="00704B78">
              <w:t>DUSC previously considered that the estimate from the Petersson (2021) publication may be an underestimate of the proportion of patients meeting this criterion in clinical practice given the subjective nature of the MG-ADL instrument (Table 13, ravulizumab PSD, July 2024 PBAC meeting).</w:t>
            </w:r>
          </w:p>
          <w:p w14:paraId="052CD406" w14:textId="1EA87F01" w:rsidR="000658CC" w:rsidRPr="00704B78" w:rsidRDefault="000658CC" w:rsidP="006E2A77">
            <w:pPr>
              <w:pStyle w:val="TableText"/>
              <w:widowControl/>
              <w:spacing w:after="120"/>
            </w:pPr>
            <w:r w:rsidRPr="00704B78">
              <w:t xml:space="preserve">Estimates from the </w:t>
            </w:r>
            <w:proofErr w:type="spellStart"/>
            <w:r w:rsidRPr="00704B78">
              <w:t>MGBase</w:t>
            </w:r>
            <w:proofErr w:type="spellEnd"/>
            <w:r w:rsidRPr="00704B78">
              <w:t xml:space="preserve"> registry should be interpreted with caution given that a further 10.9% </w:t>
            </w:r>
            <w:r w:rsidR="00162BE1" w:rsidRPr="00704B78">
              <w:t xml:space="preserve">of patients </w:t>
            </w:r>
            <w:r w:rsidRPr="00704B78">
              <w:t>reported MG-ADL scores between 5-7 and the patient cohort included patients with ocular myasthenia gravis which presumably would have lower functional impairment on average compared to generalised myasthenia gravis.</w:t>
            </w:r>
          </w:p>
          <w:p w14:paraId="23CEAA18" w14:textId="77777777" w:rsidR="000658CC" w:rsidRPr="00704B78" w:rsidRDefault="000658CC" w:rsidP="006E2A77">
            <w:pPr>
              <w:pStyle w:val="TableText"/>
              <w:widowControl/>
            </w:pPr>
            <w:r w:rsidRPr="00704B78">
              <w:t xml:space="preserve">Using the more commonly reported MGC scale, a substantial proportion of patients reported a MGC score &gt; 10 as the worst ever recorded score (43.81%) in the </w:t>
            </w:r>
            <w:proofErr w:type="spellStart"/>
            <w:r w:rsidRPr="00704B78">
              <w:t>MGBase</w:t>
            </w:r>
            <w:proofErr w:type="spellEnd"/>
            <w:r w:rsidRPr="00704B78">
              <w:t xml:space="preserve"> registry suggesting a relatively large pool of patients with functional impairment.</w:t>
            </w:r>
          </w:p>
        </w:tc>
      </w:tr>
      <w:tr w:rsidR="000658CC" w:rsidRPr="00704B78" w14:paraId="3BA6C486" w14:textId="77777777" w:rsidTr="006A7D48">
        <w:tc>
          <w:tcPr>
            <w:tcW w:w="1524" w:type="dxa"/>
            <w:vAlign w:val="center"/>
          </w:tcPr>
          <w:p w14:paraId="677407A1" w14:textId="77777777" w:rsidR="000658CC" w:rsidRPr="00704B78" w:rsidRDefault="000658CC" w:rsidP="006E2A77">
            <w:pPr>
              <w:pStyle w:val="COMTabletext"/>
              <w:keepNext w:val="0"/>
            </w:pPr>
            <w:r w:rsidRPr="00704B78">
              <w:t>Patients with treatment refractory disease</w:t>
            </w:r>
          </w:p>
        </w:tc>
        <w:tc>
          <w:tcPr>
            <w:tcW w:w="3574" w:type="dxa"/>
            <w:vAlign w:val="center"/>
          </w:tcPr>
          <w:p w14:paraId="12BD441C" w14:textId="517D6261" w:rsidR="000658CC" w:rsidRPr="00704B78" w:rsidRDefault="000658CC" w:rsidP="006E2A77">
            <w:pPr>
              <w:pStyle w:val="COMTabletext"/>
              <w:keepNext w:val="0"/>
              <w:spacing w:after="120"/>
            </w:pPr>
            <w:r w:rsidRPr="00704B78">
              <w:t xml:space="preserve">15%. The resubmission noted that depending on the definition of treatment refractory disease, the prevalence typically ranges between 10% and 20% based on a published literature review (Schneider-Gold 2019). </w:t>
            </w:r>
          </w:p>
          <w:p w14:paraId="01EAAC02" w14:textId="2B9770FF" w:rsidR="000658CC" w:rsidRPr="00704B78" w:rsidRDefault="000658CC" w:rsidP="006E2A77">
            <w:pPr>
              <w:pStyle w:val="COMTabletext"/>
              <w:keepNext w:val="0"/>
            </w:pPr>
            <w:r w:rsidRPr="00704B78">
              <w:t xml:space="preserve">Expert advice from treating physicians </w:t>
            </w:r>
            <w:r w:rsidR="0049555C" w:rsidRPr="00704B78">
              <w:t xml:space="preserve">(provided </w:t>
            </w:r>
            <w:r w:rsidR="00F44A57" w:rsidRPr="00704B78">
              <w:t>in</w:t>
            </w:r>
            <w:r w:rsidR="0049555C" w:rsidRPr="00704B78">
              <w:t xml:space="preserve"> the </w:t>
            </w:r>
            <w:r w:rsidR="00355D3F">
              <w:t>re</w:t>
            </w:r>
            <w:r w:rsidR="0049555C" w:rsidRPr="00704B78">
              <w:t xml:space="preserve">submission) </w:t>
            </w:r>
            <w:r w:rsidRPr="00704B78">
              <w:t>indicated that 10-20% of generalised myasthenia gravis patients would be considered treatment refractory in clinical practice.</w:t>
            </w:r>
          </w:p>
        </w:tc>
        <w:tc>
          <w:tcPr>
            <w:tcW w:w="4082" w:type="dxa"/>
            <w:vAlign w:val="center"/>
          </w:tcPr>
          <w:p w14:paraId="22D5874B" w14:textId="77777777" w:rsidR="000658CC" w:rsidRPr="00704B78" w:rsidRDefault="000658CC" w:rsidP="006E2A77">
            <w:pPr>
              <w:pStyle w:val="TableText"/>
              <w:widowControl/>
              <w:spacing w:after="120"/>
            </w:pPr>
            <w:r w:rsidRPr="00704B78">
              <w:t>Based on the treatment refractory definition used in the post hoc analyses presented in the resubmission approximately 50% of the CHAMPION-MG trial population had treatment refractory disease.</w:t>
            </w:r>
          </w:p>
          <w:p w14:paraId="74B4156C" w14:textId="57DFB46D" w:rsidR="000658CC" w:rsidRPr="00704B78" w:rsidRDefault="000658CC" w:rsidP="006E2A77">
            <w:pPr>
              <w:pStyle w:val="TableText"/>
              <w:widowControl/>
            </w:pPr>
            <w:r w:rsidRPr="00704B78">
              <w:t>Expert advice from the May 2024 Myasthenia Gravis stakeholder meeting indicated that approximately 30% of generalised myasthenia gravis patients would be considered treatment refractory in clinical practice</w:t>
            </w:r>
            <w:r w:rsidR="00C60BC9">
              <w:t>.</w:t>
            </w:r>
          </w:p>
        </w:tc>
      </w:tr>
      <w:tr w:rsidR="000658CC" w:rsidRPr="00704B78" w14:paraId="3C799E92" w14:textId="77777777" w:rsidTr="006A7D48">
        <w:tc>
          <w:tcPr>
            <w:tcW w:w="1524" w:type="dxa"/>
            <w:vAlign w:val="center"/>
          </w:tcPr>
          <w:p w14:paraId="07CE1EED" w14:textId="77777777" w:rsidR="000658CC" w:rsidRPr="00704B78" w:rsidRDefault="000658CC" w:rsidP="006E2A77">
            <w:pPr>
              <w:pStyle w:val="COMTabletext"/>
              <w:keepNext w:val="0"/>
            </w:pPr>
            <w:r w:rsidRPr="00704B78">
              <w:t>Proportion who cannot access IVIg/PLEX</w:t>
            </w:r>
          </w:p>
        </w:tc>
        <w:tc>
          <w:tcPr>
            <w:tcW w:w="3574" w:type="dxa"/>
            <w:vAlign w:val="center"/>
          </w:tcPr>
          <w:p w14:paraId="5330FD8C" w14:textId="15383ECE" w:rsidR="000658CC" w:rsidRPr="00704B78" w:rsidRDefault="000658CC" w:rsidP="006E2A77">
            <w:pPr>
              <w:pStyle w:val="COMTabletext"/>
              <w:keepNext w:val="0"/>
            </w:pPr>
            <w:r w:rsidRPr="00704B78">
              <w:t>Assumed to be 10%. The resubmission noted the PBAC</w:t>
            </w:r>
            <w:r w:rsidR="00B60CFF" w:rsidRPr="00704B78">
              <w:t xml:space="preserve"> previously</w:t>
            </w:r>
            <w:r w:rsidRPr="00704B78">
              <w:t xml:space="preserve"> raised concerns regarding access to IVIg/PLEX in regional/remote areas.</w:t>
            </w:r>
          </w:p>
        </w:tc>
        <w:tc>
          <w:tcPr>
            <w:tcW w:w="4082" w:type="dxa"/>
            <w:vAlign w:val="center"/>
          </w:tcPr>
          <w:p w14:paraId="197BC678" w14:textId="22F920A1" w:rsidR="000658CC" w:rsidRPr="00704B78" w:rsidRDefault="000658CC" w:rsidP="006E2A77">
            <w:pPr>
              <w:pStyle w:val="TableText"/>
              <w:widowControl/>
            </w:pPr>
            <w:r w:rsidRPr="00704B78">
              <w:t xml:space="preserve">The estimate used in the resubmission was inconsistent with expert advice </w:t>
            </w:r>
            <w:r w:rsidR="00F44A57" w:rsidRPr="00704B78">
              <w:t xml:space="preserve">(provided in the resubmission) </w:t>
            </w:r>
            <w:r w:rsidRPr="00704B78">
              <w:t xml:space="preserve">from treating physicians that indicated &lt; 5% have difficulty accessing these treatments. Additionally, it is unclear whether patients having </w:t>
            </w:r>
            <w:r w:rsidRPr="00704B78">
              <w:lastRenderedPageBreak/>
              <w:t>difficulty accessing IVIg/PLEX would also have similar difficulty accessing ravulizumab.</w:t>
            </w:r>
          </w:p>
        </w:tc>
      </w:tr>
      <w:tr w:rsidR="000658CC" w:rsidRPr="00704B78" w14:paraId="734B0217" w14:textId="77777777" w:rsidTr="006A7D48">
        <w:trPr>
          <w:trHeight w:val="70"/>
        </w:trPr>
        <w:tc>
          <w:tcPr>
            <w:tcW w:w="1524" w:type="dxa"/>
            <w:vAlign w:val="center"/>
          </w:tcPr>
          <w:p w14:paraId="20C50AA0" w14:textId="77777777" w:rsidR="000658CC" w:rsidRPr="00704B78" w:rsidRDefault="000658CC" w:rsidP="006E2A77">
            <w:pPr>
              <w:pStyle w:val="COMTabletext"/>
              <w:keepNext w:val="0"/>
            </w:pPr>
            <w:r w:rsidRPr="00704B78">
              <w:lastRenderedPageBreak/>
              <w:t>Proportion with intolerance to IVIg/PLEX</w:t>
            </w:r>
          </w:p>
        </w:tc>
        <w:tc>
          <w:tcPr>
            <w:tcW w:w="3574" w:type="dxa"/>
            <w:vAlign w:val="center"/>
          </w:tcPr>
          <w:p w14:paraId="170FA103" w14:textId="38D871F4" w:rsidR="000658CC" w:rsidRPr="00704B78" w:rsidRDefault="000658CC" w:rsidP="006E2A77">
            <w:pPr>
              <w:pStyle w:val="COMTabletext"/>
              <w:keepNext w:val="0"/>
            </w:pPr>
            <w:r w:rsidRPr="00704B78">
              <w:t>11.97%. Calculated by assuming 90% of patients can access IVIg/PLEX and 13.3% would experience a serious adverse event based on a randomised controlled trial of IVIg and placebo (Bril 2024)</w:t>
            </w:r>
            <w:r w:rsidR="00E147F5">
              <w:t>.</w:t>
            </w:r>
          </w:p>
        </w:tc>
        <w:tc>
          <w:tcPr>
            <w:tcW w:w="4082" w:type="dxa"/>
            <w:vAlign w:val="center"/>
          </w:tcPr>
          <w:p w14:paraId="4DA09BC6" w14:textId="77777777" w:rsidR="000658CC" w:rsidRPr="00704B78" w:rsidRDefault="000658CC" w:rsidP="006E2A77">
            <w:pPr>
              <w:pStyle w:val="TableText"/>
              <w:widowControl/>
              <w:spacing w:after="120"/>
            </w:pPr>
            <w:r w:rsidRPr="00704B78">
              <w:t>Patients using IVIg in the Bril 2024 trial had a numerically lower risk of serious adverse events compared to placebo (13.3% vs 20.0%).</w:t>
            </w:r>
          </w:p>
          <w:p w14:paraId="2584D0CD" w14:textId="3478D394" w:rsidR="000658CC" w:rsidRPr="00704B78" w:rsidRDefault="000658CC" w:rsidP="006E2A77">
            <w:pPr>
              <w:pStyle w:val="TableText"/>
              <w:widowControl/>
            </w:pPr>
            <w:r w:rsidRPr="00704B78">
              <w:t>The dosing regimen used in the Bril 2024 trial is unlikely to reflect Australian clinical practice as</w:t>
            </w:r>
            <w:r w:rsidR="009C47FC" w:rsidRPr="00704B78">
              <w:t xml:space="preserve"> it</w:t>
            </w:r>
            <w:r w:rsidRPr="00704B78">
              <w:t xml:space="preserve"> is inconsistent with the approved product information for IVIg, exceeds the maximum subsidised dose under the NBA and is substantially higher than supported by the available Australian IVIg utilisation data.</w:t>
            </w:r>
          </w:p>
        </w:tc>
      </w:tr>
      <w:tr w:rsidR="000658CC" w:rsidRPr="00704B78" w14:paraId="4DB9174C" w14:textId="77777777" w:rsidTr="006A7D48">
        <w:tc>
          <w:tcPr>
            <w:tcW w:w="1524" w:type="dxa"/>
            <w:vAlign w:val="center"/>
          </w:tcPr>
          <w:p w14:paraId="1F9C2059" w14:textId="77777777" w:rsidR="000658CC" w:rsidRPr="00704B78" w:rsidRDefault="000658CC" w:rsidP="006E2A77">
            <w:pPr>
              <w:pStyle w:val="COMTabletext"/>
              <w:keepNext w:val="0"/>
            </w:pPr>
            <w:r w:rsidRPr="00704B78">
              <w:t>Proportion with inadequate response to IVIg/PLEX</w:t>
            </w:r>
          </w:p>
        </w:tc>
        <w:tc>
          <w:tcPr>
            <w:tcW w:w="3574" w:type="dxa"/>
            <w:vAlign w:val="center"/>
          </w:tcPr>
          <w:p w14:paraId="4734AFF9" w14:textId="43B4D6FB" w:rsidR="000658CC" w:rsidRPr="00704B78" w:rsidRDefault="000658CC" w:rsidP="006E2A77">
            <w:pPr>
              <w:pStyle w:val="COMTabletext"/>
              <w:keepNext w:val="0"/>
            </w:pPr>
            <w:r w:rsidRPr="00704B78">
              <w:t>47.7%. Calculate</w:t>
            </w:r>
            <w:r w:rsidR="00743E43" w:rsidRPr="00704B78">
              <w:t>d</w:t>
            </w:r>
            <w:r w:rsidRPr="00704B78">
              <w:t xml:space="preserve"> by assuming 90% of patients can access IVIg/PLEX and 53% would not respond to treatment based on the midpoint of published estimates from randomised controlled trials of IVIg versus placebo (Bril 2024; Zinman 2007) as well as IVIg versus PLEX (Barth 2011; Liu 2010). The resubmission acknowledged there was little consistency across the trials in terms of patient populations, treatment regimens, endpoints, or timing of response assessment.</w:t>
            </w:r>
          </w:p>
        </w:tc>
        <w:tc>
          <w:tcPr>
            <w:tcW w:w="4082" w:type="dxa"/>
            <w:vAlign w:val="center"/>
          </w:tcPr>
          <w:p w14:paraId="35B830F5" w14:textId="6F772997" w:rsidR="000658CC" w:rsidRPr="00704B78" w:rsidRDefault="000658CC" w:rsidP="006E2A77">
            <w:pPr>
              <w:pStyle w:val="TableText"/>
              <w:widowControl/>
            </w:pPr>
            <w:r w:rsidRPr="00704B78">
              <w:t xml:space="preserve">Expert advice from treating physicians </w:t>
            </w:r>
            <w:r w:rsidR="00DE78A5" w:rsidRPr="00704B78">
              <w:t xml:space="preserve">(provided in the </w:t>
            </w:r>
            <w:r w:rsidR="009A009F">
              <w:t>re</w:t>
            </w:r>
            <w:r w:rsidR="00DE78A5" w:rsidRPr="00704B78">
              <w:t xml:space="preserve">submission) </w:t>
            </w:r>
            <w:r w:rsidRPr="00704B78">
              <w:t xml:space="preserve">indicated that </w:t>
            </w:r>
            <w:proofErr w:type="gramStart"/>
            <w:r w:rsidRPr="00704B78">
              <w:t>the majority of</w:t>
            </w:r>
            <w:proofErr w:type="gramEnd"/>
            <w:r w:rsidRPr="00704B78">
              <w:t xml:space="preserve"> patients treated with IVIg would respond to treatment</w:t>
            </w:r>
            <w:r w:rsidR="006A25B0" w:rsidRPr="00704B78">
              <w:t>,</w:t>
            </w:r>
            <w:r w:rsidRPr="00704B78">
              <w:t xml:space="preserve"> but clinicians also stated that 40-50% of patients would fail to respond to IVIg treatment.</w:t>
            </w:r>
          </w:p>
          <w:p w14:paraId="4B4FC158" w14:textId="10A9B475" w:rsidR="007E1021" w:rsidRPr="00704B78" w:rsidRDefault="007979FA" w:rsidP="006E2A77">
            <w:pPr>
              <w:pStyle w:val="TableText"/>
              <w:widowControl/>
            </w:pPr>
            <w:r w:rsidRPr="00704B78">
              <w:t xml:space="preserve">The ESC considered </w:t>
            </w:r>
            <w:r w:rsidR="004B4E32" w:rsidRPr="00704B78">
              <w:t>that the resubmission’s proposed requirement for patients to have previously tried IVIg/PLEX was inappropriate.</w:t>
            </w:r>
            <w:r w:rsidR="00010575">
              <w:t xml:space="preserve"> </w:t>
            </w:r>
            <w:r w:rsidR="007E1021">
              <w:t xml:space="preserve">The PBAC noted </w:t>
            </w:r>
            <w:r w:rsidR="004F1C3D">
              <w:t>t</w:t>
            </w:r>
            <w:r w:rsidR="004F1C3D" w:rsidRPr="004F1C3D">
              <w:t xml:space="preserve">here was little consistency across the trials in terms of therapy regimens, endpoints, or timing of response assessment. </w:t>
            </w:r>
          </w:p>
        </w:tc>
      </w:tr>
      <w:tr w:rsidR="000658CC" w:rsidRPr="00704B78" w14:paraId="6EAFC0F9" w14:textId="77777777" w:rsidTr="006A7D48">
        <w:tc>
          <w:tcPr>
            <w:tcW w:w="1524" w:type="dxa"/>
            <w:vAlign w:val="center"/>
          </w:tcPr>
          <w:p w14:paraId="64140475" w14:textId="77777777" w:rsidR="000658CC" w:rsidRPr="00704B78" w:rsidRDefault="000658CC" w:rsidP="006E2A77">
            <w:pPr>
              <w:pStyle w:val="COMTabletext"/>
              <w:keepNext w:val="0"/>
            </w:pPr>
            <w:r w:rsidRPr="00704B78">
              <w:t>Ravulizumab uptake rate</w:t>
            </w:r>
          </w:p>
        </w:tc>
        <w:tc>
          <w:tcPr>
            <w:tcW w:w="3574" w:type="dxa"/>
            <w:vAlign w:val="center"/>
          </w:tcPr>
          <w:p w14:paraId="64CA2BC1" w14:textId="4A795D60" w:rsidR="000658CC" w:rsidRPr="00704B78" w:rsidRDefault="000658CC" w:rsidP="006E2A77">
            <w:pPr>
              <w:pStyle w:val="COMTabletext"/>
              <w:keepNext w:val="0"/>
              <w:spacing w:after="120"/>
            </w:pPr>
            <w:r w:rsidRPr="00704B78">
              <w:t xml:space="preserve">Assumed rates of </w:t>
            </w:r>
            <w:r w:rsidR="00F555BD" w:rsidRPr="00F555BD">
              <w:rPr>
                <w:color w:val="000000"/>
                <w:spacing w:val="55"/>
                <w:shd w:val="solid" w:color="000000" w:fill="000000"/>
                <w:fitText w:val="338" w:id="-691349744"/>
                <w14:textFill>
                  <w14:solidFill>
                    <w14:srgbClr w14:val="000000">
                      <w14:alpha w14:val="100000"/>
                    </w14:srgbClr>
                  </w14:solidFill>
                </w14:textFill>
              </w:rPr>
              <w:t>|||</w:t>
            </w:r>
            <w:r w:rsidR="00F555BD" w:rsidRPr="00F555BD">
              <w:rPr>
                <w:color w:val="000000"/>
                <w:spacing w:val="3"/>
                <w:shd w:val="solid" w:color="000000" w:fill="000000"/>
                <w:fitText w:val="338" w:id="-691349744"/>
                <w14:textFill>
                  <w14:solidFill>
                    <w14:srgbClr w14:val="000000">
                      <w14:alpha w14:val="100000"/>
                    </w14:srgbClr>
                  </w14:solidFill>
                </w14:textFill>
              </w:rPr>
              <w:t>|</w:t>
            </w:r>
            <w:r w:rsidRPr="00704B78">
              <w:t xml:space="preserve">% in Year 1 increasing to </w:t>
            </w:r>
            <w:r w:rsidR="00F555BD" w:rsidRPr="00F555BD">
              <w:rPr>
                <w:color w:val="000000"/>
                <w:spacing w:val="55"/>
                <w:shd w:val="solid" w:color="000000" w:fill="000000"/>
                <w:fitText w:val="338" w:id="-691349760"/>
                <w14:textFill>
                  <w14:solidFill>
                    <w14:srgbClr w14:val="000000">
                      <w14:alpha w14:val="100000"/>
                    </w14:srgbClr>
                  </w14:solidFill>
                </w14:textFill>
              </w:rPr>
              <w:t>|||</w:t>
            </w:r>
            <w:r w:rsidR="00F555BD" w:rsidRPr="00F555BD">
              <w:rPr>
                <w:color w:val="000000"/>
                <w:spacing w:val="3"/>
                <w:shd w:val="solid" w:color="000000" w:fill="000000"/>
                <w:fitText w:val="338" w:id="-691349760"/>
                <w14:textFill>
                  <w14:solidFill>
                    <w14:srgbClr w14:val="000000">
                      <w14:alpha w14:val="100000"/>
                    </w14:srgbClr>
                  </w14:solidFill>
                </w14:textFill>
              </w:rPr>
              <w:t>|</w:t>
            </w:r>
            <w:r w:rsidRPr="00704B78">
              <w:t xml:space="preserve">% in Years 4-6. The resubmission noted that the PBAC </w:t>
            </w:r>
            <w:r w:rsidR="00DE78A5" w:rsidRPr="00704B78">
              <w:t xml:space="preserve">previously </w:t>
            </w:r>
            <w:r w:rsidRPr="00704B78">
              <w:t>recognised the high clinical need for effective therapies for generalised myastheni</w:t>
            </w:r>
            <w:r w:rsidR="000406F7" w:rsidRPr="00704B78">
              <w:t>a</w:t>
            </w:r>
            <w:r w:rsidRPr="00704B78">
              <w:t xml:space="preserve"> gravis, particularly in patients who are not responding to or are unable to use existing therapies, and for those with refractory disease</w:t>
            </w:r>
            <w:r w:rsidR="002D2C7E" w:rsidRPr="00704B78">
              <w:t xml:space="preserve"> (paragraph 7.1, ravulizumab PSD, July 2024 PBAC meeting)</w:t>
            </w:r>
            <w:r w:rsidRPr="00704B78">
              <w:t>.</w:t>
            </w:r>
          </w:p>
          <w:p w14:paraId="3AFD7570" w14:textId="77777777" w:rsidR="000658CC" w:rsidRPr="00704B78" w:rsidRDefault="000658CC" w:rsidP="006E2A77">
            <w:pPr>
              <w:pStyle w:val="COMTabletext"/>
              <w:keepNext w:val="0"/>
            </w:pPr>
            <w:r w:rsidRPr="00704B78">
              <w:t>The resubmission assumed the same uptake rate in newly diagnosed and treatment refractory patients.</w:t>
            </w:r>
          </w:p>
        </w:tc>
        <w:tc>
          <w:tcPr>
            <w:tcW w:w="4082" w:type="dxa"/>
            <w:vAlign w:val="center"/>
          </w:tcPr>
          <w:p w14:paraId="288F19DD" w14:textId="1D6AE8FE" w:rsidR="000658CC" w:rsidRPr="00704B78" w:rsidRDefault="000658CC" w:rsidP="006E2A77">
            <w:pPr>
              <w:pStyle w:val="TableText"/>
              <w:widowControl/>
              <w:spacing w:after="120"/>
            </w:pPr>
            <w:r w:rsidRPr="00704B78">
              <w:t xml:space="preserve">DUSC previously raised concerns that the uptake rates in the March 2024 submission were potentially underestimated (increasing from </w:t>
            </w:r>
            <w:r w:rsidR="00F555BD" w:rsidRPr="00F555BD">
              <w:rPr>
                <w:color w:val="000000"/>
                <w:spacing w:val="51"/>
                <w:shd w:val="solid" w:color="000000" w:fill="000000"/>
                <w:fitText w:val="325" w:id="-691349759"/>
                <w14:textFill>
                  <w14:solidFill>
                    <w14:srgbClr w14:val="000000">
                      <w14:alpha w14:val="100000"/>
                    </w14:srgbClr>
                  </w14:solidFill>
                </w14:textFill>
              </w:rPr>
              <w:t>|||</w:t>
            </w:r>
            <w:r w:rsidR="00F555BD" w:rsidRPr="00F555BD">
              <w:rPr>
                <w:color w:val="000000"/>
                <w:spacing w:val="2"/>
                <w:shd w:val="solid" w:color="000000" w:fill="000000"/>
                <w:fitText w:val="325" w:id="-691349759"/>
                <w14:textFill>
                  <w14:solidFill>
                    <w14:srgbClr w14:val="000000">
                      <w14:alpha w14:val="100000"/>
                    </w14:srgbClr>
                  </w14:solidFill>
                </w14:textFill>
              </w:rPr>
              <w:t>|</w:t>
            </w:r>
            <w:r w:rsidRPr="00704B78">
              <w:t xml:space="preserve">% to </w:t>
            </w:r>
            <w:r w:rsidR="00F555BD" w:rsidRPr="00F555BD">
              <w:rPr>
                <w:color w:val="000000"/>
                <w:spacing w:val="51"/>
                <w:shd w:val="solid" w:color="000000" w:fill="000000"/>
                <w:fitText w:val="325" w:id="-691349758"/>
                <w14:textFill>
                  <w14:solidFill>
                    <w14:srgbClr w14:val="000000">
                      <w14:alpha w14:val="100000"/>
                    </w14:srgbClr>
                  </w14:solidFill>
                </w14:textFill>
              </w:rPr>
              <w:t>|||</w:t>
            </w:r>
            <w:r w:rsidR="00F555BD" w:rsidRPr="00F555BD">
              <w:rPr>
                <w:color w:val="000000"/>
                <w:spacing w:val="2"/>
                <w:shd w:val="solid" w:color="000000" w:fill="000000"/>
                <w:fitText w:val="325" w:id="-691349758"/>
                <w14:textFill>
                  <w14:solidFill>
                    <w14:srgbClr w14:val="000000">
                      <w14:alpha w14:val="100000"/>
                    </w14:srgbClr>
                  </w14:solidFill>
                </w14:textFill>
              </w:rPr>
              <w:t>|</w:t>
            </w:r>
            <w:r w:rsidRPr="00704B78">
              <w:t>%). However, while the estimates in the current resubmission are higher, they remain highly uncertain.</w:t>
            </w:r>
          </w:p>
          <w:p w14:paraId="376F06A8" w14:textId="77777777" w:rsidR="000658CC" w:rsidRPr="00704B78" w:rsidRDefault="000658CC" w:rsidP="006E2A77">
            <w:pPr>
              <w:pStyle w:val="TableText"/>
              <w:widowControl/>
            </w:pPr>
            <w:r w:rsidRPr="00704B78">
              <w:t>The resubmission did not adequately justify the use of the same uptake rates in both requested populations.</w:t>
            </w:r>
          </w:p>
          <w:p w14:paraId="14DFF467" w14:textId="7511033C" w:rsidR="00FF2B41" w:rsidRPr="00704B78" w:rsidRDefault="00FF2B41" w:rsidP="006E2A77">
            <w:pPr>
              <w:pStyle w:val="TableText"/>
              <w:widowControl/>
            </w:pPr>
          </w:p>
        </w:tc>
      </w:tr>
      <w:tr w:rsidR="000658CC" w:rsidRPr="00704B78" w14:paraId="28CCEFA6" w14:textId="77777777" w:rsidTr="006A7D48">
        <w:tc>
          <w:tcPr>
            <w:tcW w:w="1524" w:type="dxa"/>
            <w:vAlign w:val="center"/>
          </w:tcPr>
          <w:p w14:paraId="678AFB14" w14:textId="77777777" w:rsidR="000658CC" w:rsidRPr="00704B78" w:rsidRDefault="000658CC" w:rsidP="006E2A77">
            <w:pPr>
              <w:pStyle w:val="COMTabletext"/>
              <w:keepNext w:val="0"/>
            </w:pPr>
            <w:r w:rsidRPr="00704B78">
              <w:t>Treatment response at 12 weeks</w:t>
            </w:r>
          </w:p>
        </w:tc>
        <w:tc>
          <w:tcPr>
            <w:tcW w:w="3574" w:type="dxa"/>
            <w:vAlign w:val="center"/>
          </w:tcPr>
          <w:p w14:paraId="43602671" w14:textId="77777777" w:rsidR="000658CC" w:rsidRPr="00704B78" w:rsidRDefault="000658CC" w:rsidP="006E2A77">
            <w:pPr>
              <w:pStyle w:val="COMTabletext"/>
              <w:keepNext w:val="0"/>
            </w:pPr>
            <w:r w:rsidRPr="00704B78">
              <w:t>Newly diagnosed: 73.68%</w:t>
            </w:r>
          </w:p>
          <w:p w14:paraId="6DD632D3" w14:textId="77777777" w:rsidR="000658CC" w:rsidRPr="00704B78" w:rsidRDefault="000658CC" w:rsidP="006E2A77">
            <w:pPr>
              <w:pStyle w:val="COMTabletext"/>
              <w:keepNext w:val="0"/>
            </w:pPr>
            <w:r w:rsidRPr="00704B78">
              <w:t>Treatment refractory: 55.30%</w:t>
            </w:r>
          </w:p>
          <w:p w14:paraId="609FC665" w14:textId="2C69B1C9" w:rsidR="000658CC" w:rsidRPr="00704B78" w:rsidRDefault="000658CC" w:rsidP="006E2A77">
            <w:pPr>
              <w:pStyle w:val="COMTabletext"/>
              <w:keepNext w:val="0"/>
            </w:pPr>
            <w:r w:rsidRPr="00704B78">
              <w:t>Based on post hoc analyses of the proportion of newly diagnosed and treatment refractory patients achieving a ≥ 3-point reduction in MG-ADL score at 12 weeks in the CHAMPION-MG trial.</w:t>
            </w:r>
          </w:p>
        </w:tc>
        <w:tc>
          <w:tcPr>
            <w:tcW w:w="4082" w:type="dxa"/>
            <w:vAlign w:val="center"/>
          </w:tcPr>
          <w:p w14:paraId="6C8AEDAD" w14:textId="77777777" w:rsidR="000658CC" w:rsidRPr="00704B78" w:rsidRDefault="000658CC" w:rsidP="006E2A77">
            <w:pPr>
              <w:pStyle w:val="TableText"/>
              <w:widowControl/>
            </w:pPr>
            <w:r w:rsidRPr="00704B78">
              <w:t>DUSC previously considered that the proportion of treatment responders in clinical practice is likely to be lower than trial-based estimates (Table 13, ravulizumab PSD, July 2024 PBAC meeting).</w:t>
            </w:r>
          </w:p>
        </w:tc>
      </w:tr>
      <w:tr w:rsidR="000658CC" w:rsidRPr="00704B78" w14:paraId="7C47C154" w14:textId="77777777" w:rsidTr="006A7D48">
        <w:tc>
          <w:tcPr>
            <w:tcW w:w="1524" w:type="dxa"/>
            <w:vAlign w:val="center"/>
          </w:tcPr>
          <w:p w14:paraId="59127910" w14:textId="77777777" w:rsidR="000658CC" w:rsidRPr="00704B78" w:rsidRDefault="000658CC" w:rsidP="006E2A77">
            <w:pPr>
              <w:pStyle w:val="COMTabletext"/>
              <w:keepNext w:val="0"/>
            </w:pPr>
            <w:r w:rsidRPr="00704B78">
              <w:t>Treatment</w:t>
            </w:r>
          </w:p>
          <w:p w14:paraId="34BB38C6" w14:textId="5EA1713E" w:rsidR="000658CC" w:rsidRPr="00704B78" w:rsidRDefault="000658CC" w:rsidP="006E2A77">
            <w:pPr>
              <w:pStyle w:val="COMTabletext"/>
              <w:keepNext w:val="0"/>
            </w:pPr>
            <w:r w:rsidRPr="00704B78">
              <w:t xml:space="preserve">persistence </w:t>
            </w:r>
            <w:r w:rsidR="00A21179" w:rsidRPr="00704B78">
              <w:t xml:space="preserve">in </w:t>
            </w:r>
            <w:r w:rsidRPr="00704B78">
              <w:t>newly diagnose</w:t>
            </w:r>
            <w:r w:rsidR="00A21179" w:rsidRPr="00704B78">
              <w:t xml:space="preserve"> patients</w:t>
            </w:r>
          </w:p>
        </w:tc>
        <w:tc>
          <w:tcPr>
            <w:tcW w:w="3574" w:type="dxa"/>
            <w:vAlign w:val="center"/>
          </w:tcPr>
          <w:p w14:paraId="2F69EEFC" w14:textId="5F540028" w:rsidR="000658CC" w:rsidRPr="00704B78" w:rsidRDefault="000658CC" w:rsidP="006E2A77">
            <w:pPr>
              <w:pStyle w:val="COMTabletext"/>
              <w:keepNext w:val="0"/>
            </w:pPr>
            <w:r w:rsidRPr="00704B78">
              <w:t>Assumed to be 100%</w:t>
            </w:r>
          </w:p>
        </w:tc>
        <w:tc>
          <w:tcPr>
            <w:tcW w:w="4082" w:type="dxa"/>
            <w:vAlign w:val="center"/>
          </w:tcPr>
          <w:p w14:paraId="0E01F604" w14:textId="77777777" w:rsidR="000658CC" w:rsidRPr="00704B78" w:rsidRDefault="000658CC" w:rsidP="006E2A77">
            <w:pPr>
              <w:pStyle w:val="TableText"/>
              <w:widowControl/>
              <w:rPr>
                <w:highlight w:val="yellow"/>
              </w:rPr>
            </w:pPr>
            <w:r w:rsidRPr="00704B78">
              <w:t>This assumption was not justified in the resubmission and was inconsistent with the economic model which included a discontinuation rate of 0.96% every 13 weeks.</w:t>
            </w:r>
          </w:p>
        </w:tc>
      </w:tr>
      <w:tr w:rsidR="000658CC" w:rsidRPr="00704B78" w14:paraId="5DEE2B16" w14:textId="77777777" w:rsidTr="006A7D48">
        <w:tc>
          <w:tcPr>
            <w:tcW w:w="1524" w:type="dxa"/>
            <w:vAlign w:val="center"/>
          </w:tcPr>
          <w:p w14:paraId="67D0B776" w14:textId="77777777" w:rsidR="000658CC" w:rsidRPr="00704B78" w:rsidRDefault="000658CC" w:rsidP="006E2A77">
            <w:pPr>
              <w:pStyle w:val="COMTabletext"/>
              <w:keepNext w:val="0"/>
            </w:pPr>
            <w:r w:rsidRPr="00704B78">
              <w:t>Treatment</w:t>
            </w:r>
          </w:p>
          <w:p w14:paraId="4D1B2520" w14:textId="3FAE181C" w:rsidR="000658CC" w:rsidRPr="00704B78" w:rsidRDefault="000658CC" w:rsidP="006E2A77">
            <w:pPr>
              <w:pStyle w:val="COMTabletext"/>
              <w:keepNext w:val="0"/>
            </w:pPr>
            <w:r w:rsidRPr="00704B78">
              <w:t xml:space="preserve">persistence </w:t>
            </w:r>
            <w:r w:rsidR="00A21179" w:rsidRPr="00704B78">
              <w:t xml:space="preserve">in </w:t>
            </w:r>
            <w:r w:rsidRPr="00704B78">
              <w:t>treatment refractory</w:t>
            </w:r>
            <w:r w:rsidR="00A21179" w:rsidRPr="00704B78">
              <w:t xml:space="preserve"> patients</w:t>
            </w:r>
          </w:p>
        </w:tc>
        <w:tc>
          <w:tcPr>
            <w:tcW w:w="3574" w:type="dxa"/>
            <w:vAlign w:val="center"/>
          </w:tcPr>
          <w:p w14:paraId="3DA939CF" w14:textId="21FD381B" w:rsidR="000658CC" w:rsidRPr="00704B78" w:rsidRDefault="000658CC" w:rsidP="006E2A77">
            <w:pPr>
              <w:pStyle w:val="COMTabletext"/>
              <w:keepNext w:val="0"/>
            </w:pPr>
            <w:r w:rsidRPr="00704B78">
              <w:t>94.3% in all years. Based on a post hoc subgroup analysis of treatment refractory patients in the CHAMPION-MG extension study</w:t>
            </w:r>
          </w:p>
        </w:tc>
        <w:tc>
          <w:tcPr>
            <w:tcW w:w="4082" w:type="dxa"/>
            <w:vAlign w:val="center"/>
          </w:tcPr>
          <w:p w14:paraId="201B99F6" w14:textId="77777777" w:rsidR="000658CC" w:rsidRPr="00704B78" w:rsidRDefault="000658CC" w:rsidP="006E2A77">
            <w:pPr>
              <w:pStyle w:val="TableText"/>
              <w:widowControl/>
              <w:rPr>
                <w:highlight w:val="yellow"/>
              </w:rPr>
            </w:pPr>
            <w:r w:rsidRPr="00704B78">
              <w:t xml:space="preserve">This estimate was inadequately documented and could not be validated during the evaluation. </w:t>
            </w:r>
          </w:p>
        </w:tc>
      </w:tr>
    </w:tbl>
    <w:p w14:paraId="1063DE2F" w14:textId="77777777" w:rsidR="00E534BF" w:rsidRPr="00704B78" w:rsidRDefault="00E534BF" w:rsidP="006E2A77">
      <w:pPr>
        <w:pStyle w:val="COMTablefooter"/>
      </w:pPr>
      <w:r w:rsidRPr="00704B78">
        <w:t>Source: Section 4.2.1, pp281-289; Table 4-14, p290; Table 4-15, p291 of the resubmission</w:t>
      </w:r>
    </w:p>
    <w:p w14:paraId="46BAC018" w14:textId="7C411850" w:rsidR="00E534BF" w:rsidRPr="00704B78" w:rsidRDefault="00E534BF" w:rsidP="006E2A77">
      <w:pPr>
        <w:pStyle w:val="COMTablefooter"/>
      </w:pPr>
      <w:r w:rsidRPr="00704B78">
        <w:t>Abbreviations: DUSC, Drug Utilisation Sub-Committee; IVIg, intravenous immunoglobulin; MG-ADL, Myasthenia Gravis Activities of Daily Living Scale; MGC, Myasthenia Gravis Composite; PBAC, Pharmaceutical Benefits Advisory Committee; PLEX, plasma exchange; RPBS, Repatriation Pharmaceutical Benefits Scheme</w:t>
      </w:r>
    </w:p>
    <w:p w14:paraId="63226E28" w14:textId="6E06C676" w:rsidR="00127D4A" w:rsidRPr="00704B78" w:rsidRDefault="00D25323" w:rsidP="006E2A77">
      <w:pPr>
        <w:pStyle w:val="COMexecsummnumbered"/>
      </w:pPr>
      <w:r w:rsidRPr="00704B78">
        <w:lastRenderedPageBreak/>
        <w:fldChar w:fldCharType="begin"/>
      </w:r>
      <w:r w:rsidRPr="00704B78">
        <w:instrText xml:space="preserve"> REF _Ref187653279 \h </w:instrText>
      </w:r>
      <w:r w:rsidR="00704B78" w:rsidRPr="00704B78">
        <w:instrText xml:space="preserve"> \* MERGEFORMAT </w:instrText>
      </w:r>
      <w:r w:rsidRPr="00704B78">
        <w:fldChar w:fldCharType="separate"/>
      </w:r>
      <w:r w:rsidR="00875704" w:rsidRPr="00704B78">
        <w:t xml:space="preserve">Table </w:t>
      </w:r>
      <w:r w:rsidR="00875704">
        <w:rPr>
          <w:noProof/>
        </w:rPr>
        <w:t>19</w:t>
      </w:r>
      <w:r w:rsidRPr="00704B78">
        <w:fldChar w:fldCharType="end"/>
      </w:r>
      <w:r w:rsidR="00E534BF" w:rsidRPr="00704B78">
        <w:t xml:space="preserve"> summarises the </w:t>
      </w:r>
      <w:r w:rsidR="00F4515F">
        <w:t xml:space="preserve">submission’s </w:t>
      </w:r>
      <w:r w:rsidR="00E534BF" w:rsidRPr="00704B78">
        <w:t xml:space="preserve">estimated </w:t>
      </w:r>
      <w:r w:rsidR="00F4515F">
        <w:t xml:space="preserve">number of </w:t>
      </w:r>
      <w:r w:rsidR="00E534BF" w:rsidRPr="00704B78">
        <w:t>patients treated, scripts dispensed and net cost to the PBS of listing ravulizumab for newly diagnosed and treatment refractory disease.</w:t>
      </w:r>
    </w:p>
    <w:p w14:paraId="44E8D20F" w14:textId="0B89A591" w:rsidR="00127D4A" w:rsidRPr="00704B78" w:rsidRDefault="00D25323" w:rsidP="006E2A77">
      <w:pPr>
        <w:pStyle w:val="COMtablefigcaption"/>
      </w:pPr>
      <w:bookmarkStart w:id="71" w:name="_Ref187653279"/>
      <w:r w:rsidRPr="00704B78">
        <w:t xml:space="preserve">Table </w:t>
      </w:r>
      <w:r w:rsidRPr="00704B78">
        <w:fldChar w:fldCharType="begin"/>
      </w:r>
      <w:r w:rsidRPr="00704B78">
        <w:instrText>SEQ Table \* ARABIC</w:instrText>
      </w:r>
      <w:r w:rsidRPr="00704B78">
        <w:fldChar w:fldCharType="separate"/>
      </w:r>
      <w:r w:rsidR="00875704">
        <w:rPr>
          <w:noProof/>
        </w:rPr>
        <w:t>19</w:t>
      </w:r>
      <w:r w:rsidRPr="00704B78">
        <w:fldChar w:fldCharType="end"/>
      </w:r>
      <w:bookmarkEnd w:id="71"/>
      <w:r w:rsidR="00127D4A" w:rsidRPr="00704B78">
        <w:t>: Estimated net cost to the PBS/RPBS of listing ravulizumab in newly diagnosed and treatment refractory patients</w:t>
      </w:r>
      <w:r w:rsidR="00F4515F">
        <w:t xml:space="preserve"> (as estimated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net cost to the PBS/RPBS of listing ravulizumab in newly diagnosed and treatment refractory patients (as estimated in the submission)"/>
      </w:tblPr>
      <w:tblGrid>
        <w:gridCol w:w="2809"/>
        <w:gridCol w:w="1043"/>
        <w:gridCol w:w="1043"/>
        <w:gridCol w:w="1043"/>
        <w:gridCol w:w="1043"/>
        <w:gridCol w:w="1043"/>
        <w:gridCol w:w="1043"/>
      </w:tblGrid>
      <w:tr w:rsidR="00127D4A" w:rsidRPr="00704B78" w14:paraId="390B9868" w14:textId="77777777" w:rsidTr="00844D98">
        <w:trPr>
          <w:tblHeader/>
        </w:trPr>
        <w:tc>
          <w:tcPr>
            <w:tcW w:w="2809" w:type="dxa"/>
            <w:vAlign w:val="center"/>
          </w:tcPr>
          <w:p w14:paraId="32CF5FEB" w14:textId="77777777" w:rsidR="00127D4A" w:rsidRPr="00704B78" w:rsidRDefault="00127D4A" w:rsidP="006E2A77">
            <w:pPr>
              <w:pStyle w:val="COMTableheadingrow"/>
              <w:rPr>
                <w:lang w:val="en-AU"/>
              </w:rPr>
            </w:pPr>
          </w:p>
        </w:tc>
        <w:tc>
          <w:tcPr>
            <w:tcW w:w="1043" w:type="dxa"/>
            <w:vAlign w:val="center"/>
          </w:tcPr>
          <w:p w14:paraId="7ACC86E4" w14:textId="1D65C9EB" w:rsidR="00127D4A" w:rsidRPr="00704B78" w:rsidRDefault="00127D4A" w:rsidP="006E2A77">
            <w:pPr>
              <w:pStyle w:val="COMTableheadingrow"/>
              <w:jc w:val="center"/>
              <w:rPr>
                <w:lang w:val="en-AU"/>
              </w:rPr>
            </w:pPr>
            <w:r w:rsidRPr="00704B78">
              <w:rPr>
                <w:lang w:val="en-AU"/>
              </w:rPr>
              <w:t>Year 1</w:t>
            </w:r>
          </w:p>
        </w:tc>
        <w:tc>
          <w:tcPr>
            <w:tcW w:w="1043" w:type="dxa"/>
            <w:vAlign w:val="center"/>
          </w:tcPr>
          <w:p w14:paraId="60914895" w14:textId="044FBF9E" w:rsidR="00127D4A" w:rsidRPr="00704B78" w:rsidRDefault="00127D4A" w:rsidP="006E2A77">
            <w:pPr>
              <w:pStyle w:val="COMTableheadingrow"/>
              <w:jc w:val="center"/>
              <w:rPr>
                <w:lang w:val="en-AU"/>
              </w:rPr>
            </w:pPr>
            <w:r w:rsidRPr="00704B78">
              <w:rPr>
                <w:lang w:val="en-AU"/>
              </w:rPr>
              <w:t>Year 2</w:t>
            </w:r>
          </w:p>
        </w:tc>
        <w:tc>
          <w:tcPr>
            <w:tcW w:w="1043" w:type="dxa"/>
            <w:vAlign w:val="center"/>
          </w:tcPr>
          <w:p w14:paraId="7BD27D69" w14:textId="5BD019D4" w:rsidR="00127D4A" w:rsidRPr="00704B78" w:rsidRDefault="00127D4A" w:rsidP="006E2A77">
            <w:pPr>
              <w:pStyle w:val="COMTableheadingrow"/>
              <w:jc w:val="center"/>
              <w:rPr>
                <w:lang w:val="en-AU"/>
              </w:rPr>
            </w:pPr>
            <w:r w:rsidRPr="00704B78">
              <w:rPr>
                <w:lang w:val="en-AU"/>
              </w:rPr>
              <w:t>Year 3</w:t>
            </w:r>
          </w:p>
        </w:tc>
        <w:tc>
          <w:tcPr>
            <w:tcW w:w="1043" w:type="dxa"/>
            <w:vAlign w:val="center"/>
          </w:tcPr>
          <w:p w14:paraId="1745186F" w14:textId="092C7AAE" w:rsidR="00127D4A" w:rsidRPr="00704B78" w:rsidRDefault="00127D4A" w:rsidP="006E2A77">
            <w:pPr>
              <w:pStyle w:val="COMTableheadingrow"/>
              <w:jc w:val="center"/>
              <w:rPr>
                <w:lang w:val="en-AU"/>
              </w:rPr>
            </w:pPr>
            <w:r w:rsidRPr="00704B78">
              <w:rPr>
                <w:lang w:val="en-AU"/>
              </w:rPr>
              <w:t>Year 4</w:t>
            </w:r>
          </w:p>
        </w:tc>
        <w:tc>
          <w:tcPr>
            <w:tcW w:w="1043" w:type="dxa"/>
            <w:vAlign w:val="center"/>
          </w:tcPr>
          <w:p w14:paraId="7FF05D10" w14:textId="532AF70E" w:rsidR="00127D4A" w:rsidRPr="00704B78" w:rsidRDefault="00127D4A" w:rsidP="006E2A77">
            <w:pPr>
              <w:pStyle w:val="COMTableheadingrow"/>
              <w:jc w:val="center"/>
              <w:rPr>
                <w:lang w:val="en-AU"/>
              </w:rPr>
            </w:pPr>
            <w:r w:rsidRPr="00704B78">
              <w:rPr>
                <w:lang w:val="en-AU"/>
              </w:rPr>
              <w:t>Year 5</w:t>
            </w:r>
          </w:p>
        </w:tc>
        <w:tc>
          <w:tcPr>
            <w:tcW w:w="1043" w:type="dxa"/>
            <w:vAlign w:val="center"/>
          </w:tcPr>
          <w:p w14:paraId="03D26223" w14:textId="767A310B" w:rsidR="00127D4A" w:rsidRPr="00704B78" w:rsidRDefault="00127D4A" w:rsidP="006E2A77">
            <w:pPr>
              <w:pStyle w:val="COMTableheadingrow"/>
              <w:jc w:val="center"/>
              <w:rPr>
                <w:lang w:val="en-AU"/>
              </w:rPr>
            </w:pPr>
            <w:r w:rsidRPr="00704B78">
              <w:rPr>
                <w:lang w:val="en-AU"/>
              </w:rPr>
              <w:t>Year 6</w:t>
            </w:r>
          </w:p>
        </w:tc>
      </w:tr>
      <w:tr w:rsidR="00127D4A" w:rsidRPr="00704B78" w14:paraId="6B8E8D50" w14:textId="77777777" w:rsidTr="00844D98">
        <w:tc>
          <w:tcPr>
            <w:tcW w:w="2809" w:type="dxa"/>
            <w:vAlign w:val="center"/>
          </w:tcPr>
          <w:p w14:paraId="63BF9CB2" w14:textId="43F3934D" w:rsidR="00127D4A" w:rsidRPr="00704B78" w:rsidRDefault="00127D4A" w:rsidP="006E2A77">
            <w:pPr>
              <w:pStyle w:val="COMTabletext"/>
            </w:pPr>
            <w:r w:rsidRPr="00704B78">
              <w:t xml:space="preserve">Incident patients </w:t>
            </w:r>
          </w:p>
        </w:tc>
        <w:tc>
          <w:tcPr>
            <w:tcW w:w="1043" w:type="dxa"/>
          </w:tcPr>
          <w:p w14:paraId="48EB3760" w14:textId="2EC2AE15"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7"/>
                <w14:textFill>
                  <w14:solidFill>
                    <w14:srgbClr w14:val="000000">
                      <w14:alpha w14:val="100000"/>
                    </w14:srgbClr>
                  </w14:solidFill>
                </w14:textFill>
              </w:rPr>
              <w:t xml:space="preserve">　</w:t>
            </w:r>
            <w:r w:rsidRPr="00F555BD">
              <w:rPr>
                <w:rFonts w:cs="Arial"/>
                <w:color w:val="000000"/>
                <w:w w:val="19"/>
                <w:shd w:val="solid" w:color="000000" w:fill="000000"/>
                <w:fitText w:val="88" w:id="-691349757"/>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7"/>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02B82822" w14:textId="249736D9"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6"/>
                <w14:textFill>
                  <w14:solidFill>
                    <w14:srgbClr w14:val="000000">
                      <w14:alpha w14:val="100000"/>
                    </w14:srgbClr>
                  </w14:solidFill>
                </w14:textFill>
              </w:rPr>
              <w:t xml:space="preserve">　</w:t>
            </w:r>
            <w:r w:rsidRPr="00F555BD">
              <w:rPr>
                <w:rFonts w:cs="Arial"/>
                <w:color w:val="000000"/>
                <w:w w:val="19"/>
                <w:shd w:val="solid" w:color="000000" w:fill="000000"/>
                <w:fitText w:val="88" w:id="-691349756"/>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6"/>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6DE8540D" w14:textId="4BBA6E05"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5"/>
                <w14:textFill>
                  <w14:solidFill>
                    <w14:srgbClr w14:val="000000">
                      <w14:alpha w14:val="100000"/>
                    </w14:srgbClr>
                  </w14:solidFill>
                </w14:textFill>
              </w:rPr>
              <w:t xml:space="preserve">　</w:t>
            </w:r>
            <w:r w:rsidRPr="00F555BD">
              <w:rPr>
                <w:rFonts w:cs="Arial"/>
                <w:color w:val="000000"/>
                <w:w w:val="19"/>
                <w:shd w:val="solid" w:color="000000" w:fill="000000"/>
                <w:fitText w:val="88" w:id="-691349755"/>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5"/>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04ED5D4E" w14:textId="7CA7CF0D"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4"/>
                <w14:textFill>
                  <w14:solidFill>
                    <w14:srgbClr w14:val="000000">
                      <w14:alpha w14:val="100000"/>
                    </w14:srgbClr>
                  </w14:solidFill>
                </w14:textFill>
              </w:rPr>
              <w:t xml:space="preserve">　</w:t>
            </w:r>
            <w:r w:rsidRPr="00F555BD">
              <w:rPr>
                <w:rFonts w:cs="Arial"/>
                <w:color w:val="000000"/>
                <w:w w:val="19"/>
                <w:shd w:val="solid" w:color="000000" w:fill="000000"/>
                <w:fitText w:val="88" w:id="-691349754"/>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4"/>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21213701" w14:textId="314FB165"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7" w:id="-691349753"/>
                <w14:textFill>
                  <w14:solidFill>
                    <w14:srgbClr w14:val="000000">
                      <w14:alpha w14:val="100000"/>
                    </w14:srgbClr>
                  </w14:solidFill>
                </w14:textFill>
              </w:rPr>
              <w:t xml:space="preserve">　</w:t>
            </w:r>
            <w:r w:rsidRPr="00F555BD">
              <w:rPr>
                <w:rFonts w:cs="Arial"/>
                <w:color w:val="000000"/>
                <w:w w:val="19"/>
                <w:shd w:val="solid" w:color="000000" w:fill="000000"/>
                <w:fitText w:val="87" w:id="-691349753"/>
                <w14:textFill>
                  <w14:solidFill>
                    <w14:srgbClr w14:val="000000">
                      <w14:alpha w14:val="100000"/>
                    </w14:srgbClr>
                  </w14:solidFill>
                </w14:textFill>
              </w:rPr>
              <w:t>|</w:t>
            </w:r>
            <w:r w:rsidRPr="00F555BD">
              <w:rPr>
                <w:rFonts w:cs="Arial" w:hint="eastAsia"/>
                <w:color w:val="000000"/>
                <w:spacing w:val="3"/>
                <w:w w:val="19"/>
                <w:shd w:val="solid" w:color="000000" w:fill="000000"/>
                <w:fitText w:val="87" w:id="-691349753"/>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1247E7A6" w14:textId="7B03858F"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2"/>
                <w14:textFill>
                  <w14:solidFill>
                    <w14:srgbClr w14:val="000000">
                      <w14:alpha w14:val="100000"/>
                    </w14:srgbClr>
                  </w14:solidFill>
                </w14:textFill>
              </w:rPr>
              <w:t xml:space="preserve">　</w:t>
            </w:r>
            <w:r w:rsidRPr="00F555BD">
              <w:rPr>
                <w:rFonts w:cs="Arial"/>
                <w:color w:val="000000"/>
                <w:w w:val="19"/>
                <w:shd w:val="solid" w:color="000000" w:fill="000000"/>
                <w:fitText w:val="88" w:id="-691349752"/>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2"/>
                <w14:textFill>
                  <w14:solidFill>
                    <w14:srgbClr w14:val="000000">
                      <w14:alpha w14:val="100000"/>
                    </w14:srgbClr>
                  </w14:solidFill>
                </w14:textFill>
              </w:rPr>
              <w:t xml:space="preserve">　</w:t>
            </w:r>
            <w:r w:rsidR="00BD08BF" w:rsidRPr="00BD08BF">
              <w:rPr>
                <w:rFonts w:cs="Arial"/>
                <w:vertAlign w:val="superscript"/>
              </w:rPr>
              <w:t>1</w:t>
            </w:r>
          </w:p>
        </w:tc>
      </w:tr>
      <w:tr w:rsidR="00127D4A" w:rsidRPr="00704B78" w14:paraId="4B714863" w14:textId="77777777" w:rsidTr="00844D98">
        <w:tc>
          <w:tcPr>
            <w:tcW w:w="2809" w:type="dxa"/>
            <w:vAlign w:val="center"/>
          </w:tcPr>
          <w:p w14:paraId="3621D946" w14:textId="2195FFE1" w:rsidR="00127D4A" w:rsidRPr="00704B78" w:rsidRDefault="00127D4A" w:rsidP="006E2A77">
            <w:pPr>
              <w:pStyle w:val="COMTabletext"/>
            </w:pPr>
            <w:r w:rsidRPr="00704B78">
              <w:t>Eligible newly diagnosed patients</w:t>
            </w:r>
          </w:p>
        </w:tc>
        <w:tc>
          <w:tcPr>
            <w:tcW w:w="1043" w:type="dxa"/>
            <w:vAlign w:val="center"/>
          </w:tcPr>
          <w:p w14:paraId="4B991B7C" w14:textId="45F17094"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1"/>
                <w14:textFill>
                  <w14:solidFill>
                    <w14:srgbClr w14:val="000000">
                      <w14:alpha w14:val="100000"/>
                    </w14:srgbClr>
                  </w14:solidFill>
                </w14:textFill>
              </w:rPr>
              <w:t xml:space="preserve">　</w:t>
            </w:r>
            <w:r w:rsidRPr="00F555BD">
              <w:rPr>
                <w:rFonts w:cs="Arial"/>
                <w:color w:val="000000"/>
                <w:w w:val="19"/>
                <w:shd w:val="solid" w:color="000000" w:fill="000000"/>
                <w:fitText w:val="88" w:id="-691349751"/>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1"/>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4BC041B5" w14:textId="27DB3B5A"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0"/>
                <w14:textFill>
                  <w14:solidFill>
                    <w14:srgbClr w14:val="000000">
                      <w14:alpha w14:val="100000"/>
                    </w14:srgbClr>
                  </w14:solidFill>
                </w14:textFill>
              </w:rPr>
              <w:t xml:space="preserve">　</w:t>
            </w:r>
            <w:r w:rsidRPr="00F555BD">
              <w:rPr>
                <w:rFonts w:cs="Arial"/>
                <w:color w:val="000000"/>
                <w:w w:val="19"/>
                <w:shd w:val="solid" w:color="000000" w:fill="000000"/>
                <w:fitText w:val="88" w:id="-691349750"/>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0"/>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29A5988B" w14:textId="12686973"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9"/>
                <w14:textFill>
                  <w14:solidFill>
                    <w14:srgbClr w14:val="000000">
                      <w14:alpha w14:val="100000"/>
                    </w14:srgbClr>
                  </w14:solidFill>
                </w14:textFill>
              </w:rPr>
              <w:t xml:space="preserve">　</w:t>
            </w:r>
            <w:r w:rsidRPr="00F555BD">
              <w:rPr>
                <w:rFonts w:cs="Arial"/>
                <w:color w:val="000000"/>
                <w:w w:val="19"/>
                <w:shd w:val="solid" w:color="000000" w:fill="000000"/>
                <w:fitText w:val="88" w:id="-691349749"/>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9"/>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50D9D387" w14:textId="1B0E95CB"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8"/>
                <w14:textFill>
                  <w14:solidFill>
                    <w14:srgbClr w14:val="000000">
                      <w14:alpha w14:val="100000"/>
                    </w14:srgbClr>
                  </w14:solidFill>
                </w14:textFill>
              </w:rPr>
              <w:t xml:space="preserve">　</w:t>
            </w:r>
            <w:r w:rsidRPr="00F555BD">
              <w:rPr>
                <w:rFonts w:cs="Arial"/>
                <w:color w:val="000000"/>
                <w:w w:val="19"/>
                <w:shd w:val="solid" w:color="000000" w:fill="000000"/>
                <w:fitText w:val="88" w:id="-691349748"/>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8"/>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4F94C360" w14:textId="2D94043D"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7" w:id="-691349747"/>
                <w14:textFill>
                  <w14:solidFill>
                    <w14:srgbClr w14:val="000000">
                      <w14:alpha w14:val="100000"/>
                    </w14:srgbClr>
                  </w14:solidFill>
                </w14:textFill>
              </w:rPr>
              <w:t xml:space="preserve">　</w:t>
            </w:r>
            <w:r w:rsidRPr="00F555BD">
              <w:rPr>
                <w:rFonts w:cs="Arial"/>
                <w:color w:val="000000"/>
                <w:w w:val="19"/>
                <w:shd w:val="solid" w:color="000000" w:fill="000000"/>
                <w:fitText w:val="87" w:id="-691349747"/>
                <w14:textFill>
                  <w14:solidFill>
                    <w14:srgbClr w14:val="000000">
                      <w14:alpha w14:val="100000"/>
                    </w14:srgbClr>
                  </w14:solidFill>
                </w14:textFill>
              </w:rPr>
              <w:t>|</w:t>
            </w:r>
            <w:r w:rsidRPr="00F555BD">
              <w:rPr>
                <w:rFonts w:cs="Arial" w:hint="eastAsia"/>
                <w:color w:val="000000"/>
                <w:spacing w:val="3"/>
                <w:w w:val="19"/>
                <w:shd w:val="solid" w:color="000000" w:fill="000000"/>
                <w:fitText w:val="87" w:id="-691349747"/>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191811D8" w14:textId="20C33212"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6"/>
                <w14:textFill>
                  <w14:solidFill>
                    <w14:srgbClr w14:val="000000">
                      <w14:alpha w14:val="100000"/>
                    </w14:srgbClr>
                  </w14:solidFill>
                </w14:textFill>
              </w:rPr>
              <w:t xml:space="preserve">　</w:t>
            </w:r>
            <w:r w:rsidRPr="00F555BD">
              <w:rPr>
                <w:rFonts w:cs="Arial"/>
                <w:color w:val="000000"/>
                <w:w w:val="19"/>
                <w:shd w:val="solid" w:color="000000" w:fill="000000"/>
                <w:fitText w:val="88" w:id="-691349746"/>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6"/>
                <w14:textFill>
                  <w14:solidFill>
                    <w14:srgbClr w14:val="000000">
                      <w14:alpha w14:val="100000"/>
                    </w14:srgbClr>
                  </w14:solidFill>
                </w14:textFill>
              </w:rPr>
              <w:t xml:space="preserve">　</w:t>
            </w:r>
            <w:r w:rsidR="00BD08BF" w:rsidRPr="00BD08BF">
              <w:rPr>
                <w:rFonts w:cs="Arial"/>
                <w:vertAlign w:val="superscript"/>
              </w:rPr>
              <w:t>2</w:t>
            </w:r>
          </w:p>
        </w:tc>
      </w:tr>
      <w:tr w:rsidR="00127D4A" w:rsidRPr="00704B78" w14:paraId="5540674B" w14:textId="77777777" w:rsidTr="00844D98">
        <w:tc>
          <w:tcPr>
            <w:tcW w:w="2809" w:type="dxa"/>
            <w:vAlign w:val="center"/>
          </w:tcPr>
          <w:p w14:paraId="569F9C7C" w14:textId="7266DA78" w:rsidR="00127D4A" w:rsidRPr="00704B78" w:rsidRDefault="00127D4A" w:rsidP="006E2A77">
            <w:pPr>
              <w:pStyle w:val="COMTabletext"/>
            </w:pPr>
            <w:r w:rsidRPr="00704B78">
              <w:t xml:space="preserve">Prevalent patients </w:t>
            </w:r>
          </w:p>
        </w:tc>
        <w:tc>
          <w:tcPr>
            <w:tcW w:w="1043" w:type="dxa"/>
          </w:tcPr>
          <w:p w14:paraId="444312A5" w14:textId="094F762F"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5"/>
                <w14:textFill>
                  <w14:solidFill>
                    <w14:srgbClr w14:val="000000">
                      <w14:alpha w14:val="100000"/>
                    </w14:srgbClr>
                  </w14:solidFill>
                </w14:textFill>
              </w:rPr>
              <w:t xml:space="preserve">　</w:t>
            </w:r>
            <w:r w:rsidRPr="00F555BD">
              <w:rPr>
                <w:rFonts w:cs="Arial"/>
                <w:color w:val="000000"/>
                <w:w w:val="19"/>
                <w:shd w:val="solid" w:color="000000" w:fill="000000"/>
                <w:fitText w:val="88" w:id="-691349745"/>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5"/>
                <w14:textFill>
                  <w14:solidFill>
                    <w14:srgbClr w14:val="000000">
                      <w14:alpha w14:val="100000"/>
                    </w14:srgbClr>
                  </w14:solidFill>
                </w14:textFill>
              </w:rPr>
              <w:t xml:space="preserve">　</w:t>
            </w:r>
            <w:r w:rsidR="00BD08BF" w:rsidRPr="00BD08BF">
              <w:rPr>
                <w:rFonts w:cs="Arial"/>
                <w:vertAlign w:val="superscript"/>
              </w:rPr>
              <w:t>3</w:t>
            </w:r>
          </w:p>
        </w:tc>
        <w:tc>
          <w:tcPr>
            <w:tcW w:w="1043" w:type="dxa"/>
          </w:tcPr>
          <w:p w14:paraId="5C2F165C" w14:textId="371759D2"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4"/>
                <w14:textFill>
                  <w14:solidFill>
                    <w14:srgbClr w14:val="000000">
                      <w14:alpha w14:val="100000"/>
                    </w14:srgbClr>
                  </w14:solidFill>
                </w14:textFill>
              </w:rPr>
              <w:t xml:space="preserve">　</w:t>
            </w:r>
            <w:r w:rsidRPr="00F555BD">
              <w:rPr>
                <w:rFonts w:cs="Arial"/>
                <w:color w:val="000000"/>
                <w:w w:val="19"/>
                <w:shd w:val="solid" w:color="000000" w:fill="000000"/>
                <w:fitText w:val="88" w:id="-691349744"/>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4"/>
                <w14:textFill>
                  <w14:solidFill>
                    <w14:srgbClr w14:val="000000">
                      <w14:alpha w14:val="100000"/>
                    </w14:srgbClr>
                  </w14:solidFill>
                </w14:textFill>
              </w:rPr>
              <w:t xml:space="preserve">　</w:t>
            </w:r>
            <w:r w:rsidR="00BD08BF" w:rsidRPr="00BD08BF">
              <w:rPr>
                <w:rFonts w:cs="Arial"/>
                <w:vertAlign w:val="superscript"/>
              </w:rPr>
              <w:t>3</w:t>
            </w:r>
          </w:p>
        </w:tc>
        <w:tc>
          <w:tcPr>
            <w:tcW w:w="1043" w:type="dxa"/>
          </w:tcPr>
          <w:p w14:paraId="1579C022" w14:textId="2DB03C6B"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60"/>
                <w14:textFill>
                  <w14:solidFill>
                    <w14:srgbClr w14:val="000000">
                      <w14:alpha w14:val="100000"/>
                    </w14:srgbClr>
                  </w14:solidFill>
                </w14:textFill>
              </w:rPr>
              <w:t xml:space="preserve">　</w:t>
            </w:r>
            <w:r w:rsidRPr="00F555BD">
              <w:rPr>
                <w:rFonts w:cs="Arial"/>
                <w:color w:val="000000"/>
                <w:w w:val="19"/>
                <w:shd w:val="solid" w:color="000000" w:fill="000000"/>
                <w:fitText w:val="88" w:id="-691349760"/>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60"/>
                <w14:textFill>
                  <w14:solidFill>
                    <w14:srgbClr w14:val="000000">
                      <w14:alpha w14:val="100000"/>
                    </w14:srgbClr>
                  </w14:solidFill>
                </w14:textFill>
              </w:rPr>
              <w:t xml:space="preserve">　</w:t>
            </w:r>
            <w:r w:rsidR="00BD08BF" w:rsidRPr="00BD08BF">
              <w:rPr>
                <w:rFonts w:cs="Arial"/>
                <w:vertAlign w:val="superscript"/>
              </w:rPr>
              <w:t>3</w:t>
            </w:r>
          </w:p>
        </w:tc>
        <w:tc>
          <w:tcPr>
            <w:tcW w:w="1043" w:type="dxa"/>
          </w:tcPr>
          <w:p w14:paraId="7ACCA3BA" w14:textId="2CBE2B15"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9"/>
                <w14:textFill>
                  <w14:solidFill>
                    <w14:srgbClr w14:val="000000">
                      <w14:alpha w14:val="100000"/>
                    </w14:srgbClr>
                  </w14:solidFill>
                </w14:textFill>
              </w:rPr>
              <w:t xml:space="preserve">　</w:t>
            </w:r>
            <w:r w:rsidRPr="00F555BD">
              <w:rPr>
                <w:rFonts w:cs="Arial"/>
                <w:color w:val="000000"/>
                <w:w w:val="19"/>
                <w:shd w:val="solid" w:color="000000" w:fill="000000"/>
                <w:fitText w:val="88" w:id="-691349759"/>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9"/>
                <w14:textFill>
                  <w14:solidFill>
                    <w14:srgbClr w14:val="000000">
                      <w14:alpha w14:val="100000"/>
                    </w14:srgbClr>
                  </w14:solidFill>
                </w14:textFill>
              </w:rPr>
              <w:t xml:space="preserve">　</w:t>
            </w:r>
            <w:r w:rsidR="00BD08BF" w:rsidRPr="00BD08BF">
              <w:rPr>
                <w:rFonts w:cs="Arial"/>
                <w:vertAlign w:val="superscript"/>
              </w:rPr>
              <w:t>3</w:t>
            </w:r>
          </w:p>
        </w:tc>
        <w:tc>
          <w:tcPr>
            <w:tcW w:w="1043" w:type="dxa"/>
          </w:tcPr>
          <w:p w14:paraId="17B20C6F" w14:textId="706F1FB5"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7" w:id="-691349758"/>
                <w14:textFill>
                  <w14:solidFill>
                    <w14:srgbClr w14:val="000000">
                      <w14:alpha w14:val="100000"/>
                    </w14:srgbClr>
                  </w14:solidFill>
                </w14:textFill>
              </w:rPr>
              <w:t xml:space="preserve">　</w:t>
            </w:r>
            <w:r w:rsidRPr="00F555BD">
              <w:rPr>
                <w:rFonts w:cs="Arial"/>
                <w:color w:val="000000"/>
                <w:w w:val="19"/>
                <w:shd w:val="solid" w:color="000000" w:fill="000000"/>
                <w:fitText w:val="87" w:id="-691349758"/>
                <w14:textFill>
                  <w14:solidFill>
                    <w14:srgbClr w14:val="000000">
                      <w14:alpha w14:val="100000"/>
                    </w14:srgbClr>
                  </w14:solidFill>
                </w14:textFill>
              </w:rPr>
              <w:t>|</w:t>
            </w:r>
            <w:r w:rsidRPr="00F555BD">
              <w:rPr>
                <w:rFonts w:cs="Arial" w:hint="eastAsia"/>
                <w:color w:val="000000"/>
                <w:spacing w:val="3"/>
                <w:w w:val="19"/>
                <w:shd w:val="solid" w:color="000000" w:fill="000000"/>
                <w:fitText w:val="87" w:id="-691349758"/>
                <w14:textFill>
                  <w14:solidFill>
                    <w14:srgbClr w14:val="000000">
                      <w14:alpha w14:val="100000"/>
                    </w14:srgbClr>
                  </w14:solidFill>
                </w14:textFill>
              </w:rPr>
              <w:t xml:space="preserve">　</w:t>
            </w:r>
            <w:r w:rsidR="00BD08BF" w:rsidRPr="00BD08BF">
              <w:rPr>
                <w:rFonts w:cs="Arial"/>
                <w:vertAlign w:val="superscript"/>
              </w:rPr>
              <w:t>3</w:t>
            </w:r>
          </w:p>
        </w:tc>
        <w:tc>
          <w:tcPr>
            <w:tcW w:w="1043" w:type="dxa"/>
          </w:tcPr>
          <w:p w14:paraId="2493CD87" w14:textId="0B5AF167"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7"/>
                <w14:textFill>
                  <w14:solidFill>
                    <w14:srgbClr w14:val="000000">
                      <w14:alpha w14:val="100000"/>
                    </w14:srgbClr>
                  </w14:solidFill>
                </w14:textFill>
              </w:rPr>
              <w:t xml:space="preserve">　</w:t>
            </w:r>
            <w:r w:rsidRPr="00F555BD">
              <w:rPr>
                <w:rFonts w:cs="Arial"/>
                <w:color w:val="000000"/>
                <w:w w:val="19"/>
                <w:shd w:val="solid" w:color="000000" w:fill="000000"/>
                <w:fitText w:val="88" w:id="-691349757"/>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7"/>
                <w14:textFill>
                  <w14:solidFill>
                    <w14:srgbClr w14:val="000000">
                      <w14:alpha w14:val="100000"/>
                    </w14:srgbClr>
                  </w14:solidFill>
                </w14:textFill>
              </w:rPr>
              <w:t xml:space="preserve">　</w:t>
            </w:r>
            <w:r w:rsidR="00BD08BF" w:rsidRPr="00BD08BF">
              <w:rPr>
                <w:rFonts w:cs="Arial"/>
                <w:vertAlign w:val="superscript"/>
              </w:rPr>
              <w:t>3</w:t>
            </w:r>
          </w:p>
        </w:tc>
      </w:tr>
      <w:tr w:rsidR="00127D4A" w:rsidRPr="00704B78" w14:paraId="13A8A71F" w14:textId="77777777" w:rsidTr="00F555BD">
        <w:tc>
          <w:tcPr>
            <w:tcW w:w="2809" w:type="dxa"/>
            <w:vAlign w:val="center"/>
          </w:tcPr>
          <w:p w14:paraId="79431334" w14:textId="6716886E" w:rsidR="00127D4A" w:rsidRPr="00704B78" w:rsidRDefault="00127D4A" w:rsidP="006E2A77">
            <w:pPr>
              <w:pStyle w:val="COMTabletext"/>
            </w:pPr>
            <w:r w:rsidRPr="00704B78">
              <w:t>Eligible treatment refractory patients</w:t>
            </w:r>
          </w:p>
        </w:tc>
        <w:tc>
          <w:tcPr>
            <w:tcW w:w="1043" w:type="dxa"/>
            <w:vAlign w:val="center"/>
          </w:tcPr>
          <w:p w14:paraId="1D44A0A3" w14:textId="34262C33"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6"/>
                <w14:textFill>
                  <w14:solidFill>
                    <w14:srgbClr w14:val="000000">
                      <w14:alpha w14:val="100000"/>
                    </w14:srgbClr>
                  </w14:solidFill>
                </w14:textFill>
              </w:rPr>
              <w:t xml:space="preserve">　</w:t>
            </w:r>
            <w:r w:rsidRPr="00F555BD">
              <w:rPr>
                <w:rFonts w:cs="Arial"/>
                <w:color w:val="000000"/>
                <w:w w:val="19"/>
                <w:shd w:val="solid" w:color="000000" w:fill="000000"/>
                <w:fitText w:val="88" w:id="-691349756"/>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6"/>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6CD352AC" w14:textId="43ECA6A2"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5"/>
                <w14:textFill>
                  <w14:solidFill>
                    <w14:srgbClr w14:val="000000">
                      <w14:alpha w14:val="100000"/>
                    </w14:srgbClr>
                  </w14:solidFill>
                </w14:textFill>
              </w:rPr>
              <w:t xml:space="preserve">　</w:t>
            </w:r>
            <w:r w:rsidRPr="00F555BD">
              <w:rPr>
                <w:rFonts w:cs="Arial"/>
                <w:color w:val="000000"/>
                <w:w w:val="19"/>
                <w:shd w:val="solid" w:color="000000" w:fill="000000"/>
                <w:fitText w:val="88" w:id="-691349755"/>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5"/>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021778F0" w14:textId="3BEF3050"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4"/>
                <w14:textFill>
                  <w14:solidFill>
                    <w14:srgbClr w14:val="000000">
                      <w14:alpha w14:val="100000"/>
                    </w14:srgbClr>
                  </w14:solidFill>
                </w14:textFill>
              </w:rPr>
              <w:t xml:space="preserve">　</w:t>
            </w:r>
            <w:r w:rsidRPr="00F555BD">
              <w:rPr>
                <w:rFonts w:cs="Arial"/>
                <w:color w:val="000000"/>
                <w:w w:val="19"/>
                <w:shd w:val="solid" w:color="000000" w:fill="000000"/>
                <w:fitText w:val="88" w:id="-691349754"/>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4"/>
                <w14:textFill>
                  <w14:solidFill>
                    <w14:srgbClr w14:val="000000">
                      <w14:alpha w14:val="100000"/>
                    </w14:srgbClr>
                  </w14:solidFill>
                </w14:textFill>
              </w:rPr>
              <w:t xml:space="preserve">　</w:t>
            </w:r>
            <w:r w:rsidR="00BD08BF" w:rsidRPr="00BD08BF">
              <w:rPr>
                <w:rFonts w:cs="Arial"/>
                <w:vertAlign w:val="superscript"/>
              </w:rPr>
              <w:t>2</w:t>
            </w:r>
          </w:p>
        </w:tc>
        <w:tc>
          <w:tcPr>
            <w:tcW w:w="1043" w:type="dxa"/>
            <w:vAlign w:val="center"/>
          </w:tcPr>
          <w:p w14:paraId="59874AC1" w14:textId="37E4CA4D"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3"/>
                <w14:textFill>
                  <w14:solidFill>
                    <w14:srgbClr w14:val="000000">
                      <w14:alpha w14:val="100000"/>
                    </w14:srgbClr>
                  </w14:solidFill>
                </w14:textFill>
              </w:rPr>
              <w:t xml:space="preserve">　</w:t>
            </w:r>
            <w:r w:rsidRPr="00F555BD">
              <w:rPr>
                <w:rFonts w:cs="Arial"/>
                <w:color w:val="000000"/>
                <w:w w:val="19"/>
                <w:shd w:val="solid" w:color="000000" w:fill="000000"/>
                <w:fitText w:val="88" w:id="-691349753"/>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3"/>
                <w14:textFill>
                  <w14:solidFill>
                    <w14:srgbClr w14:val="000000">
                      <w14:alpha w14:val="100000"/>
                    </w14:srgbClr>
                  </w14:solidFill>
                </w14:textFill>
              </w:rPr>
              <w:t xml:space="preserve">　</w:t>
            </w:r>
            <w:r w:rsidR="00BD08BF" w:rsidRPr="00BD08BF">
              <w:rPr>
                <w:rFonts w:cs="Arial"/>
                <w:vertAlign w:val="superscript"/>
              </w:rPr>
              <w:t>2</w:t>
            </w:r>
          </w:p>
        </w:tc>
        <w:tc>
          <w:tcPr>
            <w:tcW w:w="1043" w:type="dxa"/>
            <w:tcBorders>
              <w:bottom w:val="single" w:sz="4" w:space="0" w:color="auto"/>
            </w:tcBorders>
            <w:vAlign w:val="center"/>
          </w:tcPr>
          <w:p w14:paraId="364BB777" w14:textId="0ACC25EC"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7" w:id="-691349752"/>
                <w14:textFill>
                  <w14:solidFill>
                    <w14:srgbClr w14:val="000000">
                      <w14:alpha w14:val="100000"/>
                    </w14:srgbClr>
                  </w14:solidFill>
                </w14:textFill>
              </w:rPr>
              <w:t xml:space="preserve">　</w:t>
            </w:r>
            <w:r w:rsidRPr="00F555BD">
              <w:rPr>
                <w:rFonts w:cs="Arial"/>
                <w:color w:val="000000"/>
                <w:w w:val="19"/>
                <w:shd w:val="solid" w:color="000000" w:fill="000000"/>
                <w:fitText w:val="87" w:id="-691349752"/>
                <w14:textFill>
                  <w14:solidFill>
                    <w14:srgbClr w14:val="000000">
                      <w14:alpha w14:val="100000"/>
                    </w14:srgbClr>
                  </w14:solidFill>
                </w14:textFill>
              </w:rPr>
              <w:t>|</w:t>
            </w:r>
            <w:r w:rsidRPr="00F555BD">
              <w:rPr>
                <w:rFonts w:cs="Arial" w:hint="eastAsia"/>
                <w:color w:val="000000"/>
                <w:spacing w:val="3"/>
                <w:w w:val="19"/>
                <w:shd w:val="solid" w:color="000000" w:fill="000000"/>
                <w:fitText w:val="87" w:id="-691349752"/>
                <w14:textFill>
                  <w14:solidFill>
                    <w14:srgbClr w14:val="000000">
                      <w14:alpha w14:val="100000"/>
                    </w14:srgbClr>
                  </w14:solidFill>
                </w14:textFill>
              </w:rPr>
              <w:t xml:space="preserve">　</w:t>
            </w:r>
            <w:r w:rsidR="00BD08BF" w:rsidRPr="00BD08BF">
              <w:rPr>
                <w:rFonts w:cs="Arial"/>
                <w:vertAlign w:val="superscript"/>
              </w:rPr>
              <w:t>2</w:t>
            </w:r>
          </w:p>
        </w:tc>
        <w:tc>
          <w:tcPr>
            <w:tcW w:w="1043" w:type="dxa"/>
            <w:tcBorders>
              <w:bottom w:val="single" w:sz="4" w:space="0" w:color="auto"/>
            </w:tcBorders>
            <w:vAlign w:val="center"/>
          </w:tcPr>
          <w:p w14:paraId="11CA298C" w14:textId="03DE10C6"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1"/>
                <w14:textFill>
                  <w14:solidFill>
                    <w14:srgbClr w14:val="000000">
                      <w14:alpha w14:val="100000"/>
                    </w14:srgbClr>
                  </w14:solidFill>
                </w14:textFill>
              </w:rPr>
              <w:t xml:space="preserve">　</w:t>
            </w:r>
            <w:r w:rsidRPr="00F555BD">
              <w:rPr>
                <w:rFonts w:cs="Arial"/>
                <w:color w:val="000000"/>
                <w:w w:val="19"/>
                <w:shd w:val="solid" w:color="000000" w:fill="000000"/>
                <w:fitText w:val="88" w:id="-691349751"/>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1"/>
                <w14:textFill>
                  <w14:solidFill>
                    <w14:srgbClr w14:val="000000">
                      <w14:alpha w14:val="100000"/>
                    </w14:srgbClr>
                  </w14:solidFill>
                </w14:textFill>
              </w:rPr>
              <w:t xml:space="preserve">　</w:t>
            </w:r>
            <w:r w:rsidR="00BD08BF" w:rsidRPr="00BD08BF">
              <w:rPr>
                <w:rFonts w:cs="Arial"/>
                <w:vertAlign w:val="superscript"/>
              </w:rPr>
              <w:t>2</w:t>
            </w:r>
          </w:p>
        </w:tc>
      </w:tr>
      <w:tr w:rsidR="00127D4A" w:rsidRPr="00704B78" w14:paraId="646E140A" w14:textId="77777777" w:rsidTr="00F555BD">
        <w:tc>
          <w:tcPr>
            <w:tcW w:w="2809" w:type="dxa"/>
            <w:vAlign w:val="center"/>
          </w:tcPr>
          <w:p w14:paraId="4E939A87" w14:textId="2A9E5AC6" w:rsidR="00127D4A" w:rsidRPr="00704B78" w:rsidRDefault="00127D4A" w:rsidP="006E2A77">
            <w:pPr>
              <w:pStyle w:val="COMTabletext"/>
            </w:pPr>
            <w:r w:rsidRPr="00704B78">
              <w:t>Total ravulizumab scripts</w:t>
            </w:r>
          </w:p>
        </w:tc>
        <w:tc>
          <w:tcPr>
            <w:tcW w:w="1043" w:type="dxa"/>
          </w:tcPr>
          <w:p w14:paraId="0F9C192B" w14:textId="2D7B2CA1"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50"/>
                <w14:textFill>
                  <w14:solidFill>
                    <w14:srgbClr w14:val="000000">
                      <w14:alpha w14:val="100000"/>
                    </w14:srgbClr>
                  </w14:solidFill>
                </w14:textFill>
              </w:rPr>
              <w:t xml:space="preserve">　</w:t>
            </w:r>
            <w:r w:rsidRPr="00F555BD">
              <w:rPr>
                <w:rFonts w:cs="Arial"/>
                <w:color w:val="000000"/>
                <w:w w:val="19"/>
                <w:shd w:val="solid" w:color="000000" w:fill="000000"/>
                <w:fitText w:val="88" w:id="-691349750"/>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50"/>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727E3E37" w14:textId="29B1544D"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9"/>
                <w14:textFill>
                  <w14:solidFill>
                    <w14:srgbClr w14:val="000000">
                      <w14:alpha w14:val="100000"/>
                    </w14:srgbClr>
                  </w14:solidFill>
                </w14:textFill>
              </w:rPr>
              <w:t xml:space="preserve">　</w:t>
            </w:r>
            <w:r w:rsidRPr="00F555BD">
              <w:rPr>
                <w:rFonts w:cs="Arial"/>
                <w:color w:val="000000"/>
                <w:w w:val="19"/>
                <w:shd w:val="solid" w:color="000000" w:fill="000000"/>
                <w:fitText w:val="88" w:id="-691349749"/>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9"/>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7025BBA3" w14:textId="715F366E"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8"/>
                <w14:textFill>
                  <w14:solidFill>
                    <w14:srgbClr w14:val="000000">
                      <w14:alpha w14:val="100000"/>
                    </w14:srgbClr>
                  </w14:solidFill>
                </w14:textFill>
              </w:rPr>
              <w:t xml:space="preserve">　</w:t>
            </w:r>
            <w:r w:rsidRPr="00F555BD">
              <w:rPr>
                <w:rFonts w:cs="Arial"/>
                <w:color w:val="000000"/>
                <w:w w:val="19"/>
                <w:shd w:val="solid" w:color="000000" w:fill="000000"/>
                <w:fitText w:val="88" w:id="-691349748"/>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8"/>
                <w14:textFill>
                  <w14:solidFill>
                    <w14:srgbClr w14:val="000000">
                      <w14:alpha w14:val="100000"/>
                    </w14:srgbClr>
                  </w14:solidFill>
                </w14:textFill>
              </w:rPr>
              <w:t xml:space="preserve">　</w:t>
            </w:r>
            <w:r w:rsidR="00BD08BF" w:rsidRPr="00BD08BF">
              <w:rPr>
                <w:rFonts w:cs="Arial"/>
                <w:vertAlign w:val="superscript"/>
              </w:rPr>
              <w:t>1</w:t>
            </w:r>
          </w:p>
        </w:tc>
        <w:tc>
          <w:tcPr>
            <w:tcW w:w="1043" w:type="dxa"/>
          </w:tcPr>
          <w:p w14:paraId="729C5F90" w14:textId="26E58CAC" w:rsidR="00127D4A" w:rsidRPr="0000214D" w:rsidRDefault="00F555BD" w:rsidP="006E2A77">
            <w:pPr>
              <w:pStyle w:val="COMTabletext"/>
              <w:jc w:val="center"/>
              <w:rPr>
                <w:rFonts w:cs="Arial"/>
                <w:highlight w:val="darkGray"/>
              </w:rPr>
            </w:pPr>
            <w:r w:rsidRPr="00F555BD">
              <w:rPr>
                <w:rFonts w:cs="Arial" w:hint="eastAsia"/>
                <w:color w:val="000000"/>
                <w:w w:val="19"/>
                <w:shd w:val="solid" w:color="000000" w:fill="000000"/>
                <w:fitText w:val="88" w:id="-691349747"/>
                <w14:textFill>
                  <w14:solidFill>
                    <w14:srgbClr w14:val="000000">
                      <w14:alpha w14:val="100000"/>
                    </w14:srgbClr>
                  </w14:solidFill>
                </w14:textFill>
              </w:rPr>
              <w:t xml:space="preserve">　</w:t>
            </w:r>
            <w:r w:rsidRPr="00F555BD">
              <w:rPr>
                <w:rFonts w:cs="Arial"/>
                <w:color w:val="000000"/>
                <w:w w:val="19"/>
                <w:shd w:val="solid" w:color="000000" w:fill="000000"/>
                <w:fitText w:val="88" w:id="-691349747"/>
                <w14:textFill>
                  <w14:solidFill>
                    <w14:srgbClr w14:val="000000">
                      <w14:alpha w14:val="100000"/>
                    </w14:srgbClr>
                  </w14:solidFill>
                </w14:textFill>
              </w:rPr>
              <w:t>|</w:t>
            </w:r>
            <w:r w:rsidRPr="00F555BD">
              <w:rPr>
                <w:rFonts w:cs="Arial" w:hint="eastAsia"/>
                <w:color w:val="000000"/>
                <w:spacing w:val="4"/>
                <w:w w:val="19"/>
                <w:shd w:val="solid" w:color="000000" w:fill="000000"/>
                <w:fitText w:val="88" w:id="-691349747"/>
                <w14:textFill>
                  <w14:solidFill>
                    <w14:srgbClr w14:val="000000">
                      <w14:alpha w14:val="100000"/>
                    </w14:srgbClr>
                  </w14:solidFill>
                </w14:textFill>
              </w:rPr>
              <w:t xml:space="preserve">　</w:t>
            </w:r>
            <w:r w:rsidR="00BD08BF" w:rsidRPr="00BD08BF">
              <w:rPr>
                <w:rFonts w:cs="Arial"/>
                <w:vertAlign w:val="superscript"/>
              </w:rPr>
              <w:t>1</w:t>
            </w:r>
          </w:p>
        </w:tc>
        <w:tc>
          <w:tcPr>
            <w:tcW w:w="1043" w:type="dxa"/>
            <w:shd w:val="solid" w:color="000000" w:fill="000000"/>
          </w:tcPr>
          <w:p w14:paraId="740B012F" w14:textId="6BA91918" w:rsidR="00127D4A" w:rsidRPr="0000214D" w:rsidRDefault="00F555BD" w:rsidP="006E2A77">
            <w:pPr>
              <w:pStyle w:val="COMTabletext"/>
              <w:jc w:val="center"/>
              <w:rPr>
                <w:rFonts w:cs="Arial"/>
                <w:highlight w:val="darkGray"/>
              </w:rPr>
            </w:pPr>
            <w:r w:rsidRPr="00F555BD">
              <w:rPr>
                <w:rFonts w:cs="Arial" w:hint="eastAsia"/>
                <w:color w:val="000000"/>
                <w:w w:val="15"/>
                <w:fitText w:val="50" w:id="-691349746"/>
                <w14:textFill>
                  <w14:solidFill>
                    <w14:srgbClr w14:val="000000">
                      <w14:alpha w14:val="100000"/>
                    </w14:srgbClr>
                  </w14:solidFill>
                </w14:textFill>
              </w:rPr>
              <w:t xml:space="preserve">　</w:t>
            </w:r>
            <w:r w:rsidRPr="00F555BD">
              <w:rPr>
                <w:rFonts w:cs="Arial"/>
                <w:color w:val="000000"/>
                <w:w w:val="15"/>
                <w:fitText w:val="50" w:id="-691349746"/>
                <w14:textFill>
                  <w14:solidFill>
                    <w14:srgbClr w14:val="000000">
                      <w14:alpha w14:val="100000"/>
                    </w14:srgbClr>
                  </w14:solidFill>
                </w14:textFill>
              </w:rPr>
              <w:t>|</w:t>
            </w:r>
            <w:r w:rsidRPr="00F555BD">
              <w:rPr>
                <w:rFonts w:cs="Arial" w:hint="eastAsia"/>
                <w:color w:val="000000"/>
                <w:spacing w:val="-15"/>
                <w:w w:val="15"/>
                <w:fitText w:val="50" w:id="-691349746"/>
                <w14:textFill>
                  <w14:solidFill>
                    <w14:srgbClr w14:val="000000">
                      <w14:alpha w14:val="100000"/>
                    </w14:srgbClr>
                  </w14:solidFill>
                </w14:textFill>
              </w:rPr>
              <w:t xml:space="preserve">　</w:t>
            </w:r>
          </w:p>
        </w:tc>
        <w:tc>
          <w:tcPr>
            <w:tcW w:w="1043" w:type="dxa"/>
            <w:shd w:val="solid" w:color="000000" w:fill="000000"/>
          </w:tcPr>
          <w:p w14:paraId="65395B3D" w14:textId="3D252859" w:rsidR="00127D4A" w:rsidRPr="0000214D" w:rsidRDefault="00F555BD" w:rsidP="006E2A77">
            <w:pPr>
              <w:pStyle w:val="COMTabletext"/>
              <w:jc w:val="center"/>
              <w:rPr>
                <w:rFonts w:cs="Arial"/>
                <w:highlight w:val="darkGray"/>
              </w:rPr>
            </w:pPr>
            <w:r w:rsidRPr="00F555BD">
              <w:rPr>
                <w:rFonts w:cs="Arial" w:hint="eastAsia"/>
                <w:color w:val="000000"/>
                <w:w w:val="15"/>
                <w:fitText w:val="50" w:id="-691349745"/>
                <w14:textFill>
                  <w14:solidFill>
                    <w14:srgbClr w14:val="000000">
                      <w14:alpha w14:val="100000"/>
                    </w14:srgbClr>
                  </w14:solidFill>
                </w14:textFill>
              </w:rPr>
              <w:t xml:space="preserve">　</w:t>
            </w:r>
            <w:r w:rsidRPr="00F555BD">
              <w:rPr>
                <w:rFonts w:cs="Arial"/>
                <w:color w:val="000000"/>
                <w:w w:val="15"/>
                <w:fitText w:val="50" w:id="-691349745"/>
                <w14:textFill>
                  <w14:solidFill>
                    <w14:srgbClr w14:val="000000">
                      <w14:alpha w14:val="100000"/>
                    </w14:srgbClr>
                  </w14:solidFill>
                </w14:textFill>
              </w:rPr>
              <w:t>|</w:t>
            </w:r>
            <w:r w:rsidRPr="00F555BD">
              <w:rPr>
                <w:rFonts w:cs="Arial" w:hint="eastAsia"/>
                <w:color w:val="000000"/>
                <w:spacing w:val="-15"/>
                <w:w w:val="15"/>
                <w:fitText w:val="50" w:id="-691349745"/>
                <w14:textFill>
                  <w14:solidFill>
                    <w14:srgbClr w14:val="000000">
                      <w14:alpha w14:val="100000"/>
                    </w14:srgbClr>
                  </w14:solidFill>
                </w14:textFill>
              </w:rPr>
              <w:t xml:space="preserve">　</w:t>
            </w:r>
          </w:p>
        </w:tc>
      </w:tr>
      <w:tr w:rsidR="00844D98" w:rsidRPr="00704B78" w14:paraId="20021639" w14:textId="77777777" w:rsidTr="00844D98">
        <w:tc>
          <w:tcPr>
            <w:tcW w:w="2809" w:type="dxa"/>
            <w:vAlign w:val="center"/>
          </w:tcPr>
          <w:p w14:paraId="6E03BE83" w14:textId="42DB69F2" w:rsidR="00844D98" w:rsidRPr="00704B78" w:rsidRDefault="00844D98" w:rsidP="006E2A77">
            <w:pPr>
              <w:pStyle w:val="COMTabletext"/>
              <w:rPr>
                <w:b/>
                <w:bCs w:val="0"/>
              </w:rPr>
            </w:pPr>
            <w:r w:rsidRPr="00704B78">
              <w:rPr>
                <w:b/>
                <w:bCs w:val="0"/>
              </w:rPr>
              <w:t>Total PBS/RPBS cost less copay</w:t>
            </w:r>
            <w:r w:rsidR="00D67976">
              <w:rPr>
                <w:b/>
                <w:bCs w:val="0"/>
              </w:rPr>
              <w:t xml:space="preserve"> </w:t>
            </w:r>
          </w:p>
        </w:tc>
        <w:tc>
          <w:tcPr>
            <w:tcW w:w="1043" w:type="dxa"/>
            <w:vAlign w:val="center"/>
          </w:tcPr>
          <w:p w14:paraId="20B0A399" w14:textId="4E535758" w:rsidR="00844D98" w:rsidRPr="0000214D" w:rsidRDefault="00F555BD" w:rsidP="006E2A77">
            <w:pPr>
              <w:pStyle w:val="COMTabletext"/>
              <w:jc w:val="center"/>
              <w:rPr>
                <w:b/>
                <w:highlight w:val="darkGray"/>
              </w:rPr>
            </w:pPr>
            <w:r w:rsidRPr="00F555BD">
              <w:rPr>
                <w:rFonts w:hint="eastAsia"/>
                <w:b/>
                <w:color w:val="000000"/>
                <w:w w:val="27"/>
                <w:shd w:val="solid" w:color="000000" w:fill="000000"/>
                <w:fitText w:val="125" w:id="-691349744"/>
                <w14:textFill>
                  <w14:solidFill>
                    <w14:srgbClr w14:val="000000">
                      <w14:alpha w14:val="100000"/>
                    </w14:srgbClr>
                  </w14:solidFill>
                </w14:textFill>
              </w:rPr>
              <w:t xml:space="preserve">　</w:t>
            </w:r>
            <w:r w:rsidRPr="00F555BD">
              <w:rPr>
                <w:b/>
                <w:color w:val="000000"/>
                <w:w w:val="27"/>
                <w:shd w:val="solid" w:color="000000" w:fill="000000"/>
                <w:fitText w:val="125" w:id="-691349744"/>
                <w14:textFill>
                  <w14:solidFill>
                    <w14:srgbClr w14:val="000000">
                      <w14:alpha w14:val="100000"/>
                    </w14:srgbClr>
                  </w14:solidFill>
                </w14:textFill>
              </w:rPr>
              <w:t>|</w:t>
            </w:r>
            <w:r w:rsidRPr="00F555BD">
              <w:rPr>
                <w:rFonts w:hint="eastAsia"/>
                <w:b/>
                <w:color w:val="000000"/>
                <w:spacing w:val="6"/>
                <w:w w:val="27"/>
                <w:shd w:val="solid" w:color="000000" w:fill="000000"/>
                <w:fitText w:val="125" w:id="-691349744"/>
                <w14:textFill>
                  <w14:solidFill>
                    <w14:srgbClr w14:val="000000">
                      <w14:alpha w14:val="100000"/>
                    </w14:srgbClr>
                  </w14:solidFill>
                </w14:textFill>
              </w:rPr>
              <w:t xml:space="preserve">　</w:t>
            </w:r>
            <w:r w:rsidR="00F9782A" w:rsidRPr="00F9782A">
              <w:rPr>
                <w:b/>
                <w:bCs w:val="0"/>
                <w:vertAlign w:val="superscript"/>
              </w:rPr>
              <w:t>4</w:t>
            </w:r>
          </w:p>
        </w:tc>
        <w:tc>
          <w:tcPr>
            <w:tcW w:w="1043" w:type="dxa"/>
            <w:vAlign w:val="center"/>
          </w:tcPr>
          <w:p w14:paraId="3380EFBC" w14:textId="0E0EF44A" w:rsidR="00844D98" w:rsidRPr="0000214D" w:rsidRDefault="00F555BD" w:rsidP="006E2A77">
            <w:pPr>
              <w:pStyle w:val="COMTabletext"/>
              <w:jc w:val="center"/>
              <w:rPr>
                <w:b/>
                <w:highlight w:val="darkGray"/>
              </w:rPr>
            </w:pPr>
            <w:r w:rsidRPr="00F555BD">
              <w:rPr>
                <w:rFonts w:hint="eastAsia"/>
                <w:b/>
                <w:color w:val="000000"/>
                <w:w w:val="28"/>
                <w:shd w:val="solid" w:color="000000" w:fill="000000"/>
                <w:fitText w:val="126" w:id="-691349760"/>
                <w14:textFill>
                  <w14:solidFill>
                    <w14:srgbClr w14:val="000000">
                      <w14:alpha w14:val="100000"/>
                    </w14:srgbClr>
                  </w14:solidFill>
                </w14:textFill>
              </w:rPr>
              <w:t xml:space="preserve">　</w:t>
            </w:r>
            <w:r w:rsidRPr="00F555BD">
              <w:rPr>
                <w:b/>
                <w:color w:val="000000"/>
                <w:w w:val="28"/>
                <w:shd w:val="solid" w:color="000000" w:fill="000000"/>
                <w:fitText w:val="126" w:id="-691349760"/>
                <w14:textFill>
                  <w14:solidFill>
                    <w14:srgbClr w14:val="000000">
                      <w14:alpha w14:val="100000"/>
                    </w14:srgbClr>
                  </w14:solidFill>
                </w14:textFill>
              </w:rPr>
              <w:t>|</w:t>
            </w:r>
            <w:r w:rsidRPr="00F555BD">
              <w:rPr>
                <w:rFonts w:hint="eastAsia"/>
                <w:b/>
                <w:color w:val="000000"/>
                <w:spacing w:val="3"/>
                <w:w w:val="28"/>
                <w:shd w:val="solid" w:color="000000" w:fill="000000"/>
                <w:fitText w:val="126" w:id="-691349760"/>
                <w14:textFill>
                  <w14:solidFill>
                    <w14:srgbClr w14:val="000000">
                      <w14:alpha w14:val="100000"/>
                    </w14:srgbClr>
                  </w14:solidFill>
                </w14:textFill>
              </w:rPr>
              <w:t xml:space="preserve">　</w:t>
            </w:r>
            <w:r w:rsidR="00E732C9" w:rsidRPr="00E732C9">
              <w:rPr>
                <w:b/>
                <w:bCs w:val="0"/>
                <w:vertAlign w:val="superscript"/>
              </w:rPr>
              <w:t>5</w:t>
            </w:r>
          </w:p>
        </w:tc>
        <w:tc>
          <w:tcPr>
            <w:tcW w:w="1043" w:type="dxa"/>
            <w:vAlign w:val="center"/>
          </w:tcPr>
          <w:p w14:paraId="7479E040" w14:textId="711D49D5" w:rsidR="00844D98" w:rsidRPr="00E732C9" w:rsidRDefault="00F555BD" w:rsidP="006E2A77">
            <w:pPr>
              <w:pStyle w:val="COMTabletext"/>
              <w:jc w:val="center"/>
              <w:rPr>
                <w:b/>
                <w:highlight w:val="darkGray"/>
                <w:vertAlign w:val="superscript"/>
              </w:rPr>
            </w:pPr>
            <w:r w:rsidRPr="00F555BD">
              <w:rPr>
                <w:rFonts w:hint="eastAsia"/>
                <w:b/>
                <w:color w:val="000000"/>
                <w:w w:val="27"/>
                <w:shd w:val="solid" w:color="000000" w:fill="000000"/>
                <w:fitText w:val="125" w:id="-691349759"/>
                <w14:textFill>
                  <w14:solidFill>
                    <w14:srgbClr w14:val="000000">
                      <w14:alpha w14:val="100000"/>
                    </w14:srgbClr>
                  </w14:solidFill>
                </w14:textFill>
              </w:rPr>
              <w:t xml:space="preserve">　</w:t>
            </w:r>
            <w:r w:rsidRPr="00F555BD">
              <w:rPr>
                <w:b/>
                <w:color w:val="000000"/>
                <w:w w:val="27"/>
                <w:shd w:val="solid" w:color="000000" w:fill="000000"/>
                <w:fitText w:val="125" w:id="-691349759"/>
                <w14:textFill>
                  <w14:solidFill>
                    <w14:srgbClr w14:val="000000">
                      <w14:alpha w14:val="100000"/>
                    </w14:srgbClr>
                  </w14:solidFill>
                </w14:textFill>
              </w:rPr>
              <w:t>|</w:t>
            </w:r>
            <w:r w:rsidRPr="00F555BD">
              <w:rPr>
                <w:rFonts w:hint="eastAsia"/>
                <w:b/>
                <w:color w:val="000000"/>
                <w:spacing w:val="6"/>
                <w:w w:val="27"/>
                <w:shd w:val="solid" w:color="000000" w:fill="000000"/>
                <w:fitText w:val="125" w:id="-691349759"/>
                <w14:textFill>
                  <w14:solidFill>
                    <w14:srgbClr w14:val="000000">
                      <w14:alpha w14:val="100000"/>
                    </w14:srgbClr>
                  </w14:solidFill>
                </w14:textFill>
              </w:rPr>
              <w:t xml:space="preserve">　</w:t>
            </w:r>
            <w:r w:rsidR="00E732C9" w:rsidRPr="00E732C9">
              <w:rPr>
                <w:b/>
                <w:bCs w:val="0"/>
                <w:vertAlign w:val="superscript"/>
              </w:rPr>
              <w:t>6</w:t>
            </w:r>
          </w:p>
        </w:tc>
        <w:tc>
          <w:tcPr>
            <w:tcW w:w="1043" w:type="dxa"/>
            <w:vAlign w:val="center"/>
          </w:tcPr>
          <w:p w14:paraId="029CF91B" w14:textId="019EA7A5" w:rsidR="00844D98" w:rsidRPr="0000214D" w:rsidRDefault="00F555BD" w:rsidP="006E2A77">
            <w:pPr>
              <w:pStyle w:val="COMTabletext"/>
              <w:jc w:val="center"/>
              <w:rPr>
                <w:b/>
                <w:highlight w:val="darkGray"/>
              </w:rPr>
            </w:pPr>
            <w:r w:rsidRPr="00F555BD">
              <w:rPr>
                <w:rFonts w:hint="eastAsia"/>
                <w:b/>
                <w:color w:val="000000"/>
                <w:w w:val="28"/>
                <w:shd w:val="solid" w:color="000000" w:fill="000000"/>
                <w:fitText w:val="126" w:id="-691349758"/>
                <w14:textFill>
                  <w14:solidFill>
                    <w14:srgbClr w14:val="000000">
                      <w14:alpha w14:val="100000"/>
                    </w14:srgbClr>
                  </w14:solidFill>
                </w14:textFill>
              </w:rPr>
              <w:t xml:space="preserve">　</w:t>
            </w:r>
            <w:r w:rsidRPr="00F555BD">
              <w:rPr>
                <w:b/>
                <w:color w:val="000000"/>
                <w:w w:val="28"/>
                <w:shd w:val="solid" w:color="000000" w:fill="000000"/>
                <w:fitText w:val="126" w:id="-691349758"/>
                <w14:textFill>
                  <w14:solidFill>
                    <w14:srgbClr w14:val="000000">
                      <w14:alpha w14:val="100000"/>
                    </w14:srgbClr>
                  </w14:solidFill>
                </w14:textFill>
              </w:rPr>
              <w:t>|</w:t>
            </w:r>
            <w:r w:rsidRPr="00F555BD">
              <w:rPr>
                <w:rFonts w:hint="eastAsia"/>
                <w:b/>
                <w:color w:val="000000"/>
                <w:spacing w:val="3"/>
                <w:w w:val="28"/>
                <w:shd w:val="solid" w:color="000000" w:fill="000000"/>
                <w:fitText w:val="126" w:id="-691349758"/>
                <w14:textFill>
                  <w14:solidFill>
                    <w14:srgbClr w14:val="000000">
                      <w14:alpha w14:val="100000"/>
                    </w14:srgbClr>
                  </w14:solidFill>
                </w14:textFill>
              </w:rPr>
              <w:t xml:space="preserve">　</w:t>
            </w:r>
            <w:r w:rsidR="00E732C9" w:rsidRPr="00E732C9">
              <w:rPr>
                <w:b/>
                <w:bCs w:val="0"/>
                <w:vertAlign w:val="superscript"/>
              </w:rPr>
              <w:t>6</w:t>
            </w:r>
          </w:p>
        </w:tc>
        <w:tc>
          <w:tcPr>
            <w:tcW w:w="1043" w:type="dxa"/>
            <w:vAlign w:val="center"/>
          </w:tcPr>
          <w:p w14:paraId="5B0D2C0A" w14:textId="5127A918" w:rsidR="00844D98" w:rsidRPr="0000214D" w:rsidRDefault="00F555BD" w:rsidP="006E2A77">
            <w:pPr>
              <w:pStyle w:val="COMTabletext"/>
              <w:jc w:val="center"/>
              <w:rPr>
                <w:b/>
                <w:highlight w:val="darkGray"/>
              </w:rPr>
            </w:pPr>
            <w:r w:rsidRPr="00F555BD">
              <w:rPr>
                <w:rFonts w:hint="eastAsia"/>
                <w:b/>
                <w:color w:val="000000"/>
                <w:w w:val="27"/>
                <w:shd w:val="solid" w:color="000000" w:fill="000000"/>
                <w:fitText w:val="125" w:id="-691349757"/>
                <w14:textFill>
                  <w14:solidFill>
                    <w14:srgbClr w14:val="000000">
                      <w14:alpha w14:val="100000"/>
                    </w14:srgbClr>
                  </w14:solidFill>
                </w14:textFill>
              </w:rPr>
              <w:t xml:space="preserve">　</w:t>
            </w:r>
            <w:r w:rsidRPr="00F555BD">
              <w:rPr>
                <w:b/>
                <w:color w:val="000000"/>
                <w:w w:val="27"/>
                <w:shd w:val="solid" w:color="000000" w:fill="000000"/>
                <w:fitText w:val="125" w:id="-691349757"/>
                <w14:textFill>
                  <w14:solidFill>
                    <w14:srgbClr w14:val="000000">
                      <w14:alpha w14:val="100000"/>
                    </w14:srgbClr>
                  </w14:solidFill>
                </w14:textFill>
              </w:rPr>
              <w:t>|</w:t>
            </w:r>
            <w:r w:rsidRPr="00F555BD">
              <w:rPr>
                <w:rFonts w:hint="eastAsia"/>
                <w:b/>
                <w:color w:val="000000"/>
                <w:spacing w:val="6"/>
                <w:w w:val="27"/>
                <w:shd w:val="solid" w:color="000000" w:fill="000000"/>
                <w:fitText w:val="125" w:id="-691349757"/>
                <w14:textFill>
                  <w14:solidFill>
                    <w14:srgbClr w14:val="000000">
                      <w14:alpha w14:val="100000"/>
                    </w14:srgbClr>
                  </w14:solidFill>
                </w14:textFill>
              </w:rPr>
              <w:t xml:space="preserve">　</w:t>
            </w:r>
            <w:r w:rsidR="00A60B71" w:rsidRPr="005C17B4">
              <w:rPr>
                <w:b/>
                <w:bCs w:val="0"/>
                <w:vertAlign w:val="superscript"/>
              </w:rPr>
              <w:t>7</w:t>
            </w:r>
          </w:p>
        </w:tc>
        <w:tc>
          <w:tcPr>
            <w:tcW w:w="1043" w:type="dxa"/>
            <w:vAlign w:val="center"/>
          </w:tcPr>
          <w:p w14:paraId="235F746C" w14:textId="0597C1B5" w:rsidR="00844D98" w:rsidRPr="0000214D" w:rsidRDefault="00F555BD" w:rsidP="006E2A77">
            <w:pPr>
              <w:pStyle w:val="COMTabletext"/>
              <w:jc w:val="center"/>
              <w:rPr>
                <w:b/>
                <w:highlight w:val="darkGray"/>
              </w:rPr>
            </w:pPr>
            <w:r w:rsidRPr="00F555BD">
              <w:rPr>
                <w:rFonts w:hint="eastAsia"/>
                <w:b/>
                <w:color w:val="000000"/>
                <w:w w:val="27"/>
                <w:shd w:val="solid" w:color="000000" w:fill="000000"/>
                <w:fitText w:val="125" w:id="-691349756"/>
                <w14:textFill>
                  <w14:solidFill>
                    <w14:srgbClr w14:val="000000">
                      <w14:alpha w14:val="100000"/>
                    </w14:srgbClr>
                  </w14:solidFill>
                </w14:textFill>
              </w:rPr>
              <w:t xml:space="preserve">　</w:t>
            </w:r>
            <w:r w:rsidRPr="00F555BD">
              <w:rPr>
                <w:b/>
                <w:color w:val="000000"/>
                <w:w w:val="27"/>
                <w:shd w:val="solid" w:color="000000" w:fill="000000"/>
                <w:fitText w:val="125" w:id="-691349756"/>
                <w14:textFill>
                  <w14:solidFill>
                    <w14:srgbClr w14:val="000000">
                      <w14:alpha w14:val="100000"/>
                    </w14:srgbClr>
                  </w14:solidFill>
                </w14:textFill>
              </w:rPr>
              <w:t>|</w:t>
            </w:r>
            <w:r w:rsidRPr="00F555BD">
              <w:rPr>
                <w:rFonts w:hint="eastAsia"/>
                <w:b/>
                <w:color w:val="000000"/>
                <w:spacing w:val="6"/>
                <w:w w:val="27"/>
                <w:shd w:val="solid" w:color="000000" w:fill="000000"/>
                <w:fitText w:val="125" w:id="-691349756"/>
                <w14:textFill>
                  <w14:solidFill>
                    <w14:srgbClr w14:val="000000">
                      <w14:alpha w14:val="100000"/>
                    </w14:srgbClr>
                  </w14:solidFill>
                </w14:textFill>
              </w:rPr>
              <w:t xml:space="preserve">　</w:t>
            </w:r>
            <w:r w:rsidR="005C17B4" w:rsidRPr="005C17B4">
              <w:rPr>
                <w:b/>
                <w:bCs w:val="0"/>
                <w:vertAlign w:val="superscript"/>
              </w:rPr>
              <w:t>8</w:t>
            </w:r>
          </w:p>
        </w:tc>
      </w:tr>
      <w:tr w:rsidR="00844D98" w:rsidRPr="00704B78" w14:paraId="575E5D1C" w14:textId="77777777" w:rsidTr="00844D98">
        <w:tc>
          <w:tcPr>
            <w:tcW w:w="2809" w:type="dxa"/>
            <w:shd w:val="clear" w:color="auto" w:fill="C6D9F1" w:themeFill="text2" w:themeFillTint="33"/>
            <w:vAlign w:val="center"/>
          </w:tcPr>
          <w:p w14:paraId="50CCCCC1" w14:textId="77777777" w:rsidR="00844D98" w:rsidRPr="00704B78" w:rsidRDefault="00844D98" w:rsidP="006E2A77">
            <w:pPr>
              <w:pStyle w:val="COMTabletext"/>
            </w:pPr>
            <w:r w:rsidRPr="00704B78">
              <w:t xml:space="preserve">Total PBS/RPBS cost </w:t>
            </w:r>
          </w:p>
          <w:p w14:paraId="0B1B4B06" w14:textId="59581CB2" w:rsidR="00844D98" w:rsidRPr="00704B78" w:rsidRDefault="00844D98" w:rsidP="006E2A77">
            <w:pPr>
              <w:pStyle w:val="COMTabletext"/>
            </w:pPr>
            <w:r w:rsidRPr="00704B78">
              <w:t>(March 2024 submission)</w:t>
            </w:r>
            <w:r w:rsidR="00D67976">
              <w:t xml:space="preserve"> </w:t>
            </w:r>
          </w:p>
        </w:tc>
        <w:tc>
          <w:tcPr>
            <w:tcW w:w="1043" w:type="dxa"/>
            <w:shd w:val="clear" w:color="auto" w:fill="C6D9F1" w:themeFill="text2" w:themeFillTint="33"/>
            <w:tcMar>
              <w:left w:w="0" w:type="dxa"/>
              <w:right w:w="0" w:type="dxa"/>
            </w:tcMar>
            <w:vAlign w:val="center"/>
          </w:tcPr>
          <w:p w14:paraId="3119CF24" w14:textId="66314879"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3" w:id="-691349755"/>
                <w14:textFill>
                  <w14:solidFill>
                    <w14:srgbClr w14:val="000000">
                      <w14:alpha w14:val="100000"/>
                    </w14:srgbClr>
                  </w14:solidFill>
                </w14:textFill>
              </w:rPr>
              <w:t xml:space="preserve">　</w:t>
            </w:r>
            <w:r w:rsidRPr="00F555BD">
              <w:rPr>
                <w:color w:val="000000"/>
                <w:w w:val="15"/>
                <w:shd w:val="solid" w:color="000000" w:fill="000000"/>
                <w:fitText w:val="63" w:id="-691349755"/>
                <w14:textFill>
                  <w14:solidFill>
                    <w14:srgbClr w14:val="000000">
                      <w14:alpha w14:val="100000"/>
                    </w14:srgbClr>
                  </w14:solidFill>
                </w14:textFill>
              </w:rPr>
              <w:t>|</w:t>
            </w:r>
            <w:r w:rsidRPr="00F555BD">
              <w:rPr>
                <w:rFonts w:hint="eastAsia"/>
                <w:color w:val="000000"/>
                <w:spacing w:val="-2"/>
                <w:w w:val="15"/>
                <w:shd w:val="solid" w:color="000000" w:fill="000000"/>
                <w:fitText w:val="63" w:id="-691349755"/>
                <w14:textFill>
                  <w14:solidFill>
                    <w14:srgbClr w14:val="000000">
                      <w14:alpha w14:val="100000"/>
                    </w14:srgbClr>
                  </w14:solidFill>
                </w14:textFill>
              </w:rPr>
              <w:t xml:space="preserve">　</w:t>
            </w:r>
            <w:r w:rsidR="00E732C9" w:rsidRPr="00E732C9">
              <w:rPr>
                <w:b/>
                <w:bCs w:val="0"/>
                <w:vertAlign w:val="superscript"/>
              </w:rPr>
              <w:t>5</w:t>
            </w:r>
          </w:p>
        </w:tc>
        <w:tc>
          <w:tcPr>
            <w:tcW w:w="1043" w:type="dxa"/>
            <w:shd w:val="clear" w:color="auto" w:fill="C6D9F1" w:themeFill="text2" w:themeFillTint="33"/>
            <w:tcMar>
              <w:left w:w="0" w:type="dxa"/>
              <w:right w:w="0" w:type="dxa"/>
            </w:tcMar>
            <w:vAlign w:val="center"/>
          </w:tcPr>
          <w:p w14:paraId="462C6721" w14:textId="19DE474F"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3" w:id="-691349754"/>
                <w14:textFill>
                  <w14:solidFill>
                    <w14:srgbClr w14:val="000000">
                      <w14:alpha w14:val="100000"/>
                    </w14:srgbClr>
                  </w14:solidFill>
                </w14:textFill>
              </w:rPr>
              <w:t xml:space="preserve">　</w:t>
            </w:r>
            <w:r w:rsidRPr="00F555BD">
              <w:rPr>
                <w:color w:val="000000"/>
                <w:w w:val="15"/>
                <w:shd w:val="solid" w:color="000000" w:fill="000000"/>
                <w:fitText w:val="63" w:id="-691349754"/>
                <w14:textFill>
                  <w14:solidFill>
                    <w14:srgbClr w14:val="000000">
                      <w14:alpha w14:val="100000"/>
                    </w14:srgbClr>
                  </w14:solidFill>
                </w14:textFill>
              </w:rPr>
              <w:t>|</w:t>
            </w:r>
            <w:r w:rsidRPr="00F555BD">
              <w:rPr>
                <w:rFonts w:hint="eastAsia"/>
                <w:color w:val="000000"/>
                <w:spacing w:val="-2"/>
                <w:w w:val="15"/>
                <w:shd w:val="solid" w:color="000000" w:fill="000000"/>
                <w:fitText w:val="63" w:id="-691349754"/>
                <w14:textFill>
                  <w14:solidFill>
                    <w14:srgbClr w14:val="000000">
                      <w14:alpha w14:val="100000"/>
                    </w14:srgbClr>
                  </w14:solidFill>
                </w14:textFill>
              </w:rPr>
              <w:t xml:space="preserve">　</w:t>
            </w:r>
            <w:r w:rsidR="005C17B4" w:rsidRPr="00E574F6">
              <w:rPr>
                <w:vertAlign w:val="superscript"/>
              </w:rPr>
              <w:t>9</w:t>
            </w:r>
          </w:p>
        </w:tc>
        <w:tc>
          <w:tcPr>
            <w:tcW w:w="1043" w:type="dxa"/>
            <w:shd w:val="clear" w:color="auto" w:fill="C6D9F1" w:themeFill="text2" w:themeFillTint="33"/>
            <w:tcMar>
              <w:left w:w="0" w:type="dxa"/>
              <w:right w:w="0" w:type="dxa"/>
            </w:tcMar>
            <w:vAlign w:val="center"/>
          </w:tcPr>
          <w:p w14:paraId="307D28AB" w14:textId="618A0D19"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8" w:id="-691349753"/>
                <w14:textFill>
                  <w14:solidFill>
                    <w14:srgbClr w14:val="000000">
                      <w14:alpha w14:val="100000"/>
                    </w14:srgbClr>
                  </w14:solidFill>
                </w14:textFill>
              </w:rPr>
              <w:t xml:space="preserve">　</w:t>
            </w:r>
            <w:r w:rsidRPr="00F555BD">
              <w:rPr>
                <w:color w:val="000000"/>
                <w:w w:val="19"/>
                <w:shd w:val="solid" w:color="000000" w:fill="000000"/>
                <w:fitText w:val="88" w:id="-691349753"/>
                <w14:textFill>
                  <w14:solidFill>
                    <w14:srgbClr w14:val="000000">
                      <w14:alpha w14:val="100000"/>
                    </w14:srgbClr>
                  </w14:solidFill>
                </w14:textFill>
              </w:rPr>
              <w:t>|</w:t>
            </w:r>
            <w:r w:rsidRPr="00F555BD">
              <w:rPr>
                <w:rFonts w:hint="eastAsia"/>
                <w:color w:val="000000"/>
                <w:spacing w:val="4"/>
                <w:w w:val="19"/>
                <w:shd w:val="solid" w:color="000000" w:fill="000000"/>
                <w:fitText w:val="88" w:id="-691349753"/>
                <w14:textFill>
                  <w14:solidFill>
                    <w14:srgbClr w14:val="000000">
                      <w14:alpha w14:val="100000"/>
                    </w14:srgbClr>
                  </w14:solidFill>
                </w14:textFill>
              </w:rPr>
              <w:t xml:space="preserve">　</w:t>
            </w:r>
            <w:r w:rsidR="00E574F6" w:rsidRPr="00E574F6">
              <w:rPr>
                <w:vertAlign w:val="superscript"/>
              </w:rPr>
              <w:t>10</w:t>
            </w:r>
          </w:p>
        </w:tc>
        <w:tc>
          <w:tcPr>
            <w:tcW w:w="1043" w:type="dxa"/>
            <w:shd w:val="clear" w:color="auto" w:fill="C6D9F1" w:themeFill="text2" w:themeFillTint="33"/>
            <w:tcMar>
              <w:left w:w="0" w:type="dxa"/>
              <w:right w:w="0" w:type="dxa"/>
            </w:tcMar>
            <w:vAlign w:val="center"/>
          </w:tcPr>
          <w:p w14:paraId="4C8DED21" w14:textId="4832B478"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8" w:id="-691349752"/>
                <w14:textFill>
                  <w14:solidFill>
                    <w14:srgbClr w14:val="000000">
                      <w14:alpha w14:val="100000"/>
                    </w14:srgbClr>
                  </w14:solidFill>
                </w14:textFill>
              </w:rPr>
              <w:t xml:space="preserve">　</w:t>
            </w:r>
            <w:r w:rsidRPr="00F555BD">
              <w:rPr>
                <w:color w:val="000000"/>
                <w:w w:val="19"/>
                <w:shd w:val="solid" w:color="000000" w:fill="000000"/>
                <w:fitText w:val="88" w:id="-691349752"/>
                <w14:textFill>
                  <w14:solidFill>
                    <w14:srgbClr w14:val="000000">
                      <w14:alpha w14:val="100000"/>
                    </w14:srgbClr>
                  </w14:solidFill>
                </w14:textFill>
              </w:rPr>
              <w:t>|</w:t>
            </w:r>
            <w:r w:rsidRPr="00F555BD">
              <w:rPr>
                <w:rFonts w:hint="eastAsia"/>
                <w:color w:val="000000"/>
                <w:spacing w:val="4"/>
                <w:w w:val="19"/>
                <w:shd w:val="solid" w:color="000000" w:fill="000000"/>
                <w:fitText w:val="88" w:id="-691349752"/>
                <w14:textFill>
                  <w14:solidFill>
                    <w14:srgbClr w14:val="000000">
                      <w14:alpha w14:val="100000"/>
                    </w14:srgbClr>
                  </w14:solidFill>
                </w14:textFill>
              </w:rPr>
              <w:t xml:space="preserve">　</w:t>
            </w:r>
            <w:r w:rsidR="00E574F6" w:rsidRPr="00E574F6">
              <w:rPr>
                <w:vertAlign w:val="superscript"/>
              </w:rPr>
              <w:t>10</w:t>
            </w:r>
          </w:p>
        </w:tc>
        <w:tc>
          <w:tcPr>
            <w:tcW w:w="1043" w:type="dxa"/>
            <w:shd w:val="clear" w:color="auto" w:fill="C6D9F1" w:themeFill="text2" w:themeFillTint="33"/>
            <w:tcMar>
              <w:left w:w="0" w:type="dxa"/>
              <w:right w:w="0" w:type="dxa"/>
            </w:tcMar>
            <w:vAlign w:val="center"/>
          </w:tcPr>
          <w:p w14:paraId="7BCEEFFD" w14:textId="105C2CB6"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7" w:id="-691349751"/>
                <w14:textFill>
                  <w14:solidFill>
                    <w14:srgbClr w14:val="000000">
                      <w14:alpha w14:val="100000"/>
                    </w14:srgbClr>
                  </w14:solidFill>
                </w14:textFill>
              </w:rPr>
              <w:t xml:space="preserve">　</w:t>
            </w:r>
            <w:r w:rsidRPr="00F555BD">
              <w:rPr>
                <w:color w:val="000000"/>
                <w:w w:val="19"/>
                <w:shd w:val="solid" w:color="000000" w:fill="000000"/>
                <w:fitText w:val="87" w:id="-691349751"/>
                <w14:textFill>
                  <w14:solidFill>
                    <w14:srgbClr w14:val="000000">
                      <w14:alpha w14:val="100000"/>
                    </w14:srgbClr>
                  </w14:solidFill>
                </w14:textFill>
              </w:rPr>
              <w:t>|</w:t>
            </w:r>
            <w:r w:rsidRPr="00F555BD">
              <w:rPr>
                <w:rFonts w:hint="eastAsia"/>
                <w:color w:val="000000"/>
                <w:spacing w:val="3"/>
                <w:w w:val="19"/>
                <w:shd w:val="solid" w:color="000000" w:fill="000000"/>
                <w:fitText w:val="87" w:id="-691349751"/>
                <w14:textFill>
                  <w14:solidFill>
                    <w14:srgbClr w14:val="000000">
                      <w14:alpha w14:val="100000"/>
                    </w14:srgbClr>
                  </w14:solidFill>
                </w14:textFill>
              </w:rPr>
              <w:t xml:space="preserve">　</w:t>
            </w:r>
            <w:r w:rsidR="00E574F6" w:rsidRPr="00E574F6">
              <w:rPr>
                <w:vertAlign w:val="superscript"/>
              </w:rPr>
              <w:t>10</w:t>
            </w:r>
          </w:p>
        </w:tc>
        <w:tc>
          <w:tcPr>
            <w:tcW w:w="1043" w:type="dxa"/>
            <w:shd w:val="clear" w:color="auto" w:fill="C6D9F1" w:themeFill="text2" w:themeFillTint="33"/>
            <w:tcMar>
              <w:left w:w="0" w:type="dxa"/>
              <w:right w:w="0" w:type="dxa"/>
            </w:tcMar>
            <w:vAlign w:val="center"/>
          </w:tcPr>
          <w:p w14:paraId="4CD9B76B" w14:textId="26E29AE1"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7" w:id="-691349750"/>
                <w14:textFill>
                  <w14:solidFill>
                    <w14:srgbClr w14:val="000000">
                      <w14:alpha w14:val="100000"/>
                    </w14:srgbClr>
                  </w14:solidFill>
                </w14:textFill>
              </w:rPr>
              <w:t xml:space="preserve">　</w:t>
            </w:r>
            <w:r w:rsidRPr="00F555BD">
              <w:rPr>
                <w:color w:val="000000"/>
                <w:w w:val="19"/>
                <w:shd w:val="solid" w:color="000000" w:fill="000000"/>
                <w:fitText w:val="87" w:id="-691349750"/>
                <w14:textFill>
                  <w14:solidFill>
                    <w14:srgbClr w14:val="000000">
                      <w14:alpha w14:val="100000"/>
                    </w14:srgbClr>
                  </w14:solidFill>
                </w14:textFill>
              </w:rPr>
              <w:t>|</w:t>
            </w:r>
            <w:r w:rsidRPr="00F555BD">
              <w:rPr>
                <w:rFonts w:hint="eastAsia"/>
                <w:color w:val="000000"/>
                <w:spacing w:val="3"/>
                <w:w w:val="19"/>
                <w:shd w:val="solid" w:color="000000" w:fill="000000"/>
                <w:fitText w:val="87" w:id="-691349750"/>
                <w14:textFill>
                  <w14:solidFill>
                    <w14:srgbClr w14:val="000000">
                      <w14:alpha w14:val="100000"/>
                    </w14:srgbClr>
                  </w14:solidFill>
                </w14:textFill>
              </w:rPr>
              <w:t xml:space="preserve">　</w:t>
            </w:r>
            <w:r w:rsidR="00E574F6" w:rsidRPr="00E574F6">
              <w:rPr>
                <w:vertAlign w:val="superscript"/>
              </w:rPr>
              <w:t>10</w:t>
            </w:r>
          </w:p>
        </w:tc>
      </w:tr>
      <w:tr w:rsidR="00844D98" w:rsidRPr="00704B78" w14:paraId="0AA08593" w14:textId="77777777" w:rsidTr="00844D98">
        <w:tc>
          <w:tcPr>
            <w:tcW w:w="2809" w:type="dxa"/>
            <w:vAlign w:val="center"/>
          </w:tcPr>
          <w:p w14:paraId="5DFEBD9F" w14:textId="1AEA43E6" w:rsidR="00844D98" w:rsidRPr="00704B78" w:rsidRDefault="00844D98" w:rsidP="006E2A77">
            <w:pPr>
              <w:pStyle w:val="COMTabletext"/>
            </w:pPr>
            <w:r w:rsidRPr="00704B78">
              <w:t>Cost to the MBS for administration</w:t>
            </w:r>
            <w:r w:rsidR="00D3010D">
              <w:t xml:space="preserve"> </w:t>
            </w:r>
          </w:p>
        </w:tc>
        <w:tc>
          <w:tcPr>
            <w:tcW w:w="1043" w:type="dxa"/>
            <w:tcMar>
              <w:left w:w="0" w:type="dxa"/>
              <w:right w:w="0" w:type="dxa"/>
            </w:tcMar>
            <w:vAlign w:val="center"/>
          </w:tcPr>
          <w:p w14:paraId="10BD74CD" w14:textId="5AB12497"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8" w:id="-691349749"/>
                <w14:textFill>
                  <w14:solidFill>
                    <w14:srgbClr w14:val="000000">
                      <w14:alpha w14:val="100000"/>
                    </w14:srgbClr>
                  </w14:solidFill>
                </w14:textFill>
              </w:rPr>
              <w:t xml:space="preserve">　</w:t>
            </w:r>
            <w:r w:rsidRPr="00F555BD">
              <w:rPr>
                <w:color w:val="000000"/>
                <w:w w:val="19"/>
                <w:shd w:val="solid" w:color="000000" w:fill="000000"/>
                <w:fitText w:val="88" w:id="-691349749"/>
                <w14:textFill>
                  <w14:solidFill>
                    <w14:srgbClr w14:val="000000">
                      <w14:alpha w14:val="100000"/>
                    </w14:srgbClr>
                  </w14:solidFill>
                </w14:textFill>
              </w:rPr>
              <w:t>|</w:t>
            </w:r>
            <w:r w:rsidRPr="00F555BD">
              <w:rPr>
                <w:rFonts w:hint="eastAsia"/>
                <w:color w:val="000000"/>
                <w:spacing w:val="4"/>
                <w:w w:val="19"/>
                <w:shd w:val="solid" w:color="000000" w:fill="000000"/>
                <w:fitText w:val="88" w:id="-691349749"/>
                <w14:textFill>
                  <w14:solidFill>
                    <w14:srgbClr w14:val="000000">
                      <w14:alpha w14:val="100000"/>
                    </w14:srgbClr>
                  </w14:solidFill>
                </w14:textFill>
              </w:rPr>
              <w:t xml:space="preserve">　</w:t>
            </w:r>
            <w:r w:rsidR="00567D99" w:rsidRPr="00567D99">
              <w:rPr>
                <w:vertAlign w:val="superscript"/>
              </w:rPr>
              <w:t>11</w:t>
            </w:r>
          </w:p>
        </w:tc>
        <w:tc>
          <w:tcPr>
            <w:tcW w:w="1043" w:type="dxa"/>
            <w:tcMar>
              <w:left w:w="0" w:type="dxa"/>
              <w:right w:w="0" w:type="dxa"/>
            </w:tcMar>
            <w:vAlign w:val="center"/>
          </w:tcPr>
          <w:p w14:paraId="4F368F80" w14:textId="45A5D08F"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8" w:id="-691349748"/>
                <w14:textFill>
                  <w14:solidFill>
                    <w14:srgbClr w14:val="000000">
                      <w14:alpha w14:val="100000"/>
                    </w14:srgbClr>
                  </w14:solidFill>
                </w14:textFill>
              </w:rPr>
              <w:t xml:space="preserve">　</w:t>
            </w:r>
            <w:r w:rsidRPr="00F555BD">
              <w:rPr>
                <w:color w:val="000000"/>
                <w:w w:val="19"/>
                <w:shd w:val="solid" w:color="000000" w:fill="000000"/>
                <w:fitText w:val="88" w:id="-691349748"/>
                <w14:textFill>
                  <w14:solidFill>
                    <w14:srgbClr w14:val="000000">
                      <w14:alpha w14:val="100000"/>
                    </w14:srgbClr>
                  </w14:solidFill>
                </w14:textFill>
              </w:rPr>
              <w:t>|</w:t>
            </w:r>
            <w:r w:rsidRPr="00F555BD">
              <w:rPr>
                <w:rFonts w:hint="eastAsia"/>
                <w:color w:val="000000"/>
                <w:spacing w:val="4"/>
                <w:w w:val="19"/>
                <w:shd w:val="solid" w:color="000000" w:fill="000000"/>
                <w:fitText w:val="88" w:id="-691349748"/>
                <w14:textFill>
                  <w14:solidFill>
                    <w14:srgbClr w14:val="000000">
                      <w14:alpha w14:val="100000"/>
                    </w14:srgbClr>
                  </w14:solidFill>
                </w14:textFill>
              </w:rPr>
              <w:t xml:space="preserve">　</w:t>
            </w:r>
            <w:r w:rsidR="00567D99" w:rsidRPr="00567D99">
              <w:rPr>
                <w:vertAlign w:val="superscript"/>
              </w:rPr>
              <w:t>11</w:t>
            </w:r>
          </w:p>
        </w:tc>
        <w:tc>
          <w:tcPr>
            <w:tcW w:w="1043" w:type="dxa"/>
            <w:tcMar>
              <w:left w:w="0" w:type="dxa"/>
              <w:right w:w="0" w:type="dxa"/>
            </w:tcMar>
            <w:vAlign w:val="center"/>
          </w:tcPr>
          <w:p w14:paraId="7B2BEFB9" w14:textId="012B1C77"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8" w:id="-691349747"/>
                <w14:textFill>
                  <w14:solidFill>
                    <w14:srgbClr w14:val="000000">
                      <w14:alpha w14:val="100000"/>
                    </w14:srgbClr>
                  </w14:solidFill>
                </w14:textFill>
              </w:rPr>
              <w:t xml:space="preserve">　</w:t>
            </w:r>
            <w:r w:rsidRPr="00F555BD">
              <w:rPr>
                <w:color w:val="000000"/>
                <w:w w:val="19"/>
                <w:shd w:val="solid" w:color="000000" w:fill="000000"/>
                <w:fitText w:val="88" w:id="-691349747"/>
                <w14:textFill>
                  <w14:solidFill>
                    <w14:srgbClr w14:val="000000">
                      <w14:alpha w14:val="100000"/>
                    </w14:srgbClr>
                  </w14:solidFill>
                </w14:textFill>
              </w:rPr>
              <w:t>|</w:t>
            </w:r>
            <w:r w:rsidRPr="00F555BD">
              <w:rPr>
                <w:rFonts w:hint="eastAsia"/>
                <w:color w:val="000000"/>
                <w:spacing w:val="4"/>
                <w:w w:val="19"/>
                <w:shd w:val="solid" w:color="000000" w:fill="000000"/>
                <w:fitText w:val="88" w:id="-691349747"/>
                <w14:textFill>
                  <w14:solidFill>
                    <w14:srgbClr w14:val="000000">
                      <w14:alpha w14:val="100000"/>
                    </w14:srgbClr>
                  </w14:solidFill>
                </w14:textFill>
              </w:rPr>
              <w:t xml:space="preserve">　</w:t>
            </w:r>
            <w:r w:rsidR="00567D99" w:rsidRPr="00567D99">
              <w:rPr>
                <w:vertAlign w:val="superscript"/>
              </w:rPr>
              <w:t>11</w:t>
            </w:r>
          </w:p>
        </w:tc>
        <w:tc>
          <w:tcPr>
            <w:tcW w:w="1043" w:type="dxa"/>
            <w:tcMar>
              <w:left w:w="0" w:type="dxa"/>
              <w:right w:w="0" w:type="dxa"/>
            </w:tcMar>
            <w:vAlign w:val="center"/>
          </w:tcPr>
          <w:p w14:paraId="5F987E52" w14:textId="788B7239"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8" w:id="-691349746"/>
                <w14:textFill>
                  <w14:solidFill>
                    <w14:srgbClr w14:val="000000">
                      <w14:alpha w14:val="100000"/>
                    </w14:srgbClr>
                  </w14:solidFill>
                </w14:textFill>
              </w:rPr>
              <w:t xml:space="preserve">　</w:t>
            </w:r>
            <w:r w:rsidRPr="00F555BD">
              <w:rPr>
                <w:color w:val="000000"/>
                <w:w w:val="19"/>
                <w:shd w:val="solid" w:color="000000" w:fill="000000"/>
                <w:fitText w:val="88" w:id="-691349746"/>
                <w14:textFill>
                  <w14:solidFill>
                    <w14:srgbClr w14:val="000000">
                      <w14:alpha w14:val="100000"/>
                    </w14:srgbClr>
                  </w14:solidFill>
                </w14:textFill>
              </w:rPr>
              <w:t>|</w:t>
            </w:r>
            <w:r w:rsidRPr="00F555BD">
              <w:rPr>
                <w:rFonts w:hint="eastAsia"/>
                <w:color w:val="000000"/>
                <w:spacing w:val="4"/>
                <w:w w:val="19"/>
                <w:shd w:val="solid" w:color="000000" w:fill="000000"/>
                <w:fitText w:val="88" w:id="-691349746"/>
                <w14:textFill>
                  <w14:solidFill>
                    <w14:srgbClr w14:val="000000">
                      <w14:alpha w14:val="100000"/>
                    </w14:srgbClr>
                  </w14:solidFill>
                </w14:textFill>
              </w:rPr>
              <w:t xml:space="preserve">　</w:t>
            </w:r>
            <w:r w:rsidR="00567D99" w:rsidRPr="00567D99">
              <w:rPr>
                <w:vertAlign w:val="superscript"/>
              </w:rPr>
              <w:t>11</w:t>
            </w:r>
          </w:p>
        </w:tc>
        <w:tc>
          <w:tcPr>
            <w:tcW w:w="1043" w:type="dxa"/>
            <w:tcMar>
              <w:left w:w="0" w:type="dxa"/>
              <w:right w:w="0" w:type="dxa"/>
            </w:tcMar>
            <w:vAlign w:val="center"/>
          </w:tcPr>
          <w:p w14:paraId="78330234" w14:textId="0E76F584"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7" w:id="-691349745"/>
                <w14:textFill>
                  <w14:solidFill>
                    <w14:srgbClr w14:val="000000">
                      <w14:alpha w14:val="100000"/>
                    </w14:srgbClr>
                  </w14:solidFill>
                </w14:textFill>
              </w:rPr>
              <w:t xml:space="preserve">　</w:t>
            </w:r>
            <w:r w:rsidRPr="00F555BD">
              <w:rPr>
                <w:color w:val="000000"/>
                <w:w w:val="19"/>
                <w:shd w:val="solid" w:color="000000" w:fill="000000"/>
                <w:fitText w:val="87" w:id="-691349745"/>
                <w14:textFill>
                  <w14:solidFill>
                    <w14:srgbClr w14:val="000000">
                      <w14:alpha w14:val="100000"/>
                    </w14:srgbClr>
                  </w14:solidFill>
                </w14:textFill>
              </w:rPr>
              <w:t>|</w:t>
            </w:r>
            <w:r w:rsidRPr="00F555BD">
              <w:rPr>
                <w:rFonts w:hint="eastAsia"/>
                <w:color w:val="000000"/>
                <w:spacing w:val="3"/>
                <w:w w:val="19"/>
                <w:shd w:val="solid" w:color="000000" w:fill="000000"/>
                <w:fitText w:val="87" w:id="-691349745"/>
                <w14:textFill>
                  <w14:solidFill>
                    <w14:srgbClr w14:val="000000">
                      <w14:alpha w14:val="100000"/>
                    </w14:srgbClr>
                  </w14:solidFill>
                </w14:textFill>
              </w:rPr>
              <w:t xml:space="preserve">　</w:t>
            </w:r>
            <w:r w:rsidR="00567D99" w:rsidRPr="00567D99">
              <w:rPr>
                <w:vertAlign w:val="superscript"/>
              </w:rPr>
              <w:t>11</w:t>
            </w:r>
          </w:p>
        </w:tc>
        <w:tc>
          <w:tcPr>
            <w:tcW w:w="1043" w:type="dxa"/>
            <w:tcMar>
              <w:left w:w="0" w:type="dxa"/>
              <w:right w:w="0" w:type="dxa"/>
            </w:tcMar>
            <w:vAlign w:val="center"/>
          </w:tcPr>
          <w:p w14:paraId="57E86CBD" w14:textId="4CC1605E" w:rsidR="00844D98" w:rsidRPr="0000214D" w:rsidRDefault="00F555BD" w:rsidP="006E2A77">
            <w:pPr>
              <w:pStyle w:val="COMTabletext"/>
              <w:jc w:val="center"/>
              <w:rPr>
                <w:highlight w:val="darkGray"/>
              </w:rPr>
            </w:pPr>
            <w:r w:rsidRPr="00F555BD">
              <w:rPr>
                <w:rFonts w:hint="eastAsia"/>
                <w:color w:val="000000"/>
                <w:w w:val="19"/>
                <w:shd w:val="solid" w:color="000000" w:fill="000000"/>
                <w:fitText w:val="87" w:id="-691349744"/>
                <w14:textFill>
                  <w14:solidFill>
                    <w14:srgbClr w14:val="000000">
                      <w14:alpha w14:val="100000"/>
                    </w14:srgbClr>
                  </w14:solidFill>
                </w14:textFill>
              </w:rPr>
              <w:t xml:space="preserve">　</w:t>
            </w:r>
            <w:r w:rsidRPr="00F555BD">
              <w:rPr>
                <w:color w:val="000000"/>
                <w:w w:val="19"/>
                <w:shd w:val="solid" w:color="000000" w:fill="000000"/>
                <w:fitText w:val="87" w:id="-691349744"/>
                <w14:textFill>
                  <w14:solidFill>
                    <w14:srgbClr w14:val="000000">
                      <w14:alpha w14:val="100000"/>
                    </w14:srgbClr>
                  </w14:solidFill>
                </w14:textFill>
              </w:rPr>
              <w:t>|</w:t>
            </w:r>
            <w:r w:rsidRPr="00F555BD">
              <w:rPr>
                <w:rFonts w:hint="eastAsia"/>
                <w:color w:val="000000"/>
                <w:spacing w:val="3"/>
                <w:w w:val="19"/>
                <w:shd w:val="solid" w:color="000000" w:fill="000000"/>
                <w:fitText w:val="87" w:id="-691349744"/>
                <w14:textFill>
                  <w14:solidFill>
                    <w14:srgbClr w14:val="000000">
                      <w14:alpha w14:val="100000"/>
                    </w14:srgbClr>
                  </w14:solidFill>
                </w14:textFill>
              </w:rPr>
              <w:t xml:space="preserve">　</w:t>
            </w:r>
            <w:r w:rsidR="00567D99" w:rsidRPr="00567D99">
              <w:rPr>
                <w:vertAlign w:val="superscript"/>
              </w:rPr>
              <w:t>11</w:t>
            </w:r>
          </w:p>
        </w:tc>
      </w:tr>
      <w:tr w:rsidR="00844D98" w:rsidRPr="00704B78" w14:paraId="7E32885C" w14:textId="77777777">
        <w:tc>
          <w:tcPr>
            <w:tcW w:w="2809" w:type="dxa"/>
            <w:vAlign w:val="center"/>
          </w:tcPr>
          <w:p w14:paraId="61A497CA" w14:textId="73652E4C" w:rsidR="00844D98" w:rsidRPr="00704B78" w:rsidRDefault="00844D98" w:rsidP="006E2A77">
            <w:pPr>
              <w:pStyle w:val="COMTabletext"/>
            </w:pPr>
            <w:r w:rsidRPr="00704B78">
              <w:t xml:space="preserve">Net cost to </w:t>
            </w:r>
            <w:r w:rsidR="00B30E69" w:rsidRPr="00704B78">
              <w:t>PBS/RPBS/MBS</w:t>
            </w:r>
            <w:r w:rsidR="00D3010D">
              <w:t xml:space="preserve"> </w:t>
            </w:r>
          </w:p>
        </w:tc>
        <w:tc>
          <w:tcPr>
            <w:tcW w:w="1043" w:type="dxa"/>
            <w:tcMar>
              <w:left w:w="0" w:type="dxa"/>
              <w:right w:w="0" w:type="dxa"/>
            </w:tcMar>
          </w:tcPr>
          <w:p w14:paraId="02600311" w14:textId="233FECF3"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3" w:id="-691349760"/>
                <w14:textFill>
                  <w14:solidFill>
                    <w14:srgbClr w14:val="000000">
                      <w14:alpha w14:val="100000"/>
                    </w14:srgbClr>
                  </w14:solidFill>
                </w14:textFill>
              </w:rPr>
              <w:t xml:space="preserve">　</w:t>
            </w:r>
            <w:r w:rsidRPr="00F555BD">
              <w:rPr>
                <w:color w:val="000000"/>
                <w:w w:val="15"/>
                <w:shd w:val="solid" w:color="000000" w:fill="000000"/>
                <w:fitText w:val="63" w:id="-691349760"/>
                <w14:textFill>
                  <w14:solidFill>
                    <w14:srgbClr w14:val="000000">
                      <w14:alpha w14:val="100000"/>
                    </w14:srgbClr>
                  </w14:solidFill>
                </w14:textFill>
              </w:rPr>
              <w:t>|</w:t>
            </w:r>
            <w:r w:rsidRPr="00F555BD">
              <w:rPr>
                <w:rFonts w:hint="eastAsia"/>
                <w:color w:val="000000"/>
                <w:spacing w:val="-2"/>
                <w:w w:val="15"/>
                <w:shd w:val="solid" w:color="000000" w:fill="000000"/>
                <w:fitText w:val="63" w:id="-691349760"/>
                <w14:textFill>
                  <w14:solidFill>
                    <w14:srgbClr w14:val="000000">
                      <w14:alpha w14:val="100000"/>
                    </w14:srgbClr>
                  </w14:solidFill>
                </w14:textFill>
              </w:rPr>
              <w:t xml:space="preserve">　</w:t>
            </w:r>
            <w:r w:rsidR="00F9782A" w:rsidRPr="00F9782A">
              <w:rPr>
                <w:b/>
                <w:bCs w:val="0"/>
                <w:vertAlign w:val="superscript"/>
              </w:rPr>
              <w:t>4</w:t>
            </w:r>
          </w:p>
        </w:tc>
        <w:tc>
          <w:tcPr>
            <w:tcW w:w="1043" w:type="dxa"/>
            <w:tcMar>
              <w:left w:w="0" w:type="dxa"/>
              <w:right w:w="0" w:type="dxa"/>
            </w:tcMar>
          </w:tcPr>
          <w:p w14:paraId="38625F1F" w14:textId="5C298318"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3" w:id="-691349759"/>
                <w14:textFill>
                  <w14:solidFill>
                    <w14:srgbClr w14:val="000000">
                      <w14:alpha w14:val="100000"/>
                    </w14:srgbClr>
                  </w14:solidFill>
                </w14:textFill>
              </w:rPr>
              <w:t xml:space="preserve">　</w:t>
            </w:r>
            <w:r w:rsidRPr="00F555BD">
              <w:rPr>
                <w:color w:val="000000"/>
                <w:w w:val="15"/>
                <w:shd w:val="solid" w:color="000000" w:fill="000000"/>
                <w:fitText w:val="63" w:id="-691349759"/>
                <w14:textFill>
                  <w14:solidFill>
                    <w14:srgbClr w14:val="000000">
                      <w14:alpha w14:val="100000"/>
                    </w14:srgbClr>
                  </w14:solidFill>
                </w14:textFill>
              </w:rPr>
              <w:t>|</w:t>
            </w:r>
            <w:r w:rsidRPr="00F555BD">
              <w:rPr>
                <w:rFonts w:hint="eastAsia"/>
                <w:color w:val="000000"/>
                <w:spacing w:val="-2"/>
                <w:w w:val="15"/>
                <w:shd w:val="solid" w:color="000000" w:fill="000000"/>
                <w:fitText w:val="63" w:id="-691349759"/>
                <w14:textFill>
                  <w14:solidFill>
                    <w14:srgbClr w14:val="000000">
                      <w14:alpha w14:val="100000"/>
                    </w14:srgbClr>
                  </w14:solidFill>
                </w14:textFill>
              </w:rPr>
              <w:t xml:space="preserve">　</w:t>
            </w:r>
            <w:r w:rsidR="00E732C9" w:rsidRPr="00E732C9">
              <w:rPr>
                <w:b/>
                <w:bCs w:val="0"/>
                <w:vertAlign w:val="superscript"/>
              </w:rPr>
              <w:t>5</w:t>
            </w:r>
          </w:p>
        </w:tc>
        <w:tc>
          <w:tcPr>
            <w:tcW w:w="1043" w:type="dxa"/>
            <w:tcMar>
              <w:left w:w="0" w:type="dxa"/>
              <w:right w:w="0" w:type="dxa"/>
            </w:tcMar>
          </w:tcPr>
          <w:p w14:paraId="30E7E7BB" w14:textId="1B280F63"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3" w:id="-691349758"/>
                <w14:textFill>
                  <w14:solidFill>
                    <w14:srgbClr w14:val="000000">
                      <w14:alpha w14:val="100000"/>
                    </w14:srgbClr>
                  </w14:solidFill>
                </w14:textFill>
              </w:rPr>
              <w:t xml:space="preserve">　</w:t>
            </w:r>
            <w:r w:rsidRPr="00F555BD">
              <w:rPr>
                <w:color w:val="000000"/>
                <w:w w:val="15"/>
                <w:shd w:val="solid" w:color="000000" w:fill="000000"/>
                <w:fitText w:val="63" w:id="-691349758"/>
                <w14:textFill>
                  <w14:solidFill>
                    <w14:srgbClr w14:val="000000">
                      <w14:alpha w14:val="100000"/>
                    </w14:srgbClr>
                  </w14:solidFill>
                </w14:textFill>
              </w:rPr>
              <w:t>|</w:t>
            </w:r>
            <w:r w:rsidRPr="00F555BD">
              <w:rPr>
                <w:rFonts w:hint="eastAsia"/>
                <w:color w:val="000000"/>
                <w:spacing w:val="-2"/>
                <w:w w:val="15"/>
                <w:shd w:val="solid" w:color="000000" w:fill="000000"/>
                <w:fitText w:val="63" w:id="-691349758"/>
                <w14:textFill>
                  <w14:solidFill>
                    <w14:srgbClr w14:val="000000">
                      <w14:alpha w14:val="100000"/>
                    </w14:srgbClr>
                  </w14:solidFill>
                </w14:textFill>
              </w:rPr>
              <w:t xml:space="preserve">　</w:t>
            </w:r>
            <w:r w:rsidR="00E732C9" w:rsidRPr="00E732C9">
              <w:rPr>
                <w:b/>
                <w:bCs w:val="0"/>
                <w:vertAlign w:val="superscript"/>
              </w:rPr>
              <w:t>6</w:t>
            </w:r>
          </w:p>
        </w:tc>
        <w:tc>
          <w:tcPr>
            <w:tcW w:w="1043" w:type="dxa"/>
            <w:tcMar>
              <w:left w:w="0" w:type="dxa"/>
              <w:right w:w="0" w:type="dxa"/>
            </w:tcMar>
          </w:tcPr>
          <w:p w14:paraId="4BB1B5A4" w14:textId="2B577B88"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3" w:id="-691349757"/>
                <w14:textFill>
                  <w14:solidFill>
                    <w14:srgbClr w14:val="000000">
                      <w14:alpha w14:val="100000"/>
                    </w14:srgbClr>
                  </w14:solidFill>
                </w14:textFill>
              </w:rPr>
              <w:t xml:space="preserve">　</w:t>
            </w:r>
            <w:r w:rsidRPr="00F555BD">
              <w:rPr>
                <w:color w:val="000000"/>
                <w:w w:val="15"/>
                <w:shd w:val="solid" w:color="000000" w:fill="000000"/>
                <w:fitText w:val="63" w:id="-691349757"/>
                <w14:textFill>
                  <w14:solidFill>
                    <w14:srgbClr w14:val="000000">
                      <w14:alpha w14:val="100000"/>
                    </w14:srgbClr>
                  </w14:solidFill>
                </w14:textFill>
              </w:rPr>
              <w:t>|</w:t>
            </w:r>
            <w:r w:rsidRPr="00F555BD">
              <w:rPr>
                <w:rFonts w:hint="eastAsia"/>
                <w:color w:val="000000"/>
                <w:spacing w:val="-2"/>
                <w:w w:val="15"/>
                <w:shd w:val="solid" w:color="000000" w:fill="000000"/>
                <w:fitText w:val="63" w:id="-691349757"/>
                <w14:textFill>
                  <w14:solidFill>
                    <w14:srgbClr w14:val="000000">
                      <w14:alpha w14:val="100000"/>
                    </w14:srgbClr>
                  </w14:solidFill>
                </w14:textFill>
              </w:rPr>
              <w:t xml:space="preserve">　</w:t>
            </w:r>
            <w:r w:rsidR="00E732C9" w:rsidRPr="00E732C9">
              <w:rPr>
                <w:b/>
                <w:bCs w:val="0"/>
                <w:vertAlign w:val="superscript"/>
              </w:rPr>
              <w:t>6</w:t>
            </w:r>
          </w:p>
        </w:tc>
        <w:tc>
          <w:tcPr>
            <w:tcW w:w="1043" w:type="dxa"/>
            <w:tcMar>
              <w:left w:w="0" w:type="dxa"/>
              <w:right w:w="0" w:type="dxa"/>
            </w:tcMar>
          </w:tcPr>
          <w:p w14:paraId="7B924411" w14:textId="5B974CF4"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2" w:id="-691349756"/>
                <w14:textFill>
                  <w14:solidFill>
                    <w14:srgbClr w14:val="000000">
                      <w14:alpha w14:val="100000"/>
                    </w14:srgbClr>
                  </w14:solidFill>
                </w14:textFill>
              </w:rPr>
              <w:t xml:space="preserve">　</w:t>
            </w:r>
            <w:r w:rsidRPr="00F555BD">
              <w:rPr>
                <w:color w:val="000000"/>
                <w:w w:val="15"/>
                <w:shd w:val="solid" w:color="000000" w:fill="000000"/>
                <w:fitText w:val="62" w:id="-691349756"/>
                <w14:textFill>
                  <w14:solidFill>
                    <w14:srgbClr w14:val="000000">
                      <w14:alpha w14:val="100000"/>
                    </w14:srgbClr>
                  </w14:solidFill>
                </w14:textFill>
              </w:rPr>
              <w:t>|</w:t>
            </w:r>
            <w:r w:rsidRPr="00F555BD">
              <w:rPr>
                <w:rFonts w:hint="eastAsia"/>
                <w:color w:val="000000"/>
                <w:spacing w:val="-3"/>
                <w:w w:val="15"/>
                <w:shd w:val="solid" w:color="000000" w:fill="000000"/>
                <w:fitText w:val="62" w:id="-691349756"/>
                <w14:textFill>
                  <w14:solidFill>
                    <w14:srgbClr w14:val="000000">
                      <w14:alpha w14:val="100000"/>
                    </w14:srgbClr>
                  </w14:solidFill>
                </w14:textFill>
              </w:rPr>
              <w:t xml:space="preserve">　</w:t>
            </w:r>
            <w:r w:rsidR="005C17B4" w:rsidRPr="005C17B4">
              <w:rPr>
                <w:b/>
                <w:bCs w:val="0"/>
                <w:vertAlign w:val="superscript"/>
              </w:rPr>
              <w:t>7</w:t>
            </w:r>
          </w:p>
        </w:tc>
        <w:tc>
          <w:tcPr>
            <w:tcW w:w="1043" w:type="dxa"/>
            <w:tcMar>
              <w:left w:w="0" w:type="dxa"/>
              <w:right w:w="0" w:type="dxa"/>
            </w:tcMar>
          </w:tcPr>
          <w:p w14:paraId="354A4B2B" w14:textId="57237593" w:rsidR="00844D98" w:rsidRPr="0000214D" w:rsidRDefault="00F555BD" w:rsidP="006E2A77">
            <w:pPr>
              <w:pStyle w:val="COMTabletext"/>
              <w:jc w:val="center"/>
              <w:rPr>
                <w:highlight w:val="darkGray"/>
              </w:rPr>
            </w:pPr>
            <w:r w:rsidRPr="00F555BD">
              <w:rPr>
                <w:rFonts w:hint="eastAsia"/>
                <w:color w:val="000000"/>
                <w:w w:val="15"/>
                <w:shd w:val="solid" w:color="000000" w:fill="000000"/>
                <w:fitText w:val="62" w:id="-691349755"/>
                <w14:textFill>
                  <w14:solidFill>
                    <w14:srgbClr w14:val="000000">
                      <w14:alpha w14:val="100000"/>
                    </w14:srgbClr>
                  </w14:solidFill>
                </w14:textFill>
              </w:rPr>
              <w:t xml:space="preserve">　</w:t>
            </w:r>
            <w:r w:rsidRPr="00F555BD">
              <w:rPr>
                <w:color w:val="000000"/>
                <w:w w:val="15"/>
                <w:shd w:val="solid" w:color="000000" w:fill="000000"/>
                <w:fitText w:val="62" w:id="-691349755"/>
                <w14:textFill>
                  <w14:solidFill>
                    <w14:srgbClr w14:val="000000">
                      <w14:alpha w14:val="100000"/>
                    </w14:srgbClr>
                  </w14:solidFill>
                </w14:textFill>
              </w:rPr>
              <w:t>|</w:t>
            </w:r>
            <w:r w:rsidRPr="00F555BD">
              <w:rPr>
                <w:rFonts w:hint="eastAsia"/>
                <w:color w:val="000000"/>
                <w:spacing w:val="-3"/>
                <w:w w:val="15"/>
                <w:shd w:val="solid" w:color="000000" w:fill="000000"/>
                <w:fitText w:val="62" w:id="-691349755"/>
                <w14:textFill>
                  <w14:solidFill>
                    <w14:srgbClr w14:val="000000">
                      <w14:alpha w14:val="100000"/>
                    </w14:srgbClr>
                  </w14:solidFill>
                </w14:textFill>
              </w:rPr>
              <w:t xml:space="preserve">　</w:t>
            </w:r>
            <w:r w:rsidR="005C17B4" w:rsidRPr="005C17B4">
              <w:rPr>
                <w:b/>
                <w:bCs w:val="0"/>
                <w:vertAlign w:val="superscript"/>
              </w:rPr>
              <w:t>8</w:t>
            </w:r>
          </w:p>
        </w:tc>
      </w:tr>
    </w:tbl>
    <w:p w14:paraId="3CC4DD12" w14:textId="4D4AA8BF" w:rsidR="00927043" w:rsidRPr="00704B78" w:rsidRDefault="00127D4A" w:rsidP="006E2A77">
      <w:pPr>
        <w:pStyle w:val="COMTablefooter"/>
      </w:pPr>
      <w:r w:rsidRPr="00704B78">
        <w:t xml:space="preserve">Source: </w:t>
      </w:r>
      <w:r w:rsidR="00927043" w:rsidRPr="00704B78">
        <w:t xml:space="preserve">Table 4-3, p281; </w:t>
      </w:r>
      <w:r w:rsidRPr="00704B78">
        <w:t>Table 4-4, p282; Table 4-8, p285;</w:t>
      </w:r>
      <w:r w:rsidR="00927043" w:rsidRPr="00704B78">
        <w:t xml:space="preserve"> Table 4-9, p286;</w:t>
      </w:r>
      <w:r w:rsidRPr="00704B78">
        <w:t xml:space="preserve"> Table 4-10, p287; Table 4-11, p287; Table 4-12, p288; Table 4-15, p291</w:t>
      </w:r>
      <w:r w:rsidR="00927043" w:rsidRPr="00704B78">
        <w:t>; Source: 4-20, p295 of the resubmission</w:t>
      </w:r>
    </w:p>
    <w:p w14:paraId="7C1B9E7C" w14:textId="77777777" w:rsidR="00BD08BF" w:rsidRDefault="00127D4A" w:rsidP="006E2A77">
      <w:pPr>
        <w:pStyle w:val="COMTablefooter"/>
        <w:spacing w:after="0"/>
      </w:pPr>
      <w:r w:rsidRPr="00704B78">
        <w:t xml:space="preserve">Abbreviations: </w:t>
      </w:r>
      <w:r w:rsidR="00927043" w:rsidRPr="00704B78">
        <w:t xml:space="preserve">MBS, Medicare Benefits Schedule; </w:t>
      </w:r>
      <w:r w:rsidRPr="00704B78">
        <w:t>PBS, Pharmaceutical Benefits Scheme; RPBS, Repatriation Pharmaceutical Benefits Scheme.</w:t>
      </w:r>
    </w:p>
    <w:p w14:paraId="34DC9995" w14:textId="15B570AE" w:rsidR="00BD08BF" w:rsidRPr="009A6D58" w:rsidRDefault="00BD08BF" w:rsidP="006E2A7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0B1853B" w14:textId="64D99114" w:rsidR="00BD08BF" w:rsidRDefault="00BD08BF" w:rsidP="006E2A77">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6235D9">
        <w:rPr>
          <w:rFonts w:ascii="Arial Narrow" w:hAnsi="Arial Narrow"/>
          <w:i/>
          <w:sz w:val="18"/>
          <w:szCs w:val="18"/>
        </w:rPr>
        <w:t>500 to &lt; 5,000</w:t>
      </w:r>
    </w:p>
    <w:p w14:paraId="7AC45E3C" w14:textId="77777777" w:rsidR="00BD08BF" w:rsidRPr="009A6D58" w:rsidRDefault="00BD08BF" w:rsidP="006E2A77">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5C1D11">
        <w:rPr>
          <w:rFonts w:ascii="Arial Narrow" w:hAnsi="Arial Narrow"/>
          <w:i/>
          <w:sz w:val="18"/>
          <w:szCs w:val="18"/>
        </w:rPr>
        <w:t>&lt; 500</w:t>
      </w:r>
    </w:p>
    <w:p w14:paraId="2550EBB9" w14:textId="77777777" w:rsidR="00BD08BF" w:rsidRDefault="00BD08BF" w:rsidP="006E2A7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E06C57">
        <w:rPr>
          <w:rFonts w:ascii="Arial Narrow" w:hAnsi="Arial Narrow"/>
          <w:i/>
          <w:sz w:val="18"/>
          <w:szCs w:val="18"/>
        </w:rPr>
        <w:t>5,000 to &lt; 10,000</w:t>
      </w:r>
    </w:p>
    <w:p w14:paraId="59B17F23" w14:textId="1A3D01FB" w:rsidR="001D6068" w:rsidRDefault="001D6068" w:rsidP="006E2A77">
      <w:pPr>
        <w:rPr>
          <w:rFonts w:ascii="Arial Narrow" w:hAnsi="Arial Narrow"/>
          <w:i/>
          <w:sz w:val="18"/>
          <w:szCs w:val="18"/>
        </w:rPr>
      </w:pPr>
      <w:r w:rsidRPr="001D6068">
        <w:rPr>
          <w:rFonts w:ascii="Arial Narrow" w:hAnsi="Arial Narrow"/>
          <w:i/>
          <w:sz w:val="18"/>
          <w:szCs w:val="18"/>
          <w:vertAlign w:val="superscript"/>
        </w:rPr>
        <w:t>4</w:t>
      </w:r>
      <w:r>
        <w:rPr>
          <w:rFonts w:ascii="Arial Narrow" w:hAnsi="Arial Narrow"/>
          <w:i/>
          <w:sz w:val="18"/>
          <w:szCs w:val="18"/>
        </w:rPr>
        <w:t xml:space="preserve"> </w:t>
      </w:r>
      <w:r w:rsidRPr="001D6068">
        <w:rPr>
          <w:rFonts w:ascii="Arial Narrow" w:hAnsi="Arial Narrow"/>
          <w:i/>
          <w:sz w:val="18"/>
          <w:szCs w:val="18"/>
        </w:rPr>
        <w:t>$20 million to &lt; $30 million</w:t>
      </w:r>
    </w:p>
    <w:p w14:paraId="2C6FD008" w14:textId="4FC199DF" w:rsidR="00BD08BF" w:rsidRDefault="00E732C9" w:rsidP="006E2A77">
      <w:pPr>
        <w:rPr>
          <w:rFonts w:ascii="Arial Narrow" w:hAnsi="Arial Narrow"/>
          <w:i/>
          <w:sz w:val="18"/>
          <w:szCs w:val="18"/>
        </w:rPr>
      </w:pPr>
      <w:r>
        <w:rPr>
          <w:rFonts w:ascii="Arial Narrow" w:hAnsi="Arial Narrow"/>
          <w:i/>
          <w:sz w:val="18"/>
          <w:szCs w:val="18"/>
          <w:vertAlign w:val="superscript"/>
        </w:rPr>
        <w:t>5</w:t>
      </w:r>
      <w:r w:rsidR="00BD08BF">
        <w:rPr>
          <w:rFonts w:ascii="Arial Narrow" w:hAnsi="Arial Narrow"/>
          <w:i/>
          <w:sz w:val="18"/>
          <w:szCs w:val="18"/>
        </w:rPr>
        <w:t xml:space="preserve"> </w:t>
      </w:r>
      <w:r w:rsidR="00BD08BF" w:rsidRPr="008F7EC2">
        <w:rPr>
          <w:rFonts w:ascii="Arial Narrow" w:hAnsi="Arial Narrow"/>
          <w:i/>
          <w:sz w:val="18"/>
          <w:szCs w:val="18"/>
        </w:rPr>
        <w:t>$40 million to &lt; $50 million</w:t>
      </w:r>
    </w:p>
    <w:p w14:paraId="2FE0DFEA" w14:textId="77777777" w:rsidR="005C17B4" w:rsidRDefault="00A60B71" w:rsidP="006E2A77">
      <w:pPr>
        <w:rPr>
          <w:rFonts w:ascii="Arial Narrow" w:hAnsi="Arial Narrow"/>
          <w:i/>
          <w:sz w:val="18"/>
          <w:szCs w:val="18"/>
        </w:rPr>
      </w:pPr>
      <w:r w:rsidRPr="00A60B71">
        <w:rPr>
          <w:rFonts w:ascii="Arial Narrow" w:hAnsi="Arial Narrow"/>
          <w:i/>
          <w:sz w:val="18"/>
          <w:szCs w:val="18"/>
          <w:vertAlign w:val="superscript"/>
        </w:rPr>
        <w:t>6</w:t>
      </w:r>
      <w:r>
        <w:rPr>
          <w:rFonts w:ascii="Arial Narrow" w:hAnsi="Arial Narrow"/>
          <w:i/>
          <w:sz w:val="18"/>
          <w:szCs w:val="18"/>
        </w:rPr>
        <w:t xml:space="preserve"> </w:t>
      </w:r>
      <w:r w:rsidRPr="00A60B71">
        <w:rPr>
          <w:rFonts w:ascii="Arial Narrow" w:hAnsi="Arial Narrow"/>
          <w:i/>
          <w:sz w:val="18"/>
          <w:szCs w:val="18"/>
        </w:rPr>
        <w:t>$</w:t>
      </w:r>
      <w:r>
        <w:rPr>
          <w:rFonts w:ascii="Arial Narrow" w:hAnsi="Arial Narrow"/>
          <w:i/>
          <w:sz w:val="18"/>
          <w:szCs w:val="18"/>
        </w:rPr>
        <w:t>5</w:t>
      </w:r>
      <w:r w:rsidRPr="00A60B71">
        <w:rPr>
          <w:rFonts w:ascii="Arial Narrow" w:hAnsi="Arial Narrow"/>
          <w:i/>
          <w:sz w:val="18"/>
          <w:szCs w:val="18"/>
        </w:rPr>
        <w:t>0 million to &lt; $</w:t>
      </w:r>
      <w:r>
        <w:rPr>
          <w:rFonts w:ascii="Arial Narrow" w:hAnsi="Arial Narrow"/>
          <w:i/>
          <w:sz w:val="18"/>
          <w:szCs w:val="18"/>
        </w:rPr>
        <w:t>6</w:t>
      </w:r>
      <w:r w:rsidRPr="00A60B71">
        <w:rPr>
          <w:rFonts w:ascii="Arial Narrow" w:hAnsi="Arial Narrow"/>
          <w:i/>
          <w:sz w:val="18"/>
          <w:szCs w:val="18"/>
        </w:rPr>
        <w:t>0 million</w:t>
      </w:r>
      <w:r w:rsidR="005C17B4">
        <w:rPr>
          <w:rFonts w:ascii="Arial Narrow" w:hAnsi="Arial Narrow"/>
          <w:i/>
          <w:sz w:val="18"/>
          <w:szCs w:val="18"/>
        </w:rPr>
        <w:t xml:space="preserve"> </w:t>
      </w:r>
    </w:p>
    <w:p w14:paraId="49D25B2F" w14:textId="1ECFF597" w:rsidR="00A60B71" w:rsidRPr="00A60B71" w:rsidRDefault="005C17B4" w:rsidP="006E2A77">
      <w:pPr>
        <w:rPr>
          <w:rFonts w:ascii="Arial Narrow" w:hAnsi="Arial Narrow"/>
          <w:i/>
          <w:sz w:val="18"/>
          <w:szCs w:val="18"/>
        </w:rPr>
      </w:pPr>
      <w:r w:rsidRPr="005C17B4">
        <w:rPr>
          <w:rFonts w:ascii="Arial Narrow" w:hAnsi="Arial Narrow"/>
          <w:i/>
          <w:sz w:val="18"/>
          <w:szCs w:val="18"/>
          <w:vertAlign w:val="superscript"/>
        </w:rPr>
        <w:t>7</w:t>
      </w:r>
      <w:r w:rsidRPr="005C17B4">
        <w:rPr>
          <w:rFonts w:ascii="Arial Narrow" w:hAnsi="Arial Narrow"/>
          <w:i/>
          <w:sz w:val="18"/>
          <w:szCs w:val="18"/>
        </w:rPr>
        <w:t xml:space="preserve"> $</w:t>
      </w:r>
      <w:r>
        <w:rPr>
          <w:rFonts w:ascii="Arial Narrow" w:hAnsi="Arial Narrow"/>
          <w:i/>
          <w:sz w:val="18"/>
          <w:szCs w:val="18"/>
        </w:rPr>
        <w:t>6</w:t>
      </w:r>
      <w:r w:rsidRPr="005C17B4">
        <w:rPr>
          <w:rFonts w:ascii="Arial Narrow" w:hAnsi="Arial Narrow"/>
          <w:i/>
          <w:sz w:val="18"/>
          <w:szCs w:val="18"/>
        </w:rPr>
        <w:t>0 million to &lt; $</w:t>
      </w:r>
      <w:r>
        <w:rPr>
          <w:rFonts w:ascii="Arial Narrow" w:hAnsi="Arial Narrow"/>
          <w:i/>
          <w:sz w:val="18"/>
          <w:szCs w:val="18"/>
        </w:rPr>
        <w:t>7</w:t>
      </w:r>
      <w:r w:rsidRPr="005C17B4">
        <w:rPr>
          <w:rFonts w:ascii="Arial Narrow" w:hAnsi="Arial Narrow"/>
          <w:i/>
          <w:sz w:val="18"/>
          <w:szCs w:val="18"/>
        </w:rPr>
        <w:t>0 million</w:t>
      </w:r>
    </w:p>
    <w:p w14:paraId="2600E78D" w14:textId="3E0131C6" w:rsidR="00A60B71" w:rsidRPr="00A60B71" w:rsidRDefault="005C17B4" w:rsidP="006E2A77">
      <w:pPr>
        <w:rPr>
          <w:rFonts w:ascii="Arial Narrow" w:hAnsi="Arial Narrow"/>
          <w:i/>
          <w:sz w:val="18"/>
          <w:szCs w:val="18"/>
        </w:rPr>
      </w:pPr>
      <w:r w:rsidRPr="005C17B4">
        <w:rPr>
          <w:rFonts w:ascii="Arial Narrow" w:hAnsi="Arial Narrow"/>
          <w:i/>
          <w:sz w:val="18"/>
          <w:szCs w:val="18"/>
          <w:vertAlign w:val="superscript"/>
        </w:rPr>
        <w:t>8</w:t>
      </w:r>
      <w:r>
        <w:rPr>
          <w:rFonts w:ascii="Arial Narrow" w:hAnsi="Arial Narrow"/>
          <w:i/>
          <w:sz w:val="18"/>
          <w:szCs w:val="18"/>
        </w:rPr>
        <w:t xml:space="preserve"> </w:t>
      </w:r>
      <w:r w:rsidR="00A60B71" w:rsidRPr="00A60B71">
        <w:rPr>
          <w:rFonts w:ascii="Arial Narrow" w:hAnsi="Arial Narrow"/>
          <w:i/>
          <w:sz w:val="18"/>
          <w:szCs w:val="18"/>
        </w:rPr>
        <w:t>$70 million to &lt; $80 million</w:t>
      </w:r>
    </w:p>
    <w:p w14:paraId="588C82BE" w14:textId="03815A8D" w:rsidR="00BD08BF" w:rsidRDefault="00567D99" w:rsidP="006E2A77">
      <w:pPr>
        <w:rPr>
          <w:rFonts w:ascii="Arial Narrow" w:hAnsi="Arial Narrow"/>
          <w:i/>
          <w:sz w:val="18"/>
          <w:szCs w:val="18"/>
        </w:rPr>
      </w:pPr>
      <w:r>
        <w:rPr>
          <w:rFonts w:ascii="Arial Narrow" w:hAnsi="Arial Narrow"/>
          <w:i/>
          <w:sz w:val="18"/>
          <w:szCs w:val="18"/>
          <w:vertAlign w:val="superscript"/>
        </w:rPr>
        <w:t>9</w:t>
      </w:r>
      <w:r w:rsidR="00BD08BF" w:rsidRPr="008D0B33">
        <w:rPr>
          <w:rFonts w:ascii="Arial Narrow" w:hAnsi="Arial Narrow"/>
          <w:i/>
          <w:sz w:val="18"/>
          <w:szCs w:val="18"/>
        </w:rPr>
        <w:t>$90 million to &lt; $100 million</w:t>
      </w:r>
    </w:p>
    <w:p w14:paraId="2180A9F0" w14:textId="072788B9" w:rsidR="00BD08BF" w:rsidRDefault="00567D99" w:rsidP="006E2A77">
      <w:pPr>
        <w:rPr>
          <w:rFonts w:ascii="Arial Narrow" w:hAnsi="Arial Narrow"/>
          <w:i/>
          <w:sz w:val="18"/>
          <w:szCs w:val="18"/>
        </w:rPr>
      </w:pPr>
      <w:r>
        <w:rPr>
          <w:rFonts w:ascii="Arial Narrow" w:hAnsi="Arial Narrow"/>
          <w:i/>
          <w:sz w:val="18"/>
          <w:szCs w:val="18"/>
          <w:vertAlign w:val="superscript"/>
        </w:rPr>
        <w:t>10</w:t>
      </w:r>
      <w:r w:rsidR="00BD08BF">
        <w:rPr>
          <w:rFonts w:ascii="Arial Narrow" w:hAnsi="Arial Narrow"/>
          <w:i/>
          <w:sz w:val="18"/>
          <w:szCs w:val="18"/>
        </w:rPr>
        <w:t xml:space="preserve"> </w:t>
      </w:r>
      <w:r w:rsidR="00BD08BF" w:rsidRPr="00B948CA">
        <w:rPr>
          <w:rFonts w:ascii="Arial Narrow" w:hAnsi="Arial Narrow"/>
          <w:i/>
          <w:sz w:val="18"/>
          <w:szCs w:val="18"/>
        </w:rPr>
        <w:t>$100 million to &lt; $200 million</w:t>
      </w:r>
    </w:p>
    <w:p w14:paraId="600419C7" w14:textId="7C7B0BE8" w:rsidR="00BD08BF" w:rsidRPr="00E94AE0" w:rsidRDefault="00567D99" w:rsidP="006E2A77">
      <w:pPr>
        <w:spacing w:after="120"/>
      </w:pPr>
      <w:r>
        <w:rPr>
          <w:rFonts w:ascii="Arial Narrow" w:hAnsi="Arial Narrow"/>
          <w:i/>
          <w:sz w:val="18"/>
          <w:szCs w:val="18"/>
          <w:vertAlign w:val="superscript"/>
        </w:rPr>
        <w:t>11</w:t>
      </w:r>
      <w:r w:rsidR="00BD08BF">
        <w:rPr>
          <w:rFonts w:ascii="Arial Narrow" w:hAnsi="Arial Narrow"/>
          <w:i/>
          <w:sz w:val="18"/>
          <w:szCs w:val="18"/>
        </w:rPr>
        <w:t xml:space="preserve"> </w:t>
      </w:r>
      <w:r w:rsidR="00BD08BF" w:rsidRPr="00155521">
        <w:rPr>
          <w:rFonts w:ascii="Arial Narrow" w:hAnsi="Arial Narrow"/>
          <w:i/>
          <w:sz w:val="18"/>
          <w:szCs w:val="18"/>
        </w:rPr>
        <w:t>$0 to &lt; $10 million</w:t>
      </w:r>
    </w:p>
    <w:p w14:paraId="10812157" w14:textId="185DCCF9" w:rsidR="00127D4A" w:rsidRPr="00704B78" w:rsidRDefault="00127D4A" w:rsidP="006E2A77">
      <w:pPr>
        <w:pStyle w:val="COMTablefooter"/>
      </w:pPr>
    </w:p>
    <w:p w14:paraId="06DE1B26" w14:textId="7DDABF8B" w:rsidR="00884859" w:rsidRPr="00704B78" w:rsidRDefault="00884859" w:rsidP="006E2A77">
      <w:pPr>
        <w:pStyle w:val="COMexecsummnumbered"/>
      </w:pPr>
      <w:r w:rsidRPr="00704B78">
        <w:t xml:space="preserve">The </w:t>
      </w:r>
      <w:r w:rsidR="00F4515F">
        <w:t xml:space="preserve">submission </w:t>
      </w:r>
      <w:r w:rsidRPr="00704B78">
        <w:t xml:space="preserve">estimated </w:t>
      </w:r>
      <w:r w:rsidR="00F4515F">
        <w:t xml:space="preserve">the </w:t>
      </w:r>
      <w:r w:rsidRPr="00704B78">
        <w:t xml:space="preserve">net cost to the PBS/RPBS of listing ravulizumab for both proposed populations </w:t>
      </w:r>
      <w:r w:rsidR="00F4515F" w:rsidRPr="00704B78">
        <w:t>w</w:t>
      </w:r>
      <w:r w:rsidR="00F4515F">
        <w:t>ould be</w:t>
      </w:r>
      <w:r w:rsidR="00F4515F" w:rsidRPr="00704B78">
        <w:t xml:space="preserve"> </w:t>
      </w:r>
      <w:r w:rsidR="00C16C46" w:rsidRPr="00C16C46">
        <w:t>$20 million to &lt; $30 million</w:t>
      </w:r>
      <w:r w:rsidR="00FF10DF">
        <w:t xml:space="preserve"> </w:t>
      </w:r>
      <w:r w:rsidRPr="00704B78">
        <w:t xml:space="preserve">in Year 1, increasing to </w:t>
      </w:r>
      <w:r w:rsidR="00FD2BD9" w:rsidRPr="00FD2BD9">
        <w:t>$70 million to &lt; $80 million</w:t>
      </w:r>
      <w:r w:rsidR="00FF10DF">
        <w:t xml:space="preserve"> </w:t>
      </w:r>
      <w:r w:rsidRPr="00704B78">
        <w:t xml:space="preserve">in Year 6, a total cost of </w:t>
      </w:r>
      <w:r w:rsidR="006E3F6B" w:rsidRPr="006E3F6B">
        <w:t>$300 million to &lt; $400 million</w:t>
      </w:r>
      <w:r w:rsidRPr="00704B78">
        <w:t xml:space="preserve"> over the first 6 years of listing.</w:t>
      </w:r>
    </w:p>
    <w:p w14:paraId="53891275" w14:textId="78FA31FE" w:rsidR="00884859" w:rsidRPr="00704B78" w:rsidRDefault="00884859" w:rsidP="006E2A77">
      <w:pPr>
        <w:pStyle w:val="COMexecsummnumbered"/>
      </w:pPr>
      <w:r w:rsidRPr="00704B78">
        <w:t xml:space="preserve">The estimated PBS/RPBS cost in the current resubmission was substantially lower than in the March 2024 submission (previously </w:t>
      </w:r>
      <w:r w:rsidR="00E9276A" w:rsidRPr="00E9276A">
        <w:t>$600 million to &lt; $700 million</w:t>
      </w:r>
      <w:r w:rsidR="00FF10DF">
        <w:t xml:space="preserve"> </w:t>
      </w:r>
      <w:r w:rsidRPr="00704B78">
        <w:t>over 6 years) primarily due a smaller treated population (as ravulizumab treatment was restricted to a subsequent line of therapy following IVIg/PLEX) as well as a lower effective price for ravulizumab (proposed AEMP per 300 mg vial decreased from $</w:t>
      </w:r>
      <w:r w:rsidR="00F555BD" w:rsidRPr="00875704">
        <w:rPr>
          <w:color w:val="000000"/>
          <w:w w:val="15"/>
          <w:shd w:val="solid" w:color="000000" w:fill="000000"/>
          <w:fitText w:val="-20" w:id="-691349754"/>
          <w14:textFill>
            <w14:solidFill>
              <w14:srgbClr w14:val="000000">
                <w14:alpha w14:val="100000"/>
              </w14:srgbClr>
            </w14:solidFill>
          </w14:textFill>
        </w:rPr>
        <w:t>|</w:t>
      </w:r>
      <w:r w:rsidR="00D61CA6" w:rsidRPr="00875704">
        <w:rPr>
          <w:color w:val="000000"/>
          <w:w w:val="15"/>
          <w:shd w:val="solid" w:color="000000" w:fill="000000"/>
          <w:fitText w:val="-20" w:id="-691349754"/>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4"/>
          <w14:textFill>
            <w14:solidFill>
              <w14:srgbClr w14:val="000000">
                <w14:alpha w14:val="100000"/>
              </w14:srgbClr>
            </w14:solidFill>
          </w14:textFill>
        </w:rPr>
        <w:t>|</w:t>
      </w:r>
      <w:r w:rsidRPr="00704B78">
        <w:t xml:space="preserve"> to $</w:t>
      </w:r>
      <w:r w:rsidR="00F555BD" w:rsidRPr="00875704">
        <w:rPr>
          <w:color w:val="000000"/>
          <w:w w:val="15"/>
          <w:shd w:val="solid" w:color="000000" w:fill="000000"/>
          <w:fitText w:val="-20" w:id="-691349753"/>
          <w14:textFill>
            <w14:solidFill>
              <w14:srgbClr w14:val="000000">
                <w14:alpha w14:val="100000"/>
              </w14:srgbClr>
            </w14:solidFill>
          </w14:textFill>
        </w:rPr>
        <w:t>|</w:t>
      </w:r>
      <w:r w:rsidR="00D61CA6" w:rsidRPr="00875704">
        <w:rPr>
          <w:color w:val="000000"/>
          <w:w w:val="15"/>
          <w:shd w:val="solid" w:color="000000" w:fill="000000"/>
          <w:fitText w:val="-20" w:id="-691349753"/>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53"/>
          <w14:textFill>
            <w14:solidFill>
              <w14:srgbClr w14:val="000000">
                <w14:alpha w14:val="100000"/>
              </w14:srgbClr>
            </w14:solidFill>
          </w14:textFill>
        </w:rPr>
        <w:t>|</w:t>
      </w:r>
      <w:r w:rsidRPr="00704B78">
        <w:t>).</w:t>
      </w:r>
    </w:p>
    <w:p w14:paraId="19B53CD3" w14:textId="36E6EEEC" w:rsidR="00973C11" w:rsidRPr="00704B78" w:rsidRDefault="00973C11" w:rsidP="006E2A77">
      <w:pPr>
        <w:pStyle w:val="COMexecsummnumbered"/>
      </w:pPr>
      <w:r w:rsidRPr="00704B78">
        <w:t xml:space="preserve">The </w:t>
      </w:r>
      <w:r w:rsidR="00AC72C9" w:rsidRPr="00704B78">
        <w:t xml:space="preserve">evaluation considered that the </w:t>
      </w:r>
      <w:r w:rsidR="005D334E">
        <w:t xml:space="preserve">submission’s </w:t>
      </w:r>
      <w:r w:rsidRPr="00704B78">
        <w:t>estimated cost to the PBS/RPBS was uncertain due to the following reasons:</w:t>
      </w:r>
    </w:p>
    <w:p w14:paraId="58EB39A0" w14:textId="577743E3" w:rsidR="00973C11" w:rsidRPr="00704B78" w:rsidRDefault="00973C11" w:rsidP="006E2A77">
      <w:pPr>
        <w:pStyle w:val="COMexecsummnumbered"/>
        <w:numPr>
          <w:ilvl w:val="0"/>
          <w:numId w:val="11"/>
        </w:numPr>
      </w:pPr>
      <w:r w:rsidRPr="00704B78">
        <w:t>The ratio of incidence (47 per 1,000,000 persons) to prevalence (20.3 per 100,000 persons) of myasthenia gravis in 2022 estimated in the sponsor-commissioned analysis (prevalence approximately 5 times</w:t>
      </w:r>
      <w:r w:rsidR="009C47FC" w:rsidRPr="00704B78">
        <w:t xml:space="preserve"> higher</w:t>
      </w:r>
      <w:r w:rsidRPr="00704B78">
        <w:t xml:space="preserve"> than incidence) w</w:t>
      </w:r>
      <w:r w:rsidR="008F7241" w:rsidRPr="00704B78">
        <w:t>as</w:t>
      </w:r>
      <w:r w:rsidR="002663EF" w:rsidRPr="00704B78">
        <w:t xml:space="preserve"> </w:t>
      </w:r>
      <w:r w:rsidRPr="00704B78">
        <w:t xml:space="preserve">implausible given the life expectancy of patients with myasthenia gravis. Most published </w:t>
      </w:r>
      <w:r w:rsidRPr="00704B78">
        <w:lastRenderedPageBreak/>
        <w:t xml:space="preserve">epidemiology studies for myasthenia gravis estimate that prevalence is approximately 10-20 times higher than incidence (Sciancalepore 2024). DUSC previously noted that the methodology used in the sponsor-commissioned analysis which estimated patient numbers based </w:t>
      </w:r>
      <w:r w:rsidR="00813DE9" w:rsidRPr="00704B78">
        <w:t xml:space="preserve">on </w:t>
      </w:r>
      <w:r w:rsidRPr="00704B78">
        <w:t xml:space="preserve">pyridostigmine scripts dispensed under the PBS may underestimate prevalence as not all myasthenia gravis patients will require active treatment with </w:t>
      </w:r>
      <w:proofErr w:type="gramStart"/>
      <w:r w:rsidRPr="00704B78">
        <w:t>pyridostigmine</w:t>
      </w:r>
      <w:r w:rsidR="002663EF" w:rsidRPr="00704B78">
        <w:t>,</w:t>
      </w:r>
      <w:r w:rsidRPr="00704B78">
        <w:t xml:space="preserve"> but</w:t>
      </w:r>
      <w:proofErr w:type="gramEnd"/>
      <w:r w:rsidRPr="00704B78">
        <w:t xml:space="preserve"> may also overestimate prevalence as pyridostigmine may also be used for other indications (Table 13, ravulizumab PSD, July 2024 PBAC meeting). Overall, the prevalence estimate used in the resubmission appeared to broadly align with other published </w:t>
      </w:r>
      <w:proofErr w:type="gramStart"/>
      <w:r w:rsidRPr="00704B78">
        <w:t>values</w:t>
      </w:r>
      <w:proofErr w:type="gramEnd"/>
      <w:r w:rsidRPr="00704B78">
        <w:t xml:space="preserve"> but the incidence estimate was substantially higher than most other values (Sciancalepore 2024).</w:t>
      </w:r>
    </w:p>
    <w:p w14:paraId="530E9A32" w14:textId="3F5EC766" w:rsidR="00973C11" w:rsidRPr="00704B78" w:rsidRDefault="00973C11" w:rsidP="006E2A77">
      <w:pPr>
        <w:pStyle w:val="COMexecsummnumbered"/>
        <w:numPr>
          <w:ilvl w:val="0"/>
          <w:numId w:val="11"/>
        </w:numPr>
      </w:pPr>
      <w:r w:rsidRPr="00704B78">
        <w:t>The prevalent population used to calculate treatment refractory utilisation should exclude the incident population in the current year and the previous year as these patients would not be eligible for treatment under the proposed treatment refractory PBS restriction (minimum 24 months prior treatment duration)</w:t>
      </w:r>
      <w:r w:rsidR="0069684D" w:rsidRPr="00704B78">
        <w:t>.</w:t>
      </w:r>
    </w:p>
    <w:p w14:paraId="723E5FA8" w14:textId="6CBD53A3" w:rsidR="00973C11" w:rsidRPr="00704B78" w:rsidRDefault="00973C11" w:rsidP="006E2A77">
      <w:pPr>
        <w:pStyle w:val="COMexecsummnumbered"/>
        <w:numPr>
          <w:ilvl w:val="0"/>
          <w:numId w:val="11"/>
        </w:numPr>
      </w:pPr>
      <w:r w:rsidRPr="00704B78">
        <w:t xml:space="preserve">The evidence supporting the estimated proportion of patients with an MG-ADL </w:t>
      </w:r>
      <w:r w:rsidR="0076010F" w:rsidRPr="00704B78">
        <w:t>≥</w:t>
      </w:r>
      <w:r w:rsidRPr="00704B78">
        <w:t xml:space="preserve"> 6 and the proportion of patients with treatment refractory disease was limited and both estimates may be highly variable in clinical practice (as MG-ADL is a subjective patient-reported instrument and the intensity of prior treatment may affect determination of treatment refractory status)</w:t>
      </w:r>
      <w:r w:rsidR="0076010F" w:rsidRPr="00704B78">
        <w:t>.</w:t>
      </w:r>
    </w:p>
    <w:p w14:paraId="5DE894A9" w14:textId="779D11D8" w:rsidR="00973C11" w:rsidRPr="00704B78" w:rsidRDefault="00973C11" w:rsidP="006E2A77">
      <w:pPr>
        <w:pStyle w:val="COMexecsummnumbered"/>
        <w:numPr>
          <w:ilvl w:val="0"/>
          <w:numId w:val="11"/>
        </w:numPr>
      </w:pPr>
      <w:r w:rsidRPr="00704B78">
        <w:t>The estimated treatment failure rate for IVIg/PLEX (10% unable to access</w:t>
      </w:r>
      <w:r w:rsidR="00437B15" w:rsidRPr="00704B78">
        <w:t>,</w:t>
      </w:r>
      <w:r w:rsidRPr="00704B78">
        <w:t xml:space="preserve"> 11.97% intolerant and 47.7% inadequately responsive to treatment; total failure rate: 69.67%) appeared to be very high for these treatments and may not be representative of clinical practice. Expert advice from treating physicians indicated that IVIg is widely available, and </w:t>
      </w:r>
      <w:proofErr w:type="gramStart"/>
      <w:r w:rsidRPr="00704B78">
        <w:t>a majority of</w:t>
      </w:r>
      <w:proofErr w:type="gramEnd"/>
      <w:r w:rsidRPr="00704B78">
        <w:t xml:space="preserve"> patients would respond and remain on therapy (</w:t>
      </w:r>
      <w:r w:rsidR="009C25E2" w:rsidRPr="00704B78">
        <w:t xml:space="preserve">based on the </w:t>
      </w:r>
      <w:r w:rsidRPr="00704B78">
        <w:t>clinical consultation minutes</w:t>
      </w:r>
      <w:r w:rsidR="009C25E2" w:rsidRPr="00704B78">
        <w:t xml:space="preserve"> </w:t>
      </w:r>
      <w:r w:rsidRPr="00704B78">
        <w:t>provided with the resubmission).</w:t>
      </w:r>
    </w:p>
    <w:p w14:paraId="7F31E016" w14:textId="3254669A" w:rsidR="00973C11" w:rsidRPr="00704B78" w:rsidRDefault="00973C11" w:rsidP="006E2A77">
      <w:pPr>
        <w:pStyle w:val="COMexecsummnumbered"/>
        <w:numPr>
          <w:ilvl w:val="0"/>
          <w:numId w:val="11"/>
        </w:numPr>
      </w:pPr>
      <w:r w:rsidRPr="00704B78">
        <w:t xml:space="preserve">The estimated uptake rate for ravulizumab </w:t>
      </w:r>
      <w:r w:rsidR="00C15BE8" w:rsidRPr="00704B78">
        <w:t xml:space="preserve">was </w:t>
      </w:r>
      <w:r w:rsidRPr="00704B78">
        <w:t>based on assumption</w:t>
      </w:r>
      <w:r w:rsidR="00C15BE8" w:rsidRPr="00704B78">
        <w:t>s</w:t>
      </w:r>
      <w:r w:rsidRPr="00704B78">
        <w:t xml:space="preserve"> and its likely use in clinical practice remains unclear.</w:t>
      </w:r>
    </w:p>
    <w:p w14:paraId="376EAC0C" w14:textId="4E2BB76F" w:rsidR="00973C11" w:rsidRDefault="00973C11" w:rsidP="006E2A77">
      <w:pPr>
        <w:pStyle w:val="COMexecsummnumbered"/>
      </w:pPr>
      <w:r w:rsidRPr="00704B78">
        <w:t>The</w:t>
      </w:r>
      <w:r w:rsidR="00C15BE8" w:rsidRPr="00704B78">
        <w:t xml:space="preserve"> evaluation considered the</w:t>
      </w:r>
      <w:r w:rsidRPr="00704B78">
        <w:t>re were also additional areas of uncertainty regarding response rate, treatment persistence, application of ravulizumab dose intensity estimates and calculation of non-responder scripts.</w:t>
      </w:r>
      <w:r w:rsidR="009F069A" w:rsidRPr="00704B78">
        <w:t xml:space="preserve"> </w:t>
      </w:r>
    </w:p>
    <w:p w14:paraId="48757F6E" w14:textId="1BF183DD" w:rsidR="004F1C3D" w:rsidRPr="00704B78" w:rsidRDefault="004F1C3D" w:rsidP="006E2A77">
      <w:pPr>
        <w:pStyle w:val="COMexecsummnumbered"/>
      </w:pPr>
      <w:r>
        <w:t xml:space="preserve">The PBAC noted the financial estimates included a ravulizumab compliance rate of 91.7% </w:t>
      </w:r>
      <w:r w:rsidRPr="004F1C3D">
        <w:t xml:space="preserve">based on CHAMPION-MG where 91.7% of patients </w:t>
      </w:r>
      <w:r w:rsidR="006C6F83">
        <w:t xml:space="preserve">who </w:t>
      </w:r>
      <w:r w:rsidRPr="004F1C3D">
        <w:t>receiv</w:t>
      </w:r>
      <w:r w:rsidR="006C6F83">
        <w:t>ed</w:t>
      </w:r>
      <w:r w:rsidRPr="004F1C3D">
        <w:t xml:space="preserve"> ravulizumab had 100% compliance over 60 weeks</w:t>
      </w:r>
      <w:r>
        <w:t xml:space="preserve">. However, the evaluation considered the </w:t>
      </w:r>
      <w:r w:rsidRPr="004F1C3D">
        <w:t>calculation of dose intensity</w:t>
      </w:r>
      <w:r w:rsidR="00662131">
        <w:t>/compliance</w:t>
      </w:r>
      <w:r w:rsidRPr="004F1C3D">
        <w:t xml:space="preserve"> was incorrect as it assumed that all patients without perfect adherence had no use of ravulizumab treatment.</w:t>
      </w:r>
      <w:r>
        <w:t xml:space="preserve"> The PBAC agreed with the evaluation that the dose intensity</w:t>
      </w:r>
      <w:r w:rsidR="00662131">
        <w:t>/compliance</w:t>
      </w:r>
      <w:r>
        <w:t xml:space="preserve"> </w:t>
      </w:r>
      <w:r w:rsidRPr="004F1C3D">
        <w:t>in the trial would have been greater than 91.7%</w:t>
      </w:r>
      <w:r>
        <w:t xml:space="preserve"> (refer to paragraph</w:t>
      </w:r>
      <w:r w:rsidR="00AB63E4">
        <w:t xml:space="preserve"> </w:t>
      </w:r>
      <w:r w:rsidR="00AB63E4">
        <w:fldChar w:fldCharType="begin"/>
      </w:r>
      <w:r w:rsidR="00AB63E4">
        <w:instrText xml:space="preserve"> REF _Ref194073688 \r \h </w:instrText>
      </w:r>
      <w:r w:rsidR="00AB63E4">
        <w:fldChar w:fldCharType="separate"/>
      </w:r>
      <w:r w:rsidR="00875704">
        <w:t>6.82</w:t>
      </w:r>
      <w:r w:rsidR="00AB63E4">
        <w:fldChar w:fldCharType="end"/>
      </w:r>
      <w:r>
        <w:t xml:space="preserve">). </w:t>
      </w:r>
    </w:p>
    <w:p w14:paraId="19CCB496" w14:textId="0DCB5705" w:rsidR="00A5235B" w:rsidRPr="00704B78" w:rsidRDefault="00A5235B" w:rsidP="006E2A77">
      <w:pPr>
        <w:pStyle w:val="COMexecsummnumbered"/>
      </w:pPr>
      <w:r w:rsidRPr="00704B78">
        <w:lastRenderedPageBreak/>
        <w:t xml:space="preserve">The ESC noted that the costs to the </w:t>
      </w:r>
      <w:r w:rsidR="00760317">
        <w:t>National Immunisation Program</w:t>
      </w:r>
      <w:r w:rsidR="00760317" w:rsidRPr="00704B78">
        <w:t xml:space="preserve"> </w:t>
      </w:r>
      <w:r w:rsidRPr="00704B78">
        <w:t>for increased use of meningococcal vaccines were not included in the financial estimates.</w:t>
      </w:r>
    </w:p>
    <w:p w14:paraId="6B493737" w14:textId="460E9146" w:rsidR="00822A39" w:rsidRPr="00704B78" w:rsidRDefault="00C00F0B" w:rsidP="006E2A77">
      <w:pPr>
        <w:pStyle w:val="COMexecsummnumbered"/>
      </w:pPr>
      <w:r w:rsidRPr="00704B78">
        <w:t xml:space="preserve">The </w:t>
      </w:r>
      <w:r w:rsidR="00822A39" w:rsidRPr="00704B78">
        <w:t xml:space="preserve">ESC </w:t>
      </w:r>
      <w:r w:rsidR="002C725F" w:rsidRPr="00704B78">
        <w:t>noted the financial estimates were based on the resubmission’s proposed place in therapy of</w:t>
      </w:r>
      <w:r w:rsidR="00822A39" w:rsidRPr="00704B78">
        <w:t xml:space="preserve"> patients </w:t>
      </w:r>
      <w:r w:rsidR="002C725F" w:rsidRPr="00704B78">
        <w:t>who</w:t>
      </w:r>
      <w:r w:rsidR="00822A39" w:rsidRPr="00704B78">
        <w:t xml:space="preserve"> have previously tried IVIg/PLEX</w:t>
      </w:r>
      <w:r w:rsidR="00832546" w:rsidRPr="00704B78">
        <w:t>, but considered this requirement was inappropriate (refer to paragraph</w:t>
      </w:r>
      <w:r w:rsidR="00D7567C" w:rsidRPr="00704B78">
        <w:t xml:space="preserve"> </w:t>
      </w:r>
      <w:r w:rsidR="00177E51">
        <w:fldChar w:fldCharType="begin"/>
      </w:r>
      <w:r w:rsidR="00177E51">
        <w:instrText xml:space="preserve"> REF _Ref194574111 \r \h </w:instrText>
      </w:r>
      <w:r w:rsidR="00177E51">
        <w:fldChar w:fldCharType="separate"/>
      </w:r>
      <w:r w:rsidR="00875704">
        <w:t>3.11</w:t>
      </w:r>
      <w:r w:rsidR="00177E51">
        <w:fldChar w:fldCharType="end"/>
      </w:r>
      <w:r w:rsidR="00832546" w:rsidRPr="00704B78">
        <w:t xml:space="preserve">) and would affect the patient estimates. </w:t>
      </w:r>
    </w:p>
    <w:p w14:paraId="6872FD24" w14:textId="66ED2269" w:rsidR="00446ECD" w:rsidRDefault="00F50100" w:rsidP="006E2A77">
      <w:pPr>
        <w:pStyle w:val="COMexecsummnumbered"/>
        <w:rPr>
          <w:rFonts w:ascii="Calibri" w:hAnsi="Calibri" w:cs="Calibri"/>
          <w:szCs w:val="24"/>
        </w:rPr>
      </w:pPr>
      <w:r w:rsidRPr="00704B78">
        <w:rPr>
          <w:rFonts w:ascii="Calibri" w:hAnsi="Calibri" w:cs="Calibri"/>
          <w:szCs w:val="24"/>
        </w:rPr>
        <w:t xml:space="preserve">The ESC noted the uncertainties regarding </w:t>
      </w:r>
      <w:r w:rsidR="00134AFC" w:rsidRPr="00704B78">
        <w:rPr>
          <w:rFonts w:ascii="Calibri" w:hAnsi="Calibri" w:cs="Calibri"/>
          <w:szCs w:val="24"/>
        </w:rPr>
        <w:t xml:space="preserve">the epidemiological approach used in the submission, including </w:t>
      </w:r>
      <w:r w:rsidR="00353068" w:rsidRPr="00704B78">
        <w:rPr>
          <w:rFonts w:ascii="Calibri" w:hAnsi="Calibri" w:cs="Calibri"/>
          <w:szCs w:val="24"/>
        </w:rPr>
        <w:t>estimating</w:t>
      </w:r>
      <w:r w:rsidR="00195C21" w:rsidRPr="00704B78">
        <w:rPr>
          <w:rFonts w:ascii="Calibri" w:hAnsi="Calibri" w:cs="Calibri"/>
          <w:szCs w:val="24"/>
        </w:rPr>
        <w:t>:</w:t>
      </w:r>
      <w:r w:rsidR="00353068" w:rsidRPr="00704B78">
        <w:rPr>
          <w:rFonts w:ascii="Calibri" w:hAnsi="Calibri" w:cs="Calibri"/>
          <w:szCs w:val="24"/>
        </w:rPr>
        <w:t xml:space="preserve"> </w:t>
      </w:r>
      <w:r w:rsidRPr="00704B78">
        <w:rPr>
          <w:rFonts w:ascii="Calibri" w:hAnsi="Calibri" w:cs="Calibri"/>
          <w:szCs w:val="24"/>
        </w:rPr>
        <w:t xml:space="preserve">the </w:t>
      </w:r>
      <w:r w:rsidR="00353068" w:rsidRPr="00704B78">
        <w:rPr>
          <w:rFonts w:ascii="Calibri" w:hAnsi="Calibri" w:cs="Calibri"/>
          <w:szCs w:val="24"/>
        </w:rPr>
        <w:t xml:space="preserve">ratio of incidence to prevalence, </w:t>
      </w:r>
      <w:r w:rsidR="00195C21" w:rsidRPr="00704B78">
        <w:rPr>
          <w:rFonts w:ascii="Calibri" w:hAnsi="Calibri" w:cs="Calibri"/>
          <w:szCs w:val="24"/>
        </w:rPr>
        <w:t>the</w:t>
      </w:r>
      <w:r w:rsidR="00353068" w:rsidRPr="00704B78">
        <w:rPr>
          <w:rFonts w:ascii="Calibri" w:hAnsi="Calibri" w:cs="Calibri"/>
          <w:szCs w:val="24"/>
        </w:rPr>
        <w:t xml:space="preserve"> proportion of patients with an MG-ADL ≥ 6</w:t>
      </w:r>
      <w:r w:rsidR="00195C21" w:rsidRPr="00704B78">
        <w:rPr>
          <w:rFonts w:ascii="Calibri" w:hAnsi="Calibri" w:cs="Calibri"/>
          <w:szCs w:val="24"/>
        </w:rPr>
        <w:t>;</w:t>
      </w:r>
      <w:r w:rsidR="00353068" w:rsidRPr="00704B78">
        <w:rPr>
          <w:rFonts w:ascii="Calibri" w:hAnsi="Calibri" w:cs="Calibri"/>
          <w:szCs w:val="24"/>
        </w:rPr>
        <w:t xml:space="preserve"> and the proportion of patients with treatment refractory disease</w:t>
      </w:r>
      <w:r w:rsidR="00195C21" w:rsidRPr="00704B78">
        <w:rPr>
          <w:rFonts w:ascii="Calibri" w:hAnsi="Calibri" w:cs="Calibri"/>
          <w:szCs w:val="24"/>
        </w:rPr>
        <w:t>.</w:t>
      </w:r>
      <w:r w:rsidR="00353068" w:rsidRPr="00704B78">
        <w:rPr>
          <w:rFonts w:ascii="Calibri" w:hAnsi="Calibri" w:cs="Calibri"/>
          <w:szCs w:val="24"/>
        </w:rPr>
        <w:t xml:space="preserve"> Overall, </w:t>
      </w:r>
      <w:bookmarkStart w:id="72" w:name="_Hlk193982582"/>
      <w:r w:rsidR="00D7567C" w:rsidRPr="00704B78">
        <w:rPr>
          <w:rFonts w:ascii="Calibri" w:hAnsi="Calibri" w:cs="Calibri"/>
          <w:szCs w:val="24"/>
        </w:rPr>
        <w:t xml:space="preserve">as outlined in </w:t>
      </w:r>
      <w:r w:rsidR="00141320">
        <w:rPr>
          <w:rFonts w:ascii="Calibri" w:hAnsi="Calibri" w:cs="Calibri"/>
          <w:szCs w:val="24"/>
        </w:rPr>
        <w:t>Section 7</w:t>
      </w:r>
      <w:r w:rsidR="00D7567C" w:rsidRPr="00704B78">
        <w:rPr>
          <w:rFonts w:ascii="Calibri" w:hAnsi="Calibri" w:cs="Calibri"/>
          <w:szCs w:val="24"/>
        </w:rPr>
        <w:t xml:space="preserve">, </w:t>
      </w:r>
      <w:r w:rsidR="00353068" w:rsidRPr="00704B78">
        <w:rPr>
          <w:rFonts w:ascii="Calibri" w:hAnsi="Calibri" w:cs="Calibri"/>
          <w:szCs w:val="24"/>
        </w:rPr>
        <w:t>t</w:t>
      </w:r>
      <w:r w:rsidR="00446ECD" w:rsidRPr="00704B78">
        <w:rPr>
          <w:rFonts w:ascii="Calibri" w:hAnsi="Calibri" w:cs="Calibri"/>
          <w:szCs w:val="24"/>
        </w:rPr>
        <w:t>he ESC considered that the use of IVIg as maintenance therapy, from the NBA data, may be a</w:t>
      </w:r>
      <w:r w:rsidR="008E5791" w:rsidRPr="00704B78">
        <w:rPr>
          <w:rFonts w:ascii="Calibri" w:hAnsi="Calibri" w:cs="Calibri"/>
          <w:szCs w:val="24"/>
        </w:rPr>
        <w:t xml:space="preserve"> more</w:t>
      </w:r>
      <w:r w:rsidR="00446ECD" w:rsidRPr="00704B78">
        <w:rPr>
          <w:rFonts w:ascii="Calibri" w:hAnsi="Calibri" w:cs="Calibri"/>
          <w:szCs w:val="24"/>
        </w:rPr>
        <w:t xml:space="preserve"> appropriate starting point to estimate the use of new gMG therapies. </w:t>
      </w:r>
    </w:p>
    <w:p w14:paraId="256DF6D3" w14:textId="14158BCB" w:rsidR="00AA17C4" w:rsidRDefault="00AA17C4" w:rsidP="006E2A77">
      <w:pPr>
        <w:pStyle w:val="COMexecsummnumbered"/>
        <w:rPr>
          <w:rFonts w:ascii="Calibri" w:hAnsi="Calibri" w:cs="Calibri"/>
          <w:szCs w:val="24"/>
        </w:rPr>
      </w:pPr>
      <w:bookmarkStart w:id="73" w:name="_Hlk193788409"/>
      <w:r>
        <w:rPr>
          <w:rFonts w:ascii="Calibri" w:hAnsi="Calibri" w:cs="Calibri"/>
          <w:szCs w:val="24"/>
        </w:rPr>
        <w:t xml:space="preserve">The PBAC agreed with the ESC </w:t>
      </w:r>
      <w:r w:rsidR="00D71E53">
        <w:rPr>
          <w:rFonts w:ascii="Calibri" w:hAnsi="Calibri" w:cs="Calibri"/>
          <w:szCs w:val="24"/>
        </w:rPr>
        <w:t xml:space="preserve">and advised the parameters </w:t>
      </w:r>
      <w:r w:rsidR="006C6F83">
        <w:rPr>
          <w:rFonts w:ascii="Calibri" w:hAnsi="Calibri" w:cs="Calibri"/>
          <w:szCs w:val="24"/>
        </w:rPr>
        <w:t xml:space="preserve">outlined in </w:t>
      </w:r>
      <w:r w:rsidR="006C6F83">
        <w:rPr>
          <w:rFonts w:ascii="Calibri" w:hAnsi="Calibri" w:cs="Calibri"/>
          <w:szCs w:val="24"/>
        </w:rPr>
        <w:fldChar w:fldCharType="begin"/>
      </w:r>
      <w:r w:rsidR="006C6F83">
        <w:rPr>
          <w:rFonts w:ascii="Calibri" w:hAnsi="Calibri" w:cs="Calibri"/>
          <w:szCs w:val="24"/>
        </w:rPr>
        <w:instrText xml:space="preserve"> REF _Ref193702983 \h  \* MERGEFORMAT </w:instrText>
      </w:r>
      <w:r w:rsidR="006C6F83">
        <w:rPr>
          <w:rFonts w:ascii="Calibri" w:hAnsi="Calibri" w:cs="Calibri"/>
          <w:szCs w:val="24"/>
        </w:rPr>
      </w:r>
      <w:r w:rsidR="006C6F83">
        <w:rPr>
          <w:rFonts w:ascii="Calibri" w:hAnsi="Calibri" w:cs="Calibri"/>
          <w:szCs w:val="24"/>
        </w:rPr>
        <w:fldChar w:fldCharType="separate"/>
      </w:r>
      <w:r w:rsidR="00875704" w:rsidRPr="00875704">
        <w:rPr>
          <w:rFonts w:ascii="Calibri" w:hAnsi="Calibri" w:cs="Calibri"/>
          <w:szCs w:val="24"/>
        </w:rPr>
        <w:t>Table 20</w:t>
      </w:r>
      <w:r w:rsidR="006C6F83">
        <w:rPr>
          <w:rFonts w:ascii="Calibri" w:hAnsi="Calibri" w:cs="Calibri"/>
          <w:szCs w:val="24"/>
        </w:rPr>
        <w:fldChar w:fldCharType="end"/>
      </w:r>
      <w:r w:rsidR="006C6F83">
        <w:rPr>
          <w:rFonts w:ascii="Calibri" w:hAnsi="Calibri" w:cs="Calibri"/>
          <w:szCs w:val="24"/>
        </w:rPr>
        <w:t xml:space="preserve"> </w:t>
      </w:r>
      <w:r w:rsidR="00D71E53">
        <w:rPr>
          <w:rFonts w:ascii="Calibri" w:hAnsi="Calibri" w:cs="Calibri"/>
          <w:szCs w:val="24"/>
        </w:rPr>
        <w:t xml:space="preserve">may be reasonable </w:t>
      </w:r>
      <w:r w:rsidR="00D05A20">
        <w:rPr>
          <w:rFonts w:ascii="Calibri" w:hAnsi="Calibri" w:cs="Calibri"/>
          <w:szCs w:val="24"/>
        </w:rPr>
        <w:t>for</w:t>
      </w:r>
      <w:r w:rsidR="00D71E53">
        <w:rPr>
          <w:rFonts w:ascii="Calibri" w:hAnsi="Calibri" w:cs="Calibri"/>
          <w:szCs w:val="24"/>
        </w:rPr>
        <w:t xml:space="preserve"> determining the estimated use and financial implications of the new therapies for gMG. </w:t>
      </w:r>
    </w:p>
    <w:p w14:paraId="6736E217" w14:textId="3C067455" w:rsidR="00D71E53" w:rsidRPr="00D71E53" w:rsidRDefault="00D71E53" w:rsidP="006E2A77">
      <w:pPr>
        <w:pStyle w:val="Caption"/>
        <w:spacing w:before="120" w:after="0"/>
        <w:rPr>
          <w:rFonts w:ascii="Arial Narrow" w:hAnsi="Arial Narrow"/>
          <w:sz w:val="20"/>
          <w:szCs w:val="20"/>
        </w:rPr>
      </w:pPr>
      <w:bookmarkStart w:id="74" w:name="_Ref193702983"/>
      <w:bookmarkEnd w:id="72"/>
      <w:r w:rsidRPr="00D71E53">
        <w:rPr>
          <w:rFonts w:ascii="Arial Narrow" w:hAnsi="Arial Narrow"/>
          <w:sz w:val="20"/>
          <w:szCs w:val="20"/>
        </w:rPr>
        <w:t xml:space="preserve">Table </w:t>
      </w:r>
      <w:r w:rsidRPr="00D71E53">
        <w:rPr>
          <w:rFonts w:ascii="Arial Narrow" w:hAnsi="Arial Narrow"/>
          <w:sz w:val="20"/>
          <w:szCs w:val="20"/>
        </w:rPr>
        <w:fldChar w:fldCharType="begin"/>
      </w:r>
      <w:r w:rsidRPr="00D71E53">
        <w:rPr>
          <w:rFonts w:ascii="Arial Narrow" w:hAnsi="Arial Narrow"/>
          <w:sz w:val="20"/>
          <w:szCs w:val="20"/>
        </w:rPr>
        <w:instrText xml:space="preserve"> SEQ Table \* ARABIC </w:instrText>
      </w:r>
      <w:r w:rsidRPr="00D71E53">
        <w:rPr>
          <w:rFonts w:ascii="Arial Narrow" w:hAnsi="Arial Narrow"/>
          <w:sz w:val="20"/>
          <w:szCs w:val="20"/>
        </w:rPr>
        <w:fldChar w:fldCharType="separate"/>
      </w:r>
      <w:r w:rsidR="00875704">
        <w:rPr>
          <w:rFonts w:ascii="Arial Narrow" w:hAnsi="Arial Narrow"/>
          <w:noProof/>
          <w:sz w:val="20"/>
          <w:szCs w:val="20"/>
        </w:rPr>
        <w:t>20</w:t>
      </w:r>
      <w:r w:rsidRPr="00D71E53">
        <w:rPr>
          <w:rFonts w:ascii="Arial Narrow" w:hAnsi="Arial Narrow"/>
          <w:sz w:val="20"/>
          <w:szCs w:val="20"/>
        </w:rPr>
        <w:fldChar w:fldCharType="end"/>
      </w:r>
      <w:bookmarkEnd w:id="74"/>
      <w:r w:rsidRPr="00D71E53">
        <w:rPr>
          <w:rFonts w:ascii="Arial Narrow" w:hAnsi="Arial Narrow"/>
          <w:sz w:val="20"/>
          <w:szCs w:val="20"/>
        </w:rPr>
        <w:t xml:space="preserve">: </w:t>
      </w:r>
      <w:r w:rsidR="00E27192">
        <w:rPr>
          <w:rFonts w:ascii="Arial Narrow" w:hAnsi="Arial Narrow"/>
          <w:sz w:val="20"/>
          <w:szCs w:val="20"/>
        </w:rPr>
        <w:t>PBAC advised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7037"/>
      </w:tblGrid>
      <w:tr w:rsidR="00D71E53" w:rsidRPr="00704B78" w14:paraId="1B6F6E44" w14:textId="77777777" w:rsidTr="002C60AF">
        <w:trPr>
          <w:tblHeader/>
        </w:trPr>
        <w:tc>
          <w:tcPr>
            <w:tcW w:w="1098" w:type="pct"/>
            <w:vAlign w:val="center"/>
          </w:tcPr>
          <w:p w14:paraId="3F8C7362" w14:textId="27E7F640" w:rsidR="00D71E53" w:rsidRPr="00704B78" w:rsidRDefault="00E27192" w:rsidP="006E2A77">
            <w:pPr>
              <w:pStyle w:val="COMTableheadingrow"/>
              <w:keepNext w:val="0"/>
            </w:pPr>
            <w:r>
              <w:t>Input</w:t>
            </w:r>
          </w:p>
        </w:tc>
        <w:tc>
          <w:tcPr>
            <w:tcW w:w="3902" w:type="pct"/>
            <w:vAlign w:val="center"/>
          </w:tcPr>
          <w:p w14:paraId="0A334714" w14:textId="2CF9E16E" w:rsidR="00D71E53" w:rsidRPr="00704B78" w:rsidRDefault="00E27192" w:rsidP="006E2A77">
            <w:pPr>
              <w:pStyle w:val="COMTableheadingrow"/>
              <w:keepNext w:val="0"/>
              <w:jc w:val="center"/>
            </w:pPr>
            <w:r>
              <w:t>Value</w:t>
            </w:r>
            <w:r w:rsidR="00E37A83">
              <w:t xml:space="preserve"> and rationale</w:t>
            </w:r>
            <w:r w:rsidR="002C60AF">
              <w:t xml:space="preserve"> (estimated patient numbers are indicative only)</w:t>
            </w:r>
          </w:p>
        </w:tc>
      </w:tr>
      <w:tr w:rsidR="00D71E53" w:rsidRPr="00704B78" w14:paraId="24C0576C" w14:textId="77777777" w:rsidTr="002C60AF">
        <w:trPr>
          <w:trHeight w:val="20"/>
        </w:trPr>
        <w:tc>
          <w:tcPr>
            <w:tcW w:w="1098" w:type="pct"/>
            <w:vAlign w:val="center"/>
          </w:tcPr>
          <w:p w14:paraId="1CE5EC77" w14:textId="4B2F3ADE" w:rsidR="00D71E53" w:rsidRPr="00704B78" w:rsidRDefault="00E27192" w:rsidP="006E2A77">
            <w:pPr>
              <w:pStyle w:val="COMTabletext"/>
              <w:keepNext w:val="0"/>
            </w:pPr>
            <w:r>
              <w:t xml:space="preserve">Total number of patients </w:t>
            </w:r>
            <w:r w:rsidRPr="00E27192">
              <w:t>accessing IVIg as gMG maintenance therapy</w:t>
            </w:r>
          </w:p>
        </w:tc>
        <w:tc>
          <w:tcPr>
            <w:tcW w:w="3902" w:type="pct"/>
            <w:vAlign w:val="center"/>
          </w:tcPr>
          <w:p w14:paraId="30D1364B" w14:textId="13C5B61F" w:rsidR="00D71E53" w:rsidRPr="00E002E1" w:rsidRDefault="00722AE0" w:rsidP="006E2A77">
            <w:pPr>
              <w:pStyle w:val="COMTabletext"/>
              <w:keepNext w:val="0"/>
            </w:pPr>
            <w:r w:rsidRPr="00E002E1">
              <w:t xml:space="preserve">1,324 in 2023-24 (refer to </w:t>
            </w:r>
            <w:r w:rsidRPr="00E002E1">
              <w:fldChar w:fldCharType="begin"/>
            </w:r>
            <w:r w:rsidRPr="00E002E1">
              <w:instrText xml:space="preserve"> REF _Ref194049344 \h </w:instrText>
            </w:r>
            <w:r w:rsidR="002A1172" w:rsidRPr="00E002E1">
              <w:instrText xml:space="preserve"> \* MERGEFORMAT </w:instrText>
            </w:r>
            <w:r w:rsidRPr="00E002E1">
              <w:fldChar w:fldCharType="separate"/>
            </w:r>
            <w:r w:rsidR="00875704" w:rsidRPr="006C6609">
              <w:rPr>
                <w:szCs w:val="20"/>
              </w:rPr>
              <w:t xml:space="preserve">Table </w:t>
            </w:r>
            <w:r w:rsidR="00875704">
              <w:rPr>
                <w:noProof/>
                <w:szCs w:val="20"/>
              </w:rPr>
              <w:t>21</w:t>
            </w:r>
            <w:r w:rsidR="00875704" w:rsidRPr="006C6609">
              <w:rPr>
                <w:szCs w:val="20"/>
              </w:rPr>
              <w:t xml:space="preserve">: Data received from the NBA on the use of IVIg for maintenance treatment of </w:t>
            </w:r>
            <w:proofErr w:type="spellStart"/>
            <w:r w:rsidR="00875704" w:rsidRPr="006C6609">
              <w:rPr>
                <w:szCs w:val="20"/>
              </w:rPr>
              <w:t>gMG</w:t>
            </w:r>
            <w:r w:rsidRPr="00E002E1">
              <w:fldChar w:fldCharType="end"/>
            </w:r>
            <w:r w:rsidRPr="00E002E1">
              <w:fldChar w:fldCharType="begin"/>
            </w:r>
            <w:r w:rsidRPr="00E002E1">
              <w:instrText xml:space="preserve"> REF _Ref193116172 \h </w:instrText>
            </w:r>
            <w:r w:rsidR="002A1172" w:rsidRPr="00E002E1">
              <w:instrText xml:space="preserve"> \* MERGEFORMAT </w:instrText>
            </w:r>
            <w:r w:rsidRPr="00E002E1">
              <w:fldChar w:fldCharType="separate"/>
            </w:r>
            <w:r w:rsidR="00875704" w:rsidRPr="006C6609">
              <w:rPr>
                <w:szCs w:val="20"/>
              </w:rPr>
              <w:t>Table</w:t>
            </w:r>
            <w:proofErr w:type="spellEnd"/>
            <w:r w:rsidR="00875704" w:rsidRPr="006C6609">
              <w:rPr>
                <w:szCs w:val="20"/>
              </w:rPr>
              <w:t xml:space="preserve"> </w:t>
            </w:r>
            <w:r w:rsidR="00875704">
              <w:rPr>
                <w:noProof/>
                <w:szCs w:val="20"/>
              </w:rPr>
              <w:t>21</w:t>
            </w:r>
            <w:r w:rsidRPr="00E002E1">
              <w:fldChar w:fldCharType="end"/>
            </w:r>
            <w:r w:rsidRPr="00E002E1">
              <w:t>)</w:t>
            </w:r>
          </w:p>
        </w:tc>
      </w:tr>
      <w:tr w:rsidR="00D71E53" w:rsidRPr="00704B78" w14:paraId="0DA83C02" w14:textId="77777777" w:rsidTr="002C60AF">
        <w:trPr>
          <w:trHeight w:val="20"/>
        </w:trPr>
        <w:tc>
          <w:tcPr>
            <w:tcW w:w="1098" w:type="pct"/>
            <w:vAlign w:val="center"/>
          </w:tcPr>
          <w:p w14:paraId="01E6837C" w14:textId="1769198D" w:rsidR="00D71E53" w:rsidRPr="00704B78" w:rsidRDefault="00E27192" w:rsidP="006E2A77">
            <w:pPr>
              <w:pStyle w:val="COMTabletext"/>
              <w:keepNext w:val="0"/>
            </w:pPr>
            <w:r>
              <w:t>Market growth</w:t>
            </w:r>
          </w:p>
        </w:tc>
        <w:tc>
          <w:tcPr>
            <w:tcW w:w="3902" w:type="pct"/>
            <w:vAlign w:val="center"/>
          </w:tcPr>
          <w:p w14:paraId="034ED6D6" w14:textId="69E457CA" w:rsidR="00D71E53" w:rsidRPr="00E002E1" w:rsidRDefault="00E27192" w:rsidP="006E2A77">
            <w:pPr>
              <w:pStyle w:val="COMTabletext"/>
              <w:keepNext w:val="0"/>
            </w:pPr>
            <w:r w:rsidRPr="00E002E1">
              <w:t>3.96% per year</w:t>
            </w:r>
            <w:r w:rsidR="00E37A83" w:rsidRPr="00E002E1">
              <w:t xml:space="preserve"> based on the last five years of IVIg data</w:t>
            </w:r>
            <w:r w:rsidR="002C60AF" w:rsidRPr="00E002E1">
              <w:t xml:space="preserve"> (i.e. 1,431 patients in Year 1 and 1,</w:t>
            </w:r>
            <w:r w:rsidR="00177E51" w:rsidRPr="00E002E1">
              <w:t>738</w:t>
            </w:r>
            <w:r w:rsidR="002C60AF" w:rsidRPr="00E002E1">
              <w:t xml:space="preserve"> patients in Year </w:t>
            </w:r>
            <w:r w:rsidR="00177E51" w:rsidRPr="00E002E1">
              <w:t>6</w:t>
            </w:r>
            <w:r w:rsidR="002C60AF" w:rsidRPr="00E002E1">
              <w:t>)</w:t>
            </w:r>
          </w:p>
        </w:tc>
      </w:tr>
      <w:tr w:rsidR="00E27192" w:rsidRPr="00704B78" w14:paraId="42355294" w14:textId="77777777" w:rsidTr="002C60AF">
        <w:trPr>
          <w:trHeight w:val="20"/>
        </w:trPr>
        <w:tc>
          <w:tcPr>
            <w:tcW w:w="1098" w:type="pct"/>
            <w:vAlign w:val="center"/>
          </w:tcPr>
          <w:p w14:paraId="11B8A08A" w14:textId="7D365779" w:rsidR="00E27192" w:rsidRDefault="00E27192" w:rsidP="006E2A77">
            <w:pPr>
              <w:pStyle w:val="COMTabletext"/>
              <w:keepNext w:val="0"/>
            </w:pPr>
            <w:r>
              <w:t>% with AChR+</w:t>
            </w:r>
          </w:p>
        </w:tc>
        <w:tc>
          <w:tcPr>
            <w:tcW w:w="3902" w:type="pct"/>
            <w:vAlign w:val="center"/>
          </w:tcPr>
          <w:p w14:paraId="72F38DE5" w14:textId="0546C711" w:rsidR="002C60AF" w:rsidRPr="00E002E1" w:rsidRDefault="00E27192" w:rsidP="006E2A77">
            <w:pPr>
              <w:pStyle w:val="COMTabletext"/>
              <w:keepNext w:val="0"/>
            </w:pPr>
            <w:r w:rsidRPr="00E002E1">
              <w:t>8</w:t>
            </w:r>
            <w:r w:rsidR="002C60AF" w:rsidRPr="00E002E1">
              <w:t>5.</w:t>
            </w:r>
            <w:r w:rsidR="00CF3FBB" w:rsidRPr="00E002E1">
              <w:t>57</w:t>
            </w:r>
            <w:r w:rsidRPr="00E002E1">
              <w:t xml:space="preserve">% </w:t>
            </w:r>
            <w:r w:rsidR="00E37A83" w:rsidRPr="00E002E1">
              <w:t xml:space="preserve">based on the totality of the evidence presented across all the submissions, and </w:t>
            </w:r>
            <w:proofErr w:type="gramStart"/>
            <w:r w:rsidR="00E37A83" w:rsidRPr="00E002E1">
              <w:t>similar to</w:t>
            </w:r>
            <w:proofErr w:type="gramEnd"/>
            <w:r w:rsidR="00E37A83" w:rsidRPr="00E002E1">
              <w:t xml:space="preserve"> the estimate of 88% provided in Hendricks et al. 2019</w:t>
            </w:r>
            <w:r w:rsidR="002C60AF" w:rsidRPr="00E002E1">
              <w:t xml:space="preserve"> (i.e. 1,224 patients in Year 1 and 1,</w:t>
            </w:r>
            <w:r w:rsidR="00177E51" w:rsidRPr="00E002E1">
              <w:t>487</w:t>
            </w:r>
            <w:r w:rsidR="002C60AF" w:rsidRPr="00E002E1">
              <w:t xml:space="preserve"> patients in Year </w:t>
            </w:r>
            <w:r w:rsidR="00177E51" w:rsidRPr="00E002E1">
              <w:t>6</w:t>
            </w:r>
            <w:r w:rsidR="002C60AF" w:rsidRPr="00E002E1">
              <w:t>)</w:t>
            </w:r>
          </w:p>
        </w:tc>
      </w:tr>
      <w:tr w:rsidR="00E27192" w:rsidRPr="00704B78" w14:paraId="6C4EDCCE" w14:textId="77777777" w:rsidTr="002C60AF">
        <w:trPr>
          <w:trHeight w:val="20"/>
        </w:trPr>
        <w:tc>
          <w:tcPr>
            <w:tcW w:w="1098" w:type="pct"/>
            <w:vAlign w:val="center"/>
          </w:tcPr>
          <w:p w14:paraId="54D95C51" w14:textId="0481E2F2" w:rsidR="00E27192" w:rsidRDefault="00E27192" w:rsidP="006E2A77">
            <w:pPr>
              <w:pStyle w:val="COMTabletext"/>
              <w:keepNext w:val="0"/>
            </w:pPr>
            <w:r>
              <w:t>Uptake across all new gMG therapies that are listed</w:t>
            </w:r>
          </w:p>
        </w:tc>
        <w:tc>
          <w:tcPr>
            <w:tcW w:w="3902" w:type="pct"/>
            <w:vAlign w:val="center"/>
          </w:tcPr>
          <w:p w14:paraId="0F43319A" w14:textId="2A5C95FF" w:rsidR="00E27192" w:rsidRDefault="00E37A83" w:rsidP="006E2A77">
            <w:pPr>
              <w:pStyle w:val="COMTabletext"/>
              <w:keepNext w:val="0"/>
            </w:pPr>
            <w:r>
              <w:t xml:space="preserve">Uptake </w:t>
            </w:r>
            <w:r w:rsidR="00E27192" w:rsidRPr="00E27192">
              <w:t>from new patients and existing IVIg users with ongoing functional impairment</w:t>
            </w:r>
            <w:r w:rsidR="00E27192">
              <w:t xml:space="preserve">: </w:t>
            </w:r>
            <w:r w:rsidR="00212E83" w:rsidRPr="00212E83">
              <w:t>The PBAC, in its expert opinion, considered th</w:t>
            </w:r>
            <w:r w:rsidR="00212E83">
              <w:t xml:space="preserve">is could be </w:t>
            </w:r>
            <w:r w:rsidR="00FA5C01">
              <w:t xml:space="preserve">up to </w:t>
            </w:r>
            <w:r w:rsidR="00F555BD" w:rsidRPr="00F555BD">
              <w:rPr>
                <w:color w:val="000000"/>
                <w:spacing w:val="51"/>
                <w:shd w:val="solid" w:color="000000" w:fill="000000"/>
                <w:fitText w:val="325" w:id="-691349752"/>
                <w14:textFill>
                  <w14:solidFill>
                    <w14:srgbClr w14:val="000000">
                      <w14:alpha w14:val="100000"/>
                    </w14:srgbClr>
                  </w14:solidFill>
                </w14:textFill>
              </w:rPr>
              <w:t>|||</w:t>
            </w:r>
            <w:r w:rsidR="00F555BD" w:rsidRPr="00F555BD">
              <w:rPr>
                <w:color w:val="000000"/>
                <w:spacing w:val="2"/>
                <w:shd w:val="solid" w:color="000000" w:fill="000000"/>
                <w:fitText w:val="325" w:id="-691349752"/>
                <w14:textFill>
                  <w14:solidFill>
                    <w14:srgbClr w14:val="000000">
                      <w14:alpha w14:val="100000"/>
                    </w14:srgbClr>
                  </w14:solidFill>
                </w14:textFill>
              </w:rPr>
              <w:t>|</w:t>
            </w:r>
            <w:r w:rsidR="00E27192">
              <w:t>%</w:t>
            </w:r>
            <w:r w:rsidR="00212E83">
              <w:t>, and this</w:t>
            </w:r>
            <w:r w:rsidR="009F10B3">
              <w:t xml:space="preserve"> </w:t>
            </w:r>
            <w:r w:rsidR="009F10B3" w:rsidRPr="009F10B3">
              <w:t xml:space="preserve">could represent around one-third of current IVIg users based on: </w:t>
            </w:r>
            <w:r w:rsidR="00F555BD" w:rsidRPr="00F555BD">
              <w:rPr>
                <w:color w:val="000000"/>
                <w:spacing w:val="51"/>
                <w:shd w:val="solid" w:color="000000" w:fill="000000"/>
                <w:fitText w:val="325" w:id="-691349751"/>
                <w14:textFill>
                  <w14:solidFill>
                    <w14:srgbClr w14:val="000000">
                      <w14:alpha w14:val="100000"/>
                    </w14:srgbClr>
                  </w14:solidFill>
                </w14:textFill>
              </w:rPr>
              <w:t>|||</w:t>
            </w:r>
            <w:r w:rsidR="00F555BD" w:rsidRPr="00F555BD">
              <w:rPr>
                <w:color w:val="000000"/>
                <w:spacing w:val="2"/>
                <w:shd w:val="solid" w:color="000000" w:fill="000000"/>
                <w:fitText w:val="325" w:id="-691349751"/>
                <w14:textFill>
                  <w14:solidFill>
                    <w14:srgbClr w14:val="000000">
                      <w14:alpha w14:val="100000"/>
                    </w14:srgbClr>
                  </w14:solidFill>
                </w14:textFill>
              </w:rPr>
              <w:t>|</w:t>
            </w:r>
            <w:r w:rsidR="009F10B3" w:rsidRPr="009F10B3">
              <w:t>% of IVIg pts commenced within the most recent year</w:t>
            </w:r>
            <w:r w:rsidR="009F10B3">
              <w:t xml:space="preserve">, plus of the remaining </w:t>
            </w:r>
            <w:r w:rsidR="00F555BD" w:rsidRPr="00F555BD">
              <w:rPr>
                <w:color w:val="000000"/>
                <w:spacing w:val="51"/>
                <w:shd w:val="solid" w:color="000000" w:fill="000000"/>
                <w:fitText w:val="326" w:id="-691349750"/>
                <w14:textFill>
                  <w14:solidFill>
                    <w14:srgbClr w14:val="000000">
                      <w14:alpha w14:val="100000"/>
                    </w14:srgbClr>
                  </w14:solidFill>
                </w14:textFill>
              </w:rPr>
              <w:t>|||</w:t>
            </w:r>
            <w:r w:rsidR="00F555BD" w:rsidRPr="00F555BD">
              <w:rPr>
                <w:color w:val="000000"/>
                <w:spacing w:val="3"/>
                <w:shd w:val="solid" w:color="000000" w:fill="000000"/>
                <w:fitText w:val="326" w:id="-691349750"/>
                <w14:textFill>
                  <w14:solidFill>
                    <w14:srgbClr w14:val="000000">
                      <w14:alpha w14:val="100000"/>
                    </w14:srgbClr>
                  </w14:solidFill>
                </w14:textFill>
              </w:rPr>
              <w:t>|</w:t>
            </w:r>
            <w:r w:rsidR="009F10B3">
              <w:t xml:space="preserve">% around </w:t>
            </w:r>
            <w:r w:rsidR="00F555BD" w:rsidRPr="00F555BD">
              <w:rPr>
                <w:color w:val="000000"/>
                <w:spacing w:val="51"/>
                <w:shd w:val="solid" w:color="000000" w:fill="000000"/>
                <w:fitText w:val="325" w:id="-691349749"/>
                <w14:textFill>
                  <w14:solidFill>
                    <w14:srgbClr w14:val="000000">
                      <w14:alpha w14:val="100000"/>
                    </w14:srgbClr>
                  </w14:solidFill>
                </w14:textFill>
              </w:rPr>
              <w:t>|||</w:t>
            </w:r>
            <w:r w:rsidR="00F555BD" w:rsidRPr="00F555BD">
              <w:rPr>
                <w:color w:val="000000"/>
                <w:spacing w:val="2"/>
                <w:shd w:val="solid" w:color="000000" w:fill="000000"/>
                <w:fitText w:val="325" w:id="-691349749"/>
                <w14:textFill>
                  <w14:solidFill>
                    <w14:srgbClr w14:val="000000">
                      <w14:alpha w14:val="100000"/>
                    </w14:srgbClr>
                  </w14:solidFill>
                </w14:textFill>
              </w:rPr>
              <w:t>|</w:t>
            </w:r>
            <w:r w:rsidR="009F10B3">
              <w:t xml:space="preserve">% may be using IVIg but experiencing ongoing functional impairment (i.e. </w:t>
            </w:r>
            <w:r w:rsidR="00F555BD" w:rsidRPr="00F555BD">
              <w:rPr>
                <w:color w:val="000000"/>
                <w:spacing w:val="51"/>
                <w:shd w:val="solid" w:color="000000" w:fill="000000"/>
                <w:fitText w:val="326" w:id="-691349748"/>
                <w14:textFill>
                  <w14:solidFill>
                    <w14:srgbClr w14:val="000000">
                      <w14:alpha w14:val="100000"/>
                    </w14:srgbClr>
                  </w14:solidFill>
                </w14:textFill>
              </w:rPr>
              <w:t>|||</w:t>
            </w:r>
            <w:r w:rsidR="00F555BD" w:rsidRPr="00F555BD">
              <w:rPr>
                <w:color w:val="000000"/>
                <w:spacing w:val="3"/>
                <w:shd w:val="solid" w:color="000000" w:fill="000000"/>
                <w:fitText w:val="326" w:id="-691349748"/>
                <w14:textFill>
                  <w14:solidFill>
                    <w14:srgbClr w14:val="000000">
                      <w14:alpha w14:val="100000"/>
                    </w14:srgbClr>
                  </w14:solidFill>
                </w14:textFill>
              </w:rPr>
              <w:t>|</w:t>
            </w:r>
            <w:r w:rsidR="009F10B3">
              <w:t>% + (</w:t>
            </w:r>
            <w:r w:rsidR="00F555BD" w:rsidRPr="00F555BD">
              <w:rPr>
                <w:color w:val="000000"/>
                <w:spacing w:val="51"/>
                <w:shd w:val="solid" w:color="000000" w:fill="000000"/>
                <w:fitText w:val="325" w:id="-691349747"/>
                <w14:textFill>
                  <w14:solidFill>
                    <w14:srgbClr w14:val="000000">
                      <w14:alpha w14:val="100000"/>
                    </w14:srgbClr>
                  </w14:solidFill>
                </w14:textFill>
              </w:rPr>
              <w:t>|||</w:t>
            </w:r>
            <w:r w:rsidR="00F555BD" w:rsidRPr="00F555BD">
              <w:rPr>
                <w:color w:val="000000"/>
                <w:spacing w:val="2"/>
                <w:shd w:val="solid" w:color="000000" w:fill="000000"/>
                <w:fitText w:val="325" w:id="-691349747"/>
                <w14:textFill>
                  <w14:solidFill>
                    <w14:srgbClr w14:val="000000">
                      <w14:alpha w14:val="100000"/>
                    </w14:srgbClr>
                  </w14:solidFill>
                </w14:textFill>
              </w:rPr>
              <w:t>|</w:t>
            </w:r>
            <w:r w:rsidR="009F10B3">
              <w:t xml:space="preserve">% * </w:t>
            </w:r>
            <w:r w:rsidR="00F555BD" w:rsidRPr="00F555BD">
              <w:rPr>
                <w:color w:val="000000"/>
                <w:spacing w:val="51"/>
                <w:shd w:val="solid" w:color="000000" w:fill="000000"/>
                <w:fitText w:val="326" w:id="-691349746"/>
                <w14:textFill>
                  <w14:solidFill>
                    <w14:srgbClr w14:val="000000">
                      <w14:alpha w14:val="100000"/>
                    </w14:srgbClr>
                  </w14:solidFill>
                </w14:textFill>
              </w:rPr>
              <w:t>|||</w:t>
            </w:r>
            <w:r w:rsidR="00F555BD" w:rsidRPr="00F555BD">
              <w:rPr>
                <w:color w:val="000000"/>
                <w:spacing w:val="3"/>
                <w:shd w:val="solid" w:color="000000" w:fill="000000"/>
                <w:fitText w:val="326" w:id="-691349746"/>
                <w14:textFill>
                  <w14:solidFill>
                    <w14:srgbClr w14:val="000000">
                      <w14:alpha w14:val="100000"/>
                    </w14:srgbClr>
                  </w14:solidFill>
                </w14:textFill>
              </w:rPr>
              <w:t>|</w:t>
            </w:r>
            <w:r w:rsidR="009F10B3">
              <w:t>%</w:t>
            </w:r>
            <w:r w:rsidR="00610758">
              <w:t>)</w:t>
            </w:r>
            <w:r w:rsidR="009F10B3">
              <w:t xml:space="preserve"> = </w:t>
            </w:r>
            <w:r w:rsidR="00F555BD" w:rsidRPr="00F555BD">
              <w:rPr>
                <w:color w:val="000000"/>
                <w:spacing w:val="51"/>
                <w:shd w:val="solid" w:color="000000" w:fill="000000"/>
                <w:fitText w:val="325" w:id="-691349745"/>
                <w14:textFill>
                  <w14:solidFill>
                    <w14:srgbClr w14:val="000000">
                      <w14:alpha w14:val="100000"/>
                    </w14:srgbClr>
                  </w14:solidFill>
                </w14:textFill>
              </w:rPr>
              <w:t>|||</w:t>
            </w:r>
            <w:r w:rsidR="00F555BD" w:rsidRPr="00F555BD">
              <w:rPr>
                <w:color w:val="000000"/>
                <w:spacing w:val="2"/>
                <w:shd w:val="solid" w:color="000000" w:fill="000000"/>
                <w:fitText w:val="325" w:id="-691349745"/>
                <w14:textFill>
                  <w14:solidFill>
                    <w14:srgbClr w14:val="000000">
                      <w14:alpha w14:val="100000"/>
                    </w14:srgbClr>
                  </w14:solidFill>
                </w14:textFill>
              </w:rPr>
              <w:t>|</w:t>
            </w:r>
            <w:r w:rsidR="009F10B3">
              <w:t>% of the market)</w:t>
            </w:r>
            <w:r w:rsidR="00114D5B">
              <w:t>.</w:t>
            </w:r>
            <w:r w:rsidR="009F10B3">
              <w:t xml:space="preserve"> Total uptake of </w:t>
            </w:r>
            <w:r w:rsidR="00F555BD" w:rsidRPr="00F555BD">
              <w:rPr>
                <w:color w:val="000000"/>
                <w:spacing w:val="51"/>
                <w:shd w:val="solid" w:color="000000" w:fill="000000"/>
                <w:fitText w:val="326" w:id="-691349744"/>
                <w14:textFill>
                  <w14:solidFill>
                    <w14:srgbClr w14:val="000000">
                      <w14:alpha w14:val="100000"/>
                    </w14:srgbClr>
                  </w14:solidFill>
                </w14:textFill>
              </w:rPr>
              <w:t>|||</w:t>
            </w:r>
            <w:r w:rsidR="00F555BD" w:rsidRPr="00F555BD">
              <w:rPr>
                <w:color w:val="000000"/>
                <w:spacing w:val="3"/>
                <w:shd w:val="solid" w:color="000000" w:fill="000000"/>
                <w:fitText w:val="326" w:id="-691349744"/>
                <w14:textFill>
                  <w14:solidFill>
                    <w14:srgbClr w14:val="000000">
                      <w14:alpha w14:val="100000"/>
                    </w14:srgbClr>
                  </w14:solidFill>
                </w14:textFill>
              </w:rPr>
              <w:t>|</w:t>
            </w:r>
            <w:r w:rsidR="009F10B3">
              <w:t xml:space="preserve">% in </w:t>
            </w:r>
            <w:r w:rsidR="00F555BD" w:rsidRPr="00F555BD">
              <w:rPr>
                <w:color w:val="000000"/>
                <w:spacing w:val="55"/>
                <w:shd w:val="solid" w:color="000000" w:fill="000000"/>
                <w:fitText w:val="338" w:id="-691349760"/>
                <w14:textFill>
                  <w14:solidFill>
                    <w14:srgbClr w14:val="000000">
                      <w14:alpha w14:val="100000"/>
                    </w14:srgbClr>
                  </w14:solidFill>
                </w14:textFill>
              </w:rPr>
              <w:t>|||</w:t>
            </w:r>
            <w:r w:rsidR="00F555BD" w:rsidRPr="00F555BD">
              <w:rPr>
                <w:color w:val="000000"/>
                <w:spacing w:val="3"/>
                <w:shd w:val="solid" w:color="000000" w:fill="000000"/>
                <w:fitText w:val="338" w:id="-691349760"/>
                <w14:textFill>
                  <w14:solidFill>
                    <w14:srgbClr w14:val="000000">
                      <w14:alpha w14:val="100000"/>
                    </w14:srgbClr>
                  </w14:solidFill>
                </w14:textFill>
              </w:rPr>
              <w:t>|</w:t>
            </w:r>
            <w:r w:rsidR="009F10B3">
              <w:t xml:space="preserve">% of the market. </w:t>
            </w:r>
          </w:p>
          <w:p w14:paraId="73BDE812" w14:textId="7F33C646" w:rsidR="00E27192" w:rsidRDefault="00E37A83" w:rsidP="006E2A77">
            <w:pPr>
              <w:pStyle w:val="COMTabletext"/>
              <w:keepNext w:val="0"/>
            </w:pPr>
            <w:r>
              <w:t>U</w:t>
            </w:r>
            <w:r w:rsidR="00E27192" w:rsidRPr="00162BF2">
              <w:t>ptake from prevalent patients already established on IVIg</w:t>
            </w:r>
            <w:r w:rsidR="00E27192">
              <w:t xml:space="preserve">: </w:t>
            </w:r>
            <w:r w:rsidR="00177E51" w:rsidRPr="00212E83">
              <w:t>The PBAC, in its expert opinion, considered th</w:t>
            </w:r>
            <w:r w:rsidR="00177E51">
              <w:t xml:space="preserve">is could be up to </w:t>
            </w:r>
            <w:r w:rsidR="00F555BD" w:rsidRPr="00F555BD">
              <w:rPr>
                <w:color w:val="000000"/>
                <w:spacing w:val="55"/>
                <w:shd w:val="solid" w:color="000000" w:fill="000000"/>
                <w:fitText w:val="338" w:id="-691349759"/>
                <w14:textFill>
                  <w14:solidFill>
                    <w14:srgbClr w14:val="000000">
                      <w14:alpha w14:val="100000"/>
                    </w14:srgbClr>
                  </w14:solidFill>
                </w14:textFill>
              </w:rPr>
              <w:t>|||</w:t>
            </w:r>
            <w:r w:rsidR="00F555BD" w:rsidRPr="00F555BD">
              <w:rPr>
                <w:color w:val="000000"/>
                <w:spacing w:val="3"/>
                <w:shd w:val="solid" w:color="000000" w:fill="000000"/>
                <w:fitText w:val="338" w:id="-691349759"/>
                <w14:textFill>
                  <w14:solidFill>
                    <w14:srgbClr w14:val="000000">
                      <w14:alpha w14:val="100000"/>
                    </w14:srgbClr>
                  </w14:solidFill>
                </w14:textFill>
              </w:rPr>
              <w:t>|</w:t>
            </w:r>
            <w:r w:rsidR="00E27192">
              <w:t>%</w:t>
            </w:r>
            <w:r w:rsidR="00177E51">
              <w:t>, and t</w:t>
            </w:r>
            <w:r w:rsidR="009F10B3">
              <w:t>his could represent around two-</w:t>
            </w:r>
            <w:r w:rsidR="009F10B3" w:rsidRPr="009F10B3">
              <w:t>third</w:t>
            </w:r>
            <w:r w:rsidR="009F10B3">
              <w:t>s</w:t>
            </w:r>
            <w:r w:rsidR="009F10B3" w:rsidRPr="009F10B3">
              <w:t xml:space="preserve"> of current IVIg users based on: </w:t>
            </w:r>
            <w:r w:rsidR="009F10B3">
              <w:t>of the</w:t>
            </w:r>
            <w:r w:rsidR="009F10B3" w:rsidRPr="009F10B3">
              <w:t xml:space="preserve"> </w:t>
            </w:r>
            <w:r w:rsidR="00F555BD" w:rsidRPr="00F555BD">
              <w:rPr>
                <w:color w:val="000000"/>
                <w:spacing w:val="51"/>
                <w:shd w:val="solid" w:color="000000" w:fill="000000"/>
                <w:fitText w:val="326" w:id="-691349758"/>
                <w14:textFill>
                  <w14:solidFill>
                    <w14:srgbClr w14:val="000000">
                      <w14:alpha w14:val="100000"/>
                    </w14:srgbClr>
                  </w14:solidFill>
                </w14:textFill>
              </w:rPr>
              <w:t>|||</w:t>
            </w:r>
            <w:r w:rsidR="00F555BD" w:rsidRPr="00F555BD">
              <w:rPr>
                <w:color w:val="000000"/>
                <w:spacing w:val="3"/>
                <w:shd w:val="solid" w:color="000000" w:fill="000000"/>
                <w:fitText w:val="326" w:id="-691349758"/>
                <w14:textFill>
                  <w14:solidFill>
                    <w14:srgbClr w14:val="000000">
                      <w14:alpha w14:val="100000"/>
                    </w14:srgbClr>
                  </w14:solidFill>
                </w14:textFill>
              </w:rPr>
              <w:t>|</w:t>
            </w:r>
            <w:r w:rsidR="009F10B3" w:rsidRPr="009F10B3">
              <w:t xml:space="preserve">% </w:t>
            </w:r>
            <w:r w:rsidR="009F10B3">
              <w:t xml:space="preserve">of IVIg users who commenced more than a year ago, </w:t>
            </w:r>
            <w:r w:rsidR="009F10B3" w:rsidRPr="009F10B3">
              <w:t xml:space="preserve">around </w:t>
            </w:r>
            <w:r w:rsidR="00F555BD" w:rsidRPr="00F555BD">
              <w:rPr>
                <w:color w:val="000000"/>
                <w:spacing w:val="51"/>
                <w:shd w:val="solid" w:color="000000" w:fill="000000"/>
                <w:fitText w:val="325" w:id="-691349757"/>
                <w14:textFill>
                  <w14:solidFill>
                    <w14:srgbClr w14:val="000000">
                      <w14:alpha w14:val="100000"/>
                    </w14:srgbClr>
                  </w14:solidFill>
                </w14:textFill>
              </w:rPr>
              <w:t>|||</w:t>
            </w:r>
            <w:r w:rsidR="00F555BD" w:rsidRPr="00F555BD">
              <w:rPr>
                <w:color w:val="000000"/>
                <w:spacing w:val="2"/>
                <w:shd w:val="solid" w:color="000000" w:fill="000000"/>
                <w:fitText w:val="325" w:id="-691349757"/>
                <w14:textFill>
                  <w14:solidFill>
                    <w14:srgbClr w14:val="000000">
                      <w14:alpha w14:val="100000"/>
                    </w14:srgbClr>
                  </w14:solidFill>
                </w14:textFill>
              </w:rPr>
              <w:t>|</w:t>
            </w:r>
            <w:r w:rsidR="009F10B3" w:rsidRPr="009F10B3">
              <w:t>%</w:t>
            </w:r>
            <w:r w:rsidR="009F10B3">
              <w:t xml:space="preserve"> are responding (i.e. </w:t>
            </w:r>
            <w:r w:rsidR="00F555BD" w:rsidRPr="00F555BD">
              <w:rPr>
                <w:color w:val="000000"/>
                <w:spacing w:val="51"/>
                <w:shd w:val="solid" w:color="000000" w:fill="000000"/>
                <w:fitText w:val="326" w:id="-691349756"/>
                <w14:textFill>
                  <w14:solidFill>
                    <w14:srgbClr w14:val="000000">
                      <w14:alpha w14:val="100000"/>
                    </w14:srgbClr>
                  </w14:solidFill>
                </w14:textFill>
              </w:rPr>
              <w:t>|||</w:t>
            </w:r>
            <w:r w:rsidR="00F555BD" w:rsidRPr="00F555BD">
              <w:rPr>
                <w:color w:val="000000"/>
                <w:spacing w:val="3"/>
                <w:shd w:val="solid" w:color="000000" w:fill="000000"/>
                <w:fitText w:val="326" w:id="-691349756"/>
                <w14:textFill>
                  <w14:solidFill>
                    <w14:srgbClr w14:val="000000">
                      <w14:alpha w14:val="100000"/>
                    </w14:srgbClr>
                  </w14:solidFill>
                </w14:textFill>
              </w:rPr>
              <w:t>|</w:t>
            </w:r>
            <w:r w:rsidR="009F10B3">
              <w:t xml:space="preserve">% * </w:t>
            </w:r>
            <w:r w:rsidR="00F555BD" w:rsidRPr="00F555BD">
              <w:rPr>
                <w:color w:val="000000"/>
                <w:spacing w:val="51"/>
                <w:shd w:val="solid" w:color="000000" w:fill="000000"/>
                <w:fitText w:val="326" w:id="-691349755"/>
                <w14:textFill>
                  <w14:solidFill>
                    <w14:srgbClr w14:val="000000">
                      <w14:alpha w14:val="100000"/>
                    </w14:srgbClr>
                  </w14:solidFill>
                </w14:textFill>
              </w:rPr>
              <w:t>|||</w:t>
            </w:r>
            <w:r w:rsidR="00F555BD" w:rsidRPr="00F555BD">
              <w:rPr>
                <w:color w:val="000000"/>
                <w:spacing w:val="3"/>
                <w:shd w:val="solid" w:color="000000" w:fill="000000"/>
                <w:fitText w:val="326" w:id="-691349755"/>
                <w14:textFill>
                  <w14:solidFill>
                    <w14:srgbClr w14:val="000000">
                      <w14:alpha w14:val="100000"/>
                    </w14:srgbClr>
                  </w14:solidFill>
                </w14:textFill>
              </w:rPr>
              <w:t>|</w:t>
            </w:r>
            <w:r w:rsidR="009F10B3">
              <w:t xml:space="preserve">% = </w:t>
            </w:r>
            <w:r w:rsidR="00F555BD" w:rsidRPr="00F555BD">
              <w:rPr>
                <w:color w:val="000000"/>
                <w:spacing w:val="51"/>
                <w:shd w:val="solid" w:color="000000" w:fill="000000"/>
                <w:fitText w:val="326" w:id="-691349754"/>
                <w14:textFill>
                  <w14:solidFill>
                    <w14:srgbClr w14:val="000000">
                      <w14:alpha w14:val="100000"/>
                    </w14:srgbClr>
                  </w14:solidFill>
                </w14:textFill>
              </w:rPr>
              <w:t>|||</w:t>
            </w:r>
            <w:r w:rsidR="00F555BD" w:rsidRPr="00F555BD">
              <w:rPr>
                <w:color w:val="000000"/>
                <w:spacing w:val="3"/>
                <w:shd w:val="solid" w:color="000000" w:fill="000000"/>
                <w:fitText w:val="326" w:id="-691349754"/>
                <w14:textFill>
                  <w14:solidFill>
                    <w14:srgbClr w14:val="000000">
                      <w14:alpha w14:val="100000"/>
                    </w14:srgbClr>
                  </w14:solidFill>
                </w14:textFill>
              </w:rPr>
              <w:t>|</w:t>
            </w:r>
            <w:r w:rsidR="009F10B3">
              <w:t xml:space="preserve">%). Total uptake of </w:t>
            </w:r>
            <w:r w:rsidR="00F555BD" w:rsidRPr="00F555BD">
              <w:rPr>
                <w:color w:val="000000"/>
                <w:spacing w:val="51"/>
                <w:shd w:val="solid" w:color="000000" w:fill="000000"/>
                <w:fitText w:val="326" w:id="-691349753"/>
                <w14:textFill>
                  <w14:solidFill>
                    <w14:srgbClr w14:val="000000">
                      <w14:alpha w14:val="100000"/>
                    </w14:srgbClr>
                  </w14:solidFill>
                </w14:textFill>
              </w:rPr>
              <w:t>|||</w:t>
            </w:r>
            <w:r w:rsidR="00F555BD" w:rsidRPr="00F555BD">
              <w:rPr>
                <w:color w:val="000000"/>
                <w:spacing w:val="3"/>
                <w:shd w:val="solid" w:color="000000" w:fill="000000"/>
                <w:fitText w:val="326" w:id="-691349753"/>
                <w14:textFill>
                  <w14:solidFill>
                    <w14:srgbClr w14:val="000000">
                      <w14:alpha w14:val="100000"/>
                    </w14:srgbClr>
                  </w14:solidFill>
                </w14:textFill>
              </w:rPr>
              <w:t>|</w:t>
            </w:r>
            <w:r w:rsidR="009F10B3">
              <w:t xml:space="preserve">% in </w:t>
            </w:r>
            <w:r w:rsidR="00F555BD" w:rsidRPr="00F555BD">
              <w:rPr>
                <w:color w:val="000000"/>
                <w:spacing w:val="51"/>
                <w:shd w:val="solid" w:color="000000" w:fill="000000"/>
                <w:fitText w:val="326" w:id="-691349752"/>
                <w14:textFill>
                  <w14:solidFill>
                    <w14:srgbClr w14:val="000000">
                      <w14:alpha w14:val="100000"/>
                    </w14:srgbClr>
                  </w14:solidFill>
                </w14:textFill>
              </w:rPr>
              <w:t>|||</w:t>
            </w:r>
            <w:r w:rsidR="00F555BD" w:rsidRPr="00F555BD">
              <w:rPr>
                <w:color w:val="000000"/>
                <w:spacing w:val="3"/>
                <w:shd w:val="solid" w:color="000000" w:fill="000000"/>
                <w:fitText w:val="326" w:id="-691349752"/>
                <w14:textFill>
                  <w14:solidFill>
                    <w14:srgbClr w14:val="000000">
                      <w14:alpha w14:val="100000"/>
                    </w14:srgbClr>
                  </w14:solidFill>
                </w14:textFill>
              </w:rPr>
              <w:t>|</w:t>
            </w:r>
            <w:r w:rsidR="009F10B3">
              <w:t>% of the market.</w:t>
            </w:r>
          </w:p>
          <w:p w14:paraId="31B76419" w14:textId="200D5349" w:rsidR="009F10B3" w:rsidRPr="00704B78" w:rsidRDefault="009F10B3" w:rsidP="006E2A77">
            <w:pPr>
              <w:pStyle w:val="COMTabletext"/>
              <w:keepNext w:val="0"/>
            </w:pPr>
            <w:r>
              <w:t xml:space="preserve">Total market uptake of </w:t>
            </w:r>
            <w:r w:rsidR="00F555BD" w:rsidRPr="00F555BD">
              <w:rPr>
                <w:color w:val="000000"/>
                <w:spacing w:val="51"/>
                <w:shd w:val="solid" w:color="000000" w:fill="000000"/>
                <w:fitText w:val="325" w:id="-691349751"/>
                <w14:textFill>
                  <w14:solidFill>
                    <w14:srgbClr w14:val="000000">
                      <w14:alpha w14:val="100000"/>
                    </w14:srgbClr>
                  </w14:solidFill>
                </w14:textFill>
              </w:rPr>
              <w:t>|||</w:t>
            </w:r>
            <w:r w:rsidR="00F555BD" w:rsidRPr="00F555BD">
              <w:rPr>
                <w:color w:val="000000"/>
                <w:spacing w:val="2"/>
                <w:shd w:val="solid" w:color="000000" w:fill="000000"/>
                <w:fitText w:val="325" w:id="-691349751"/>
                <w14:textFill>
                  <w14:solidFill>
                    <w14:srgbClr w14:val="000000">
                      <w14:alpha w14:val="100000"/>
                    </w14:srgbClr>
                  </w14:solidFill>
                </w14:textFill>
              </w:rPr>
              <w:t>|</w:t>
            </w:r>
            <w:r>
              <w:t>%</w:t>
            </w:r>
            <w:r w:rsidR="002C60AF">
              <w:t xml:space="preserve"> in Year 1 (i.e. </w:t>
            </w:r>
            <w:r w:rsidR="00F555BD" w:rsidRPr="00F555BD">
              <w:rPr>
                <w:color w:val="000000"/>
                <w:spacing w:val="51"/>
                <w:shd w:val="solid" w:color="000000" w:fill="000000"/>
                <w:fitText w:val="325" w:id="-691349750"/>
                <w14:textFill>
                  <w14:solidFill>
                    <w14:srgbClr w14:val="000000">
                      <w14:alpha w14:val="100000"/>
                    </w14:srgbClr>
                  </w14:solidFill>
                </w14:textFill>
              </w:rPr>
              <w:t>|||</w:t>
            </w:r>
            <w:r w:rsidR="00F555BD" w:rsidRPr="00F555BD">
              <w:rPr>
                <w:color w:val="000000"/>
                <w:spacing w:val="2"/>
                <w:shd w:val="solid" w:color="000000" w:fill="000000"/>
                <w:fitText w:val="325" w:id="-691349750"/>
                <w14:textFill>
                  <w14:solidFill>
                    <w14:srgbClr w14:val="000000">
                      <w14:alpha w14:val="100000"/>
                    </w14:srgbClr>
                  </w14:solidFill>
                </w14:textFill>
              </w:rPr>
              <w:t>|</w:t>
            </w:r>
            <w:r w:rsidR="002E7AA4" w:rsidRPr="002E7AA4">
              <w:rPr>
                <w:vertAlign w:val="superscript"/>
              </w:rPr>
              <w:t>1</w:t>
            </w:r>
            <w:r w:rsidR="002C60AF" w:rsidRPr="002E7AA4">
              <w:rPr>
                <w:vertAlign w:val="superscript"/>
              </w:rPr>
              <w:t xml:space="preserve"> </w:t>
            </w:r>
            <w:r w:rsidR="002C60AF">
              <w:t>patients in Year 1)</w:t>
            </w:r>
          </w:p>
        </w:tc>
      </w:tr>
      <w:tr w:rsidR="00E27192" w:rsidRPr="00704B78" w14:paraId="623EA881" w14:textId="77777777" w:rsidTr="002C60AF">
        <w:trPr>
          <w:trHeight w:val="20"/>
        </w:trPr>
        <w:tc>
          <w:tcPr>
            <w:tcW w:w="1098" w:type="pct"/>
            <w:vAlign w:val="center"/>
          </w:tcPr>
          <w:p w14:paraId="7342D584" w14:textId="65B6C724" w:rsidR="00E27192" w:rsidRDefault="00E27192" w:rsidP="006E2A77">
            <w:pPr>
              <w:pStyle w:val="COMTabletext"/>
              <w:keepNext w:val="0"/>
            </w:pPr>
            <w:r>
              <w:t>Increase in uptake over time</w:t>
            </w:r>
          </w:p>
        </w:tc>
        <w:tc>
          <w:tcPr>
            <w:tcW w:w="3902" w:type="pct"/>
            <w:vAlign w:val="center"/>
          </w:tcPr>
          <w:p w14:paraId="66062AE0" w14:textId="5186E705" w:rsidR="00E27192" w:rsidRPr="00704B78" w:rsidRDefault="00E37A83" w:rsidP="006E2A77">
            <w:pPr>
              <w:pStyle w:val="COMTabletext"/>
              <w:keepNext w:val="0"/>
            </w:pPr>
            <w:r w:rsidRPr="00E37A83">
              <w:t>5 percentage points each year</w:t>
            </w:r>
            <w:r w:rsidR="009F10B3">
              <w:t xml:space="preserve"> for the first </w:t>
            </w:r>
            <w:r w:rsidR="009F74D0">
              <w:t>six</w:t>
            </w:r>
            <w:r w:rsidR="009F10B3">
              <w:t xml:space="preserve"> years of listing</w:t>
            </w:r>
            <w:r w:rsidR="002C60AF">
              <w:t xml:space="preserve"> (i.e. </w:t>
            </w:r>
            <w:r w:rsidR="00F555BD">
              <w:rPr>
                <w:color w:val="000000"/>
                <w:spacing w:val="51"/>
                <w:shd w:val="solid" w:color="000000" w:fill="000000"/>
                <w:fitText w:val="325" w:id="-691349749"/>
                <w14:textFill>
                  <w14:solidFill>
                    <w14:srgbClr w14:val="000000">
                      <w14:alpha w14:val="100000"/>
                    </w14:srgbClr>
                  </w14:solidFill>
                </w14:textFill>
              </w:rPr>
              <w:t>|||</w:t>
            </w:r>
            <w:r w:rsidR="00F555BD">
              <w:rPr>
                <w:color w:val="000000"/>
                <w:shd w:val="solid" w:color="000000" w:fill="000000"/>
                <w:fitText w:val="325" w:id="-691349749"/>
                <w14:textFill>
                  <w14:solidFill>
                    <w14:srgbClr w14:val="000000">
                      <w14:alpha w14:val="100000"/>
                    </w14:srgbClr>
                  </w14:solidFill>
                </w14:textFill>
              </w:rPr>
              <w:t>|</w:t>
            </w:r>
            <w:r w:rsidR="002B14BB" w:rsidRPr="005D6501">
              <w:rPr>
                <w:vertAlign w:val="superscript"/>
              </w:rPr>
              <w:t>2</w:t>
            </w:r>
            <w:r w:rsidR="002C60AF">
              <w:t xml:space="preserve"> patients in Year </w:t>
            </w:r>
            <w:r w:rsidR="00A53F0F">
              <w:t>6</w:t>
            </w:r>
            <w:r w:rsidR="002C60AF">
              <w:t>)</w:t>
            </w:r>
          </w:p>
        </w:tc>
      </w:tr>
    </w:tbl>
    <w:bookmarkEnd w:id="73"/>
    <w:p w14:paraId="15DB81A3" w14:textId="77777777" w:rsidR="00685DC0" w:rsidRDefault="00DE1E51" w:rsidP="006E2A77">
      <w:pPr>
        <w:rPr>
          <w:rFonts w:ascii="Arial Narrow" w:hAnsi="Arial Narrow"/>
          <w:sz w:val="18"/>
          <w:szCs w:val="18"/>
        </w:rPr>
      </w:pPr>
      <w:r w:rsidRPr="00DE1E51">
        <w:rPr>
          <w:rFonts w:ascii="Arial Narrow" w:hAnsi="Arial Narrow"/>
          <w:sz w:val="18"/>
          <w:szCs w:val="18"/>
        </w:rPr>
        <w:t xml:space="preserve">Source: </w:t>
      </w:r>
      <w:r>
        <w:rPr>
          <w:rFonts w:ascii="Arial Narrow" w:hAnsi="Arial Narrow"/>
          <w:sz w:val="18"/>
          <w:szCs w:val="18"/>
        </w:rPr>
        <w:t>Compiled during preparation of the PBAC Minutes</w:t>
      </w:r>
      <w:r w:rsidR="00685DC0">
        <w:rPr>
          <w:rFonts w:ascii="Arial Narrow" w:hAnsi="Arial Narrow"/>
          <w:sz w:val="18"/>
          <w:szCs w:val="18"/>
        </w:rPr>
        <w:t xml:space="preserve"> </w:t>
      </w:r>
    </w:p>
    <w:p w14:paraId="3B6F2095" w14:textId="26B200F5" w:rsidR="00685DC0" w:rsidRPr="009A6D58" w:rsidRDefault="00685DC0" w:rsidP="006E2A7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3976BB4" w14:textId="77777777" w:rsidR="002B14BB" w:rsidRDefault="00685DC0" w:rsidP="006E2A7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14E4B3CB" w14:textId="2363C1DF" w:rsidR="00DE1E51" w:rsidRPr="005D6501" w:rsidRDefault="002B14BB" w:rsidP="006E2A77">
      <w:pPr>
        <w:rPr>
          <w:rFonts w:ascii="Arial Narrow" w:hAnsi="Arial Narrow"/>
          <w:i/>
          <w:sz w:val="18"/>
          <w:szCs w:val="18"/>
        </w:rPr>
      </w:pPr>
      <w:r w:rsidRPr="002B14BB">
        <w:rPr>
          <w:rFonts w:ascii="Arial Narrow" w:hAnsi="Arial Narrow"/>
          <w:i/>
          <w:sz w:val="18"/>
          <w:szCs w:val="18"/>
          <w:vertAlign w:val="superscript"/>
        </w:rPr>
        <w:t>2</w:t>
      </w:r>
      <w:r w:rsidRPr="002B14BB">
        <w:rPr>
          <w:rFonts w:ascii="Arial Narrow" w:hAnsi="Arial Narrow"/>
          <w:i/>
          <w:sz w:val="18"/>
          <w:szCs w:val="18"/>
        </w:rPr>
        <w:t xml:space="preserve"> 500 to &lt; 5,000</w:t>
      </w:r>
    </w:p>
    <w:p w14:paraId="342FDF8B" w14:textId="334FB0F9" w:rsidR="00DE1E51" w:rsidRPr="00DE1E51" w:rsidRDefault="00DE1E51" w:rsidP="006E2A77">
      <w:pPr>
        <w:pStyle w:val="COMexecsummnumbered"/>
        <w:rPr>
          <w:rFonts w:ascii="Calibri" w:hAnsi="Calibri" w:cs="Calibri"/>
          <w:szCs w:val="24"/>
        </w:rPr>
      </w:pPr>
      <w:r w:rsidRPr="00DE1E51">
        <w:rPr>
          <w:rFonts w:ascii="Calibri" w:hAnsi="Calibri" w:cs="Calibri"/>
          <w:szCs w:val="24"/>
        </w:rPr>
        <w:t xml:space="preserve">The PBAC </w:t>
      </w:r>
      <w:r>
        <w:rPr>
          <w:rFonts w:ascii="Calibri" w:hAnsi="Calibri" w:cs="Calibri"/>
          <w:szCs w:val="24"/>
        </w:rPr>
        <w:t>considered that uptake rates would be the largest source of uncertainty in the financial estimates, particularly given the range of patients currently taking IVIg (with new</w:t>
      </w:r>
      <w:r w:rsidRPr="00DE1E51">
        <w:rPr>
          <w:rFonts w:ascii="Calibri" w:hAnsi="Calibri" w:cs="Calibri"/>
          <w:szCs w:val="24"/>
        </w:rPr>
        <w:t xml:space="preserve"> patients and existing IVIg users with ongoing functional impairment </w:t>
      </w:r>
      <w:r>
        <w:rPr>
          <w:rFonts w:ascii="Calibri" w:hAnsi="Calibri" w:cs="Calibri"/>
          <w:szCs w:val="24"/>
        </w:rPr>
        <w:t xml:space="preserve">expected to have substantially </w:t>
      </w:r>
      <w:r w:rsidRPr="00DE1E51">
        <w:rPr>
          <w:rFonts w:ascii="Calibri" w:hAnsi="Calibri" w:cs="Calibri"/>
          <w:szCs w:val="24"/>
        </w:rPr>
        <w:t>higher uptake</w:t>
      </w:r>
      <w:r>
        <w:rPr>
          <w:rFonts w:ascii="Calibri" w:hAnsi="Calibri" w:cs="Calibri"/>
          <w:szCs w:val="24"/>
        </w:rPr>
        <w:t xml:space="preserve"> than those</w:t>
      </w:r>
      <w:r w:rsidRPr="00DE1E51">
        <w:rPr>
          <w:rFonts w:ascii="Calibri" w:hAnsi="Calibri" w:cs="Calibri"/>
          <w:szCs w:val="24"/>
        </w:rPr>
        <w:t xml:space="preserve"> prevalent patients already </w:t>
      </w:r>
      <w:r w:rsidRPr="00DE1E51">
        <w:rPr>
          <w:rFonts w:ascii="Calibri" w:hAnsi="Calibri" w:cs="Calibri"/>
          <w:szCs w:val="24"/>
        </w:rPr>
        <w:lastRenderedPageBreak/>
        <w:t>established on IVIg</w:t>
      </w:r>
      <w:r>
        <w:rPr>
          <w:rFonts w:ascii="Calibri" w:hAnsi="Calibri" w:cs="Calibri"/>
          <w:szCs w:val="24"/>
        </w:rPr>
        <w:t xml:space="preserve">) and also given that the </w:t>
      </w:r>
      <w:r w:rsidRPr="00DE1E51">
        <w:rPr>
          <w:rFonts w:ascii="Calibri" w:hAnsi="Calibri" w:cs="Calibri"/>
          <w:szCs w:val="24"/>
        </w:rPr>
        <w:t xml:space="preserve">uptake rates </w:t>
      </w:r>
      <w:r>
        <w:rPr>
          <w:rFonts w:ascii="Calibri" w:hAnsi="Calibri" w:cs="Calibri"/>
          <w:szCs w:val="24"/>
        </w:rPr>
        <w:t>would need t</w:t>
      </w:r>
      <w:r w:rsidRPr="00DE1E51">
        <w:rPr>
          <w:rFonts w:ascii="Calibri" w:hAnsi="Calibri" w:cs="Calibri"/>
          <w:szCs w:val="24"/>
        </w:rPr>
        <w:t xml:space="preserve">o account for: any additional eligible patients (e.g. patients who are not responding to, or who are unable to be treated with IVIg); the PBS restriction being narrower than the current IVIg criteria; and the stopping rules (as these would generally mirror how IVIg is used in practice). </w:t>
      </w:r>
    </w:p>
    <w:p w14:paraId="2238DEE9" w14:textId="3E6A228B" w:rsidR="00576972" w:rsidRPr="00704B78" w:rsidRDefault="00576972" w:rsidP="006E2A77">
      <w:pPr>
        <w:pStyle w:val="COMH2-non-numbered"/>
        <w:rPr>
          <w:iCs/>
        </w:rPr>
      </w:pPr>
      <w:bookmarkStart w:id="75" w:name="_Toc22897648"/>
      <w:bookmarkStart w:id="76" w:name="_Toc188350834"/>
      <w:r w:rsidRPr="00704B78">
        <w:rPr>
          <w:iCs/>
        </w:rPr>
        <w:t>Quality Use of Medicines</w:t>
      </w:r>
      <w:bookmarkEnd w:id="75"/>
      <w:bookmarkEnd w:id="76"/>
    </w:p>
    <w:p w14:paraId="5643FAEB" w14:textId="3D4B8CC5" w:rsidR="00973C11" w:rsidRPr="00704B78" w:rsidRDefault="00973C11" w:rsidP="006E2A77">
      <w:pPr>
        <w:pStyle w:val="COMexecsummnumbered"/>
      </w:pPr>
      <w:r w:rsidRPr="00704B78">
        <w:t xml:space="preserve">The resubmission detailed the implementation of risk minimisation measures, including targeted education materials, controlled distribution in Australia, and annual meningococcal vaccination reminders, to be managed via a digital risk minimisation platform. The sponsor will require a completed certificate of vaccination against </w:t>
      </w:r>
      <w:r w:rsidRPr="00141320">
        <w:rPr>
          <w:i/>
          <w:iCs/>
        </w:rPr>
        <w:t>N. meningitides</w:t>
      </w:r>
      <w:r w:rsidRPr="00704B78">
        <w:t xml:space="preserve"> and/or treatment with prophylactic antibiotics to allow distribution to occur.</w:t>
      </w:r>
    </w:p>
    <w:p w14:paraId="6015A395" w14:textId="2EDB6A4E" w:rsidR="00576972" w:rsidRPr="00704B78" w:rsidRDefault="00576972" w:rsidP="006E2A77">
      <w:pPr>
        <w:pStyle w:val="COMH2-non-numbered"/>
        <w:rPr>
          <w:iCs/>
        </w:rPr>
      </w:pPr>
      <w:bookmarkStart w:id="77" w:name="_Toc22897649"/>
      <w:bookmarkStart w:id="78" w:name="_Toc188350835"/>
      <w:r w:rsidRPr="00704B78">
        <w:rPr>
          <w:iCs/>
        </w:rPr>
        <w:t>Financial Management – Risk Sharing Arrangements</w:t>
      </w:r>
      <w:bookmarkEnd w:id="77"/>
      <w:bookmarkEnd w:id="78"/>
    </w:p>
    <w:p w14:paraId="5A66D8B8" w14:textId="7190E0A3" w:rsidR="00973C11" w:rsidRPr="00704B78" w:rsidRDefault="00973C11" w:rsidP="006E2A77">
      <w:pPr>
        <w:pStyle w:val="COMexecsummnumbered"/>
      </w:pPr>
      <w:r w:rsidRPr="00704B78">
        <w:t>The sponsor proposed a risk sharing arrangement (</w:t>
      </w:r>
      <w:r w:rsidR="00FC4369">
        <w:t>RSA)</w:t>
      </w:r>
      <w:r w:rsidRPr="00704B78">
        <w:t xml:space="preserve"> (market cap) based on the financial estimates presented in the resubmission. No further details were provided.</w:t>
      </w:r>
    </w:p>
    <w:p w14:paraId="62085E27" w14:textId="0AB180B5" w:rsidR="00F54DD4" w:rsidRPr="00651940" w:rsidRDefault="003B304F" w:rsidP="006E2A77">
      <w:pPr>
        <w:pStyle w:val="COMexecsummnumbered"/>
      </w:pPr>
      <w:bookmarkStart w:id="79" w:name="_Hlk191026194"/>
      <w:r w:rsidRPr="00704B78">
        <w:rPr>
          <w:rFonts w:ascii="Calibri" w:hAnsi="Calibri" w:cs="Calibri"/>
          <w:szCs w:val="24"/>
        </w:rPr>
        <w:t xml:space="preserve">As outlined in </w:t>
      </w:r>
      <w:r w:rsidR="00141320">
        <w:rPr>
          <w:rFonts w:ascii="Calibri" w:hAnsi="Calibri" w:cs="Calibri"/>
          <w:szCs w:val="24"/>
        </w:rPr>
        <w:t>Section 7</w:t>
      </w:r>
      <w:r w:rsidRPr="00704B78">
        <w:rPr>
          <w:rFonts w:ascii="Calibri" w:hAnsi="Calibri" w:cs="Calibri"/>
          <w:szCs w:val="24"/>
        </w:rPr>
        <w:t xml:space="preserve">, </w:t>
      </w:r>
      <w:bookmarkEnd w:id="79"/>
      <w:r w:rsidRPr="00704B78">
        <w:rPr>
          <w:rFonts w:ascii="Calibri" w:hAnsi="Calibri" w:cs="Calibri"/>
          <w:szCs w:val="24"/>
        </w:rPr>
        <w:t>t</w:t>
      </w:r>
      <w:r w:rsidR="003958D1" w:rsidRPr="00704B78">
        <w:rPr>
          <w:rFonts w:ascii="Calibri" w:hAnsi="Calibri" w:cs="Calibri"/>
          <w:szCs w:val="24"/>
        </w:rPr>
        <w:t xml:space="preserve">he ESC considered that a single RSA that includes </w:t>
      </w:r>
      <w:proofErr w:type="gramStart"/>
      <w:r w:rsidR="003958D1" w:rsidRPr="00704B78">
        <w:rPr>
          <w:rFonts w:ascii="Calibri" w:hAnsi="Calibri" w:cs="Calibri"/>
          <w:szCs w:val="24"/>
        </w:rPr>
        <w:t>all of</w:t>
      </w:r>
      <w:proofErr w:type="gramEnd"/>
      <w:r w:rsidR="003958D1" w:rsidRPr="00704B78">
        <w:rPr>
          <w:rFonts w:ascii="Calibri" w:hAnsi="Calibri" w:cs="Calibri"/>
          <w:szCs w:val="24"/>
        </w:rPr>
        <w:t xml:space="preserve"> the new PBS listed treatments would be required to mitigate the risk of use outside the intended restriction. </w:t>
      </w:r>
    </w:p>
    <w:p w14:paraId="78E585BB" w14:textId="1E368540" w:rsidR="00651940" w:rsidRPr="00651940" w:rsidRDefault="00651940" w:rsidP="006E2A77">
      <w:pPr>
        <w:pStyle w:val="COMexecsummnumbered"/>
        <w:numPr>
          <w:ilvl w:val="0"/>
          <w:numId w:val="0"/>
        </w:numPr>
        <w:ind w:left="720"/>
        <w:rPr>
          <w:i/>
          <w:iCs/>
        </w:rPr>
      </w:pPr>
      <w:r w:rsidRPr="00651940">
        <w:rPr>
          <w:i/>
          <w:iCs/>
        </w:rPr>
        <w:t>For more detail on PBAC’s view, see section 8 PBAC outcome</w:t>
      </w:r>
      <w:r>
        <w:rPr>
          <w:i/>
          <w:iCs/>
        </w:rPr>
        <w:t>.</w:t>
      </w:r>
    </w:p>
    <w:p w14:paraId="0085786D" w14:textId="2CA2B2BC" w:rsidR="000A1820" w:rsidRPr="00704B78" w:rsidRDefault="000A1820" w:rsidP="006E2A77">
      <w:pPr>
        <w:pStyle w:val="COMH1-numbered"/>
        <w:numPr>
          <w:ilvl w:val="0"/>
          <w:numId w:val="1"/>
        </w:numPr>
      </w:pPr>
      <w:bookmarkStart w:id="80" w:name="_Hlk191369408"/>
      <w:r w:rsidRPr="00704B78">
        <w:t>ESC Advice relevant across the four gMG submissions</w:t>
      </w:r>
    </w:p>
    <w:p w14:paraId="1B699F0E" w14:textId="77777777" w:rsidR="000A1820" w:rsidRPr="006C6609" w:rsidRDefault="000A1820" w:rsidP="006E2A77">
      <w:pPr>
        <w:pStyle w:val="COMexecsummnumbered"/>
        <w:numPr>
          <w:ilvl w:val="0"/>
          <w:numId w:val="0"/>
        </w:numPr>
        <w:outlineLvl w:val="1"/>
        <w:rPr>
          <w:rFonts w:ascii="Calibri" w:hAnsi="Calibri" w:cs="Calibri"/>
          <w:b/>
          <w:i/>
          <w:iCs/>
          <w:lang w:val="en-GB"/>
        </w:rPr>
      </w:pPr>
      <w:r w:rsidRPr="006C6609">
        <w:rPr>
          <w:rFonts w:ascii="Calibri" w:hAnsi="Calibri" w:cs="Calibri"/>
          <w:b/>
          <w:i/>
          <w:iCs/>
          <w:lang w:val="en-GB"/>
        </w:rPr>
        <w:t>ESC’s view on the appropriate restriction and place for the new therapies</w:t>
      </w:r>
    </w:p>
    <w:p w14:paraId="3E078B11" w14:textId="3258707F" w:rsidR="000A1820" w:rsidRPr="00704B78" w:rsidRDefault="000A1820" w:rsidP="006E2A77">
      <w:pPr>
        <w:pStyle w:val="COMexecsummnumbered"/>
        <w:numPr>
          <w:ilvl w:val="1"/>
          <w:numId w:val="16"/>
        </w:numPr>
        <w:rPr>
          <w:rFonts w:ascii="Calibri" w:hAnsi="Calibri" w:cs="Calibri"/>
          <w:lang w:val="en-GB"/>
        </w:rPr>
      </w:pPr>
      <w:r w:rsidRPr="00704B78">
        <w:rPr>
          <w:rFonts w:ascii="Calibri" w:hAnsi="Calibri" w:cs="Calibri"/>
          <w:lang w:val="en-GB"/>
        </w:rPr>
        <w:t xml:space="preserve">The Economics Sub-Committee (ESC) noted that there are two key, distinct places in therapy which may be feasible for PBS-listing of the new therapies for gMG (zilucoplan, ravulizumab, efgartigimod and rozanolixizumab): </w:t>
      </w:r>
    </w:p>
    <w:p w14:paraId="426EEC3F" w14:textId="77777777" w:rsidR="000A1820" w:rsidRPr="00704B78" w:rsidRDefault="000A1820" w:rsidP="006E2A77">
      <w:pPr>
        <w:pStyle w:val="COMexecsummnumbered"/>
        <w:numPr>
          <w:ilvl w:val="0"/>
          <w:numId w:val="15"/>
        </w:numPr>
        <w:rPr>
          <w:rFonts w:ascii="Calibri" w:hAnsi="Calibri" w:cs="Calibri"/>
          <w:lang w:val="en-GB"/>
        </w:rPr>
      </w:pPr>
      <w:r w:rsidRPr="00704B78">
        <w:rPr>
          <w:rFonts w:ascii="Calibri" w:hAnsi="Calibri" w:cs="Calibri"/>
          <w:lang w:val="en-GB"/>
        </w:rPr>
        <w:t xml:space="preserve">early in the treatment algorithm, in combination with standard therapy to provide symptom relief whilst remission induction occurs, often referred to as ‘bridging therapy’; and </w:t>
      </w:r>
    </w:p>
    <w:p w14:paraId="3469FF9C" w14:textId="77777777" w:rsidR="000A1820" w:rsidRPr="00704B78" w:rsidRDefault="000A1820" w:rsidP="006E2A77">
      <w:pPr>
        <w:pStyle w:val="COMexecsummnumbered"/>
        <w:numPr>
          <w:ilvl w:val="0"/>
          <w:numId w:val="15"/>
        </w:numPr>
        <w:rPr>
          <w:rFonts w:ascii="Calibri" w:hAnsi="Calibri" w:cs="Calibri"/>
          <w:szCs w:val="24"/>
        </w:rPr>
      </w:pPr>
      <w:r w:rsidRPr="00704B78">
        <w:rPr>
          <w:rFonts w:ascii="Calibri" w:hAnsi="Calibri" w:cs="Calibri"/>
          <w:szCs w:val="24"/>
        </w:rPr>
        <w:t>later in the disease course in refractory patients.</w:t>
      </w:r>
    </w:p>
    <w:p w14:paraId="617FCB87" w14:textId="77777777" w:rsidR="000A1820" w:rsidRPr="00704B78" w:rsidRDefault="000A1820" w:rsidP="006E2A77">
      <w:pPr>
        <w:pStyle w:val="COMexecsummnumbered"/>
        <w:numPr>
          <w:ilvl w:val="0"/>
          <w:numId w:val="0"/>
        </w:numPr>
        <w:ind w:left="720"/>
        <w:rPr>
          <w:rFonts w:ascii="Calibri" w:hAnsi="Calibri" w:cs="Calibri"/>
          <w:lang w:val="en-GB"/>
        </w:rPr>
      </w:pPr>
      <w:r w:rsidRPr="00704B78">
        <w:rPr>
          <w:rFonts w:ascii="Calibri" w:hAnsi="Calibri" w:cs="Calibri"/>
          <w:lang w:val="en-GB"/>
        </w:rPr>
        <w:t>The ESC considered that separate PBS restrictions would be required in each of these settings.</w:t>
      </w:r>
    </w:p>
    <w:p w14:paraId="7EAFDB4C" w14:textId="4CF7020F" w:rsidR="000A1820" w:rsidRPr="00704B78" w:rsidRDefault="000A1820" w:rsidP="006E2A77">
      <w:pPr>
        <w:pStyle w:val="COMexecsummnumbered"/>
        <w:rPr>
          <w:rFonts w:ascii="Calibri" w:hAnsi="Calibri" w:cs="Calibri"/>
        </w:rPr>
      </w:pPr>
      <w:r w:rsidRPr="00704B78">
        <w:rPr>
          <w:rFonts w:ascii="Calibri" w:hAnsi="Calibri" w:cs="Calibri"/>
        </w:rPr>
        <w:t>The ESC recalled advice from the clinicians present at the gMG stakeholder meeting (May 2024)</w:t>
      </w:r>
      <w:r w:rsidRPr="00704B78">
        <w:rPr>
          <w:rStyle w:val="FootnoteReference"/>
          <w:rFonts w:ascii="Calibri" w:hAnsi="Calibri" w:cs="Calibri"/>
        </w:rPr>
        <w:footnoteReference w:id="4"/>
      </w:r>
      <w:r w:rsidRPr="00704B78">
        <w:rPr>
          <w:rFonts w:ascii="Calibri" w:hAnsi="Calibri" w:cs="Calibri"/>
        </w:rPr>
        <w:t xml:space="preserve"> that the complement inhibitors should be available in both these settings. </w:t>
      </w:r>
    </w:p>
    <w:p w14:paraId="3B7CE9F9" w14:textId="7F958263" w:rsidR="000A1820" w:rsidRPr="00704B78" w:rsidRDefault="000A1820" w:rsidP="006E2A77">
      <w:pPr>
        <w:pStyle w:val="COMexecsummnumbered"/>
        <w:rPr>
          <w:rFonts w:ascii="Calibri" w:hAnsi="Calibri" w:cs="Calibri"/>
        </w:rPr>
      </w:pPr>
      <w:r w:rsidRPr="00704B78">
        <w:rPr>
          <w:rFonts w:ascii="Calibri" w:hAnsi="Calibri" w:cs="Calibri"/>
        </w:rPr>
        <w:lastRenderedPageBreak/>
        <w:t>The ESC considered that in both settings, the new gMG therapies should substitute for IVIg and plasma exchange (PLEX) rather than be added on to or used in combination with these modalities.</w:t>
      </w:r>
    </w:p>
    <w:p w14:paraId="4228B692" w14:textId="77777777" w:rsidR="000A1820" w:rsidRPr="00704B78" w:rsidRDefault="000A1820" w:rsidP="006E2A77">
      <w:pPr>
        <w:pStyle w:val="COMexecsummnumbered"/>
        <w:numPr>
          <w:ilvl w:val="0"/>
          <w:numId w:val="0"/>
        </w:numPr>
        <w:rPr>
          <w:rFonts w:ascii="Calibri" w:hAnsi="Calibri" w:cs="Calibri"/>
          <w:szCs w:val="24"/>
        </w:rPr>
      </w:pPr>
      <w:r w:rsidRPr="00704B78">
        <w:rPr>
          <w:rFonts w:ascii="Calibri" w:hAnsi="Calibri" w:cs="Calibri"/>
          <w:szCs w:val="24"/>
          <w:u w:val="single"/>
        </w:rPr>
        <w:t>Bridging setting</w:t>
      </w:r>
    </w:p>
    <w:p w14:paraId="2EF0D2F6" w14:textId="1BA19835" w:rsidR="000A1820" w:rsidRPr="00704B78" w:rsidRDefault="000A1820" w:rsidP="006E2A77">
      <w:pPr>
        <w:pStyle w:val="COMexecsummnumbered"/>
        <w:rPr>
          <w:rFonts w:ascii="Calibri" w:hAnsi="Calibri" w:cs="Calibri"/>
          <w:lang w:val="en-GB"/>
        </w:rPr>
      </w:pPr>
      <w:r w:rsidRPr="00704B78">
        <w:rPr>
          <w:rFonts w:ascii="Calibri" w:hAnsi="Calibri" w:cs="Calibri"/>
          <w:lang w:val="en-GB"/>
        </w:rPr>
        <w:t xml:space="preserve">In terms of bridging therapy, the ESC recalled that the stakeholder meeting had discussed that specific patient criteria should be determined (e.g. a hypothetical case study of a typical patient who could benefit from the new therapies was discussed which </w:t>
      </w:r>
      <w:proofErr w:type="gramStart"/>
      <w:r w:rsidRPr="00704B78">
        <w:rPr>
          <w:rFonts w:ascii="Calibri" w:hAnsi="Calibri" w:cs="Calibri"/>
          <w:lang w:val="en-GB"/>
        </w:rPr>
        <w:t>took into account</w:t>
      </w:r>
      <w:proofErr w:type="gramEnd"/>
      <w:r w:rsidRPr="00704B78">
        <w:rPr>
          <w:rFonts w:ascii="Calibri" w:hAnsi="Calibri" w:cs="Calibri"/>
          <w:lang w:val="en-GB"/>
        </w:rPr>
        <w:t xml:space="preserve"> the patient’s response to standard therapy). The ESC considered that any PBS restriction for bridging therapy should require the patient to have trialled at least three months of combination therapy with all three of: a</w:t>
      </w:r>
      <w:r w:rsidR="001D5ECE">
        <w:rPr>
          <w:rFonts w:ascii="Calibri" w:hAnsi="Calibri" w:cs="Calibri"/>
          <w:lang w:val="en-GB"/>
        </w:rPr>
        <w:t xml:space="preserve">n </w:t>
      </w:r>
      <w:r w:rsidRPr="00704B78">
        <w:rPr>
          <w:rFonts w:ascii="Calibri" w:hAnsi="Calibri" w:cs="Calibri"/>
          <w:lang w:val="en-GB"/>
        </w:rPr>
        <w:t xml:space="preserve">NS-IST; </w:t>
      </w:r>
      <w:proofErr w:type="gramStart"/>
      <w:r w:rsidRPr="00704B78">
        <w:rPr>
          <w:rFonts w:ascii="Calibri" w:hAnsi="Calibri" w:cs="Calibri"/>
          <w:lang w:val="en-GB"/>
        </w:rPr>
        <w:t>plus</w:t>
      </w:r>
      <w:proofErr w:type="gramEnd"/>
      <w:r w:rsidRPr="00704B78">
        <w:rPr>
          <w:rFonts w:ascii="Calibri" w:hAnsi="Calibri" w:cs="Calibri"/>
          <w:lang w:val="en-GB"/>
        </w:rPr>
        <w:t xml:space="preserve"> an anti-cholinesterase; </w:t>
      </w:r>
      <w:proofErr w:type="gramStart"/>
      <w:r w:rsidRPr="00704B78">
        <w:rPr>
          <w:rFonts w:ascii="Calibri" w:hAnsi="Calibri" w:cs="Calibri"/>
          <w:lang w:val="en-GB"/>
        </w:rPr>
        <w:t>plus</w:t>
      </w:r>
      <w:proofErr w:type="gramEnd"/>
      <w:r w:rsidRPr="00704B78">
        <w:rPr>
          <w:rFonts w:ascii="Calibri" w:hAnsi="Calibri" w:cs="Calibri"/>
          <w:lang w:val="en-GB"/>
        </w:rPr>
        <w:t xml:space="preserve">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Further, the ESC considered that the intention would be for the NS-IST to be continued concurrently with the new gMG therapy (unless contraindicated or severely intolerant).</w:t>
      </w:r>
      <w:r w:rsidR="004F1C3D">
        <w:rPr>
          <w:rFonts w:ascii="Calibri" w:hAnsi="Calibri" w:cs="Calibri"/>
          <w:lang w:val="en-GB"/>
        </w:rPr>
        <w:t xml:space="preserve"> </w:t>
      </w:r>
      <w:bookmarkStart w:id="81" w:name="_Hlk194063247"/>
      <w:r w:rsidR="00CB3D21">
        <w:rPr>
          <w:rFonts w:ascii="Calibri" w:hAnsi="Calibri" w:cs="Calibri"/>
          <w:lang w:val="en-GB"/>
        </w:rPr>
        <w:t>Refer to paragraphs</w:t>
      </w:r>
      <w:r w:rsidR="00E12A0E">
        <w:rPr>
          <w:rFonts w:ascii="Calibri" w:hAnsi="Calibri" w:cs="Calibri"/>
          <w:lang w:val="en-GB"/>
        </w:rPr>
        <w:t xml:space="preserve"> </w:t>
      </w:r>
      <w:r w:rsidR="00E12A0E">
        <w:rPr>
          <w:rFonts w:ascii="Calibri" w:hAnsi="Calibri" w:cs="Calibri"/>
          <w:lang w:val="en-GB"/>
        </w:rPr>
        <w:fldChar w:fldCharType="begin"/>
      </w:r>
      <w:r w:rsidR="00E12A0E">
        <w:rPr>
          <w:rFonts w:ascii="Calibri" w:hAnsi="Calibri" w:cs="Calibri"/>
          <w:lang w:val="en-GB"/>
        </w:rPr>
        <w:instrText xml:space="preserve"> REF _Ref194350211 \r \h </w:instrText>
      </w:r>
      <w:r w:rsidR="00E12A0E">
        <w:rPr>
          <w:rFonts w:ascii="Calibri" w:hAnsi="Calibri" w:cs="Calibri"/>
          <w:lang w:val="en-GB"/>
        </w:rPr>
      </w:r>
      <w:r w:rsidR="00E12A0E">
        <w:rPr>
          <w:rFonts w:ascii="Calibri" w:hAnsi="Calibri" w:cs="Calibri"/>
          <w:lang w:val="en-GB"/>
        </w:rPr>
        <w:fldChar w:fldCharType="separate"/>
      </w:r>
      <w:r w:rsidR="00875704">
        <w:rPr>
          <w:rFonts w:ascii="Calibri" w:hAnsi="Calibri" w:cs="Calibri"/>
          <w:lang w:val="en-GB"/>
        </w:rPr>
        <w:t>8.6</w:t>
      </w:r>
      <w:r w:rsidR="00E12A0E">
        <w:rPr>
          <w:rFonts w:ascii="Calibri" w:hAnsi="Calibri" w:cs="Calibri"/>
          <w:lang w:val="en-GB"/>
        </w:rPr>
        <w:fldChar w:fldCharType="end"/>
      </w:r>
      <w:r w:rsidR="00E12A0E">
        <w:rPr>
          <w:rFonts w:ascii="Calibri" w:hAnsi="Calibri" w:cs="Calibri"/>
          <w:lang w:val="en-GB"/>
        </w:rPr>
        <w:t xml:space="preserve"> to </w:t>
      </w:r>
      <w:r w:rsidR="00E12A0E">
        <w:rPr>
          <w:rFonts w:ascii="Calibri" w:hAnsi="Calibri" w:cs="Calibri"/>
          <w:lang w:val="en-GB"/>
        </w:rPr>
        <w:fldChar w:fldCharType="begin"/>
      </w:r>
      <w:r w:rsidR="00E12A0E">
        <w:rPr>
          <w:rFonts w:ascii="Calibri" w:hAnsi="Calibri" w:cs="Calibri"/>
          <w:lang w:val="en-GB"/>
        </w:rPr>
        <w:instrText xml:space="preserve"> REF _Ref194350231 \r \h </w:instrText>
      </w:r>
      <w:r w:rsidR="00E12A0E">
        <w:rPr>
          <w:rFonts w:ascii="Calibri" w:hAnsi="Calibri" w:cs="Calibri"/>
          <w:lang w:val="en-GB"/>
        </w:rPr>
      </w:r>
      <w:r w:rsidR="00E12A0E">
        <w:rPr>
          <w:rFonts w:ascii="Calibri" w:hAnsi="Calibri" w:cs="Calibri"/>
          <w:lang w:val="en-GB"/>
        </w:rPr>
        <w:fldChar w:fldCharType="separate"/>
      </w:r>
      <w:r w:rsidR="00875704">
        <w:rPr>
          <w:rFonts w:ascii="Calibri" w:hAnsi="Calibri" w:cs="Calibri"/>
          <w:lang w:val="en-GB"/>
        </w:rPr>
        <w:t>8.13</w:t>
      </w:r>
      <w:r w:rsidR="00E12A0E">
        <w:rPr>
          <w:rFonts w:ascii="Calibri" w:hAnsi="Calibri" w:cs="Calibri"/>
          <w:lang w:val="en-GB"/>
        </w:rPr>
        <w:fldChar w:fldCharType="end"/>
      </w:r>
      <w:r w:rsidR="00CB3D21">
        <w:rPr>
          <w:rFonts w:ascii="Calibri" w:hAnsi="Calibri" w:cs="Calibri"/>
          <w:lang w:val="en-GB"/>
        </w:rPr>
        <w:t xml:space="preserve"> for the PBAC’s advice regarding the restriction criteria. </w:t>
      </w:r>
      <w:bookmarkEnd w:id="81"/>
    </w:p>
    <w:p w14:paraId="67D9EBA0" w14:textId="77777777" w:rsidR="000A1820" w:rsidRPr="00704B78" w:rsidRDefault="000A1820" w:rsidP="006E2A77">
      <w:pPr>
        <w:pStyle w:val="COMexecsummnumbered"/>
        <w:rPr>
          <w:rFonts w:ascii="Calibri" w:hAnsi="Calibri" w:cs="Calibri"/>
        </w:rPr>
      </w:pPr>
      <w:r w:rsidRPr="00704B78">
        <w:rPr>
          <w:rFonts w:ascii="Calibri" w:hAnsi="Calibri" w:cs="Calibri"/>
        </w:rPr>
        <w:t xml:space="preserve">The ESC considered that a key issue in the bridging setting would be the potential for ongoing use of the new therapies in patients who would have responded to standard therapy, or whose condition would have improved over time (given the potential for recovery of receptors in gMG). As such, the ESC reiterated the advice from the stakeholder meeting that there should be robust stopping rules to prevent ongoing use. </w:t>
      </w:r>
    </w:p>
    <w:p w14:paraId="2E31452C" w14:textId="2A0A24DA" w:rsidR="000A1820" w:rsidRPr="00704B78" w:rsidRDefault="000A1820" w:rsidP="006E2A77">
      <w:pPr>
        <w:pStyle w:val="COMexecsummnumbered"/>
        <w:rPr>
          <w:rFonts w:ascii="Calibri" w:hAnsi="Calibri" w:cs="Calibri"/>
          <w:lang w:val="en-GB"/>
        </w:rPr>
      </w:pPr>
      <w:bookmarkStart w:id="82" w:name="_Ref193200650"/>
      <w:r w:rsidRPr="00704B78">
        <w:rPr>
          <w:rFonts w:ascii="Calibri" w:hAnsi="Calibri" w:cs="Calibri"/>
          <w:lang w:val="en-GB"/>
        </w:rPr>
        <w:t>The ESC considered that, overall, the primary literature suggests that most patients generally respond to NS-ISTs within 12 months, with many patients responding within the first one to six months.</w:t>
      </w:r>
      <w:r w:rsidRPr="00704B78">
        <w:rPr>
          <w:rStyle w:val="FootnoteReference"/>
          <w:rFonts w:ascii="Calibri" w:hAnsi="Calibri" w:cs="Calibri"/>
          <w:lang w:val="en-GB"/>
        </w:rPr>
        <w:footnoteReference w:id="5"/>
      </w:r>
      <w:r w:rsidRPr="00704B78">
        <w:rPr>
          <w:rFonts w:ascii="Calibri" w:hAnsi="Calibri" w:cs="Calibri"/>
          <w:vertAlign w:val="superscript"/>
          <w:lang w:val="en-GB"/>
        </w:rPr>
        <w:t>,</w:t>
      </w:r>
      <w:r w:rsidRPr="00704B78">
        <w:rPr>
          <w:rStyle w:val="FootnoteReference"/>
          <w:rFonts w:ascii="Calibri" w:hAnsi="Calibri" w:cs="Calibri"/>
          <w:lang w:val="en-GB"/>
        </w:rPr>
        <w:footnoteReference w:id="6"/>
      </w:r>
      <w:r w:rsidRPr="00704B78">
        <w:rPr>
          <w:rFonts w:ascii="Calibri" w:hAnsi="Calibri" w:cs="Calibri"/>
          <w:lang w:val="en-GB"/>
        </w:rPr>
        <w:t xml:space="preserve"> The ESC considered that any PBS restriction for bridging therapy should require the patient to cease the new therapy after around six months of treatment (acknowledging that variations in treatment duration between therapies may be required to align with treatment courses). After three months of therapy cessation (i.e. a total of at least 12 months since NS-IST initiation), patients whose condition remains uncontrolled may recommence under the refractory listing. Overall, the maximum treatment duration in the bridging setting would be around six months.</w:t>
      </w:r>
      <w:bookmarkEnd w:id="82"/>
      <w:r w:rsidRPr="00704B78">
        <w:rPr>
          <w:rFonts w:ascii="Calibri" w:hAnsi="Calibri" w:cs="Calibri"/>
          <w:lang w:val="en-GB"/>
        </w:rPr>
        <w:t xml:space="preserve"> </w:t>
      </w:r>
    </w:p>
    <w:p w14:paraId="33377FFA" w14:textId="77777777" w:rsidR="000A1820" w:rsidRPr="00704B78" w:rsidRDefault="000A1820" w:rsidP="006E2A77">
      <w:pPr>
        <w:pStyle w:val="COMexecsummnumbered"/>
        <w:rPr>
          <w:rFonts w:ascii="Calibri" w:hAnsi="Calibri" w:cs="Calibri"/>
          <w:lang w:val="en-GB"/>
        </w:rPr>
      </w:pPr>
      <w:r w:rsidRPr="00704B78">
        <w:rPr>
          <w:rFonts w:ascii="Calibri" w:hAnsi="Calibri" w:cs="Calibri"/>
          <w:lang w:val="en-GB"/>
        </w:rPr>
        <w:lastRenderedPageBreak/>
        <w:t>The ESC considered that another key issue in the bridging setting was the lower level of certainty in the incremental benefit versus optimisation of existing therapies given the availability of therapies that are effective for many patients, and that this would impact on the cost-effectiveness of the new therapies. The ESC considered that it was unclear whether these concerns would be adequately addressed by limiting use in this setting to a maximum duration of six months, along with a combined risk sharing arrangement (RSA) for any recommended drugs across both setting.</w:t>
      </w:r>
    </w:p>
    <w:p w14:paraId="73356F3C" w14:textId="77777777" w:rsidR="000A1820" w:rsidRPr="00704B78" w:rsidRDefault="000A1820" w:rsidP="006E2A77">
      <w:pPr>
        <w:pStyle w:val="COMexecsummnumbered"/>
        <w:numPr>
          <w:ilvl w:val="0"/>
          <w:numId w:val="0"/>
        </w:numPr>
        <w:rPr>
          <w:rFonts w:ascii="Calibri" w:hAnsi="Calibri" w:cs="Calibri"/>
          <w:szCs w:val="24"/>
          <w:u w:val="single"/>
        </w:rPr>
      </w:pPr>
      <w:r w:rsidRPr="00704B78">
        <w:rPr>
          <w:rFonts w:ascii="Calibri" w:hAnsi="Calibri" w:cs="Calibri"/>
          <w:szCs w:val="24"/>
          <w:u w:val="single"/>
        </w:rPr>
        <w:t>Refractory setting</w:t>
      </w:r>
    </w:p>
    <w:p w14:paraId="63F953B2" w14:textId="77777777" w:rsidR="000A1820" w:rsidRPr="00704B78" w:rsidRDefault="000A1820" w:rsidP="006E2A77">
      <w:pPr>
        <w:pStyle w:val="COMexecsummnumbered"/>
        <w:rPr>
          <w:rFonts w:ascii="Calibri" w:hAnsi="Calibri" w:cs="Calibri"/>
          <w:lang w:val="en-GB"/>
        </w:rPr>
      </w:pPr>
      <w:r w:rsidRPr="00704B78">
        <w:rPr>
          <w:rFonts w:ascii="Calibri" w:hAnsi="Calibri" w:cs="Calibri"/>
          <w:lang w:val="en-GB"/>
        </w:rPr>
        <w:t>In terms of the treatment refractory setting, the ESC considered any PBS restriction should require the patient to have prior treatment for at least one year. The ESC considered that further work would be required to determine the specific therapies and durations.</w:t>
      </w:r>
    </w:p>
    <w:p w14:paraId="6F0CBA17" w14:textId="77777777" w:rsidR="000A1820" w:rsidRPr="00704B78" w:rsidRDefault="000A1820" w:rsidP="006E2A77">
      <w:pPr>
        <w:pStyle w:val="COMexecsummnumbered"/>
        <w:numPr>
          <w:ilvl w:val="0"/>
          <w:numId w:val="0"/>
        </w:numPr>
        <w:rPr>
          <w:rFonts w:ascii="Calibri" w:hAnsi="Calibri" w:cs="Calibri"/>
          <w:szCs w:val="24"/>
          <w:u w:val="single"/>
        </w:rPr>
      </w:pPr>
      <w:r w:rsidRPr="00704B78">
        <w:rPr>
          <w:rFonts w:ascii="Calibri" w:hAnsi="Calibri" w:cs="Calibri"/>
          <w:szCs w:val="24"/>
          <w:u w:val="single"/>
        </w:rPr>
        <w:t>Both settings</w:t>
      </w:r>
    </w:p>
    <w:p w14:paraId="564BE9CF" w14:textId="77777777" w:rsidR="000A1820" w:rsidRPr="00704B78" w:rsidRDefault="000A1820" w:rsidP="006E2A77">
      <w:pPr>
        <w:pStyle w:val="COMexecsummnumbered"/>
        <w:rPr>
          <w:rFonts w:ascii="Calibri" w:hAnsi="Calibri" w:cs="Calibri"/>
        </w:rPr>
      </w:pPr>
      <w:r w:rsidRPr="00704B78">
        <w:rPr>
          <w:rFonts w:ascii="Calibri" w:hAnsi="Calibri" w:cs="Calibri"/>
        </w:rPr>
        <w:t>The ESC considered that restrictions should be consistent across any new gMG therapies recommended for listing.</w:t>
      </w:r>
    </w:p>
    <w:p w14:paraId="395581F1" w14:textId="77777777" w:rsidR="000A1820" w:rsidRPr="00704B78" w:rsidRDefault="000A1820" w:rsidP="006E2A77">
      <w:pPr>
        <w:pStyle w:val="COMexecsummnumbered"/>
        <w:rPr>
          <w:rFonts w:ascii="Calibri" w:hAnsi="Calibri" w:cs="Calibri"/>
          <w:lang w:val="en-GB"/>
        </w:rPr>
      </w:pPr>
      <w:r w:rsidRPr="00704B78">
        <w:rPr>
          <w:rFonts w:ascii="Calibri" w:hAnsi="Calibri" w:cs="Calibri"/>
          <w:lang w:val="en-GB"/>
        </w:rPr>
        <w:t>Across both settings, the following aspects of the restrictions would need to be determined:</w:t>
      </w:r>
    </w:p>
    <w:p w14:paraId="2066C8EE" w14:textId="77777777" w:rsidR="000A1820" w:rsidRPr="00704B78" w:rsidRDefault="000A1820" w:rsidP="006E2A77">
      <w:pPr>
        <w:pStyle w:val="COMexecsummnumbered"/>
        <w:numPr>
          <w:ilvl w:val="0"/>
          <w:numId w:val="15"/>
        </w:numPr>
        <w:rPr>
          <w:rFonts w:ascii="Calibri" w:hAnsi="Calibri" w:cs="Calibri"/>
          <w:szCs w:val="24"/>
        </w:rPr>
      </w:pPr>
      <w:r w:rsidRPr="00704B78">
        <w:rPr>
          <w:rFonts w:ascii="Calibri" w:hAnsi="Calibri" w:cs="Calibri"/>
          <w:szCs w:val="24"/>
        </w:rPr>
        <w:t xml:space="preserve">functional impairment </w:t>
      </w:r>
      <w:proofErr w:type="gramStart"/>
      <w:r w:rsidRPr="00704B78">
        <w:rPr>
          <w:rFonts w:ascii="Calibri" w:hAnsi="Calibri" w:cs="Calibri"/>
          <w:szCs w:val="24"/>
        </w:rPr>
        <w:t>criteria;</w:t>
      </w:r>
      <w:proofErr w:type="gramEnd"/>
    </w:p>
    <w:p w14:paraId="223705CA" w14:textId="77777777" w:rsidR="000A1820" w:rsidRPr="00704B78" w:rsidRDefault="000A1820" w:rsidP="006E2A77">
      <w:pPr>
        <w:pStyle w:val="COMexecsummnumbered"/>
        <w:numPr>
          <w:ilvl w:val="0"/>
          <w:numId w:val="15"/>
        </w:numPr>
        <w:rPr>
          <w:rFonts w:ascii="Calibri" w:hAnsi="Calibri" w:cs="Calibri"/>
          <w:szCs w:val="24"/>
        </w:rPr>
      </w:pPr>
      <w:r w:rsidRPr="00704B78">
        <w:rPr>
          <w:rFonts w:ascii="Calibri" w:hAnsi="Calibri" w:cs="Calibri"/>
          <w:szCs w:val="24"/>
        </w:rPr>
        <w:t xml:space="preserve">response </w:t>
      </w:r>
      <w:proofErr w:type="gramStart"/>
      <w:r w:rsidRPr="00704B78">
        <w:rPr>
          <w:rFonts w:ascii="Calibri" w:hAnsi="Calibri" w:cs="Calibri"/>
          <w:szCs w:val="24"/>
        </w:rPr>
        <w:t>criteria;</w:t>
      </w:r>
      <w:proofErr w:type="gramEnd"/>
    </w:p>
    <w:p w14:paraId="33E5DA1E" w14:textId="77777777" w:rsidR="000A1820" w:rsidRPr="00704B78" w:rsidRDefault="000A1820" w:rsidP="006E2A77">
      <w:pPr>
        <w:pStyle w:val="COMexecsummnumbered"/>
        <w:numPr>
          <w:ilvl w:val="0"/>
          <w:numId w:val="15"/>
        </w:numPr>
        <w:rPr>
          <w:rFonts w:ascii="Calibri" w:hAnsi="Calibri" w:cs="Calibri"/>
          <w:szCs w:val="24"/>
        </w:rPr>
      </w:pPr>
      <w:r w:rsidRPr="00704B78">
        <w:rPr>
          <w:rFonts w:ascii="Calibri" w:hAnsi="Calibri" w:cs="Calibri"/>
          <w:szCs w:val="24"/>
        </w:rPr>
        <w:t>requirements around prior and concomitant treatments; and</w:t>
      </w:r>
    </w:p>
    <w:p w14:paraId="13ED9288" w14:textId="77777777" w:rsidR="000A1820" w:rsidRPr="00704B78" w:rsidRDefault="000A1820" w:rsidP="006E2A77">
      <w:pPr>
        <w:pStyle w:val="COMexecsummnumbered"/>
        <w:numPr>
          <w:ilvl w:val="0"/>
          <w:numId w:val="15"/>
        </w:numPr>
        <w:rPr>
          <w:rFonts w:ascii="Calibri" w:hAnsi="Calibri" w:cs="Calibri"/>
          <w:lang w:val="en-GB"/>
        </w:rPr>
      </w:pPr>
      <w:r w:rsidRPr="00704B78">
        <w:rPr>
          <w:rFonts w:ascii="Calibri" w:hAnsi="Calibri" w:cs="Calibri"/>
          <w:lang w:val="en-GB"/>
        </w:rPr>
        <w:t xml:space="preserve">restriction structure around: balance of supply; grandfather arrangements (where applicable); a transition pathway between the bridging and refractory settings; any allowance for switching between the newer therapies; and recommencement in the refractory setting (if ceased for reasons other than loss of response or exceeding the </w:t>
      </w:r>
      <w:proofErr w:type="gramStart"/>
      <w:r w:rsidRPr="00704B78">
        <w:rPr>
          <w:rFonts w:ascii="Calibri" w:hAnsi="Calibri" w:cs="Calibri"/>
          <w:lang w:val="en-GB"/>
        </w:rPr>
        <w:t>six month</w:t>
      </w:r>
      <w:proofErr w:type="gramEnd"/>
      <w:r w:rsidRPr="00704B78">
        <w:rPr>
          <w:rFonts w:ascii="Calibri" w:hAnsi="Calibri" w:cs="Calibri"/>
          <w:lang w:val="en-GB"/>
        </w:rPr>
        <w:t xml:space="preserve"> duration in the bridging setting). </w:t>
      </w:r>
    </w:p>
    <w:p w14:paraId="1C1B38E2" w14:textId="07B987F3" w:rsidR="000A1820" w:rsidRPr="00704B78" w:rsidRDefault="000A1820" w:rsidP="006E2A77">
      <w:pPr>
        <w:pStyle w:val="COMexecsummnumbered"/>
        <w:rPr>
          <w:rFonts w:ascii="Calibri" w:hAnsi="Calibri" w:cs="Calibri"/>
        </w:rPr>
      </w:pPr>
      <w:bookmarkStart w:id="83" w:name="_Ref193201170"/>
      <w:r w:rsidRPr="00704B78">
        <w:rPr>
          <w:rFonts w:ascii="Calibri" w:hAnsi="Calibri" w:cs="Calibri"/>
        </w:rPr>
        <w:t>The ESC noted that the NBA qualifying criteria for IVIg</w:t>
      </w:r>
      <w:r w:rsidRPr="00704B78">
        <w:rPr>
          <w:rStyle w:val="FootnoteReference"/>
          <w:rFonts w:ascii="Calibri" w:hAnsi="Calibri" w:cs="Calibri"/>
        </w:rPr>
        <w:footnoteReference w:id="7"/>
      </w:r>
      <w:r w:rsidRPr="00704B78">
        <w:rPr>
          <w:rFonts w:ascii="Calibri" w:hAnsi="Calibri" w:cs="Calibri"/>
        </w:rPr>
        <w:t xml:space="preserve"> specifies that the patient has a Myasthenic Gravis Composite (MGC) of at least 4 points; and at least 2 other treatments are ineffective, contraindicated, unavailable or caused intolerable side effects. The ESC considered this was broad as the other treatments could comprise two of: an anti-cholinesterase; a corticosteroid; or thymectomy (i.e. there is no requirement for the patient to have trialled a</w:t>
      </w:r>
      <w:r w:rsidR="001D5ECE">
        <w:rPr>
          <w:rFonts w:ascii="Calibri" w:hAnsi="Calibri" w:cs="Calibri"/>
        </w:rPr>
        <w:t>n NS-IST</w:t>
      </w:r>
      <w:r w:rsidRPr="00704B78">
        <w:rPr>
          <w:rFonts w:ascii="Calibri" w:hAnsi="Calibri" w:cs="Calibri"/>
        </w:rPr>
        <w:t>) and no time periods are specified, nor is there a requirement for the doses to have been optimised.</w:t>
      </w:r>
      <w:bookmarkEnd w:id="83"/>
      <w:r w:rsidRPr="00704B78">
        <w:rPr>
          <w:rFonts w:ascii="Calibri" w:hAnsi="Calibri" w:cs="Calibri"/>
        </w:rPr>
        <w:t xml:space="preserve"> </w:t>
      </w:r>
    </w:p>
    <w:p w14:paraId="5B6208E5" w14:textId="77777777" w:rsidR="000A1820" w:rsidRPr="00704B78" w:rsidRDefault="000A1820" w:rsidP="006E2A77">
      <w:pPr>
        <w:pStyle w:val="COMexecsummnumbered"/>
        <w:rPr>
          <w:rFonts w:ascii="Calibri" w:hAnsi="Calibri" w:cs="Calibri"/>
          <w:szCs w:val="24"/>
        </w:rPr>
      </w:pPr>
      <w:r w:rsidRPr="00704B78">
        <w:rPr>
          <w:rFonts w:ascii="Calibri" w:hAnsi="Calibri" w:cs="Calibri"/>
          <w:szCs w:val="24"/>
        </w:rPr>
        <w:t xml:space="preserve">The ESC noted that the IVIg criteria are referred to as a ‘maintenance’ indication (i.e. “as maintenance therapy for moderate to severe MG when other treatments have been ineffective or caused intolerable side effects”), but that the criteria also stated “IVIg should be regarded as a stopgap treatment while using short-term drugs such as </w:t>
      </w:r>
      <w:r w:rsidRPr="00704B78">
        <w:rPr>
          <w:rFonts w:ascii="Calibri" w:hAnsi="Calibri" w:cs="Calibri"/>
          <w:szCs w:val="24"/>
        </w:rPr>
        <w:lastRenderedPageBreak/>
        <w:t xml:space="preserve">pyridostigmine and while introducing effective immunotherapy”. The ESC considered that it was likely that IVIg is being used in both the bridging and refractory settings. </w:t>
      </w:r>
    </w:p>
    <w:p w14:paraId="5AFC2E61" w14:textId="77777777" w:rsidR="000A1820" w:rsidRPr="00704B78" w:rsidRDefault="000A1820" w:rsidP="006E2A77">
      <w:pPr>
        <w:pStyle w:val="COMexecsummnumbered"/>
        <w:rPr>
          <w:rFonts w:ascii="Calibri" w:hAnsi="Calibri" w:cs="Calibri"/>
        </w:rPr>
      </w:pPr>
      <w:r w:rsidRPr="00704B78">
        <w:rPr>
          <w:rFonts w:ascii="Calibri" w:hAnsi="Calibri" w:cs="Calibri"/>
        </w:rPr>
        <w:t>In both settings, the ESC considered that the new gMG therapies should substitute for IVIg and PLEX rather than be added on or used in combination, and that a reduction in IVIg use would be expected. The ESC considered that:</w:t>
      </w:r>
    </w:p>
    <w:p w14:paraId="178C1C60" w14:textId="662125AD" w:rsidR="000A1820" w:rsidRPr="00704B78" w:rsidRDefault="000A1820" w:rsidP="006E2A77">
      <w:pPr>
        <w:pStyle w:val="COMexecsummnumbered"/>
        <w:numPr>
          <w:ilvl w:val="0"/>
          <w:numId w:val="15"/>
        </w:numPr>
        <w:rPr>
          <w:rFonts w:ascii="Calibri" w:hAnsi="Calibri" w:cs="Calibri"/>
        </w:rPr>
      </w:pPr>
      <w:r w:rsidRPr="00704B78">
        <w:rPr>
          <w:rFonts w:ascii="Calibri" w:hAnsi="Calibri" w:cs="Calibri"/>
        </w:rPr>
        <w:t xml:space="preserve">the PBS restriction should state that the new therapy should not be used in combination with </w:t>
      </w:r>
      <w:r w:rsidR="002C2B3F" w:rsidRPr="00704B78">
        <w:rPr>
          <w:rFonts w:ascii="Calibri" w:hAnsi="Calibri" w:cs="Calibri"/>
        </w:rPr>
        <w:t>maintenance</w:t>
      </w:r>
      <w:r w:rsidR="002C2B3F">
        <w:rPr>
          <w:rFonts w:ascii="Calibri" w:hAnsi="Calibri" w:cs="Calibri"/>
        </w:rPr>
        <w:t xml:space="preserve"> use of</w:t>
      </w:r>
      <w:r w:rsidR="002C2B3F" w:rsidRPr="00704B78">
        <w:rPr>
          <w:rFonts w:ascii="Calibri" w:hAnsi="Calibri" w:cs="Calibri"/>
        </w:rPr>
        <w:t xml:space="preserve"> </w:t>
      </w:r>
      <w:r w:rsidRPr="00704B78">
        <w:rPr>
          <w:rFonts w:ascii="Calibri" w:hAnsi="Calibri" w:cs="Calibri"/>
        </w:rPr>
        <w:t>IVIg (although use of IVIg prior to surgery or in a myasthenic crisis should be permitted</w:t>
      </w:r>
      <w:proofErr w:type="gramStart"/>
      <w:r w:rsidRPr="00704B78">
        <w:rPr>
          <w:rFonts w:ascii="Calibri" w:hAnsi="Calibri" w:cs="Calibri"/>
        </w:rPr>
        <w:t>);</w:t>
      </w:r>
      <w:proofErr w:type="gramEnd"/>
      <w:r w:rsidRPr="00704B78">
        <w:rPr>
          <w:rFonts w:ascii="Calibri" w:hAnsi="Calibri" w:cs="Calibri"/>
        </w:rPr>
        <w:t xml:space="preserve"> </w:t>
      </w:r>
    </w:p>
    <w:p w14:paraId="7529603F" w14:textId="77777777" w:rsidR="000A1820" w:rsidRPr="00704B78" w:rsidRDefault="000A1820" w:rsidP="006E2A77">
      <w:pPr>
        <w:pStyle w:val="COMexecsummnumbered"/>
        <w:numPr>
          <w:ilvl w:val="0"/>
          <w:numId w:val="15"/>
        </w:numPr>
        <w:rPr>
          <w:rFonts w:ascii="Calibri" w:hAnsi="Calibri" w:cs="Calibri"/>
          <w:szCs w:val="24"/>
        </w:rPr>
      </w:pPr>
      <w:r w:rsidRPr="00704B78">
        <w:rPr>
          <w:rFonts w:ascii="Calibri" w:hAnsi="Calibri" w:cs="Calibri"/>
          <w:szCs w:val="24"/>
        </w:rPr>
        <w:t>there should be no requirement for the patient to have trialled prior IVIg (or PLEX); and</w:t>
      </w:r>
    </w:p>
    <w:p w14:paraId="4F5E34C4" w14:textId="77777777" w:rsidR="000A1820" w:rsidRPr="00704B78" w:rsidRDefault="000A1820" w:rsidP="006E2A77">
      <w:pPr>
        <w:pStyle w:val="COMexecsummnumbered"/>
        <w:numPr>
          <w:ilvl w:val="0"/>
          <w:numId w:val="15"/>
        </w:numPr>
        <w:rPr>
          <w:rFonts w:ascii="Calibri" w:hAnsi="Calibri" w:cs="Calibri"/>
        </w:rPr>
      </w:pPr>
      <w:r w:rsidRPr="00704B78">
        <w:rPr>
          <w:rFonts w:ascii="Calibri" w:hAnsi="Calibri" w:cs="Calibri"/>
        </w:rPr>
        <w:t>amendments to the prescribing criteria for IVIg may be required, along with systems to ensure that the anticipated reductions in IVIg use are realised.</w:t>
      </w:r>
    </w:p>
    <w:p w14:paraId="6C1B21FC" w14:textId="1EE3B9E8" w:rsidR="000A1820" w:rsidRPr="006C6609" w:rsidRDefault="009A5616" w:rsidP="006E2A77">
      <w:pPr>
        <w:pStyle w:val="COMH1-numbered"/>
        <w:keepNext w:val="0"/>
        <w:spacing w:before="60" w:after="60"/>
        <w:ind w:left="0" w:firstLine="0"/>
        <w:jc w:val="both"/>
        <w:outlineLvl w:val="1"/>
        <w:rPr>
          <w:rFonts w:ascii="Calibri" w:hAnsi="Calibri" w:cs="Calibri"/>
          <w:i/>
          <w:iCs/>
          <w:sz w:val="24"/>
          <w:szCs w:val="24"/>
        </w:rPr>
      </w:pPr>
      <w:r w:rsidRPr="006C6609">
        <w:rPr>
          <w:rFonts w:ascii="Calibri" w:hAnsi="Calibri" w:cs="Calibri"/>
          <w:i/>
          <w:iCs/>
          <w:sz w:val="24"/>
          <w:szCs w:val="24"/>
        </w:rPr>
        <w:t>ESC’s view on the c</w:t>
      </w:r>
      <w:r w:rsidR="000A1820" w:rsidRPr="006C6609">
        <w:rPr>
          <w:rFonts w:ascii="Calibri" w:hAnsi="Calibri" w:cs="Calibri"/>
          <w:i/>
          <w:iCs/>
          <w:sz w:val="24"/>
          <w:szCs w:val="24"/>
        </w:rPr>
        <w:t>omparator</w:t>
      </w:r>
    </w:p>
    <w:p w14:paraId="67F3B821" w14:textId="77777777" w:rsidR="000A1820" w:rsidRPr="00704B78" w:rsidRDefault="000A1820" w:rsidP="006E2A77">
      <w:pPr>
        <w:pStyle w:val="COMexecsummnumbered"/>
        <w:rPr>
          <w:rFonts w:ascii="Calibri" w:eastAsia="Calibri" w:hAnsi="Calibri" w:cs="Calibri"/>
          <w:lang w:val="en-GB"/>
        </w:rPr>
      </w:pPr>
      <w:r w:rsidRPr="00704B78">
        <w:rPr>
          <w:rFonts w:ascii="Calibri" w:eastAsia="Calibri" w:hAnsi="Calibri" w:cs="Calibri"/>
          <w:lang w:val="en-GB"/>
        </w:rPr>
        <w:t xml:space="preserve">At its July 2024 meeting, 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ravulizumab in the refractory setting” (paragraph 7.10, ravulizumab PSD, July 2024 PBAC meeting). </w:t>
      </w:r>
    </w:p>
    <w:p w14:paraId="0BEBC64C" w14:textId="77777777" w:rsidR="000A1820" w:rsidRPr="00704B78" w:rsidRDefault="000A1820" w:rsidP="006E2A77">
      <w:pPr>
        <w:pStyle w:val="COMexecsummnumbered"/>
        <w:rPr>
          <w:rFonts w:ascii="Calibri" w:eastAsia="Calibri" w:hAnsi="Calibri" w:cs="Calibri"/>
          <w:lang w:val="en-GB"/>
        </w:rPr>
      </w:pPr>
      <w:r w:rsidRPr="00704B78">
        <w:rPr>
          <w:rFonts w:ascii="Calibri" w:eastAsia="Calibri" w:hAnsi="Calibri" w:cs="Calibri"/>
          <w:lang w:val="en-GB"/>
        </w:rPr>
        <w:t>As such, the ESC reiterated the PBAC’s previous advice that chronic IVIg was a relevant comparator for providing a frame of reference for interpreting the cost per patient of the newer gMG therapies in the refractory setting.</w:t>
      </w:r>
    </w:p>
    <w:p w14:paraId="6F231232" w14:textId="2CE64B96" w:rsidR="000A1820" w:rsidRPr="00704B78" w:rsidRDefault="000A1820" w:rsidP="006E2A77">
      <w:pPr>
        <w:pStyle w:val="COMexecsummnumbered"/>
        <w:rPr>
          <w:rFonts w:ascii="Calibri" w:hAnsi="Calibri" w:cs="Calibri"/>
        </w:rPr>
      </w:pPr>
      <w:r w:rsidRPr="00704B78">
        <w:rPr>
          <w:rFonts w:ascii="Calibri" w:eastAsia="Calibri" w:hAnsi="Calibri" w:cs="Calibri"/>
        </w:rPr>
        <w:t>The</w:t>
      </w:r>
      <w:r w:rsidRPr="00704B78">
        <w:rPr>
          <w:rFonts w:ascii="Calibri" w:eastAsia="Times New Roman" w:hAnsi="Calibri" w:cs="Calibri"/>
        </w:rPr>
        <w:t xml:space="preserve"> ESC considered that the four gMG therapies considered at the March 2025 meeting (efgartigimod, rozanolixizumab, ravulizumab and zilucoplan) were all near-market comparators to each other.</w:t>
      </w:r>
    </w:p>
    <w:p w14:paraId="2F7DF809" w14:textId="05F7D330" w:rsidR="000A1820" w:rsidRPr="006C6609" w:rsidRDefault="009A5616" w:rsidP="006E2A77">
      <w:pPr>
        <w:pStyle w:val="COMH1-numbered"/>
        <w:keepNext w:val="0"/>
        <w:spacing w:before="60" w:after="60"/>
        <w:ind w:left="0" w:firstLine="0"/>
        <w:jc w:val="both"/>
        <w:outlineLvl w:val="1"/>
        <w:rPr>
          <w:rFonts w:ascii="Calibri" w:hAnsi="Calibri" w:cs="Calibri"/>
          <w:i/>
          <w:iCs/>
          <w:sz w:val="24"/>
          <w:szCs w:val="24"/>
        </w:rPr>
      </w:pPr>
      <w:r w:rsidRPr="006C6609">
        <w:rPr>
          <w:rFonts w:ascii="Calibri" w:hAnsi="Calibri" w:cs="Calibri"/>
          <w:i/>
          <w:iCs/>
          <w:sz w:val="24"/>
          <w:szCs w:val="24"/>
        </w:rPr>
        <w:t>ESC’s view on the c</w:t>
      </w:r>
      <w:r w:rsidR="000A1820" w:rsidRPr="006C6609">
        <w:rPr>
          <w:rFonts w:ascii="Calibri" w:hAnsi="Calibri" w:cs="Calibri"/>
          <w:i/>
          <w:iCs/>
          <w:sz w:val="24"/>
          <w:szCs w:val="24"/>
        </w:rPr>
        <w:t>omparative effectiveness and safety</w:t>
      </w:r>
    </w:p>
    <w:p w14:paraId="0EA12C17" w14:textId="77777777" w:rsidR="000A1820" w:rsidRPr="00704B78" w:rsidRDefault="000A1820" w:rsidP="006E2A77">
      <w:pPr>
        <w:pStyle w:val="COMexecsummnumbered"/>
        <w:rPr>
          <w:rFonts w:ascii="Calibri" w:hAnsi="Calibri" w:cs="Calibri"/>
          <w:lang w:val="en-GB"/>
        </w:rPr>
      </w:pPr>
      <w:r w:rsidRPr="00704B78">
        <w:rPr>
          <w:rFonts w:ascii="Calibri" w:hAnsi="Calibri" w:cs="Calibri"/>
          <w:lang w:val="en-GB"/>
        </w:rPr>
        <w:t xml:space="preserve">The ESC noted the PBAC’s previous advice that “for the non-refractory group, the comparator should be optimisation of existing therapies”, but that none of the trials for the new therapies required baseline therapies to have been optimised. </w:t>
      </w:r>
    </w:p>
    <w:p w14:paraId="58253862" w14:textId="50E2EB82" w:rsidR="000A1820" w:rsidRPr="00704B78" w:rsidRDefault="000A1820" w:rsidP="006E2A77">
      <w:pPr>
        <w:pStyle w:val="COMexecsummnumbered"/>
        <w:rPr>
          <w:rFonts w:ascii="Calibri" w:hAnsi="Calibri" w:cs="Calibri"/>
          <w:lang w:val="en-GB"/>
        </w:rPr>
      </w:pPr>
      <w:r w:rsidRPr="00704B78">
        <w:rPr>
          <w:rFonts w:ascii="Calibri" w:hAnsi="Calibri" w:cs="Calibri"/>
          <w:lang w:val="en-GB"/>
        </w:rPr>
        <w:t xml:space="preserve">The ESC considered that there was no evidence to suggest superior efficacy or safety </w:t>
      </w:r>
      <w:r w:rsidRPr="00704B78">
        <w:rPr>
          <w:rFonts w:ascii="Calibri" w:eastAsia="Calibri" w:hAnsi="Calibri" w:cs="Calibri"/>
          <w:lang w:val="en-GB"/>
        </w:rPr>
        <w:t>between any of</w:t>
      </w:r>
      <w:r w:rsidRPr="00704B78">
        <w:rPr>
          <w:rFonts w:ascii="Calibri" w:hAnsi="Calibri" w:cs="Calibri"/>
          <w:lang w:val="en-GB"/>
        </w:rPr>
        <w:t xml:space="preserve"> the four new gMG therapies (zilucoplan, ravulizumab, efgartigimod and rozanolixizumab). The ESC considered that the published </w:t>
      </w:r>
      <w:r w:rsidR="00C15295">
        <w:rPr>
          <w:rFonts w:ascii="Calibri" w:hAnsi="Calibri" w:cs="Calibri"/>
          <w:lang w:val="en-GB"/>
        </w:rPr>
        <w:t>NMAs</w:t>
      </w:r>
      <w:r w:rsidRPr="00704B78">
        <w:rPr>
          <w:rFonts w:ascii="Calibri" w:hAnsi="Calibri" w:cs="Calibri"/>
          <w:lang w:val="en-GB"/>
        </w:rPr>
        <w:t xml:space="preserve"> had substantial limitations, notably the poor transitivity between the included trials and lack of accounting for the treatment effects of FcRn blockers waning over time during the off-treatment period.</w:t>
      </w:r>
      <w:r w:rsidR="00D61CA6">
        <w:rPr>
          <w:rFonts w:ascii="Calibri" w:hAnsi="Calibri" w:cs="Calibri"/>
          <w:lang w:val="en-GB"/>
        </w:rPr>
        <w:t xml:space="preserve"> </w:t>
      </w:r>
    </w:p>
    <w:p w14:paraId="26F0F320" w14:textId="77777777" w:rsidR="000A1820" w:rsidRPr="00704B78" w:rsidRDefault="000A1820" w:rsidP="006E2A77">
      <w:pPr>
        <w:pStyle w:val="COMexecsummnumbered"/>
        <w:rPr>
          <w:rFonts w:ascii="Calibri" w:hAnsi="Calibri" w:cs="Calibri"/>
        </w:rPr>
      </w:pPr>
      <w:r w:rsidRPr="00704B78">
        <w:rPr>
          <w:rFonts w:ascii="Calibri" w:hAnsi="Calibri" w:cs="Calibri"/>
        </w:rPr>
        <w:lastRenderedPageBreak/>
        <w:t>Further, the ESC acknowledged the limitations of the available evidence for chronic IVIg but considered that there was no evidence to suggest superior efficacy of any of the four new gMG therapies versus chronic IVIg or PLEX.</w:t>
      </w:r>
    </w:p>
    <w:p w14:paraId="04ABDF35" w14:textId="75290BF5" w:rsidR="000A1820" w:rsidRPr="006C6609" w:rsidRDefault="009A5616" w:rsidP="006E2A77">
      <w:pPr>
        <w:pStyle w:val="COMexecsummnumbered"/>
        <w:numPr>
          <w:ilvl w:val="0"/>
          <w:numId w:val="0"/>
        </w:numPr>
        <w:outlineLvl w:val="1"/>
        <w:rPr>
          <w:rFonts w:ascii="Calibri" w:eastAsia="Times New Roman" w:hAnsi="Calibri" w:cs="Calibri"/>
          <w:b/>
          <w:i/>
          <w:iCs/>
          <w:snapToGrid w:val="0"/>
          <w:szCs w:val="24"/>
        </w:rPr>
      </w:pPr>
      <w:r w:rsidRPr="006C6609">
        <w:rPr>
          <w:rFonts w:ascii="Calibri" w:hAnsi="Calibri" w:cs="Calibri"/>
          <w:b/>
          <w:i/>
          <w:iCs/>
          <w:lang w:val="en-GB"/>
        </w:rPr>
        <w:t>ESC’s view on the e</w:t>
      </w:r>
      <w:proofErr w:type="spellStart"/>
      <w:r w:rsidR="000A1820" w:rsidRPr="006C6609">
        <w:rPr>
          <w:rFonts w:ascii="Calibri" w:eastAsia="Times New Roman" w:hAnsi="Calibri" w:cs="Calibri"/>
          <w:b/>
          <w:i/>
          <w:iCs/>
          <w:snapToGrid w:val="0"/>
          <w:szCs w:val="24"/>
        </w:rPr>
        <w:t>conomic</w:t>
      </w:r>
      <w:proofErr w:type="spellEnd"/>
      <w:r w:rsidR="000A1820" w:rsidRPr="006C6609">
        <w:rPr>
          <w:rFonts w:ascii="Calibri" w:eastAsia="Times New Roman" w:hAnsi="Calibri" w:cs="Calibri"/>
          <w:b/>
          <w:i/>
          <w:iCs/>
          <w:snapToGrid w:val="0"/>
          <w:szCs w:val="24"/>
        </w:rPr>
        <w:t xml:space="preserve"> analysis</w:t>
      </w:r>
    </w:p>
    <w:p w14:paraId="509E99CB" w14:textId="77777777" w:rsidR="000A1820" w:rsidRPr="00704B78" w:rsidRDefault="000A1820" w:rsidP="006E2A77">
      <w:pPr>
        <w:pStyle w:val="COMexecsummnumbered"/>
        <w:rPr>
          <w:rFonts w:ascii="Calibri" w:hAnsi="Calibri" w:cs="Calibri"/>
          <w:szCs w:val="24"/>
        </w:rPr>
      </w:pPr>
      <w:r w:rsidRPr="00704B78">
        <w:rPr>
          <w:rFonts w:ascii="Calibri" w:hAnsi="Calibri" w:cs="Calibri"/>
          <w:szCs w:val="24"/>
        </w:rPr>
        <w:t xml:space="preserve">The ESC considered that any cost-utility analyses for the new therapies would be limited by the lack of available information to reliably inform the model. </w:t>
      </w:r>
    </w:p>
    <w:p w14:paraId="6F7EDAA8" w14:textId="244B94C9" w:rsidR="000A1820" w:rsidRPr="00704B78" w:rsidRDefault="000A1820" w:rsidP="006E2A77">
      <w:pPr>
        <w:pStyle w:val="COMexecsummnumbered"/>
        <w:rPr>
          <w:rFonts w:ascii="Calibri" w:hAnsi="Calibri" w:cs="Calibri"/>
          <w:lang w:val="en-GB"/>
        </w:rPr>
      </w:pPr>
      <w:r w:rsidRPr="00704B78">
        <w:rPr>
          <w:rFonts w:ascii="Calibri" w:hAnsi="Calibri" w:cs="Calibri"/>
          <w:lang w:val="en-GB"/>
        </w:rPr>
        <w:t>The ESC considered a cost-</w:t>
      </w:r>
      <w:r w:rsidR="00CB3D21">
        <w:rPr>
          <w:rFonts w:ascii="Calibri" w:hAnsi="Calibri" w:cs="Calibri"/>
          <w:lang w:val="en-GB"/>
        </w:rPr>
        <w:t>comparison</w:t>
      </w:r>
      <w:r w:rsidR="00CB3D21" w:rsidRPr="00704B78">
        <w:rPr>
          <w:rFonts w:ascii="Calibri" w:hAnsi="Calibri" w:cs="Calibri"/>
          <w:lang w:val="en-GB"/>
        </w:rPr>
        <w:t xml:space="preserve"> </w:t>
      </w:r>
      <w:r w:rsidRPr="00704B78">
        <w:rPr>
          <w:rFonts w:ascii="Calibri" w:hAnsi="Calibri" w:cs="Calibri"/>
          <w:lang w:val="en-GB"/>
        </w:rPr>
        <w:t>approach versus IVIg may provide an appropriate frame of reference for interpreting the cost of each of the four new therapies in the refractory setting. The ESC was less certain as to whether this approach would be appropriate in the bridging setting.</w:t>
      </w:r>
    </w:p>
    <w:p w14:paraId="70975E08" w14:textId="249B85BD" w:rsidR="000A1820" w:rsidRPr="00704B78" w:rsidRDefault="00BC22F3" w:rsidP="006E2A77">
      <w:pPr>
        <w:pStyle w:val="COMexecsummnumbered"/>
        <w:rPr>
          <w:rFonts w:ascii="Calibri" w:hAnsi="Calibri" w:cs="Calibri"/>
          <w:szCs w:val="24"/>
        </w:rPr>
      </w:pPr>
      <w:r w:rsidRPr="009B1040">
        <w:rPr>
          <w:rFonts w:cstheme="minorHAnsi"/>
          <w:szCs w:val="24"/>
        </w:rPr>
        <w:fldChar w:fldCharType="begin"/>
      </w:r>
      <w:r w:rsidRPr="009B1040">
        <w:rPr>
          <w:rFonts w:cstheme="minorHAnsi"/>
          <w:szCs w:val="24"/>
        </w:rPr>
        <w:instrText xml:space="preserve"> REF _Ref193116172 \h </w:instrText>
      </w:r>
      <w:r w:rsidR="009B1040" w:rsidRPr="009B1040">
        <w:rPr>
          <w:rFonts w:cstheme="minorHAnsi"/>
          <w:szCs w:val="24"/>
        </w:rPr>
        <w:instrText xml:space="preserve"> \* MERGEFORMAT </w:instrText>
      </w:r>
      <w:r w:rsidRPr="009B1040">
        <w:rPr>
          <w:rFonts w:cstheme="minorHAnsi"/>
          <w:szCs w:val="24"/>
        </w:rPr>
      </w:r>
      <w:r w:rsidRPr="009B1040">
        <w:rPr>
          <w:rFonts w:cstheme="minorHAnsi"/>
          <w:szCs w:val="24"/>
        </w:rPr>
        <w:fldChar w:fldCharType="separate"/>
      </w:r>
      <w:r w:rsidR="00875704" w:rsidRPr="00875704">
        <w:rPr>
          <w:rFonts w:cstheme="minorHAnsi"/>
          <w:szCs w:val="24"/>
        </w:rPr>
        <w:t xml:space="preserve">Table </w:t>
      </w:r>
      <w:r w:rsidR="00875704" w:rsidRPr="00875704">
        <w:rPr>
          <w:rFonts w:cstheme="minorHAnsi"/>
          <w:noProof/>
          <w:szCs w:val="24"/>
        </w:rPr>
        <w:t>21</w:t>
      </w:r>
      <w:r w:rsidRPr="009B1040">
        <w:rPr>
          <w:rFonts w:cstheme="minorHAnsi"/>
          <w:szCs w:val="24"/>
        </w:rPr>
        <w:fldChar w:fldCharType="end"/>
      </w:r>
      <w:r w:rsidRPr="009B1040">
        <w:rPr>
          <w:rFonts w:cstheme="minorHAnsi"/>
          <w:szCs w:val="24"/>
        </w:rPr>
        <w:t xml:space="preserve"> </w:t>
      </w:r>
      <w:r w:rsidR="000A1820" w:rsidRPr="009B1040">
        <w:rPr>
          <w:rFonts w:cstheme="minorHAnsi"/>
          <w:szCs w:val="24"/>
        </w:rPr>
        <w:t>su</w:t>
      </w:r>
      <w:r w:rsidR="000A1820" w:rsidRPr="00704B78">
        <w:rPr>
          <w:rFonts w:ascii="Calibri" w:hAnsi="Calibri" w:cs="Calibri"/>
        </w:rPr>
        <w:t>mmarises</w:t>
      </w:r>
      <w:r w:rsidR="000A1820" w:rsidRPr="00704B78">
        <w:rPr>
          <w:rFonts w:ascii="Calibri" w:hAnsi="Calibri" w:cs="Calibri"/>
          <w:szCs w:val="24"/>
        </w:rPr>
        <w:t xml:space="preserve"> data received from the </w:t>
      </w:r>
      <w:r w:rsidR="00621D63">
        <w:rPr>
          <w:rFonts w:ascii="Calibri" w:hAnsi="Calibri" w:cs="Calibri"/>
          <w:szCs w:val="24"/>
        </w:rPr>
        <w:t>NBA</w:t>
      </w:r>
      <w:r w:rsidR="000A1820" w:rsidRPr="00704B78">
        <w:rPr>
          <w:rFonts w:ascii="Calibri" w:hAnsi="Calibri" w:cs="Calibri"/>
          <w:szCs w:val="24"/>
        </w:rPr>
        <w:t xml:space="preserve"> on the utilisation of IVIg as maintenance therapy for myasthenia gravis in 2023-24. </w:t>
      </w:r>
    </w:p>
    <w:p w14:paraId="79FF549C" w14:textId="5A56D1CF" w:rsidR="000A1820" w:rsidRPr="006C6609" w:rsidRDefault="00BC22F3" w:rsidP="006E2A77">
      <w:pPr>
        <w:pStyle w:val="Caption"/>
        <w:keepNext/>
        <w:keepLines/>
        <w:spacing w:after="0"/>
        <w:rPr>
          <w:rFonts w:ascii="Arial Narrow" w:hAnsi="Arial Narrow"/>
          <w:color w:val="3366FF"/>
          <w:sz w:val="20"/>
          <w:szCs w:val="20"/>
        </w:rPr>
      </w:pPr>
      <w:bookmarkStart w:id="84" w:name="_Ref193116172"/>
      <w:bookmarkStart w:id="85" w:name="_Ref194049344"/>
      <w:r w:rsidRPr="006C6609">
        <w:rPr>
          <w:rFonts w:ascii="Arial Narrow" w:hAnsi="Arial Narrow"/>
          <w:sz w:val="20"/>
          <w:szCs w:val="20"/>
        </w:rPr>
        <w:lastRenderedPageBreak/>
        <w:t xml:space="preserve">Table </w:t>
      </w:r>
      <w:r w:rsidRPr="006C6609">
        <w:rPr>
          <w:rFonts w:ascii="Arial Narrow" w:hAnsi="Arial Narrow"/>
          <w:sz w:val="20"/>
          <w:szCs w:val="20"/>
        </w:rPr>
        <w:fldChar w:fldCharType="begin"/>
      </w:r>
      <w:r w:rsidRPr="006C6609">
        <w:rPr>
          <w:rFonts w:ascii="Arial Narrow" w:hAnsi="Arial Narrow"/>
          <w:sz w:val="20"/>
          <w:szCs w:val="20"/>
        </w:rPr>
        <w:instrText xml:space="preserve"> SEQ Table \* ARABIC </w:instrText>
      </w:r>
      <w:r w:rsidRPr="006C6609">
        <w:rPr>
          <w:rFonts w:ascii="Arial Narrow" w:hAnsi="Arial Narrow"/>
          <w:sz w:val="20"/>
          <w:szCs w:val="20"/>
        </w:rPr>
        <w:fldChar w:fldCharType="separate"/>
      </w:r>
      <w:r w:rsidR="00875704">
        <w:rPr>
          <w:rFonts w:ascii="Arial Narrow" w:hAnsi="Arial Narrow"/>
          <w:noProof/>
          <w:sz w:val="20"/>
          <w:szCs w:val="20"/>
        </w:rPr>
        <w:t>21</w:t>
      </w:r>
      <w:r w:rsidRPr="006C6609">
        <w:rPr>
          <w:rFonts w:ascii="Arial Narrow" w:hAnsi="Arial Narrow"/>
          <w:sz w:val="20"/>
          <w:szCs w:val="20"/>
        </w:rPr>
        <w:fldChar w:fldCharType="end"/>
      </w:r>
      <w:bookmarkEnd w:id="84"/>
      <w:r w:rsidR="000A1820" w:rsidRPr="006C6609">
        <w:rPr>
          <w:rFonts w:ascii="Arial Narrow" w:hAnsi="Arial Narrow"/>
          <w:sz w:val="20"/>
          <w:szCs w:val="20"/>
        </w:rPr>
        <w:t>: Data received from the NBA on the use of IVIg for maintenance treatment of gMG</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Data received from the NBA on the use of IVIg for maintenance treatment of gMG"/>
      </w:tblPr>
      <w:tblGrid>
        <w:gridCol w:w="6092"/>
        <w:gridCol w:w="2925"/>
      </w:tblGrid>
      <w:tr w:rsidR="000A1820" w:rsidRPr="00704B78" w14:paraId="204256BF" w14:textId="77777777">
        <w:tc>
          <w:tcPr>
            <w:tcW w:w="3378" w:type="pct"/>
            <w:vAlign w:val="center"/>
          </w:tcPr>
          <w:p w14:paraId="535DE0AD" w14:textId="77777777" w:rsidR="000A1820" w:rsidRPr="00704B78" w:rsidRDefault="000A1820" w:rsidP="006E2A77">
            <w:pPr>
              <w:pStyle w:val="COMTabletext"/>
              <w:keepLines/>
            </w:pPr>
            <w:r w:rsidRPr="00704B78">
              <w:t>Average cost per gram of IVIg (across all indications on the NBA)</w:t>
            </w:r>
          </w:p>
        </w:tc>
        <w:tc>
          <w:tcPr>
            <w:tcW w:w="1622" w:type="pct"/>
            <w:vAlign w:val="center"/>
          </w:tcPr>
          <w:p w14:paraId="53813E5D" w14:textId="334B2122" w:rsidR="000A1820" w:rsidRPr="00DE7E00" w:rsidRDefault="000A1820" w:rsidP="006E2A77">
            <w:pPr>
              <w:pStyle w:val="COMTabletext"/>
              <w:keepLines/>
              <w:jc w:val="center"/>
            </w:pPr>
            <w:r w:rsidRPr="00DE7E00">
              <w:t>$</w:t>
            </w:r>
            <w:r w:rsidR="005F6EC2" w:rsidRPr="005F6EC2">
              <w:rPr>
                <w:color w:val="000000"/>
                <w:spacing w:val="53"/>
                <w:shd w:val="solid" w:color="000000" w:fill="000000"/>
                <w:fitText w:val="330" w:id="-656716537"/>
                <w14:textFill>
                  <w14:solidFill>
                    <w14:srgbClr w14:val="000000">
                      <w14:alpha w14:val="100000"/>
                    </w14:srgbClr>
                  </w14:solidFill>
                </w14:textFill>
              </w:rPr>
              <w:t>|||</w:t>
            </w:r>
            <w:r w:rsidR="005F6EC2" w:rsidRPr="005F6EC2">
              <w:rPr>
                <w:color w:val="000000"/>
                <w:spacing w:val="1"/>
                <w:shd w:val="solid" w:color="000000" w:fill="000000"/>
                <w:fitText w:val="330" w:id="-656716537"/>
                <w14:textFill>
                  <w14:solidFill>
                    <w14:srgbClr w14:val="000000">
                      <w14:alpha w14:val="100000"/>
                    </w14:srgbClr>
                  </w14:solidFill>
                </w14:textFill>
              </w:rPr>
              <w:t>|</w:t>
            </w:r>
          </w:p>
        </w:tc>
      </w:tr>
      <w:tr w:rsidR="000A1820" w:rsidRPr="00704B78" w14:paraId="132F7D1D" w14:textId="77777777">
        <w:tc>
          <w:tcPr>
            <w:tcW w:w="5000" w:type="pct"/>
            <w:gridSpan w:val="2"/>
            <w:vAlign w:val="center"/>
          </w:tcPr>
          <w:p w14:paraId="2C069283" w14:textId="77777777" w:rsidR="000A1820" w:rsidRPr="00DE7E00" w:rsidRDefault="000A1820" w:rsidP="006E2A77">
            <w:pPr>
              <w:pStyle w:val="COMTabletext"/>
              <w:keepLines/>
              <w:rPr>
                <w:b/>
              </w:rPr>
            </w:pPr>
            <w:r w:rsidRPr="00DE7E00">
              <w:rPr>
                <w:b/>
              </w:rPr>
              <w:t>Data below is specific to the myasthenia gravis maintenance setting</w:t>
            </w:r>
          </w:p>
        </w:tc>
      </w:tr>
      <w:tr w:rsidR="000A1820" w:rsidRPr="00704B78" w14:paraId="09EC003F" w14:textId="77777777">
        <w:tc>
          <w:tcPr>
            <w:tcW w:w="3378" w:type="pct"/>
            <w:vAlign w:val="center"/>
          </w:tcPr>
          <w:p w14:paraId="1FDF8CFE" w14:textId="77777777" w:rsidR="000A1820" w:rsidRPr="00704B78" w:rsidRDefault="000A1820" w:rsidP="006E2A77">
            <w:pPr>
              <w:pStyle w:val="COMTabletext"/>
              <w:keepLines/>
            </w:pPr>
            <w:r w:rsidRPr="00704B78">
              <w:t xml:space="preserve">Average number of ‘dispensing events’ per patient in 2023-24 </w:t>
            </w:r>
          </w:p>
        </w:tc>
        <w:tc>
          <w:tcPr>
            <w:tcW w:w="1622" w:type="pct"/>
            <w:vAlign w:val="center"/>
          </w:tcPr>
          <w:p w14:paraId="5E309C60" w14:textId="77777777" w:rsidR="000A1820" w:rsidRPr="00DE7E00" w:rsidRDefault="000A1820" w:rsidP="006E2A77">
            <w:pPr>
              <w:pStyle w:val="COMTabletext"/>
              <w:keepLines/>
              <w:jc w:val="center"/>
            </w:pPr>
            <w:r w:rsidRPr="00DE7E00">
              <w:t>15.7 per patient per year</w:t>
            </w:r>
          </w:p>
        </w:tc>
      </w:tr>
      <w:tr w:rsidR="000A1820" w:rsidRPr="00704B78" w14:paraId="44071ED8" w14:textId="77777777">
        <w:tc>
          <w:tcPr>
            <w:tcW w:w="3378" w:type="pct"/>
            <w:vAlign w:val="center"/>
          </w:tcPr>
          <w:p w14:paraId="3DD21D8B" w14:textId="77777777" w:rsidR="000A1820" w:rsidRPr="00704B78" w:rsidRDefault="000A1820" w:rsidP="006E2A77">
            <w:pPr>
              <w:pStyle w:val="COMTabletext"/>
              <w:keepLines/>
            </w:pPr>
            <w:r w:rsidRPr="00704B78">
              <w:t xml:space="preserve">Average total annual dose in 2023-24 </w:t>
            </w:r>
            <w:r w:rsidRPr="00704B78">
              <w:rPr>
                <w:vertAlign w:val="superscript"/>
              </w:rPr>
              <w:t>a</w:t>
            </w:r>
          </w:p>
        </w:tc>
        <w:tc>
          <w:tcPr>
            <w:tcW w:w="1622" w:type="pct"/>
            <w:vAlign w:val="center"/>
          </w:tcPr>
          <w:p w14:paraId="40C4413A" w14:textId="42E6B9D4" w:rsidR="000A1820" w:rsidRPr="00DE7E00" w:rsidRDefault="000A1820" w:rsidP="006E2A77">
            <w:pPr>
              <w:pStyle w:val="COMTabletext"/>
              <w:keepLines/>
              <w:jc w:val="center"/>
            </w:pPr>
            <w:r w:rsidRPr="00DE7E00">
              <w:t>541.</w:t>
            </w:r>
            <w:r w:rsidR="00084395" w:rsidRPr="00DE7E00">
              <w:t>0625</w:t>
            </w:r>
            <w:r w:rsidRPr="00DE7E00">
              <w:t xml:space="preserve"> grams</w:t>
            </w:r>
          </w:p>
        </w:tc>
      </w:tr>
      <w:tr w:rsidR="000A1820" w:rsidRPr="00704B78" w14:paraId="0378229F" w14:textId="77777777">
        <w:tc>
          <w:tcPr>
            <w:tcW w:w="3378" w:type="pct"/>
            <w:vAlign w:val="center"/>
          </w:tcPr>
          <w:p w14:paraId="603716F7" w14:textId="77777777" w:rsidR="000A1820" w:rsidRPr="00704B78" w:rsidRDefault="000A1820" w:rsidP="006E2A77">
            <w:pPr>
              <w:pStyle w:val="COMTabletext"/>
              <w:keepLines/>
            </w:pPr>
            <w:r w:rsidRPr="00704B78">
              <w:t>Average grams per ‘dispensing event’</w:t>
            </w:r>
          </w:p>
        </w:tc>
        <w:tc>
          <w:tcPr>
            <w:tcW w:w="1622" w:type="pct"/>
            <w:vAlign w:val="center"/>
          </w:tcPr>
          <w:p w14:paraId="3C78DB0C" w14:textId="77777777" w:rsidR="000A1820" w:rsidRPr="00DE7E00" w:rsidRDefault="000A1820" w:rsidP="006E2A77">
            <w:pPr>
              <w:pStyle w:val="COMTabletext"/>
              <w:keepLines/>
              <w:jc w:val="center"/>
            </w:pPr>
            <w:r w:rsidRPr="00DE7E00">
              <w:t>34.4 grams</w:t>
            </w:r>
          </w:p>
        </w:tc>
      </w:tr>
      <w:tr w:rsidR="000A1820" w:rsidRPr="00704B78" w14:paraId="5C316B4F" w14:textId="77777777">
        <w:tc>
          <w:tcPr>
            <w:tcW w:w="3378" w:type="pct"/>
            <w:vAlign w:val="center"/>
          </w:tcPr>
          <w:p w14:paraId="32D4D746" w14:textId="77777777" w:rsidR="000A1820" w:rsidRPr="00704B78" w:rsidRDefault="000A1820" w:rsidP="006E2A77">
            <w:pPr>
              <w:pStyle w:val="COMTabletext"/>
              <w:keepLines/>
              <w:rPr>
                <w:vertAlign w:val="superscript"/>
              </w:rPr>
            </w:pPr>
            <w:r w:rsidRPr="00704B78">
              <w:t xml:space="preserve">Average cost per patient per year of IVIg for maintenance </w:t>
            </w:r>
            <w:r w:rsidRPr="00704B78">
              <w:rPr>
                <w:vertAlign w:val="superscript"/>
              </w:rPr>
              <w:t>a</w:t>
            </w:r>
          </w:p>
        </w:tc>
        <w:tc>
          <w:tcPr>
            <w:tcW w:w="1622" w:type="pct"/>
            <w:vAlign w:val="center"/>
          </w:tcPr>
          <w:p w14:paraId="2A536409" w14:textId="2201E1C6" w:rsidR="000A1820" w:rsidRPr="00DE7E00" w:rsidRDefault="000A1820" w:rsidP="006E2A77">
            <w:pPr>
              <w:pStyle w:val="COMTabletext"/>
              <w:keepLines/>
              <w:jc w:val="center"/>
            </w:pPr>
            <w:r w:rsidRPr="00DE7E00">
              <w:t>$</w:t>
            </w:r>
            <w:r w:rsidR="005F6EC2" w:rsidRPr="005F6EC2">
              <w:rPr>
                <w:color w:val="000000"/>
                <w:spacing w:val="53"/>
                <w:shd w:val="solid" w:color="000000" w:fill="000000"/>
                <w:fitText w:val="330" w:id="-656716536"/>
                <w14:textFill>
                  <w14:solidFill>
                    <w14:srgbClr w14:val="000000">
                      <w14:alpha w14:val="100000"/>
                    </w14:srgbClr>
                  </w14:solidFill>
                </w14:textFill>
              </w:rPr>
              <w:t>|||</w:t>
            </w:r>
            <w:r w:rsidR="005F6EC2" w:rsidRPr="005F6EC2">
              <w:rPr>
                <w:color w:val="000000"/>
                <w:spacing w:val="1"/>
                <w:shd w:val="solid" w:color="000000" w:fill="000000"/>
                <w:fitText w:val="330" w:id="-656716536"/>
                <w14:textFill>
                  <w14:solidFill>
                    <w14:srgbClr w14:val="000000">
                      <w14:alpha w14:val="100000"/>
                    </w14:srgbClr>
                  </w14:solidFill>
                </w14:textFill>
              </w:rPr>
              <w:t>|</w:t>
            </w:r>
          </w:p>
        </w:tc>
      </w:tr>
      <w:tr w:rsidR="000A1820" w:rsidRPr="00704B78" w14:paraId="392E8412" w14:textId="77777777">
        <w:tc>
          <w:tcPr>
            <w:tcW w:w="3378" w:type="pct"/>
            <w:vAlign w:val="center"/>
          </w:tcPr>
          <w:p w14:paraId="6EEE9ED2" w14:textId="77777777" w:rsidR="000A1820" w:rsidRPr="00704B78" w:rsidRDefault="000A1820" w:rsidP="006E2A77">
            <w:pPr>
              <w:pStyle w:val="COMTabletext"/>
              <w:keepLines/>
            </w:pPr>
            <w:r w:rsidRPr="00704B78">
              <w:t xml:space="preserve">Total number of patients treated with IVIg for maintenance in 2023-24 </w:t>
            </w:r>
          </w:p>
        </w:tc>
        <w:tc>
          <w:tcPr>
            <w:tcW w:w="1622" w:type="pct"/>
            <w:vAlign w:val="center"/>
          </w:tcPr>
          <w:p w14:paraId="534FD86C" w14:textId="77777777" w:rsidR="000A1820" w:rsidRPr="00DE7E00" w:rsidRDefault="000A1820" w:rsidP="006E2A77">
            <w:pPr>
              <w:pStyle w:val="COMTabletext"/>
              <w:keepLines/>
              <w:jc w:val="center"/>
            </w:pPr>
            <w:r w:rsidRPr="00133B35">
              <w:t>1,324 patients</w:t>
            </w:r>
          </w:p>
        </w:tc>
      </w:tr>
      <w:tr w:rsidR="000A1820" w:rsidRPr="00704B78" w14:paraId="13822116" w14:textId="77777777">
        <w:tc>
          <w:tcPr>
            <w:tcW w:w="3378" w:type="pct"/>
            <w:vAlign w:val="center"/>
          </w:tcPr>
          <w:p w14:paraId="488D8267" w14:textId="77777777" w:rsidR="000A1820" w:rsidRPr="00704B78" w:rsidRDefault="000A1820" w:rsidP="006E2A77">
            <w:pPr>
              <w:pStyle w:val="COMTabletext"/>
              <w:keepLines/>
              <w:rPr>
                <w:vertAlign w:val="superscript"/>
              </w:rPr>
            </w:pPr>
            <w:r w:rsidRPr="00704B78">
              <w:t xml:space="preserve">Annual growth in the number of patients using IVIg for maintenance (from 2019-20 to 2023-24) </w:t>
            </w:r>
            <w:r w:rsidRPr="00704B78">
              <w:rPr>
                <w:vertAlign w:val="superscript"/>
              </w:rPr>
              <w:t>d</w:t>
            </w:r>
          </w:p>
        </w:tc>
        <w:tc>
          <w:tcPr>
            <w:tcW w:w="1622" w:type="pct"/>
            <w:vAlign w:val="center"/>
          </w:tcPr>
          <w:p w14:paraId="77D0776A" w14:textId="77777777" w:rsidR="000A1820" w:rsidRPr="00704B78" w:rsidRDefault="000A1820" w:rsidP="006E2A77">
            <w:pPr>
              <w:pStyle w:val="COMTabletext"/>
              <w:keepLines/>
              <w:jc w:val="center"/>
            </w:pPr>
            <w:r w:rsidRPr="00704B78">
              <w:t>3.3%</w:t>
            </w:r>
          </w:p>
        </w:tc>
      </w:tr>
      <w:tr w:rsidR="000A1820" w:rsidRPr="00704B78" w14:paraId="785A1947" w14:textId="77777777">
        <w:tc>
          <w:tcPr>
            <w:tcW w:w="3378" w:type="pct"/>
            <w:vAlign w:val="center"/>
          </w:tcPr>
          <w:p w14:paraId="023BFAF9" w14:textId="77777777" w:rsidR="000A1820" w:rsidRPr="00704B78" w:rsidRDefault="000A1820" w:rsidP="006E2A77">
            <w:pPr>
              <w:pStyle w:val="COMTabletext"/>
              <w:keepLines/>
            </w:pPr>
            <w:r w:rsidRPr="00704B78">
              <w:t>Of the patients who were treated with IVIg for maintenance in 2023-24, the percent who:</w:t>
            </w:r>
          </w:p>
        </w:tc>
        <w:tc>
          <w:tcPr>
            <w:tcW w:w="1622" w:type="pct"/>
          </w:tcPr>
          <w:p w14:paraId="5217DBDA" w14:textId="77777777" w:rsidR="000A1820" w:rsidRPr="00704B78" w:rsidRDefault="000A1820" w:rsidP="006E2A77">
            <w:pPr>
              <w:pStyle w:val="COMTabletext"/>
              <w:keepLines/>
              <w:jc w:val="center"/>
            </w:pPr>
          </w:p>
        </w:tc>
      </w:tr>
      <w:tr w:rsidR="000A1820" w:rsidRPr="00704B78" w14:paraId="24537247" w14:textId="77777777">
        <w:tc>
          <w:tcPr>
            <w:tcW w:w="3378" w:type="pct"/>
            <w:vAlign w:val="bottom"/>
          </w:tcPr>
          <w:p w14:paraId="3388BCE5" w14:textId="77777777" w:rsidR="000A1820" w:rsidRPr="00704B78" w:rsidRDefault="000A1820" w:rsidP="006E2A77">
            <w:pPr>
              <w:pStyle w:val="COMTabletext"/>
              <w:keepLines/>
              <w:jc w:val="right"/>
            </w:pPr>
            <w:r w:rsidRPr="00704B78">
              <w:t>commenced more than 7 years ago</w:t>
            </w:r>
          </w:p>
        </w:tc>
        <w:tc>
          <w:tcPr>
            <w:tcW w:w="1622" w:type="pct"/>
            <w:vAlign w:val="bottom"/>
          </w:tcPr>
          <w:p w14:paraId="1FC359A9" w14:textId="77777777" w:rsidR="000A1820" w:rsidRPr="00704B78" w:rsidRDefault="000A1820" w:rsidP="006E2A77">
            <w:pPr>
              <w:pStyle w:val="COMTabletext"/>
              <w:keepLines/>
              <w:jc w:val="center"/>
            </w:pPr>
            <w:r w:rsidRPr="00704B78">
              <w:t>28.5%</w:t>
            </w:r>
          </w:p>
        </w:tc>
      </w:tr>
      <w:tr w:rsidR="000A1820" w:rsidRPr="00704B78" w14:paraId="3282EB95" w14:textId="77777777">
        <w:tc>
          <w:tcPr>
            <w:tcW w:w="3378" w:type="pct"/>
            <w:vAlign w:val="bottom"/>
          </w:tcPr>
          <w:p w14:paraId="3053C504" w14:textId="77777777" w:rsidR="000A1820" w:rsidRPr="00704B78" w:rsidRDefault="000A1820" w:rsidP="006E2A77">
            <w:pPr>
              <w:pStyle w:val="COMTabletext"/>
              <w:keepLines/>
              <w:jc w:val="right"/>
            </w:pPr>
            <w:r w:rsidRPr="00704B78">
              <w:t>commenced 7 years ago</w:t>
            </w:r>
          </w:p>
        </w:tc>
        <w:tc>
          <w:tcPr>
            <w:tcW w:w="1622" w:type="pct"/>
            <w:vAlign w:val="bottom"/>
          </w:tcPr>
          <w:p w14:paraId="18B9FF46" w14:textId="77777777" w:rsidR="000A1820" w:rsidRPr="00704B78" w:rsidRDefault="000A1820" w:rsidP="006E2A77">
            <w:pPr>
              <w:pStyle w:val="COMTabletext"/>
              <w:keepLines/>
              <w:jc w:val="center"/>
            </w:pPr>
            <w:r w:rsidRPr="00704B78">
              <w:t>4.1%</w:t>
            </w:r>
          </w:p>
        </w:tc>
      </w:tr>
      <w:tr w:rsidR="000A1820" w:rsidRPr="00704B78" w14:paraId="22B39F35" w14:textId="77777777">
        <w:tc>
          <w:tcPr>
            <w:tcW w:w="3378" w:type="pct"/>
            <w:vAlign w:val="bottom"/>
          </w:tcPr>
          <w:p w14:paraId="63949416" w14:textId="77777777" w:rsidR="000A1820" w:rsidRPr="00704B78" w:rsidRDefault="000A1820" w:rsidP="006E2A77">
            <w:pPr>
              <w:pStyle w:val="COMTabletext"/>
              <w:keepLines/>
              <w:jc w:val="right"/>
            </w:pPr>
            <w:r w:rsidRPr="00704B78">
              <w:t>commenced 6 years ago</w:t>
            </w:r>
          </w:p>
        </w:tc>
        <w:tc>
          <w:tcPr>
            <w:tcW w:w="1622" w:type="pct"/>
            <w:vAlign w:val="bottom"/>
          </w:tcPr>
          <w:p w14:paraId="5601EB7B" w14:textId="77777777" w:rsidR="000A1820" w:rsidRPr="00704B78" w:rsidRDefault="000A1820" w:rsidP="006E2A77">
            <w:pPr>
              <w:pStyle w:val="COMTabletext"/>
              <w:keepLines/>
              <w:jc w:val="center"/>
            </w:pPr>
            <w:r w:rsidRPr="00704B78">
              <w:t>5.2%</w:t>
            </w:r>
          </w:p>
        </w:tc>
      </w:tr>
      <w:tr w:rsidR="000A1820" w:rsidRPr="00704B78" w14:paraId="4BEB6AB6" w14:textId="77777777">
        <w:tc>
          <w:tcPr>
            <w:tcW w:w="3378" w:type="pct"/>
            <w:vAlign w:val="bottom"/>
          </w:tcPr>
          <w:p w14:paraId="5FEF7FB4" w14:textId="77777777" w:rsidR="000A1820" w:rsidRPr="00704B78" w:rsidRDefault="000A1820" w:rsidP="006E2A77">
            <w:pPr>
              <w:pStyle w:val="COMTabletext"/>
              <w:keepLines/>
              <w:jc w:val="right"/>
            </w:pPr>
            <w:r w:rsidRPr="00704B78">
              <w:t>commenced 5 years ago</w:t>
            </w:r>
          </w:p>
        </w:tc>
        <w:tc>
          <w:tcPr>
            <w:tcW w:w="1622" w:type="pct"/>
            <w:vAlign w:val="bottom"/>
          </w:tcPr>
          <w:p w14:paraId="0203193A" w14:textId="77777777" w:rsidR="000A1820" w:rsidRPr="00704B78" w:rsidRDefault="000A1820" w:rsidP="006E2A77">
            <w:pPr>
              <w:pStyle w:val="COMTabletext"/>
              <w:keepLines/>
              <w:jc w:val="center"/>
            </w:pPr>
            <w:r w:rsidRPr="00704B78">
              <w:t>6.9%</w:t>
            </w:r>
          </w:p>
        </w:tc>
      </w:tr>
      <w:tr w:rsidR="000A1820" w:rsidRPr="00704B78" w14:paraId="7D8C6B7B" w14:textId="77777777">
        <w:tc>
          <w:tcPr>
            <w:tcW w:w="3378" w:type="pct"/>
            <w:vAlign w:val="bottom"/>
          </w:tcPr>
          <w:p w14:paraId="21699B24" w14:textId="77777777" w:rsidR="000A1820" w:rsidRPr="00704B78" w:rsidRDefault="000A1820" w:rsidP="006E2A77">
            <w:pPr>
              <w:pStyle w:val="COMTabletext"/>
              <w:keepLines/>
              <w:jc w:val="right"/>
            </w:pPr>
            <w:r w:rsidRPr="00704B78">
              <w:t>commenced 4 years ago</w:t>
            </w:r>
          </w:p>
        </w:tc>
        <w:tc>
          <w:tcPr>
            <w:tcW w:w="1622" w:type="pct"/>
            <w:vAlign w:val="bottom"/>
          </w:tcPr>
          <w:p w14:paraId="6B718872" w14:textId="77777777" w:rsidR="000A1820" w:rsidRPr="00704B78" w:rsidRDefault="000A1820" w:rsidP="006E2A77">
            <w:pPr>
              <w:pStyle w:val="COMTabletext"/>
              <w:keepLines/>
              <w:jc w:val="center"/>
            </w:pPr>
            <w:r w:rsidRPr="00704B78">
              <w:t>7.6%</w:t>
            </w:r>
          </w:p>
        </w:tc>
      </w:tr>
      <w:tr w:rsidR="000A1820" w:rsidRPr="00704B78" w14:paraId="4D6E9861" w14:textId="77777777">
        <w:tc>
          <w:tcPr>
            <w:tcW w:w="3378" w:type="pct"/>
            <w:vAlign w:val="bottom"/>
          </w:tcPr>
          <w:p w14:paraId="0F044772" w14:textId="77777777" w:rsidR="000A1820" w:rsidRPr="00704B78" w:rsidRDefault="000A1820" w:rsidP="006E2A77">
            <w:pPr>
              <w:pStyle w:val="COMTabletext"/>
              <w:keepLines/>
              <w:jc w:val="right"/>
            </w:pPr>
            <w:r w:rsidRPr="00704B78">
              <w:t>commenced 3 years ago</w:t>
            </w:r>
          </w:p>
        </w:tc>
        <w:tc>
          <w:tcPr>
            <w:tcW w:w="1622" w:type="pct"/>
            <w:vAlign w:val="bottom"/>
          </w:tcPr>
          <w:p w14:paraId="32359A56" w14:textId="77777777" w:rsidR="000A1820" w:rsidRPr="00704B78" w:rsidRDefault="000A1820" w:rsidP="006E2A77">
            <w:pPr>
              <w:pStyle w:val="COMTabletext"/>
              <w:keepLines/>
              <w:jc w:val="center"/>
            </w:pPr>
            <w:r w:rsidRPr="00704B78">
              <w:t>8.2%</w:t>
            </w:r>
          </w:p>
        </w:tc>
      </w:tr>
      <w:tr w:rsidR="000A1820" w:rsidRPr="00704B78" w14:paraId="351B2193" w14:textId="77777777">
        <w:tc>
          <w:tcPr>
            <w:tcW w:w="3378" w:type="pct"/>
            <w:vAlign w:val="bottom"/>
          </w:tcPr>
          <w:p w14:paraId="26D8917D" w14:textId="77777777" w:rsidR="000A1820" w:rsidRPr="00704B78" w:rsidRDefault="000A1820" w:rsidP="006E2A77">
            <w:pPr>
              <w:pStyle w:val="COMTabletext"/>
              <w:keepLines/>
              <w:jc w:val="right"/>
            </w:pPr>
            <w:r w:rsidRPr="00704B78">
              <w:t>commenced 2 years ago</w:t>
            </w:r>
          </w:p>
        </w:tc>
        <w:tc>
          <w:tcPr>
            <w:tcW w:w="1622" w:type="pct"/>
            <w:vAlign w:val="bottom"/>
          </w:tcPr>
          <w:p w14:paraId="5D52307D" w14:textId="77777777" w:rsidR="000A1820" w:rsidRPr="00704B78" w:rsidRDefault="000A1820" w:rsidP="006E2A77">
            <w:pPr>
              <w:pStyle w:val="COMTabletext"/>
              <w:keepLines/>
              <w:jc w:val="center"/>
            </w:pPr>
            <w:r w:rsidRPr="00704B78">
              <w:t>10.9%</w:t>
            </w:r>
          </w:p>
        </w:tc>
      </w:tr>
      <w:tr w:rsidR="000A1820" w:rsidRPr="00704B78" w14:paraId="2E3CC292" w14:textId="77777777">
        <w:tc>
          <w:tcPr>
            <w:tcW w:w="3378" w:type="pct"/>
            <w:vAlign w:val="bottom"/>
          </w:tcPr>
          <w:p w14:paraId="6CE3C909" w14:textId="77777777" w:rsidR="000A1820" w:rsidRPr="00704B78" w:rsidRDefault="000A1820" w:rsidP="006E2A77">
            <w:pPr>
              <w:pStyle w:val="COMTabletext"/>
              <w:keepLines/>
              <w:jc w:val="right"/>
            </w:pPr>
            <w:r w:rsidRPr="00704B78">
              <w:t>commenced 1 years ago</w:t>
            </w:r>
          </w:p>
        </w:tc>
        <w:tc>
          <w:tcPr>
            <w:tcW w:w="1622" w:type="pct"/>
            <w:vAlign w:val="bottom"/>
          </w:tcPr>
          <w:p w14:paraId="79A446CB" w14:textId="77777777" w:rsidR="000A1820" w:rsidRPr="00704B78" w:rsidRDefault="000A1820" w:rsidP="006E2A77">
            <w:pPr>
              <w:pStyle w:val="COMTabletext"/>
              <w:keepLines/>
              <w:jc w:val="center"/>
            </w:pPr>
            <w:r w:rsidRPr="00704B78">
              <w:t>12.1%</w:t>
            </w:r>
          </w:p>
        </w:tc>
      </w:tr>
      <w:tr w:rsidR="000A1820" w:rsidRPr="00704B78" w14:paraId="38310020" w14:textId="77777777">
        <w:tc>
          <w:tcPr>
            <w:tcW w:w="3378" w:type="pct"/>
            <w:vAlign w:val="bottom"/>
          </w:tcPr>
          <w:p w14:paraId="6C01395F" w14:textId="77777777" w:rsidR="000A1820" w:rsidRPr="00704B78" w:rsidRDefault="000A1820" w:rsidP="006E2A77">
            <w:pPr>
              <w:pStyle w:val="COMTabletext"/>
              <w:keepLines/>
              <w:jc w:val="right"/>
            </w:pPr>
            <w:r w:rsidRPr="00704B78">
              <w:t>commenced within the last full year of data (2023-24)</w:t>
            </w:r>
          </w:p>
        </w:tc>
        <w:tc>
          <w:tcPr>
            <w:tcW w:w="1622" w:type="pct"/>
            <w:vAlign w:val="bottom"/>
          </w:tcPr>
          <w:p w14:paraId="0602E5A8" w14:textId="77777777" w:rsidR="000A1820" w:rsidRPr="00704B78" w:rsidRDefault="000A1820" w:rsidP="006E2A77">
            <w:pPr>
              <w:pStyle w:val="COMTabletext"/>
              <w:keepLines/>
              <w:jc w:val="center"/>
            </w:pPr>
            <w:r w:rsidRPr="00704B78">
              <w:t>16.6%</w:t>
            </w:r>
          </w:p>
        </w:tc>
      </w:tr>
      <w:tr w:rsidR="000A1820" w:rsidRPr="00704B78" w14:paraId="58764F4F" w14:textId="77777777">
        <w:tc>
          <w:tcPr>
            <w:tcW w:w="5000" w:type="pct"/>
            <w:gridSpan w:val="2"/>
            <w:vAlign w:val="bottom"/>
          </w:tcPr>
          <w:p w14:paraId="4ADE97E7" w14:textId="77777777" w:rsidR="000A1820" w:rsidRPr="00704B78" w:rsidRDefault="000A1820" w:rsidP="006E2A77">
            <w:pPr>
              <w:pStyle w:val="COMTabletext"/>
              <w:keepLines/>
              <w:rPr>
                <w:b/>
                <w:vertAlign w:val="superscript"/>
              </w:rPr>
            </w:pPr>
            <w:r w:rsidRPr="00704B78">
              <w:rPr>
                <w:b/>
              </w:rPr>
              <w:t xml:space="preserve">Context of IVIg use for gMG </w:t>
            </w:r>
            <w:r w:rsidRPr="00704B78">
              <w:rPr>
                <w:b/>
                <w:vertAlign w:val="superscript"/>
              </w:rPr>
              <w:t>b</w:t>
            </w:r>
          </w:p>
        </w:tc>
      </w:tr>
      <w:tr w:rsidR="000A1820" w:rsidRPr="00704B78" w14:paraId="37540010" w14:textId="77777777">
        <w:tc>
          <w:tcPr>
            <w:tcW w:w="3378" w:type="pct"/>
            <w:vAlign w:val="bottom"/>
          </w:tcPr>
          <w:p w14:paraId="4DCD7419" w14:textId="77777777" w:rsidR="000A1820" w:rsidRPr="00704B78" w:rsidRDefault="000A1820" w:rsidP="006E2A77">
            <w:pPr>
              <w:keepNext/>
              <w:keepLines/>
              <w:jc w:val="left"/>
              <w:rPr>
                <w:rFonts w:ascii="Arial Narrow" w:eastAsiaTheme="majorEastAsia" w:hAnsi="Arial Narrow" w:cstheme="majorBidi"/>
                <w:sz w:val="20"/>
              </w:rPr>
            </w:pPr>
            <w:r w:rsidRPr="00704B78">
              <w:rPr>
                <w:rFonts w:ascii="Arial Narrow" w:eastAsiaTheme="majorEastAsia" w:hAnsi="Arial Narrow" w:cstheme="majorBidi"/>
                <w:sz w:val="20"/>
              </w:rPr>
              <w:t>Proportion of all IVIg use in Australia that is for myasthenia gravis maintenance (2022-23)</w:t>
            </w:r>
          </w:p>
        </w:tc>
        <w:tc>
          <w:tcPr>
            <w:tcW w:w="1622" w:type="pct"/>
            <w:vAlign w:val="bottom"/>
          </w:tcPr>
          <w:p w14:paraId="5DEBBA39" w14:textId="77777777" w:rsidR="000A1820" w:rsidRPr="00704B78" w:rsidRDefault="000A1820" w:rsidP="006E2A77">
            <w:pPr>
              <w:pStyle w:val="COMTabletext"/>
              <w:keepLines/>
              <w:jc w:val="center"/>
            </w:pPr>
            <w:r w:rsidRPr="00704B78">
              <w:t>7.3%</w:t>
            </w:r>
          </w:p>
        </w:tc>
      </w:tr>
      <w:tr w:rsidR="000A1820" w:rsidRPr="00704B78" w14:paraId="6BAE3615" w14:textId="77777777">
        <w:tc>
          <w:tcPr>
            <w:tcW w:w="3378" w:type="pct"/>
            <w:vAlign w:val="bottom"/>
          </w:tcPr>
          <w:p w14:paraId="2C933A1C" w14:textId="77777777" w:rsidR="000A1820" w:rsidRPr="00704B78" w:rsidRDefault="000A1820" w:rsidP="006E2A77">
            <w:pPr>
              <w:keepNext/>
              <w:keepLines/>
              <w:jc w:val="left"/>
              <w:rPr>
                <w:rFonts w:ascii="Arial Narrow" w:eastAsiaTheme="majorEastAsia" w:hAnsi="Arial Narrow" w:cstheme="majorBidi"/>
                <w:sz w:val="20"/>
                <w:szCs w:val="20"/>
              </w:rPr>
            </w:pPr>
            <w:proofErr w:type="gramStart"/>
            <w:r w:rsidRPr="00704B78">
              <w:rPr>
                <w:rFonts w:ascii="Arial Narrow" w:eastAsiaTheme="majorEastAsia" w:hAnsi="Arial Narrow" w:cstheme="majorBidi"/>
                <w:sz w:val="20"/>
                <w:szCs w:val="20"/>
              </w:rPr>
              <w:t>Total</w:t>
            </w:r>
            <w:proofErr w:type="gramEnd"/>
            <w:r w:rsidRPr="00704B78">
              <w:rPr>
                <w:rFonts w:ascii="Arial Narrow" w:eastAsiaTheme="majorEastAsia" w:hAnsi="Arial Narrow" w:cstheme="majorBidi"/>
                <w:sz w:val="20"/>
                <w:szCs w:val="20"/>
              </w:rPr>
              <w:t xml:space="preserve"> spend on IVIg for gMG maintenance in 2023-24</w:t>
            </w:r>
          </w:p>
        </w:tc>
        <w:tc>
          <w:tcPr>
            <w:tcW w:w="1622" w:type="pct"/>
            <w:vAlign w:val="bottom"/>
          </w:tcPr>
          <w:p w14:paraId="272904E9" w14:textId="2D263098" w:rsidR="000A1820" w:rsidRPr="00704B78" w:rsidRDefault="000A1820" w:rsidP="006E2A77">
            <w:pPr>
              <w:pStyle w:val="COMTabletext"/>
              <w:keepLines/>
              <w:jc w:val="center"/>
            </w:pPr>
            <w:r w:rsidRPr="00704B78">
              <w:t>$</w:t>
            </w:r>
            <w:r w:rsidR="005F4965" w:rsidRPr="005F4965">
              <w:rPr>
                <w:spacing w:val="33"/>
                <w:shd w:val="solid" w:color="000000" w:fill="000000"/>
                <w:fitText w:val="730" w:id="-653069056"/>
                <w14:textFill>
                  <w14:solidFill>
                    <w14:srgbClr w14:val="000000">
                      <w14:alpha w14:val="100000"/>
                    </w14:srgbClr>
                  </w14:solidFill>
                </w14:textFill>
              </w:rPr>
              <w:t>|||||||||</w:t>
            </w:r>
            <w:r w:rsidR="005F4965" w:rsidRPr="005F4965">
              <w:rPr>
                <w:spacing w:val="8"/>
                <w:shd w:val="solid" w:color="000000" w:fill="000000"/>
                <w:fitText w:val="730" w:id="-653069056"/>
                <w14:textFill>
                  <w14:solidFill>
                    <w14:srgbClr w14:val="000000">
                      <w14:alpha w14:val="100000"/>
                    </w14:srgbClr>
                  </w14:solidFill>
                </w14:textFill>
              </w:rPr>
              <w:t>|</w:t>
            </w:r>
          </w:p>
        </w:tc>
      </w:tr>
      <w:tr w:rsidR="000A1820" w:rsidRPr="00704B78" w14:paraId="0164EF47" w14:textId="77777777">
        <w:tc>
          <w:tcPr>
            <w:tcW w:w="3378" w:type="pct"/>
            <w:vAlign w:val="bottom"/>
          </w:tcPr>
          <w:p w14:paraId="155DC2DC" w14:textId="77777777" w:rsidR="000A1820" w:rsidRPr="00704B78" w:rsidRDefault="000A1820" w:rsidP="006E2A77">
            <w:pPr>
              <w:keepNext/>
              <w:keepLines/>
              <w:jc w:val="left"/>
              <w:rPr>
                <w:rFonts w:ascii="Arial Narrow" w:eastAsiaTheme="majorEastAsia" w:hAnsi="Arial Narrow" w:cstheme="majorBidi"/>
                <w:sz w:val="20"/>
                <w:szCs w:val="20"/>
                <w:vertAlign w:val="superscript"/>
              </w:rPr>
            </w:pPr>
            <w:r w:rsidRPr="00704B78">
              <w:rPr>
                <w:rFonts w:ascii="Arial Narrow" w:eastAsiaTheme="majorEastAsia" w:hAnsi="Arial Narrow" w:cstheme="majorBidi"/>
                <w:sz w:val="20"/>
                <w:szCs w:val="20"/>
              </w:rPr>
              <w:t xml:space="preserve">% of IVIg use in gMG that is in the maintenance setting (2023-24) </w:t>
            </w:r>
            <w:r w:rsidRPr="00704B78">
              <w:rPr>
                <w:rFonts w:ascii="Arial Narrow" w:eastAsiaTheme="majorEastAsia" w:hAnsi="Arial Narrow" w:cstheme="majorBidi"/>
                <w:sz w:val="20"/>
                <w:szCs w:val="20"/>
                <w:vertAlign w:val="superscript"/>
              </w:rPr>
              <w:t>c</w:t>
            </w:r>
          </w:p>
        </w:tc>
        <w:tc>
          <w:tcPr>
            <w:tcW w:w="1622" w:type="pct"/>
            <w:vAlign w:val="bottom"/>
          </w:tcPr>
          <w:p w14:paraId="490935E2" w14:textId="77777777" w:rsidR="000A1820" w:rsidRPr="00704B78" w:rsidRDefault="000A1820" w:rsidP="006E2A77">
            <w:pPr>
              <w:pStyle w:val="COMTabletext"/>
              <w:keepLines/>
              <w:jc w:val="center"/>
            </w:pPr>
            <w:r w:rsidRPr="00704B78">
              <w:t>91%</w:t>
            </w:r>
          </w:p>
        </w:tc>
      </w:tr>
    </w:tbl>
    <w:p w14:paraId="183C37E9" w14:textId="77777777" w:rsidR="000A1820" w:rsidRPr="00670BEC" w:rsidRDefault="000A1820" w:rsidP="006E2A77">
      <w:pPr>
        <w:keepNext/>
        <w:keepLines/>
        <w:rPr>
          <w:rFonts w:ascii="Arial Narrow" w:eastAsiaTheme="majorEastAsia" w:hAnsi="Arial Narrow" w:cstheme="majorBidi"/>
          <w:sz w:val="18"/>
          <w:szCs w:val="22"/>
        </w:rPr>
      </w:pPr>
      <w:r w:rsidRPr="00670BEC">
        <w:rPr>
          <w:rFonts w:ascii="Arial Narrow" w:eastAsiaTheme="majorEastAsia" w:hAnsi="Arial Narrow" w:cstheme="majorBidi"/>
          <w:sz w:val="18"/>
          <w:szCs w:val="22"/>
        </w:rPr>
        <w:t>Overall notes:</w:t>
      </w:r>
    </w:p>
    <w:p w14:paraId="59399333" w14:textId="77777777" w:rsidR="000A1820" w:rsidRPr="00670BEC" w:rsidRDefault="000A1820" w:rsidP="006E2A77">
      <w:pPr>
        <w:pStyle w:val="ListParagraph"/>
        <w:keepNext/>
        <w:keepLines/>
        <w:numPr>
          <w:ilvl w:val="0"/>
          <w:numId w:val="15"/>
        </w:numPr>
        <w:ind w:left="819" w:hanging="425"/>
        <w:rPr>
          <w:rFonts w:ascii="Arial Narrow" w:eastAsiaTheme="majorEastAsia" w:hAnsi="Arial Narrow" w:cstheme="majorBidi"/>
          <w:sz w:val="18"/>
          <w:szCs w:val="18"/>
        </w:rPr>
      </w:pPr>
      <w:r w:rsidRPr="00670BEC">
        <w:rPr>
          <w:rFonts w:ascii="Arial Narrow" w:eastAsiaTheme="majorEastAsia" w:hAnsi="Arial Narrow" w:cstheme="majorBidi"/>
          <w:sz w:val="18"/>
          <w:szCs w:val="18"/>
        </w:rPr>
        <w:t xml:space="preserve">Patients’ commencement year was the first year they received IVIg for any condition or indication in </w:t>
      </w:r>
      <w:proofErr w:type="spellStart"/>
      <w:r w:rsidRPr="00670BEC">
        <w:rPr>
          <w:rFonts w:ascii="Arial Narrow" w:eastAsiaTheme="majorEastAsia" w:hAnsi="Arial Narrow" w:cstheme="majorBidi"/>
          <w:sz w:val="18"/>
          <w:szCs w:val="18"/>
        </w:rPr>
        <w:t>BloodSTAR</w:t>
      </w:r>
      <w:proofErr w:type="spellEnd"/>
      <w:r w:rsidRPr="00670BEC">
        <w:rPr>
          <w:rFonts w:ascii="Arial Narrow" w:eastAsiaTheme="majorEastAsia" w:hAnsi="Arial Narrow" w:cstheme="majorBidi"/>
          <w:sz w:val="18"/>
          <w:szCs w:val="18"/>
        </w:rPr>
        <w:t xml:space="preserve">, therefore patients have not necessarily been on continuous treatment since commencement. </w:t>
      </w:r>
    </w:p>
    <w:p w14:paraId="10D101A8" w14:textId="77777777" w:rsidR="000A1820" w:rsidRPr="00133B35" w:rsidRDefault="000A1820" w:rsidP="006E2A77">
      <w:pPr>
        <w:pStyle w:val="ListParagraph"/>
        <w:keepNext/>
        <w:keepLines/>
        <w:numPr>
          <w:ilvl w:val="0"/>
          <w:numId w:val="15"/>
        </w:numPr>
        <w:ind w:left="819" w:hanging="425"/>
        <w:rPr>
          <w:rFonts w:ascii="Arial Narrow" w:eastAsiaTheme="majorEastAsia" w:hAnsi="Arial Narrow" w:cstheme="majorBidi"/>
          <w:sz w:val="18"/>
          <w:szCs w:val="18"/>
        </w:rPr>
      </w:pPr>
      <w:r w:rsidRPr="00133B35">
        <w:rPr>
          <w:rFonts w:ascii="Arial Narrow" w:eastAsiaTheme="majorEastAsia" w:hAnsi="Arial Narrow" w:cstheme="majorBidi"/>
          <w:sz w:val="18"/>
          <w:szCs w:val="18"/>
        </w:rPr>
        <w:t>Nearly half of the patients currently on gMG for maintenance commenced in 2020-21 or earlier.</w:t>
      </w:r>
    </w:p>
    <w:p w14:paraId="3D39380A" w14:textId="77777777" w:rsidR="000A1820" w:rsidRPr="00133B35" w:rsidRDefault="000A1820" w:rsidP="006E2A77">
      <w:pPr>
        <w:pStyle w:val="ListParagraph"/>
        <w:keepNext/>
        <w:keepLines/>
        <w:numPr>
          <w:ilvl w:val="0"/>
          <w:numId w:val="15"/>
        </w:numPr>
        <w:ind w:left="819" w:hanging="425"/>
        <w:rPr>
          <w:rFonts w:ascii="Arial Narrow" w:eastAsiaTheme="majorEastAsia" w:hAnsi="Arial Narrow" w:cstheme="majorBidi"/>
          <w:sz w:val="18"/>
          <w:szCs w:val="22"/>
        </w:rPr>
      </w:pPr>
      <w:r w:rsidRPr="00133B35">
        <w:rPr>
          <w:rFonts w:ascii="Arial Narrow" w:eastAsiaTheme="majorEastAsia" w:hAnsi="Arial Narrow" w:cstheme="majorBidi"/>
          <w:sz w:val="18"/>
          <w:szCs w:val="22"/>
        </w:rPr>
        <w:t>Total number of patients supplied IVIg for ‘maintenance’ therapy 2019-20: 1,167; 2020-21: 1,135; 2021-22: 1,239; 2022-23: 1,276; 2023-24: 1,324.</w:t>
      </w:r>
    </w:p>
    <w:p w14:paraId="57279F57" w14:textId="5B9172F0" w:rsidR="000A1820" w:rsidRPr="00670BEC" w:rsidRDefault="000A1820" w:rsidP="006E2A77">
      <w:pPr>
        <w:pStyle w:val="COMTabletext"/>
        <w:keepLines/>
        <w:jc w:val="both"/>
        <w:rPr>
          <w:sz w:val="18"/>
          <w:szCs w:val="22"/>
        </w:rPr>
      </w:pPr>
      <w:proofErr w:type="gramStart"/>
      <w:r w:rsidRPr="00670BEC">
        <w:rPr>
          <w:sz w:val="18"/>
          <w:szCs w:val="22"/>
          <w:vertAlign w:val="superscript"/>
        </w:rPr>
        <w:t>a</w:t>
      </w:r>
      <w:proofErr w:type="gramEnd"/>
      <w:r w:rsidRPr="00670BEC">
        <w:rPr>
          <w:sz w:val="18"/>
          <w:szCs w:val="22"/>
          <w:vertAlign w:val="superscript"/>
        </w:rPr>
        <w:t xml:space="preserve"> </w:t>
      </w:r>
      <w:r w:rsidRPr="00670BEC">
        <w:rPr>
          <w:sz w:val="18"/>
          <w:szCs w:val="22"/>
        </w:rPr>
        <w:t>Excluding patients who commenced in 2023-24, as this may represent a part year of treatment</w:t>
      </w:r>
      <w:r w:rsidR="00F4515F" w:rsidRPr="00670BEC">
        <w:rPr>
          <w:sz w:val="18"/>
          <w:szCs w:val="22"/>
        </w:rPr>
        <w:t xml:space="preserve"> and may include non-responders</w:t>
      </w:r>
      <w:r w:rsidRPr="00670BEC">
        <w:rPr>
          <w:sz w:val="18"/>
          <w:szCs w:val="22"/>
        </w:rPr>
        <w:t>.</w:t>
      </w:r>
    </w:p>
    <w:p w14:paraId="26189FED" w14:textId="09B3C6CD" w:rsidR="000A1820" w:rsidRPr="00670BEC" w:rsidRDefault="000A1820" w:rsidP="006E2A77">
      <w:pPr>
        <w:pStyle w:val="COMTabletext"/>
        <w:keepLines/>
        <w:jc w:val="both"/>
        <w:rPr>
          <w:sz w:val="18"/>
          <w:szCs w:val="22"/>
        </w:rPr>
      </w:pPr>
      <w:r w:rsidRPr="00670BEC">
        <w:rPr>
          <w:sz w:val="18"/>
          <w:szCs w:val="22"/>
          <w:vertAlign w:val="superscript"/>
        </w:rPr>
        <w:t>b</w:t>
      </w:r>
      <w:r w:rsidRPr="00670BEC">
        <w:rPr>
          <w:sz w:val="18"/>
          <w:szCs w:val="22"/>
        </w:rPr>
        <w:t xml:space="preserve"> Some of this data is from </w:t>
      </w:r>
      <w:hyperlink r:id="rId23" w:history="1">
        <w:r w:rsidRPr="00670BEC">
          <w:rPr>
            <w:rStyle w:val="Hyperlink"/>
            <w:sz w:val="18"/>
            <w:szCs w:val="22"/>
          </w:rPr>
          <w:t>https://www.blood.gov.au/report-issue-and-use-immunoglobulin</w:t>
        </w:r>
      </w:hyperlink>
      <w:r w:rsidRPr="00670BEC">
        <w:rPr>
          <w:sz w:val="18"/>
          <w:szCs w:val="22"/>
        </w:rPr>
        <w:t xml:space="preserve"> data from 2022-23.</w:t>
      </w:r>
    </w:p>
    <w:p w14:paraId="19BC2057" w14:textId="77777777" w:rsidR="000A1820" w:rsidRPr="00670BEC" w:rsidRDefault="000A1820" w:rsidP="006E2A77">
      <w:pPr>
        <w:pStyle w:val="COMTabletext"/>
        <w:keepLines/>
        <w:jc w:val="both"/>
        <w:rPr>
          <w:sz w:val="18"/>
          <w:szCs w:val="22"/>
        </w:rPr>
      </w:pPr>
      <w:r w:rsidRPr="00670BEC">
        <w:rPr>
          <w:sz w:val="18"/>
          <w:szCs w:val="22"/>
          <w:vertAlign w:val="superscript"/>
        </w:rPr>
        <w:t xml:space="preserve">c </w:t>
      </w:r>
      <w:r w:rsidRPr="00670BEC">
        <w:rPr>
          <w:sz w:val="18"/>
          <w:szCs w:val="22"/>
        </w:rPr>
        <w:t>Remainder is in patients with myasthenia gravis prior to surgery/thymectomy or in myasthenic crisis.</w:t>
      </w:r>
    </w:p>
    <w:p w14:paraId="613169E4" w14:textId="77777777" w:rsidR="000A1820" w:rsidRPr="00670BEC" w:rsidRDefault="000A1820" w:rsidP="006E2A77">
      <w:pPr>
        <w:pStyle w:val="COMTabletext"/>
        <w:keepLines/>
        <w:spacing w:after="240"/>
        <w:jc w:val="both"/>
        <w:rPr>
          <w:sz w:val="18"/>
          <w:szCs w:val="22"/>
        </w:rPr>
      </w:pPr>
      <w:r w:rsidRPr="00670BEC">
        <w:rPr>
          <w:sz w:val="18"/>
          <w:szCs w:val="22"/>
          <w:vertAlign w:val="superscript"/>
        </w:rPr>
        <w:t>d</w:t>
      </w:r>
      <w:r w:rsidRPr="00670BEC">
        <w:rPr>
          <w:sz w:val="18"/>
          <w:szCs w:val="22"/>
        </w:rPr>
        <w:t xml:space="preserve"> Result is similar (3.4%) using the most recent two years of data</w:t>
      </w:r>
    </w:p>
    <w:p w14:paraId="3FB84A30" w14:textId="0FA93548" w:rsidR="000A1820" w:rsidRPr="00704B78" w:rsidRDefault="000A1820" w:rsidP="006E2A77">
      <w:pPr>
        <w:pStyle w:val="COMexecsummnumbered"/>
        <w:rPr>
          <w:rFonts w:ascii="Calibri" w:hAnsi="Calibri" w:cs="Calibri"/>
        </w:rPr>
      </w:pPr>
      <w:r w:rsidRPr="00A72810">
        <w:rPr>
          <w:rFonts w:ascii="Calibri" w:hAnsi="Calibri" w:cs="Calibri"/>
        </w:rPr>
        <w:t>The ESC noted that these data showed that the average drug cost per patient in 2023-24 for IVIg was $</w:t>
      </w:r>
      <w:r w:rsidR="005F6EC2" w:rsidRPr="00D61CA6">
        <w:rPr>
          <w:rFonts w:ascii="Calibri" w:hAnsi="Calibri" w:cs="Calibri"/>
          <w:color w:val="000000"/>
          <w:spacing w:val="6"/>
          <w:w w:val="60"/>
          <w:shd w:val="solid" w:color="000000" w:fill="000000"/>
          <w:fitText w:val="470" w:id="-656716535"/>
          <w14:textFill>
            <w14:solidFill>
              <w14:srgbClr w14:val="000000">
                <w14:alpha w14:val="100000"/>
              </w14:srgbClr>
            </w14:solidFill>
          </w14:textFill>
        </w:rPr>
        <w:t>|||</w:t>
      </w:r>
      <w:r w:rsidR="00D61CA6" w:rsidRPr="00D61CA6">
        <w:rPr>
          <w:rFonts w:ascii="Calibri" w:hAnsi="Calibri" w:cs="Calibri"/>
          <w:color w:val="000000"/>
          <w:spacing w:val="6"/>
          <w:w w:val="60"/>
          <w:shd w:val="solid" w:color="000000" w:fill="000000"/>
          <w:fitText w:val="470" w:id="-656716535"/>
          <w14:textFill>
            <w14:solidFill>
              <w14:srgbClr w14:val="000000">
                <w14:alpha w14:val="100000"/>
              </w14:srgbClr>
            </w14:solidFill>
          </w14:textFill>
        </w:rPr>
        <w:t xml:space="preserve"> </w:t>
      </w:r>
      <w:r w:rsidR="005F6EC2" w:rsidRPr="00D61CA6">
        <w:rPr>
          <w:rFonts w:ascii="Calibri" w:hAnsi="Calibri" w:cs="Calibri"/>
          <w:color w:val="000000"/>
          <w:spacing w:val="6"/>
          <w:w w:val="60"/>
          <w:shd w:val="solid" w:color="000000" w:fill="000000"/>
          <w:fitText w:val="470" w:id="-656716535"/>
          <w14:textFill>
            <w14:solidFill>
              <w14:srgbClr w14:val="000000">
                <w14:alpha w14:val="100000"/>
              </w14:srgbClr>
            </w14:solidFill>
          </w14:textFill>
        </w:rPr>
        <w:t>||</w:t>
      </w:r>
      <w:r w:rsidR="005F6EC2" w:rsidRPr="00D61CA6">
        <w:rPr>
          <w:rFonts w:ascii="Calibri" w:hAnsi="Calibri" w:cs="Calibri"/>
          <w:color w:val="000000"/>
          <w:spacing w:val="4"/>
          <w:w w:val="60"/>
          <w:shd w:val="solid" w:color="000000" w:fill="000000"/>
          <w:fitText w:val="470" w:id="-656716535"/>
          <w14:textFill>
            <w14:solidFill>
              <w14:srgbClr w14:val="000000">
                <w14:alpha w14:val="100000"/>
              </w14:srgbClr>
            </w14:solidFill>
          </w14:textFill>
        </w:rPr>
        <w:t>|</w:t>
      </w:r>
      <w:r w:rsidRPr="00A72810">
        <w:rPr>
          <w:rFonts w:ascii="Calibri" w:hAnsi="Calibri" w:cs="Calibri"/>
        </w:rPr>
        <w:t xml:space="preserve"> based on an average cost per gram of $</w:t>
      </w:r>
      <w:r w:rsidR="005F6EC2" w:rsidRPr="00D61CA6">
        <w:rPr>
          <w:rFonts w:ascii="Calibri" w:hAnsi="Calibri" w:cs="Calibri"/>
          <w:color w:val="000000"/>
          <w:spacing w:val="6"/>
          <w:w w:val="60"/>
          <w:shd w:val="solid" w:color="000000" w:fill="000000"/>
          <w:fitText w:val="470" w:id="-656716534"/>
          <w14:textFill>
            <w14:solidFill>
              <w14:srgbClr w14:val="000000">
                <w14:alpha w14:val="100000"/>
              </w14:srgbClr>
            </w14:solidFill>
          </w14:textFill>
        </w:rPr>
        <w:t>|||</w:t>
      </w:r>
      <w:r w:rsidR="00D61CA6" w:rsidRPr="00D61CA6">
        <w:rPr>
          <w:rFonts w:ascii="Calibri" w:hAnsi="Calibri" w:cs="Calibri"/>
          <w:color w:val="000000"/>
          <w:spacing w:val="6"/>
          <w:w w:val="60"/>
          <w:shd w:val="solid" w:color="000000" w:fill="000000"/>
          <w:fitText w:val="470" w:id="-656716534"/>
          <w14:textFill>
            <w14:solidFill>
              <w14:srgbClr w14:val="000000">
                <w14:alpha w14:val="100000"/>
              </w14:srgbClr>
            </w14:solidFill>
          </w14:textFill>
        </w:rPr>
        <w:t xml:space="preserve"> </w:t>
      </w:r>
      <w:r w:rsidR="005F6EC2" w:rsidRPr="00D61CA6">
        <w:rPr>
          <w:rFonts w:ascii="Calibri" w:hAnsi="Calibri" w:cs="Calibri"/>
          <w:color w:val="000000"/>
          <w:spacing w:val="6"/>
          <w:w w:val="60"/>
          <w:shd w:val="solid" w:color="000000" w:fill="000000"/>
          <w:fitText w:val="470" w:id="-656716534"/>
          <w14:textFill>
            <w14:solidFill>
              <w14:srgbClr w14:val="000000">
                <w14:alpha w14:val="100000"/>
              </w14:srgbClr>
            </w14:solidFill>
          </w14:textFill>
        </w:rPr>
        <w:t>||</w:t>
      </w:r>
      <w:r w:rsidR="005F6EC2" w:rsidRPr="00D61CA6">
        <w:rPr>
          <w:rFonts w:ascii="Calibri" w:hAnsi="Calibri" w:cs="Calibri"/>
          <w:color w:val="000000"/>
          <w:spacing w:val="4"/>
          <w:w w:val="60"/>
          <w:shd w:val="solid" w:color="000000" w:fill="000000"/>
          <w:fitText w:val="470" w:id="-656716534"/>
          <w14:textFill>
            <w14:solidFill>
              <w14:srgbClr w14:val="000000">
                <w14:alpha w14:val="100000"/>
              </w14:srgbClr>
            </w14:solidFill>
          </w14:textFill>
        </w:rPr>
        <w:t>|</w:t>
      </w:r>
      <w:r w:rsidRPr="00A72810">
        <w:rPr>
          <w:rFonts w:ascii="Calibri" w:hAnsi="Calibri" w:cs="Calibri"/>
        </w:rPr>
        <w:t xml:space="preserve"> (which is an average across all IVIg use in Australia) and an average of 541.1 grams per patient per year (specific to the myasthenia gravis maintenance setting). </w:t>
      </w:r>
      <w:r w:rsidR="000B1EDA" w:rsidRPr="00A72810">
        <w:rPr>
          <w:rFonts w:ascii="Calibri" w:hAnsi="Calibri" w:cs="Calibri"/>
        </w:rPr>
        <w:t>This excluded patients who commenced in 2023-24, as this may represent a part year of</w:t>
      </w:r>
      <w:r w:rsidR="000B1EDA" w:rsidRPr="000B1EDA">
        <w:rPr>
          <w:rFonts w:ascii="Calibri" w:hAnsi="Calibri" w:cs="Calibri"/>
        </w:rPr>
        <w:t xml:space="preserve"> treatment and may include non-responders.</w:t>
      </w:r>
      <w:r w:rsidR="000B1EDA">
        <w:rPr>
          <w:rFonts w:ascii="Calibri" w:hAnsi="Calibri" w:cs="Calibri"/>
        </w:rPr>
        <w:t xml:space="preserve"> </w:t>
      </w:r>
      <w:r w:rsidRPr="00704B78">
        <w:rPr>
          <w:rFonts w:ascii="Calibri" w:hAnsi="Calibri" w:cs="Calibri"/>
        </w:rPr>
        <w:t xml:space="preserve">The IVIg doses used in clinical practice were lower than the maximum recommended dose in the Product Information. As such, the ESC noted that applying NBA utilisation data produced substantially lower costs per patient when compared to applying maximum recommended doses for IVIg. </w:t>
      </w:r>
    </w:p>
    <w:p w14:paraId="1C02DEAB" w14:textId="2873D056" w:rsidR="000A1820" w:rsidRPr="00704B78" w:rsidRDefault="000A1820" w:rsidP="006E2A77">
      <w:pPr>
        <w:pStyle w:val="COMexecsummnumbered"/>
        <w:rPr>
          <w:rFonts w:ascii="Calibri" w:hAnsi="Calibri" w:cs="Calibri"/>
        </w:rPr>
      </w:pPr>
      <w:r w:rsidRPr="00704B78">
        <w:rPr>
          <w:rFonts w:ascii="Calibri" w:hAnsi="Calibri" w:cs="Calibri"/>
        </w:rPr>
        <w:t xml:space="preserve">The ESC advised that, for the new therapies, the average amount of drug per patient would need to be determined and should appropriately account for any loading doses and, for the FcRn blockers, the likely decreasing treatment-free intervals over time seen in the extension trials. The ESC requested that sponsors provide information to </w:t>
      </w:r>
      <w:r w:rsidRPr="00704B78">
        <w:rPr>
          <w:rFonts w:ascii="Calibri" w:hAnsi="Calibri" w:cs="Calibri"/>
        </w:rPr>
        <w:lastRenderedPageBreak/>
        <w:t>inform the equi-effective doses and cost-</w:t>
      </w:r>
      <w:r w:rsidR="00CB3D21">
        <w:rPr>
          <w:rFonts w:ascii="Calibri" w:hAnsi="Calibri" w:cs="Calibri"/>
        </w:rPr>
        <w:t>comparison</w:t>
      </w:r>
      <w:r w:rsidR="00CB3D21" w:rsidRPr="00704B78">
        <w:rPr>
          <w:rFonts w:ascii="Calibri" w:hAnsi="Calibri" w:cs="Calibri"/>
        </w:rPr>
        <w:t xml:space="preserve"> </w:t>
      </w:r>
      <w:r w:rsidRPr="00704B78">
        <w:rPr>
          <w:rFonts w:ascii="Calibri" w:hAnsi="Calibri" w:cs="Calibri"/>
        </w:rPr>
        <w:t>approach in their pre-PBAC responses.</w:t>
      </w:r>
    </w:p>
    <w:p w14:paraId="352507AF" w14:textId="36908E85" w:rsidR="000A1820" w:rsidRPr="006C6609" w:rsidRDefault="009A5616" w:rsidP="006E2A77">
      <w:pPr>
        <w:pStyle w:val="COMexecsummnumbered"/>
        <w:numPr>
          <w:ilvl w:val="0"/>
          <w:numId w:val="0"/>
        </w:numPr>
        <w:outlineLvl w:val="1"/>
        <w:rPr>
          <w:rFonts w:ascii="Calibri" w:eastAsia="Times New Roman" w:hAnsi="Calibri" w:cs="Calibri"/>
          <w:b/>
          <w:i/>
          <w:iCs/>
          <w:snapToGrid w:val="0"/>
          <w:szCs w:val="24"/>
        </w:rPr>
      </w:pPr>
      <w:r w:rsidRPr="006C6609">
        <w:rPr>
          <w:rFonts w:ascii="Calibri" w:eastAsia="Times New Roman" w:hAnsi="Calibri" w:cs="Calibri"/>
          <w:b/>
          <w:i/>
          <w:iCs/>
          <w:snapToGrid w:val="0"/>
          <w:szCs w:val="24"/>
        </w:rPr>
        <w:t>ESC’s view on the e</w:t>
      </w:r>
      <w:r w:rsidR="000A1820" w:rsidRPr="006C6609">
        <w:rPr>
          <w:rFonts w:ascii="Calibri" w:eastAsia="Times New Roman" w:hAnsi="Calibri" w:cs="Calibri"/>
          <w:b/>
          <w:i/>
          <w:iCs/>
          <w:snapToGrid w:val="0"/>
          <w:szCs w:val="24"/>
        </w:rPr>
        <w:t>stimated PBS usage and financial implications</w:t>
      </w:r>
    </w:p>
    <w:p w14:paraId="68A49BF0" w14:textId="77777777" w:rsidR="000A1820" w:rsidRPr="00704B78" w:rsidRDefault="000A1820" w:rsidP="006E2A77">
      <w:pPr>
        <w:pStyle w:val="COMexecsummnumbered"/>
        <w:rPr>
          <w:rFonts w:ascii="Calibri" w:hAnsi="Calibri" w:cs="Calibri"/>
        </w:rPr>
      </w:pPr>
      <w:r w:rsidRPr="00704B78">
        <w:rPr>
          <w:rFonts w:ascii="Calibri" w:hAnsi="Calibri" w:cs="Calibri"/>
        </w:rPr>
        <w:t xml:space="preserve">The ESC considered that the use of IVIg as maintenance therapy, from the NBA data, may be an appropriate starting point to estimate the use of new gMG therapies. </w:t>
      </w:r>
    </w:p>
    <w:p w14:paraId="0DFF3E73" w14:textId="77777777" w:rsidR="000A1820" w:rsidRPr="00704B78" w:rsidRDefault="000A1820" w:rsidP="006E2A77">
      <w:pPr>
        <w:pStyle w:val="COMexecsummnumbered"/>
        <w:rPr>
          <w:rFonts w:ascii="Calibri" w:hAnsi="Calibri" w:cs="Calibri"/>
        </w:rPr>
      </w:pPr>
      <w:r w:rsidRPr="00704B78">
        <w:rPr>
          <w:rFonts w:ascii="Calibri" w:hAnsi="Calibri" w:cs="Calibri"/>
        </w:rPr>
        <w:t xml:space="preserve">The ESC considered that the following would also need to be considered: the proportion of patients who are AChR antibody positive; uptake rates; treatment response rates; and annual growth rates. Consideration would be required as to whether there would </w:t>
      </w:r>
      <w:proofErr w:type="gramStart"/>
      <w:r w:rsidRPr="00704B78">
        <w:rPr>
          <w:rFonts w:ascii="Calibri" w:hAnsi="Calibri" w:cs="Calibri"/>
        </w:rPr>
        <w:t>be:</w:t>
      </w:r>
      <w:proofErr w:type="gramEnd"/>
      <w:r w:rsidRPr="00704B78">
        <w:rPr>
          <w:rFonts w:ascii="Calibri" w:hAnsi="Calibri" w:cs="Calibri"/>
        </w:rPr>
        <w:t xml:space="preserve"> additional eligible patients (e.g. patients who are unable or unwilling to be treated with IVIg); and/or, on the other hand, patients who still require IVIg in this setting (e.g. patients who do not respond to the new therapies, patients at high risk of infections). Overall, the ESC considered that the total number of patients on the newer therapies is likely to be less than the number of patients who access IVIg.</w:t>
      </w:r>
    </w:p>
    <w:p w14:paraId="140B89B6" w14:textId="77777777" w:rsidR="000A1820" w:rsidRPr="00704B78" w:rsidRDefault="000A1820" w:rsidP="006E2A77">
      <w:pPr>
        <w:pStyle w:val="COMexecsummnumbered"/>
        <w:rPr>
          <w:rFonts w:ascii="Calibri" w:hAnsi="Calibri" w:cs="Calibri"/>
        </w:rPr>
      </w:pPr>
      <w:r w:rsidRPr="00704B78">
        <w:rPr>
          <w:rFonts w:ascii="Calibri" w:hAnsi="Calibri" w:cs="Calibri"/>
        </w:rPr>
        <w:t xml:space="preserve">Should the PBS restrictions for the new therapies be more restrictive than the existing IVIg criteria (e.g. in terms of functional impairment criteria and number of prior therapies), there may be patients who qualify for IVIg but not the newer therapies. </w:t>
      </w:r>
    </w:p>
    <w:p w14:paraId="19AECCFB" w14:textId="77777777" w:rsidR="000A1820" w:rsidRPr="00704B78" w:rsidRDefault="000A1820" w:rsidP="006E2A77">
      <w:pPr>
        <w:pStyle w:val="COMexecsummnumbered"/>
        <w:rPr>
          <w:rFonts w:ascii="Calibri" w:hAnsi="Calibri" w:cs="Calibri"/>
        </w:rPr>
      </w:pPr>
      <w:r w:rsidRPr="00704B78">
        <w:rPr>
          <w:rFonts w:ascii="Calibri" w:hAnsi="Calibri" w:cs="Calibri"/>
        </w:rPr>
        <w:t xml:space="preserve">The ESC noted that </w:t>
      </w:r>
      <w:proofErr w:type="gramStart"/>
      <w:r w:rsidRPr="00704B78">
        <w:rPr>
          <w:rFonts w:ascii="Calibri" w:hAnsi="Calibri" w:cs="Calibri"/>
        </w:rPr>
        <w:t>the vast majority of</w:t>
      </w:r>
      <w:proofErr w:type="gramEnd"/>
      <w:r w:rsidRPr="00704B78">
        <w:rPr>
          <w:rFonts w:ascii="Calibri" w:hAnsi="Calibri" w:cs="Calibri"/>
        </w:rPr>
        <w:t xml:space="preserve"> patients accessing IVIg (under the NBA maintenance listing) commenced two or more years ago (71%). This indicated that most patients are using IVIg for refractory disease, with those accessing it for bridging therapy likely to be a proportion of the 29% of patients who commenced within the past two years.</w:t>
      </w:r>
    </w:p>
    <w:p w14:paraId="61FA860F" w14:textId="7BECE597" w:rsidR="000A1820" w:rsidRPr="00704B78" w:rsidRDefault="000A1820" w:rsidP="006E2A77">
      <w:pPr>
        <w:pStyle w:val="COMexecsummnumbered"/>
        <w:rPr>
          <w:rFonts w:ascii="Calibri" w:hAnsi="Calibri" w:cs="Calibri"/>
        </w:rPr>
      </w:pPr>
      <w:r w:rsidRPr="00704B78">
        <w:rPr>
          <w:rFonts w:ascii="Calibri" w:hAnsi="Calibri" w:cs="Calibri"/>
        </w:rPr>
        <w:t xml:space="preserve">The ESC considered that any listing of the new therapies should be approximately cost-neutral to government across the </w:t>
      </w:r>
      <w:r w:rsidR="00621D63">
        <w:rPr>
          <w:rFonts w:ascii="Calibri" w:hAnsi="Calibri" w:cs="Calibri"/>
        </w:rPr>
        <w:t>NBA</w:t>
      </w:r>
      <w:r w:rsidRPr="00704B78">
        <w:rPr>
          <w:rFonts w:ascii="Calibri" w:hAnsi="Calibri" w:cs="Calibri"/>
        </w:rPr>
        <w:t xml:space="preserve"> and </w:t>
      </w:r>
      <w:r w:rsidR="00942EDA">
        <w:rPr>
          <w:rFonts w:ascii="Calibri" w:hAnsi="Calibri" w:cs="Calibri"/>
        </w:rPr>
        <w:t>PBS</w:t>
      </w:r>
      <w:r w:rsidRPr="00704B78">
        <w:rPr>
          <w:rFonts w:ascii="Calibri" w:hAnsi="Calibri" w:cs="Calibri"/>
        </w:rPr>
        <w:t>.</w:t>
      </w:r>
    </w:p>
    <w:p w14:paraId="62F5D539" w14:textId="46D1DE9B" w:rsidR="000A1820" w:rsidRPr="00704B78" w:rsidRDefault="000A1820" w:rsidP="006E2A77">
      <w:pPr>
        <w:pStyle w:val="COMexecsummnumbered"/>
        <w:rPr>
          <w:rFonts w:ascii="Calibri" w:hAnsi="Calibri" w:cs="Calibri"/>
        </w:rPr>
      </w:pPr>
      <w:r w:rsidRPr="00704B78">
        <w:rPr>
          <w:rFonts w:ascii="Calibri" w:hAnsi="Calibri" w:cs="Calibri"/>
        </w:rPr>
        <w:t xml:space="preserve">The ESC considered that a single RSA that includes </w:t>
      </w:r>
      <w:proofErr w:type="gramStart"/>
      <w:r w:rsidRPr="00704B78">
        <w:rPr>
          <w:rFonts w:ascii="Calibri" w:hAnsi="Calibri" w:cs="Calibri"/>
        </w:rPr>
        <w:t>all of</w:t>
      </w:r>
      <w:proofErr w:type="gramEnd"/>
      <w:r w:rsidRPr="00704B78">
        <w:rPr>
          <w:rFonts w:ascii="Calibri" w:hAnsi="Calibri" w:cs="Calibri"/>
        </w:rPr>
        <w:t xml:space="preserve">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054D07A2" w14:textId="77777777" w:rsidR="003C5FE3" w:rsidRPr="004344F6" w:rsidRDefault="003C5FE3" w:rsidP="006E2A77">
      <w:pPr>
        <w:pStyle w:val="COMexecsummnumbered"/>
        <w:numPr>
          <w:ilvl w:val="0"/>
          <w:numId w:val="0"/>
        </w:numPr>
        <w:ind w:left="720"/>
        <w:rPr>
          <w:i/>
          <w:iCs/>
          <w:snapToGrid w:val="0"/>
          <w:szCs w:val="24"/>
          <w:lang w:val="en-GB" w:eastAsia="en-US"/>
        </w:rPr>
      </w:pPr>
      <w:r w:rsidRPr="004344F6">
        <w:rPr>
          <w:i/>
          <w:iCs/>
          <w:snapToGrid w:val="0"/>
          <w:szCs w:val="24"/>
          <w:lang w:val="en-GB" w:eastAsia="en-US"/>
        </w:rPr>
        <w:t xml:space="preserve">For more detail on PBAC’s view, see section </w:t>
      </w:r>
      <w:r>
        <w:rPr>
          <w:i/>
          <w:iCs/>
          <w:snapToGrid w:val="0"/>
          <w:szCs w:val="24"/>
          <w:lang w:val="en-GB" w:eastAsia="en-US"/>
        </w:rPr>
        <w:t>8</w:t>
      </w:r>
      <w:r w:rsidRPr="004344F6">
        <w:rPr>
          <w:i/>
          <w:iCs/>
          <w:snapToGrid w:val="0"/>
          <w:szCs w:val="24"/>
          <w:lang w:val="en-GB" w:eastAsia="en-US"/>
        </w:rPr>
        <w:t xml:space="preserve"> PBAC outcome.</w:t>
      </w:r>
    </w:p>
    <w:p w14:paraId="4215D6C9" w14:textId="74876077" w:rsidR="0044089B" w:rsidRDefault="0044089B" w:rsidP="006E2A77">
      <w:pPr>
        <w:pStyle w:val="COMH1-numbered"/>
        <w:numPr>
          <w:ilvl w:val="0"/>
          <w:numId w:val="1"/>
        </w:numPr>
      </w:pPr>
      <w:r w:rsidRPr="0044089B">
        <w:t>PBAC Outcome</w:t>
      </w:r>
    </w:p>
    <w:p w14:paraId="052CF118" w14:textId="133BF41A" w:rsidR="00926600" w:rsidRDefault="0044089B" w:rsidP="006E2A77">
      <w:pPr>
        <w:pStyle w:val="COMexecsummnumbered"/>
      </w:pPr>
      <w:bookmarkStart w:id="86" w:name="_Hlk194072782"/>
      <w:bookmarkStart w:id="87" w:name="_Hlk193704502"/>
      <w:r>
        <w:t xml:space="preserve">The PBAC recommended the listing </w:t>
      </w:r>
      <w:r w:rsidRPr="00361627">
        <w:t>of</w:t>
      </w:r>
      <w:r w:rsidR="00926600" w:rsidRPr="00361627">
        <w:t xml:space="preserve"> ravulizumab</w:t>
      </w:r>
      <w:r w:rsidR="00495AA8" w:rsidRPr="00361627">
        <w:t xml:space="preserve"> for the treatment of </w:t>
      </w:r>
      <w:r w:rsidR="00700D94" w:rsidRPr="00361627">
        <w:t>generalised myasthenia gravis (</w:t>
      </w:r>
      <w:r w:rsidR="00495AA8" w:rsidRPr="00361627">
        <w:t>gMG</w:t>
      </w:r>
      <w:r w:rsidR="00700D94" w:rsidRPr="00361627">
        <w:t>)</w:t>
      </w:r>
      <w:r w:rsidRPr="00361627">
        <w:t xml:space="preserve">, on the basis that it should be available only under special arrangements under </w:t>
      </w:r>
      <w:r w:rsidR="00C12FEB" w:rsidRPr="00361627">
        <w:t xml:space="preserve">the </w:t>
      </w:r>
      <w:r w:rsidRPr="00361627">
        <w:t>Section 100</w:t>
      </w:r>
      <w:r w:rsidR="00C12FEB" w:rsidRPr="00361627">
        <w:t xml:space="preserve"> Highly Specialised Drugs Program</w:t>
      </w:r>
      <w:r w:rsidRPr="00361627">
        <w:t xml:space="preserve">. </w:t>
      </w:r>
      <w:r w:rsidR="00026F27" w:rsidRPr="00361627">
        <w:t xml:space="preserve">The PBAC recognised the high clinical need for new therapies to treat this condition, which has substantial impacts on patient quality of life. The recommendation was made </w:t>
      </w:r>
      <w:bookmarkStart w:id="88" w:name="_Hlk192839185"/>
      <w:proofErr w:type="gramStart"/>
      <w:r w:rsidR="00AB4107" w:rsidRPr="00361627">
        <w:t>on the basis of</w:t>
      </w:r>
      <w:proofErr w:type="gramEnd"/>
      <w:r w:rsidR="00AB4107" w:rsidRPr="00361627">
        <w:t xml:space="preserve"> a </w:t>
      </w:r>
      <w:r w:rsidR="00926600" w:rsidRPr="00361627">
        <w:t>cost-comparison versus intravenous immunoglobulin (IVIg), supported by a cost-per-responder analysis</w:t>
      </w:r>
      <w:r w:rsidR="001D030B" w:rsidRPr="00361627">
        <w:t xml:space="preserve"> versus </w:t>
      </w:r>
      <w:r w:rsidR="00443684" w:rsidRPr="00361627">
        <w:t>placebo</w:t>
      </w:r>
      <w:r w:rsidR="00926600" w:rsidRPr="00361627">
        <w:t xml:space="preserve">. </w:t>
      </w:r>
      <w:r w:rsidR="007E0CDA" w:rsidRPr="00361627">
        <w:t>The PBAC acknowledged the limitations of the available evidence for chronic IVIg</w:t>
      </w:r>
      <w:r w:rsidR="001F6974" w:rsidRPr="00361627">
        <w:t>,</w:t>
      </w:r>
      <w:r w:rsidR="007E0CDA" w:rsidRPr="00361627">
        <w:t xml:space="preserve"> however the PBAC considered that there was no evidence to suggest superior efficacy or safety of ravulizumab versus chronic </w:t>
      </w:r>
      <w:r w:rsidR="007E0CDA" w:rsidRPr="00361627">
        <w:lastRenderedPageBreak/>
        <w:t>IVIg or PLEX. Further, t</w:t>
      </w:r>
      <w:r w:rsidR="00B63B3D" w:rsidRPr="00361627">
        <w:t xml:space="preserve">he PBAC considered that there was no reliable evidence </w:t>
      </w:r>
      <w:r w:rsidR="007E0CDA" w:rsidRPr="00361627">
        <w:t xml:space="preserve">to suggest </w:t>
      </w:r>
      <w:r w:rsidR="00B63B3D" w:rsidRPr="00361627">
        <w:t xml:space="preserve">that ravulizumab was superior in terms of efficacy or safety compared with the other three therapies considered at </w:t>
      </w:r>
      <w:r w:rsidR="007E0CDA" w:rsidRPr="00361627">
        <w:t xml:space="preserve">the </w:t>
      </w:r>
      <w:r w:rsidR="00B63B3D" w:rsidRPr="00361627">
        <w:t xml:space="preserve">March 2025 meeting for the treatment of gMG (zilucoplan, efgartigimod and rozanolixizumab). </w:t>
      </w:r>
      <w:r w:rsidR="007E0CDA" w:rsidRPr="00361627">
        <w:t>Overall</w:t>
      </w:r>
      <w:r w:rsidR="007E0CDA">
        <w:t>, t</w:t>
      </w:r>
      <w:r w:rsidR="00B63B3D" w:rsidRPr="00B63B3D">
        <w:t>he PBAC advised that the four treatments should be considered as non-inferior with each other and with IVIg.</w:t>
      </w:r>
    </w:p>
    <w:bookmarkEnd w:id="86"/>
    <w:p w14:paraId="153F2BAE" w14:textId="75F3789C" w:rsidR="00CA36C2" w:rsidRDefault="00CA36C2" w:rsidP="006E2A77">
      <w:pPr>
        <w:pStyle w:val="COMexecsummnumbered"/>
      </w:pPr>
      <w:r w:rsidRPr="00926600">
        <w:t xml:space="preserve">The </w:t>
      </w:r>
      <w:r>
        <w:t xml:space="preserve">recommendation was made </w:t>
      </w:r>
      <w:proofErr w:type="gramStart"/>
      <w:r>
        <w:t>on the basis of</w:t>
      </w:r>
      <w:proofErr w:type="gramEnd"/>
      <w:r>
        <w:t xml:space="preserve"> the totality of the evidence presented across all four </w:t>
      </w:r>
      <w:r w:rsidR="005A7809">
        <w:t xml:space="preserve">of the </w:t>
      </w:r>
      <w:r>
        <w:t>submissions for new gMG</w:t>
      </w:r>
      <w:r w:rsidR="005A7809" w:rsidRPr="005A7809">
        <w:t xml:space="preserve"> </w:t>
      </w:r>
      <w:r w:rsidR="005A7809">
        <w:t>therapies</w:t>
      </w:r>
      <w:r>
        <w:t>.</w:t>
      </w:r>
    </w:p>
    <w:bookmarkEnd w:id="88"/>
    <w:p w14:paraId="78027F81" w14:textId="7A43672C" w:rsidR="00893AC9" w:rsidRPr="00893AC9" w:rsidRDefault="00CF67FB" w:rsidP="006E2A77">
      <w:pPr>
        <w:pStyle w:val="COMexecsummnumbered"/>
      </w:pPr>
      <w:r w:rsidRPr="00CF67FB">
        <w:t xml:space="preserve">The PBAC noted the strong consumer and clinician support for </w:t>
      </w:r>
      <w:r>
        <w:t>the new gMG therapies r</w:t>
      </w:r>
      <w:r w:rsidRPr="00CF67FB">
        <w:t xml:space="preserve">eceived via the Consumer Comments facility on the PBS website. The PBAC appreciated the input provided by patients, carers and clinicians and found the comments very informative for understanding the high and unmet clinical need for new effective treatments and the potential use of </w:t>
      </w:r>
      <w:r w:rsidR="00893AC9">
        <w:t>the new therapies</w:t>
      </w:r>
      <w:r w:rsidRPr="00CF67FB">
        <w:t xml:space="preserve"> in </w:t>
      </w:r>
      <w:r w:rsidR="00893AC9">
        <w:t>practice</w:t>
      </w:r>
      <w:r w:rsidRPr="00CF67FB">
        <w:t xml:space="preserve">. </w:t>
      </w:r>
      <w:r w:rsidR="00893AC9">
        <w:t xml:space="preserve">The comments outlined the </w:t>
      </w:r>
      <w:r w:rsidR="00893AC9" w:rsidRPr="00893AC9">
        <w:t>significant impact that gMG can have on quality of lif</w:t>
      </w:r>
      <w:r w:rsidR="00893AC9">
        <w:t>e, including the impact on patients</w:t>
      </w:r>
      <w:r w:rsidR="00F2087F">
        <w:t>’</w:t>
      </w:r>
      <w:r w:rsidR="00893AC9">
        <w:t xml:space="preserve"> families</w:t>
      </w:r>
      <w:r w:rsidR="00893AC9" w:rsidRPr="00893AC9">
        <w:t xml:space="preserve">. The comments also described the limitations of currently available treatment options including adverse events and lengthy administration times. </w:t>
      </w:r>
      <w:r w:rsidR="001616FA">
        <w:t xml:space="preserve">Consumers </w:t>
      </w:r>
      <w:r w:rsidR="001616FA" w:rsidRPr="001616FA">
        <w:t xml:space="preserve">outlined that the new therapies represent a substantial improvement in administration time compared with IVIg, </w:t>
      </w:r>
      <w:proofErr w:type="gramStart"/>
      <w:r w:rsidR="001616FA" w:rsidRPr="001616FA">
        <w:t>and also</w:t>
      </w:r>
      <w:proofErr w:type="gramEnd"/>
      <w:r w:rsidR="001616FA" w:rsidRPr="001616FA">
        <w:t xml:space="preserve"> shorter travel distances for patients outside metropolitan areas. </w:t>
      </w:r>
      <w:r w:rsidR="00893AC9" w:rsidRPr="00893AC9">
        <w:t>The comments described a hope that the new therapies will reduce gMG symptoms</w:t>
      </w:r>
      <w:r w:rsidR="00044789">
        <w:t xml:space="preserve"> quickly</w:t>
      </w:r>
      <w:r w:rsidR="00893AC9" w:rsidRPr="00893AC9">
        <w:t>, reduce the need for other medications and associated side-effects, and reduce hospital visits, contributing to an overall improved quality of life.</w:t>
      </w:r>
      <w:r w:rsidR="00893AC9">
        <w:t xml:space="preserve"> The PBAC noted the strong support for access </w:t>
      </w:r>
      <w:r w:rsidR="00044789">
        <w:t>to</w:t>
      </w:r>
      <w:r w:rsidR="00893AC9">
        <w:t xml:space="preserve"> both complement inhibitors </w:t>
      </w:r>
      <w:r w:rsidR="00621E0C">
        <w:t>(ravulizumab and zilucoplan)</w:t>
      </w:r>
      <w:r w:rsidR="00893AC9">
        <w:t xml:space="preserve"> and FcR</w:t>
      </w:r>
      <w:r w:rsidR="005B0AFF">
        <w:t>n</w:t>
      </w:r>
      <w:r w:rsidR="00893AC9">
        <w:t xml:space="preserve"> blockers </w:t>
      </w:r>
      <w:r w:rsidR="00621E0C">
        <w:t>(efgartigimod and rozanolixizumab</w:t>
      </w:r>
      <w:r w:rsidR="00055F62">
        <w:t>)</w:t>
      </w:r>
      <w:r w:rsidR="00621E0C">
        <w:t xml:space="preserve"> </w:t>
      </w:r>
      <w:r w:rsidR="00893AC9">
        <w:t>across both the bridging and refractory settings</w:t>
      </w:r>
      <w:r w:rsidR="00044789">
        <w:t>.</w:t>
      </w:r>
      <w:r w:rsidR="00893AC9">
        <w:t xml:space="preserve"> </w:t>
      </w:r>
    </w:p>
    <w:p w14:paraId="5F8134D3" w14:textId="1E3AFCB1" w:rsidR="007C6D46" w:rsidRDefault="00026F27" w:rsidP="006E2A77">
      <w:pPr>
        <w:pStyle w:val="COMexecsummnumbered"/>
      </w:pPr>
      <w:r w:rsidRPr="00926600">
        <w:t>The PBAC advised that</w:t>
      </w:r>
      <w:r>
        <w:t xml:space="preserve"> the restrictions were </w:t>
      </w:r>
      <w:proofErr w:type="gramStart"/>
      <w:r>
        <w:t>complex</w:t>
      </w:r>
      <w:proofErr w:type="gramEnd"/>
      <w:r>
        <w:t xml:space="preserve"> and</w:t>
      </w:r>
      <w:r w:rsidRPr="00926600">
        <w:t xml:space="preserve"> further work would be required to finalise the restriction</w:t>
      </w:r>
      <w:r>
        <w:t>s including further consultation with expert neurologists</w:t>
      </w:r>
      <w:r w:rsidR="00443684">
        <w:t xml:space="preserve"> and immunologists</w:t>
      </w:r>
      <w:r w:rsidR="004A3F07" w:rsidRPr="004A3F07">
        <w:t xml:space="preserve"> before listing can proceed</w:t>
      </w:r>
      <w:r w:rsidRPr="00926600">
        <w:t xml:space="preserve">. </w:t>
      </w:r>
    </w:p>
    <w:p w14:paraId="0045C919" w14:textId="70CBCDB6" w:rsidR="005B25A0" w:rsidRPr="00361627" w:rsidRDefault="009A54BB" w:rsidP="006E2A77">
      <w:pPr>
        <w:pStyle w:val="COMexecsummnumbered"/>
      </w:pPr>
      <w:r w:rsidRPr="00361627">
        <w:t xml:space="preserve">The PBAC acknowledged the </w:t>
      </w:r>
      <w:r w:rsidR="004158DE" w:rsidRPr="00361627">
        <w:t xml:space="preserve">key trials of the </w:t>
      </w:r>
      <w:r w:rsidRPr="00361627">
        <w:t xml:space="preserve">new therapies </w:t>
      </w:r>
      <w:r w:rsidR="004158DE" w:rsidRPr="00361627">
        <w:t xml:space="preserve">were not designed to specifically assess efficacy </w:t>
      </w:r>
      <w:r w:rsidRPr="00361627">
        <w:t xml:space="preserve">in the bridging setting, but considered </w:t>
      </w:r>
      <w:r w:rsidR="005B25A0" w:rsidRPr="00361627">
        <w:t>the new gMG therapies (both complement inhibitors and FcR</w:t>
      </w:r>
      <w:r w:rsidR="008E58C5" w:rsidRPr="00361627">
        <w:t>n</w:t>
      </w:r>
      <w:r w:rsidR="005B25A0" w:rsidRPr="00361627">
        <w:t xml:space="preserve"> blockers) should be listed in both the bridging and refractory settings given the high unmet need, clinical rationale and strong clinician support (both through the stakeholder meeting and the consumer comments) for broad listings that allow clinician discretion in the choice as to which agent to use in a particular patient.</w:t>
      </w:r>
      <w:r w:rsidR="00F70C46" w:rsidRPr="00361627">
        <w:t xml:space="preserve"> </w:t>
      </w:r>
    </w:p>
    <w:p w14:paraId="6A8D6818" w14:textId="5489844F" w:rsidR="00CC390C" w:rsidRDefault="004158DE" w:rsidP="006E2A77">
      <w:pPr>
        <w:pStyle w:val="COMexecsummnumbered"/>
      </w:pPr>
      <w:bookmarkStart w:id="89" w:name="_Ref194350211"/>
      <w:bookmarkStart w:id="90" w:name="_Hlk194585269"/>
      <w:r w:rsidRPr="00361627">
        <w:t>As such, t</w:t>
      </w:r>
      <w:r w:rsidR="00CC390C" w:rsidRPr="00361627">
        <w:t>he PBAC considered the four</w:t>
      </w:r>
      <w:r w:rsidR="00CC390C">
        <w:t xml:space="preserve"> new therapies</w:t>
      </w:r>
      <w:r w:rsidR="00671A85">
        <w:t xml:space="preserve"> for gMG</w:t>
      </w:r>
      <w:r w:rsidR="00CC390C">
        <w:t xml:space="preserve"> should be </w:t>
      </w:r>
      <w:r w:rsidR="00CD1FCF">
        <w:t>listed</w:t>
      </w:r>
      <w:r w:rsidR="00CC390C">
        <w:t xml:space="preserve"> in t</w:t>
      </w:r>
      <w:r w:rsidR="002269BF">
        <w:t>hree</w:t>
      </w:r>
      <w:r w:rsidR="00CC390C">
        <w:t xml:space="preserve"> settings, consistent with the advice </w:t>
      </w:r>
      <w:r w:rsidR="00026F27">
        <w:t>provided by</w:t>
      </w:r>
      <w:r w:rsidR="00CC390C">
        <w:t xml:space="preserve"> clinicians at the stakeholder meeting</w:t>
      </w:r>
      <w:r w:rsidR="003B1252">
        <w:t xml:space="preserve"> and in the consumer comments</w:t>
      </w:r>
      <w:r w:rsidR="00CC390C">
        <w:t>:</w:t>
      </w:r>
      <w:bookmarkEnd w:id="89"/>
    </w:p>
    <w:p w14:paraId="0760C2C5" w14:textId="615F239E" w:rsidR="002269BF" w:rsidRDefault="00DB6B38" w:rsidP="006E2A77">
      <w:pPr>
        <w:pStyle w:val="COMexecsummnumbered"/>
        <w:numPr>
          <w:ilvl w:val="0"/>
          <w:numId w:val="0"/>
        </w:numPr>
        <w:ind w:left="1440"/>
      </w:pPr>
      <w:r>
        <w:t>I</w:t>
      </w:r>
      <w:r w:rsidR="002269BF" w:rsidRPr="002269BF">
        <w:t xml:space="preserve">mmediate access for patients whose condition is acute </w:t>
      </w:r>
      <w:r w:rsidR="00195927">
        <w:t>and</w:t>
      </w:r>
      <w:r w:rsidR="002269BF" w:rsidRPr="002269BF">
        <w:t xml:space="preserve"> severe, and who are at high risk of rapid deterioration</w:t>
      </w:r>
      <w:r w:rsidR="00EB69F5">
        <w:t xml:space="preserve">. The PBAC advised that the restriction in this setting should require patients to be treated with concomitant corticosteroid </w:t>
      </w:r>
      <w:r w:rsidR="00FE737E">
        <w:t xml:space="preserve">and NS-IST </w:t>
      </w:r>
      <w:r w:rsidR="00EB69F5">
        <w:t xml:space="preserve">therapy </w:t>
      </w:r>
      <w:r w:rsidR="00FE737E">
        <w:t>with</w:t>
      </w:r>
      <w:r w:rsidR="00A016FB">
        <w:t xml:space="preserve"> the flexibility that</w:t>
      </w:r>
      <w:r w:rsidR="00EB69F5" w:rsidDel="00A016FB">
        <w:t xml:space="preserve"> </w:t>
      </w:r>
      <w:r w:rsidR="00EB69F5">
        <w:t xml:space="preserve">NS-IST </w:t>
      </w:r>
      <w:r w:rsidR="00A016FB">
        <w:t xml:space="preserve">can be </w:t>
      </w:r>
      <w:r w:rsidR="00A016FB">
        <w:lastRenderedPageBreak/>
        <w:t xml:space="preserve">commenced </w:t>
      </w:r>
      <w:r w:rsidR="00EB69F5">
        <w:t>within two weeks of initiation of the new therapy.</w:t>
      </w:r>
      <w:r w:rsidR="00D36B44">
        <w:t xml:space="preserve"> A maximum time </w:t>
      </w:r>
      <w:r w:rsidR="00162CD0">
        <w:t xml:space="preserve">on treatment </w:t>
      </w:r>
      <w:r w:rsidR="00D36B44">
        <w:t xml:space="preserve">of 3-months would apply </w:t>
      </w:r>
      <w:r w:rsidR="00162CD0">
        <w:t>for</w:t>
      </w:r>
      <w:r w:rsidR="00D36B44">
        <w:t xml:space="preserve"> this setting</w:t>
      </w:r>
      <w:r w:rsidR="00D36B44" w:rsidRPr="00EE7A06">
        <w:t>.</w:t>
      </w:r>
      <w:r w:rsidR="002269BF" w:rsidRPr="002269BF">
        <w:t xml:space="preserve"> </w:t>
      </w:r>
    </w:p>
    <w:p w14:paraId="4DDF5741" w14:textId="6C9FA764" w:rsidR="00CC390C" w:rsidRPr="00CC390C" w:rsidRDefault="00CC390C" w:rsidP="006E2A77">
      <w:pPr>
        <w:pStyle w:val="COMexecsummnumbered"/>
        <w:numPr>
          <w:ilvl w:val="0"/>
          <w:numId w:val="18"/>
        </w:numPr>
      </w:pPr>
      <w:r w:rsidRPr="00CC390C">
        <w:t xml:space="preserve">Bridging: early in the treatment algorithm, in combination with standard therapy to provide </w:t>
      </w:r>
      <w:r w:rsidR="00443684">
        <w:t xml:space="preserve">bridging immunosuppression </w:t>
      </w:r>
      <w:r w:rsidRPr="00CC390C">
        <w:t xml:space="preserve">whilst </w:t>
      </w:r>
      <w:r w:rsidR="00443684">
        <w:t>immunosuppression with NS-IST/thymectomy takes effect</w:t>
      </w:r>
      <w:r w:rsidR="0014114A">
        <w:t>.</w:t>
      </w:r>
      <w:r w:rsidR="00E44540">
        <w:t xml:space="preserve"> A maximum time on treatment of 6-months would apply for this setting.</w:t>
      </w:r>
    </w:p>
    <w:p w14:paraId="0C234018" w14:textId="3100C123" w:rsidR="00CC390C" w:rsidRDefault="00CC390C" w:rsidP="006E2A77">
      <w:pPr>
        <w:pStyle w:val="COMexecsummnumbered"/>
        <w:numPr>
          <w:ilvl w:val="0"/>
          <w:numId w:val="17"/>
        </w:numPr>
      </w:pPr>
      <w:r w:rsidRPr="00CC390C">
        <w:t xml:space="preserve">Refractory: later in </w:t>
      </w:r>
      <w:r w:rsidR="002269BF">
        <w:t xml:space="preserve">the </w:t>
      </w:r>
      <w:r w:rsidRPr="00CC390C">
        <w:t>disease course where other treatments have failed</w:t>
      </w:r>
      <w:r w:rsidR="0014114A">
        <w:t>.</w:t>
      </w:r>
    </w:p>
    <w:p w14:paraId="5136488F" w14:textId="3F56BEBB" w:rsidR="00CC390C" w:rsidRDefault="00CC390C" w:rsidP="006E2A77">
      <w:pPr>
        <w:pStyle w:val="COMexecsummnumbered"/>
      </w:pPr>
      <w:r>
        <w:t xml:space="preserve">The PBAC considered </w:t>
      </w:r>
      <w:r w:rsidR="00026F27">
        <w:t xml:space="preserve">the </w:t>
      </w:r>
      <w:r w:rsidR="008B0E1D">
        <w:t>restriction in the bridging setting should</w:t>
      </w:r>
      <w:r w:rsidR="00CD1FCF">
        <w:t xml:space="preserve"> provide access for patients whose condition is m</w:t>
      </w:r>
      <w:r w:rsidR="00CD1FCF" w:rsidRPr="00CD1FCF">
        <w:t>oderate-</w:t>
      </w:r>
      <w:r w:rsidR="00CD1FCF">
        <w:t>to-</w:t>
      </w:r>
      <w:r w:rsidR="00CD1FCF" w:rsidRPr="00CD1FCF">
        <w:t>severe</w:t>
      </w:r>
      <w:r w:rsidR="00CD1FCF">
        <w:t xml:space="preserve">, </w:t>
      </w:r>
      <w:r w:rsidR="00D11D29">
        <w:t xml:space="preserve">and </w:t>
      </w:r>
      <w:r w:rsidR="00CD1FCF">
        <w:t xml:space="preserve">who </w:t>
      </w:r>
      <w:r w:rsidR="00D11D29">
        <w:t>have</w:t>
      </w:r>
      <w:r w:rsidR="00CD1FCF" w:rsidRPr="00CD1FCF">
        <w:t xml:space="preserve"> trialled </w:t>
      </w:r>
      <w:r w:rsidR="00D11D29">
        <w:t>at least three</w:t>
      </w:r>
      <w:r w:rsidR="00CD1FCF" w:rsidRPr="00CD1FCF">
        <w:t xml:space="preserve"> months of therap</w:t>
      </w:r>
      <w:r w:rsidR="00800E74">
        <w:t>y</w:t>
      </w:r>
      <w:r w:rsidR="00D11D29">
        <w:t xml:space="preserve"> with </w:t>
      </w:r>
      <w:r w:rsidR="00CD1FCF" w:rsidRPr="00CD1FCF">
        <w:t>remission</w:t>
      </w:r>
      <w:r w:rsidR="00E5233C">
        <w:t>-inducing</w:t>
      </w:r>
      <w:r w:rsidR="00CD1FCF" w:rsidRPr="00CD1FCF">
        <w:t xml:space="preserve"> intent</w:t>
      </w:r>
      <w:r w:rsidR="00D11D29">
        <w:t xml:space="preserve">. The PBAC advised this should be defined as </w:t>
      </w:r>
      <w:r w:rsidR="008F4976">
        <w:t xml:space="preserve">two of the following three: </w:t>
      </w:r>
      <w:r w:rsidR="00CD1FCF" w:rsidRPr="00CD1FCF">
        <w:t>NS-IST</w:t>
      </w:r>
      <w:r w:rsidR="008F4976">
        <w:t>;</w:t>
      </w:r>
      <w:r w:rsidR="00F27C65">
        <w:t xml:space="preserve"> </w:t>
      </w:r>
      <w:r w:rsidR="00AD4292">
        <w:t xml:space="preserve">a </w:t>
      </w:r>
      <w:r w:rsidR="00CD1FCF" w:rsidRPr="00CD1FCF">
        <w:t>corticosteroid</w:t>
      </w:r>
      <w:r w:rsidR="008F4976">
        <w:t xml:space="preserve">; thymectomy. The NS-IST and/or </w:t>
      </w:r>
      <w:r w:rsidR="008F4976" w:rsidRPr="00CD1FCF">
        <w:t>corticosteroid</w:t>
      </w:r>
      <w:r w:rsidR="008F4976">
        <w:t xml:space="preserve"> should have been</w:t>
      </w:r>
      <w:r w:rsidR="00F27C65">
        <w:t xml:space="preserve"> </w:t>
      </w:r>
      <w:r w:rsidR="00F64086">
        <w:t xml:space="preserve">administered </w:t>
      </w:r>
      <w:r w:rsidR="00D11D29">
        <w:t>a</w:t>
      </w:r>
      <w:r w:rsidR="00CD1FCF" w:rsidRPr="00CD1FCF">
        <w:t>t optimised dosing (</w:t>
      </w:r>
      <w:r w:rsidR="00CE6E55">
        <w:t>definition of optimised</w:t>
      </w:r>
      <w:r w:rsidR="00721D86">
        <w:t xml:space="preserve"> </w:t>
      </w:r>
      <w:r w:rsidR="00CD1FCF" w:rsidRPr="00CD1FCF">
        <w:t>doses not specified</w:t>
      </w:r>
      <w:r w:rsidR="00672D71">
        <w:t xml:space="preserve"> and will be up to the treating physician to determine</w:t>
      </w:r>
      <w:r w:rsidR="00CD1FCF" w:rsidRPr="00CD1FCF">
        <w:t>)</w:t>
      </w:r>
      <w:r w:rsidR="00D11D29">
        <w:t xml:space="preserve">. </w:t>
      </w:r>
      <w:r w:rsidR="00F64086">
        <w:t>The PBAC advised</w:t>
      </w:r>
      <w:r w:rsidR="000343CB">
        <w:t xml:space="preserve"> the initiation </w:t>
      </w:r>
      <w:r w:rsidR="0014114A">
        <w:t>criteria</w:t>
      </w:r>
      <w:r w:rsidR="000343CB">
        <w:t xml:space="preserve"> in this setting should require patients to meet </w:t>
      </w:r>
      <w:r w:rsidR="0014114A">
        <w:t xml:space="preserve">a </w:t>
      </w:r>
      <w:r w:rsidR="000343CB">
        <w:t xml:space="preserve">disease severity threshold </w:t>
      </w:r>
      <w:proofErr w:type="gramStart"/>
      <w:r w:rsidR="000343CB">
        <w:t>similar to</w:t>
      </w:r>
      <w:proofErr w:type="gramEnd"/>
      <w:r w:rsidR="000343CB">
        <w:t xml:space="preserve"> most of the key trials, </w:t>
      </w:r>
      <w:r w:rsidR="003A7680">
        <w:t>e.g</w:t>
      </w:r>
      <w:r w:rsidR="0014114A">
        <w:t>.</w:t>
      </w:r>
      <w:r w:rsidR="00D11D29" w:rsidRPr="00D11D29">
        <w:t xml:space="preserve"> around MG-ADL ≥ 6 </w:t>
      </w:r>
      <w:r w:rsidR="000343CB">
        <w:t>(</w:t>
      </w:r>
      <w:r w:rsidR="00D11D29" w:rsidRPr="00D11D29">
        <w:t xml:space="preserve">consistent with two of the four trials of the new therapies for </w:t>
      </w:r>
      <w:r w:rsidR="000343CB">
        <w:t xml:space="preserve">gMG). The PBAC </w:t>
      </w:r>
      <w:r w:rsidR="0014114A">
        <w:t>agreed with the</w:t>
      </w:r>
      <w:r w:rsidR="000343CB">
        <w:t xml:space="preserve"> clinician correspondence </w:t>
      </w:r>
      <w:r w:rsidR="0014114A">
        <w:t xml:space="preserve">which </w:t>
      </w:r>
      <w:r w:rsidR="000343CB">
        <w:t xml:space="preserve">expressed a </w:t>
      </w:r>
      <w:r w:rsidR="0014114A">
        <w:t xml:space="preserve">preference for </w:t>
      </w:r>
      <w:r w:rsidR="00800E74">
        <w:t xml:space="preserve">also </w:t>
      </w:r>
      <w:r w:rsidR="0014114A">
        <w:t xml:space="preserve">including a </w:t>
      </w:r>
      <w:r w:rsidR="0014114A" w:rsidRPr="0014114A">
        <w:t xml:space="preserve">clinician-reported component </w:t>
      </w:r>
      <w:r w:rsidR="0014114A">
        <w:t xml:space="preserve">i.e. </w:t>
      </w:r>
      <w:r w:rsidR="00671A85">
        <w:t xml:space="preserve">using the </w:t>
      </w:r>
      <w:r w:rsidR="0014114A">
        <w:t>MGC</w:t>
      </w:r>
      <w:r w:rsidR="00671A85">
        <w:t xml:space="preserve"> instrument</w:t>
      </w:r>
      <w:r w:rsidR="00361627" w:rsidRPr="00361627">
        <w:t xml:space="preserve"> </w:t>
      </w:r>
      <w:r w:rsidR="00361627">
        <w:t xml:space="preserve">(with a threshold </w:t>
      </w:r>
      <w:r w:rsidR="00361627" w:rsidRPr="00361627">
        <w:t>to be determined based on consultation with expert neurologists and immunologists</w:t>
      </w:r>
      <w:r w:rsidR="00361627">
        <w:t>)</w:t>
      </w:r>
      <w:r w:rsidR="0014114A">
        <w:t xml:space="preserve"> </w:t>
      </w:r>
      <w:r w:rsidR="00800E74">
        <w:t xml:space="preserve">in addition to </w:t>
      </w:r>
      <w:r w:rsidR="001A64C0">
        <w:t xml:space="preserve">the </w:t>
      </w:r>
      <w:r w:rsidR="00800E74">
        <w:t xml:space="preserve">MG-ADL </w:t>
      </w:r>
      <w:r w:rsidR="0014114A">
        <w:t xml:space="preserve">(paragraph </w:t>
      </w:r>
      <w:r w:rsidR="0014114A">
        <w:fldChar w:fldCharType="begin"/>
      </w:r>
      <w:r w:rsidR="0014114A">
        <w:instrText xml:space="preserve"> REF _Ref193199135 \r \h </w:instrText>
      </w:r>
      <w:r w:rsidR="0014114A">
        <w:fldChar w:fldCharType="separate"/>
      </w:r>
      <w:r w:rsidR="00875704">
        <w:t>6.6</w:t>
      </w:r>
      <w:r w:rsidR="0014114A">
        <w:fldChar w:fldCharType="end"/>
      </w:r>
      <w:r w:rsidR="0014114A">
        <w:fldChar w:fldCharType="begin"/>
      </w:r>
      <w:r w:rsidR="0014114A">
        <w:instrText xml:space="preserve"> REF _Ref193199117 \r \h </w:instrText>
      </w:r>
      <w:r w:rsidR="0014114A">
        <w:fldChar w:fldCharType="separate"/>
      </w:r>
      <w:r w:rsidR="00875704">
        <w:t>c)</w:t>
      </w:r>
      <w:r w:rsidR="0014114A">
        <w:fldChar w:fldCharType="end"/>
      </w:r>
      <w:r w:rsidR="00443684">
        <w:t>.</w:t>
      </w:r>
    </w:p>
    <w:p w14:paraId="085327AB" w14:textId="6278562B" w:rsidR="00CD1FCF" w:rsidRDefault="00CD1FCF" w:rsidP="006E2A77">
      <w:pPr>
        <w:pStyle w:val="COMexecsummnumbered"/>
      </w:pPr>
      <w:r>
        <w:t xml:space="preserve">The PBAC </w:t>
      </w:r>
      <w:r w:rsidR="00E5233C" w:rsidRPr="00E5233C">
        <w:t xml:space="preserve">considered the </w:t>
      </w:r>
      <w:r w:rsidR="00800E74">
        <w:t>restrictions</w:t>
      </w:r>
      <w:r w:rsidR="00E5233C">
        <w:t xml:space="preserve"> in</w:t>
      </w:r>
      <w:r>
        <w:t xml:space="preserve"> the refractory setting </w:t>
      </w:r>
      <w:r w:rsidR="00800E74">
        <w:t>should require patients to</w:t>
      </w:r>
      <w:r>
        <w:t xml:space="preserve"> </w:t>
      </w:r>
      <w:r w:rsidR="00671A85">
        <w:t xml:space="preserve">have </w:t>
      </w:r>
      <w:r w:rsidR="00E8507D">
        <w:t>t</w:t>
      </w:r>
      <w:r w:rsidRPr="00CD1FCF">
        <w:t xml:space="preserve">rialled </w:t>
      </w:r>
      <w:r w:rsidR="00800E74">
        <w:t>at least</w:t>
      </w:r>
      <w:r w:rsidRPr="00CD1FCF">
        <w:t xml:space="preserve"> 12 months of </w:t>
      </w:r>
      <w:r w:rsidR="008F4976">
        <w:t>two of the following three</w:t>
      </w:r>
      <w:r w:rsidR="00A9313C">
        <w:t xml:space="preserve"> </w:t>
      </w:r>
      <w:r w:rsidR="00EE7A06">
        <w:t>treatments</w:t>
      </w:r>
      <w:r w:rsidR="008F4976">
        <w:t>:</w:t>
      </w:r>
      <w:r w:rsidR="003A7680" w:rsidRPr="003A7680">
        <w:t xml:space="preserve"> </w:t>
      </w:r>
      <w:r w:rsidR="00335183">
        <w:t xml:space="preserve">a </w:t>
      </w:r>
      <w:r w:rsidR="003A7680" w:rsidRPr="003A7680">
        <w:t>NS-IST</w:t>
      </w:r>
      <w:r w:rsidR="008F4976">
        <w:t>;</w:t>
      </w:r>
      <w:r w:rsidR="003A7680" w:rsidRPr="003A7680">
        <w:t xml:space="preserve"> </w:t>
      </w:r>
      <w:r w:rsidR="00AD4292">
        <w:t xml:space="preserve">a </w:t>
      </w:r>
      <w:r w:rsidR="003A7680" w:rsidRPr="003A7680">
        <w:t>corticosteroid</w:t>
      </w:r>
      <w:r w:rsidR="008F4976">
        <w:t xml:space="preserve">; thymectomy. </w:t>
      </w:r>
      <w:r w:rsidR="00A9313C">
        <w:t xml:space="preserve">This would </w:t>
      </w:r>
      <w:r w:rsidR="00EE7A06">
        <w:t>allow</w:t>
      </w:r>
      <w:r w:rsidR="00A9313C">
        <w:t xml:space="preserve"> patients </w:t>
      </w:r>
      <w:r w:rsidR="00EE7A06">
        <w:t>to</w:t>
      </w:r>
      <w:r w:rsidR="007C6DCE">
        <w:t xml:space="preserve"> t</w:t>
      </w:r>
      <w:r w:rsidR="007C6DCE" w:rsidRPr="00CD1FCF">
        <w:t xml:space="preserve">ransition from </w:t>
      </w:r>
      <w:r w:rsidR="007C6DCE">
        <w:t xml:space="preserve">the </w:t>
      </w:r>
      <w:r w:rsidR="007C6DCE" w:rsidRPr="00CD1FCF">
        <w:t xml:space="preserve">bridging setting (with </w:t>
      </w:r>
      <w:r w:rsidR="007C6DCE">
        <w:t xml:space="preserve">a </w:t>
      </w:r>
      <w:r w:rsidR="007C6DCE" w:rsidRPr="00CD1FCF">
        <w:t>3</w:t>
      </w:r>
      <w:r w:rsidR="007C6DCE">
        <w:t>-</w:t>
      </w:r>
      <w:r w:rsidR="007C6DCE" w:rsidRPr="00CD1FCF">
        <w:t xml:space="preserve">month </w:t>
      </w:r>
      <w:r w:rsidR="007C6DCE">
        <w:t xml:space="preserve">treatment </w:t>
      </w:r>
      <w:r w:rsidR="007C6DCE" w:rsidRPr="00CD1FCF">
        <w:t>break)</w:t>
      </w:r>
      <w:r w:rsidR="008F4976" w:rsidRPr="008F4976" w:rsidDel="000C5AA3">
        <w:t xml:space="preserve"> </w:t>
      </w:r>
      <w:r w:rsidR="000C5AA3">
        <w:t xml:space="preserve">as </w:t>
      </w:r>
      <w:r w:rsidR="003D0D78">
        <w:t xml:space="preserve">the </w:t>
      </w:r>
      <w:r w:rsidR="008F4976" w:rsidRPr="008F4976">
        <w:t xml:space="preserve">NS-IST and/or corticosteroid should have been </w:t>
      </w:r>
      <w:r w:rsidR="000C5AA3">
        <w:t>co-</w:t>
      </w:r>
      <w:r w:rsidR="008F4976" w:rsidRPr="008F4976">
        <w:t xml:space="preserve">administered </w:t>
      </w:r>
      <w:r w:rsidR="000C5AA3">
        <w:t xml:space="preserve">in the previous bridging setting. </w:t>
      </w:r>
      <w:r w:rsidR="00E5233C">
        <w:t xml:space="preserve">The </w:t>
      </w:r>
      <w:r w:rsidR="00800E74">
        <w:t xml:space="preserve">PBAC advised the </w:t>
      </w:r>
      <w:r w:rsidR="00E5233C">
        <w:t xml:space="preserve">disease severity thresholds </w:t>
      </w:r>
      <w:r w:rsidR="00800E74">
        <w:t xml:space="preserve">for initiation </w:t>
      </w:r>
      <w:r w:rsidR="00671A85">
        <w:t xml:space="preserve">in the refractory setting </w:t>
      </w:r>
      <w:r w:rsidR="00E5233C">
        <w:t>should be the same as those for the bridging setting.</w:t>
      </w:r>
    </w:p>
    <w:p w14:paraId="14B37501" w14:textId="1230E696" w:rsidR="00B87BF5" w:rsidRPr="00800E74" w:rsidRDefault="00B87BF5" w:rsidP="006E2A77">
      <w:pPr>
        <w:pStyle w:val="COMexecsummnumbered"/>
      </w:pPr>
      <w:r w:rsidRPr="00800E74">
        <w:t>The</w:t>
      </w:r>
      <w:r w:rsidR="006C6609" w:rsidRPr="00800E74">
        <w:t xml:space="preserve"> PBAC </w:t>
      </w:r>
      <w:r w:rsidR="00F827C4" w:rsidRPr="00800E74">
        <w:t xml:space="preserve">considered that, in </w:t>
      </w:r>
      <w:r w:rsidR="00B6566E">
        <w:t>the acute and</w:t>
      </w:r>
      <w:r w:rsidR="00E5233C" w:rsidRPr="00800E74">
        <w:t xml:space="preserve"> </w:t>
      </w:r>
      <w:r w:rsidR="00F827C4" w:rsidRPr="00800E74">
        <w:t>bridging setting</w:t>
      </w:r>
      <w:r w:rsidR="00E5233C" w:rsidRPr="00800E74">
        <w:t>s</w:t>
      </w:r>
      <w:r w:rsidR="00F827C4" w:rsidRPr="00800E74">
        <w:t xml:space="preserve">, there should be </w:t>
      </w:r>
      <w:r w:rsidR="00066A14">
        <w:t xml:space="preserve">a maximum time on treatment of 3 months and 6 months respectively, </w:t>
      </w:r>
      <w:r w:rsidR="00F827C4" w:rsidRPr="00800E74">
        <w:t xml:space="preserve">to prevent ongoing use given </w:t>
      </w:r>
      <w:r w:rsidR="00E5233C" w:rsidRPr="00800E74">
        <w:t>the potential for</w:t>
      </w:r>
      <w:r w:rsidR="00800E74" w:rsidRPr="00800E74">
        <w:t xml:space="preserve"> the condition to respond to NS-IST therapy or </w:t>
      </w:r>
      <w:r w:rsidR="00E5233C" w:rsidRPr="00800E74">
        <w:t xml:space="preserve">improve over time. The PBAC </w:t>
      </w:r>
      <w:r w:rsidR="00800E74" w:rsidRPr="00800E74">
        <w:t>considered t</w:t>
      </w:r>
      <w:r w:rsidR="00E5233C" w:rsidRPr="00800E74">
        <w:t xml:space="preserve">hat the </w:t>
      </w:r>
      <w:r w:rsidR="00162CD0">
        <w:t xml:space="preserve">initial </w:t>
      </w:r>
      <w:r w:rsidR="00E5233C" w:rsidRPr="00800E74">
        <w:t xml:space="preserve">restriction for the </w:t>
      </w:r>
      <w:r w:rsidR="00066A14">
        <w:rPr>
          <w:lang w:val="en-GB"/>
        </w:rPr>
        <w:t>treatment refractory setting</w:t>
      </w:r>
      <w:r w:rsidR="00066A14" w:rsidDel="001F42A7">
        <w:t xml:space="preserve"> </w:t>
      </w:r>
      <w:r w:rsidR="00E5233C" w:rsidRPr="00800E74">
        <w:t xml:space="preserve">should </w:t>
      </w:r>
      <w:r w:rsidRPr="00800E74">
        <w:rPr>
          <w:lang w:val="en-GB"/>
        </w:rPr>
        <w:t xml:space="preserve">require the patient to </w:t>
      </w:r>
      <w:r w:rsidR="00162CD0">
        <w:rPr>
          <w:lang w:val="en-GB"/>
        </w:rPr>
        <w:t xml:space="preserve">have </w:t>
      </w:r>
      <w:r w:rsidR="00671A85">
        <w:rPr>
          <w:lang w:val="en-GB"/>
        </w:rPr>
        <w:t>trial</w:t>
      </w:r>
      <w:r w:rsidR="00162CD0">
        <w:rPr>
          <w:lang w:val="en-GB"/>
        </w:rPr>
        <w:t>led</w:t>
      </w:r>
      <w:r w:rsidR="00671A85">
        <w:rPr>
          <w:lang w:val="en-GB"/>
        </w:rPr>
        <w:t xml:space="preserve"> cessation of</w:t>
      </w:r>
      <w:r w:rsidRPr="00800E74">
        <w:rPr>
          <w:lang w:val="en-GB"/>
        </w:rPr>
        <w:t xml:space="preserve"> the new therapy </w:t>
      </w:r>
      <w:r w:rsidR="00F34FEC">
        <w:rPr>
          <w:lang w:val="en-GB"/>
        </w:rPr>
        <w:t>for</w:t>
      </w:r>
      <w:r w:rsidR="00116F72">
        <w:rPr>
          <w:lang w:val="en-GB"/>
        </w:rPr>
        <w:t xml:space="preserve"> three months</w:t>
      </w:r>
      <w:r w:rsidR="005C1185">
        <w:rPr>
          <w:lang w:val="en-GB"/>
        </w:rPr>
        <w:t xml:space="preserve"> </w:t>
      </w:r>
      <w:r w:rsidR="00A756B5">
        <w:rPr>
          <w:lang w:val="en-GB"/>
        </w:rPr>
        <w:t xml:space="preserve">to be eligible for </w:t>
      </w:r>
      <w:r w:rsidR="001B1DF0">
        <w:rPr>
          <w:lang w:val="en-GB"/>
        </w:rPr>
        <w:t xml:space="preserve">further </w:t>
      </w:r>
      <w:r w:rsidR="00A756B5">
        <w:rPr>
          <w:lang w:val="en-GB"/>
        </w:rPr>
        <w:t>treatment with new therapy fo</w:t>
      </w:r>
      <w:r w:rsidR="00D44E74">
        <w:rPr>
          <w:lang w:val="en-GB"/>
        </w:rPr>
        <w:t>r this setting</w:t>
      </w:r>
      <w:r w:rsidR="00162CD0" w:rsidDel="00162CD0">
        <w:rPr>
          <w:lang w:val="en-GB"/>
        </w:rPr>
        <w:t xml:space="preserve"> </w:t>
      </w:r>
      <w:r w:rsidR="008F4976" w:rsidRPr="008F4976">
        <w:rPr>
          <w:rFonts w:ascii="Calibri" w:hAnsi="Calibri" w:cs="Calibri"/>
          <w:lang w:val="en-GB"/>
        </w:rPr>
        <w:t>(</w:t>
      </w:r>
      <w:r w:rsidR="00AD4292">
        <w:rPr>
          <w:rFonts w:ascii="Calibri" w:hAnsi="Calibri" w:cs="Calibri"/>
          <w:lang w:val="en-GB"/>
        </w:rPr>
        <w:t xml:space="preserve">consistent with the ESC advice in </w:t>
      </w:r>
      <w:r w:rsidR="008F4976" w:rsidRPr="008F4976">
        <w:rPr>
          <w:rFonts w:ascii="Calibri" w:hAnsi="Calibri" w:cs="Calibri"/>
          <w:lang w:val="en-GB"/>
        </w:rPr>
        <w:t>paragraph</w:t>
      </w:r>
      <w:r w:rsidR="008F4976">
        <w:rPr>
          <w:rFonts w:ascii="Calibri" w:hAnsi="Calibri" w:cs="Calibri"/>
          <w:lang w:val="en-GB"/>
        </w:rPr>
        <w:t xml:space="preserve"> </w:t>
      </w:r>
      <w:r w:rsidR="008F4976">
        <w:rPr>
          <w:rFonts w:ascii="Calibri" w:hAnsi="Calibri" w:cs="Calibri"/>
          <w:lang w:val="en-GB"/>
        </w:rPr>
        <w:fldChar w:fldCharType="begin"/>
      </w:r>
      <w:r w:rsidR="008F4976">
        <w:rPr>
          <w:rFonts w:ascii="Calibri" w:hAnsi="Calibri" w:cs="Calibri"/>
          <w:lang w:val="en-GB"/>
        </w:rPr>
        <w:instrText xml:space="preserve"> REF _Ref193200650 \r \h </w:instrText>
      </w:r>
      <w:r w:rsidR="008F4976">
        <w:rPr>
          <w:rFonts w:ascii="Calibri" w:hAnsi="Calibri" w:cs="Calibri"/>
          <w:lang w:val="en-GB"/>
        </w:rPr>
      </w:r>
      <w:r w:rsidR="008F4976">
        <w:rPr>
          <w:rFonts w:ascii="Calibri" w:hAnsi="Calibri" w:cs="Calibri"/>
          <w:lang w:val="en-GB"/>
        </w:rPr>
        <w:fldChar w:fldCharType="separate"/>
      </w:r>
      <w:r w:rsidR="00875704">
        <w:rPr>
          <w:rFonts w:ascii="Calibri" w:hAnsi="Calibri" w:cs="Calibri"/>
          <w:lang w:val="en-GB"/>
        </w:rPr>
        <w:t>7.6</w:t>
      </w:r>
      <w:r w:rsidR="008F4976">
        <w:rPr>
          <w:rFonts w:ascii="Calibri" w:hAnsi="Calibri" w:cs="Calibri"/>
          <w:lang w:val="en-GB"/>
        </w:rPr>
        <w:fldChar w:fldCharType="end"/>
      </w:r>
      <w:r w:rsidR="008F4976" w:rsidRPr="008F4976">
        <w:rPr>
          <w:rFonts w:ascii="Calibri" w:hAnsi="Calibri" w:cs="Calibri"/>
          <w:lang w:val="en-GB"/>
        </w:rPr>
        <w:t xml:space="preserve">). </w:t>
      </w:r>
    </w:p>
    <w:p w14:paraId="5F7B459B" w14:textId="4DBF0940" w:rsidR="00B87BF5" w:rsidRDefault="00E8507D" w:rsidP="006E2A77">
      <w:pPr>
        <w:pStyle w:val="COMexecsummnumbered"/>
      </w:pPr>
      <w:r w:rsidRPr="00800E74">
        <w:t>In terms of response criteria</w:t>
      </w:r>
      <w:r w:rsidR="00E44CA7">
        <w:t xml:space="preserve"> in the refractory setting</w:t>
      </w:r>
      <w:r w:rsidRPr="00800E74">
        <w:t xml:space="preserve">, the PBAC considered that response should be based on </w:t>
      </w:r>
      <w:r w:rsidR="00361627">
        <w:t xml:space="preserve">an </w:t>
      </w:r>
      <w:r w:rsidRPr="00E8507D">
        <w:t>MG-ADL ≥ 2</w:t>
      </w:r>
      <w:r w:rsidR="00361627" w:rsidRPr="00361627">
        <w:t xml:space="preserve"> </w:t>
      </w:r>
      <w:bookmarkStart w:id="91" w:name="_Hlk195000899"/>
      <w:r w:rsidR="00361627">
        <w:t>(</w:t>
      </w:r>
      <w:r w:rsidR="00815370">
        <w:t>plus</w:t>
      </w:r>
      <w:r w:rsidR="00361627">
        <w:t xml:space="preserve"> a</w:t>
      </w:r>
      <w:r w:rsidR="00063DFC">
        <w:t xml:space="preserve"> corresponding</w:t>
      </w:r>
      <w:r w:rsidR="00361627">
        <w:t xml:space="preserve"> </w:t>
      </w:r>
      <w:r w:rsidR="00361627" w:rsidRPr="00E8507D">
        <w:t xml:space="preserve">MGC </w:t>
      </w:r>
      <w:r w:rsidR="00361627">
        <w:t>level to be determined based on consultation with expert neurologists and immunologists</w:t>
      </w:r>
      <w:bookmarkEnd w:id="91"/>
      <w:r w:rsidR="00361627">
        <w:t>)</w:t>
      </w:r>
      <w:r w:rsidR="00671A85">
        <w:t>, achieved</w:t>
      </w:r>
      <w:r w:rsidRPr="00800E74">
        <w:t xml:space="preserve"> </w:t>
      </w:r>
      <w:r w:rsidRPr="00E8507D">
        <w:t>at 2</w:t>
      </w:r>
      <w:r w:rsidR="00800E74">
        <w:t xml:space="preserve"> to </w:t>
      </w:r>
      <w:r w:rsidRPr="00E8507D">
        <w:t>16 weeks</w:t>
      </w:r>
      <w:r>
        <w:t xml:space="preserve">, per the clinician </w:t>
      </w:r>
      <w:r w:rsidR="002049D6">
        <w:t>correspondence</w:t>
      </w:r>
      <w:r w:rsidR="002049D6" w:rsidRPr="002049D6">
        <w:t xml:space="preserve"> </w:t>
      </w:r>
      <w:r w:rsidR="002049D6">
        <w:t xml:space="preserve">(paragraph </w:t>
      </w:r>
      <w:r w:rsidR="002049D6" w:rsidRPr="00CF5C85">
        <w:fldChar w:fldCharType="begin"/>
      </w:r>
      <w:r w:rsidR="002049D6" w:rsidRPr="00CF5C85">
        <w:instrText xml:space="preserve"> REF _Ref193199135 \r \h </w:instrText>
      </w:r>
      <w:r w:rsidR="00CF5C85">
        <w:instrText xml:space="preserve"> \* MERGEFORMAT </w:instrText>
      </w:r>
      <w:r w:rsidR="002049D6" w:rsidRPr="00CF5C85">
        <w:fldChar w:fldCharType="separate"/>
      </w:r>
      <w:r w:rsidR="00875704">
        <w:t>6.6</w:t>
      </w:r>
      <w:r w:rsidR="002049D6" w:rsidRPr="00CF5C85">
        <w:fldChar w:fldCharType="end"/>
      </w:r>
      <w:r w:rsidR="002049D6" w:rsidRPr="00CF5C85">
        <w:fldChar w:fldCharType="begin"/>
      </w:r>
      <w:r w:rsidR="002049D6" w:rsidRPr="00CF5C85">
        <w:instrText xml:space="preserve"> REF _Ref193201006 \r \h </w:instrText>
      </w:r>
      <w:r w:rsidR="00CF5C85">
        <w:instrText xml:space="preserve"> \* MERGEFORMAT </w:instrText>
      </w:r>
      <w:r w:rsidR="002049D6" w:rsidRPr="00CF5C85">
        <w:fldChar w:fldCharType="separate"/>
      </w:r>
      <w:r w:rsidR="00875704">
        <w:t>e)</w:t>
      </w:r>
      <w:r w:rsidR="002049D6" w:rsidRPr="00CF5C85">
        <w:fldChar w:fldCharType="end"/>
      </w:r>
      <w:r w:rsidR="002049D6">
        <w:t>.</w:t>
      </w:r>
    </w:p>
    <w:p w14:paraId="68BDA418" w14:textId="532C0108" w:rsidR="00E8507D" w:rsidRDefault="00991A0D" w:rsidP="006E2A77">
      <w:pPr>
        <w:pStyle w:val="COMexecsummnumbered"/>
      </w:pPr>
      <w:r>
        <w:t xml:space="preserve">The PBAC </w:t>
      </w:r>
      <w:r w:rsidR="00431E8D">
        <w:t xml:space="preserve">considered it would be appropriate to list </w:t>
      </w:r>
      <w:r w:rsidR="003A780B">
        <w:t xml:space="preserve">the </w:t>
      </w:r>
      <w:r w:rsidR="0029651B">
        <w:t xml:space="preserve">required </w:t>
      </w:r>
      <w:r w:rsidR="00F676FC">
        <w:t>number of doses</w:t>
      </w:r>
      <w:r w:rsidR="003A780B">
        <w:t xml:space="preserve"> </w:t>
      </w:r>
      <w:r w:rsidR="00521AA9">
        <w:t xml:space="preserve">with repeats to </w:t>
      </w:r>
      <w:r w:rsidR="00543BBE">
        <w:t>enabl</w:t>
      </w:r>
      <w:r w:rsidR="00521AA9">
        <w:t xml:space="preserve">e </w:t>
      </w:r>
      <w:r w:rsidR="00EA514B">
        <w:t xml:space="preserve">the </w:t>
      </w:r>
      <w:r w:rsidR="003A4CFC">
        <w:t xml:space="preserve">approximate </w:t>
      </w:r>
      <w:r w:rsidR="00EA514B">
        <w:t>full</w:t>
      </w:r>
      <w:r w:rsidR="0029651B">
        <w:t xml:space="preserve"> </w:t>
      </w:r>
      <w:r w:rsidR="00A6349C">
        <w:t>treatment</w:t>
      </w:r>
      <w:r w:rsidR="00A27E9C">
        <w:t xml:space="preserve"> time</w:t>
      </w:r>
      <w:r w:rsidR="003E5ADA">
        <w:t xml:space="preserve"> of</w:t>
      </w:r>
      <w:r w:rsidR="0029651B">
        <w:t xml:space="preserve"> 3-months </w:t>
      </w:r>
      <w:r w:rsidR="003E5ADA">
        <w:t xml:space="preserve">for the </w:t>
      </w:r>
      <w:r w:rsidR="0029651B">
        <w:t xml:space="preserve">acute </w:t>
      </w:r>
      <w:r w:rsidR="0029651B">
        <w:lastRenderedPageBreak/>
        <w:t>severe setting</w:t>
      </w:r>
      <w:r w:rsidR="00521AA9">
        <w:t>,</w:t>
      </w:r>
      <w:r w:rsidR="0029651B">
        <w:t xml:space="preserve"> </w:t>
      </w:r>
      <w:r w:rsidR="009E38FF">
        <w:t>and</w:t>
      </w:r>
      <w:r w:rsidR="0029651B">
        <w:t xml:space="preserve"> 6-months </w:t>
      </w:r>
      <w:r w:rsidR="003E5ADA">
        <w:t xml:space="preserve">for </w:t>
      </w:r>
      <w:r w:rsidR="00C34A69">
        <w:t xml:space="preserve">the </w:t>
      </w:r>
      <w:r w:rsidR="0029651B">
        <w:t>bridging</w:t>
      </w:r>
      <w:r w:rsidR="003B49BE">
        <w:t xml:space="preserve"> </w:t>
      </w:r>
      <w:r w:rsidR="00C34A69">
        <w:t>setting</w:t>
      </w:r>
      <w:r w:rsidR="00A36B6E">
        <w:t>.</w:t>
      </w:r>
      <w:r w:rsidR="009C655B">
        <w:t xml:space="preserve"> The PBAC also advised it would be appropriate to list</w:t>
      </w:r>
      <w:r w:rsidR="00173A88" w:rsidRPr="00173A88">
        <w:t xml:space="preserve"> </w:t>
      </w:r>
      <w:r w:rsidR="00EE7A06">
        <w:t>the</w:t>
      </w:r>
      <w:r w:rsidR="00173A88" w:rsidRPr="00173A88">
        <w:t xml:space="preserve"> </w:t>
      </w:r>
      <w:r w:rsidR="00173A88">
        <w:t>number of doses with repeats for each</w:t>
      </w:r>
      <w:r w:rsidR="009C655B">
        <w:t xml:space="preserve"> 6-months of </w:t>
      </w:r>
      <w:r w:rsidR="00173A88">
        <w:t>treatment in the</w:t>
      </w:r>
      <w:r w:rsidR="00521AA9">
        <w:t xml:space="preserve"> </w:t>
      </w:r>
      <w:r w:rsidR="00722E99">
        <w:t>refractory setting</w:t>
      </w:r>
      <w:r w:rsidR="00521AA9">
        <w:t>.</w:t>
      </w:r>
      <w:r w:rsidR="00742A3C">
        <w:t xml:space="preserve"> </w:t>
      </w:r>
      <w:r w:rsidR="003E5ADA">
        <w:t xml:space="preserve">The PBAC acknowledged there will be some variability </w:t>
      </w:r>
      <w:r w:rsidR="007339E0">
        <w:t xml:space="preserve">in the number of doses and treatment </w:t>
      </w:r>
      <w:r w:rsidR="00B82AB6">
        <w:t xml:space="preserve">when </w:t>
      </w:r>
      <w:proofErr w:type="gramStart"/>
      <w:r w:rsidR="00B82AB6">
        <w:t>taking into account</w:t>
      </w:r>
      <w:proofErr w:type="gramEnd"/>
      <w:r w:rsidR="00B82AB6">
        <w:t xml:space="preserve"> the specific dosing regimens of each drug.</w:t>
      </w:r>
      <w:r w:rsidR="00E8507D">
        <w:t xml:space="preserve"> </w:t>
      </w:r>
    </w:p>
    <w:p w14:paraId="4BDD16C2" w14:textId="5B7FBCD6" w:rsidR="00E8507D" w:rsidRPr="00E8507D" w:rsidRDefault="00E8507D" w:rsidP="006E2A77">
      <w:pPr>
        <w:pStyle w:val="COMexecsummnumbered"/>
      </w:pPr>
      <w:r>
        <w:t>The PBAC considered that the patient m</w:t>
      </w:r>
      <w:r w:rsidRPr="00E8507D">
        <w:t>ust be treated by (or in consultation with) a neurologist or clinical immunologist with experience in the management of gMG</w:t>
      </w:r>
      <w:r>
        <w:t xml:space="preserve">. </w:t>
      </w:r>
      <w:r w:rsidR="002049D6">
        <w:t>The PBAC advised that there should be n</w:t>
      </w:r>
      <w:r w:rsidR="003B1252">
        <w:t>o age criteria</w:t>
      </w:r>
      <w:r w:rsidR="002049D6">
        <w:t xml:space="preserve"> in the restrictions</w:t>
      </w:r>
      <w:r w:rsidR="003B1252">
        <w:t xml:space="preserve">. </w:t>
      </w:r>
    </w:p>
    <w:p w14:paraId="7B5795AC" w14:textId="332D5054" w:rsidR="00EA00F2" w:rsidRDefault="00EE7A06" w:rsidP="006E2A77">
      <w:pPr>
        <w:pStyle w:val="COMexecsummnumbered"/>
      </w:pPr>
      <w:bookmarkStart w:id="92" w:name="_Ref194350231"/>
      <w:r w:rsidRPr="00EE7A06">
        <w:t xml:space="preserve">Due to the short timeframe of 3-months and 6-months of acute severe treatment and bridging therapy respectively, the PBAC considered switching between the new therapies would not be appropriate within these settings, however a patient may switch when moving from one phase of treatment to the next. Within the refractory setting, patients may switch as needed on the basis that any unused repeat prescriptions for the previous therapy be cancelled. </w:t>
      </w:r>
      <w:bookmarkEnd w:id="92"/>
    </w:p>
    <w:p w14:paraId="437314B8" w14:textId="4761D079" w:rsidR="00EA00F2" w:rsidRDefault="00EA00F2" w:rsidP="006E2A77">
      <w:pPr>
        <w:pStyle w:val="COMexecsummnumbered"/>
      </w:pPr>
      <w:r w:rsidRPr="00EA00F2">
        <w:t xml:space="preserve">The </w:t>
      </w:r>
      <w:r>
        <w:t>PBAC</w:t>
      </w:r>
      <w:r w:rsidRPr="00EA00F2">
        <w:t xml:space="preserve"> considered that the new gMG therapies should substitute for IVIg and PLEX rather than be added on to or used in combination with these modalities</w:t>
      </w:r>
      <w:r>
        <w:t>.</w:t>
      </w:r>
      <w:r w:rsidRPr="00EA00F2">
        <w:t xml:space="preserve"> </w:t>
      </w:r>
      <w:r>
        <w:t>The PBAC advised that:</w:t>
      </w:r>
    </w:p>
    <w:p w14:paraId="30EEBC13" w14:textId="3D593F20" w:rsidR="00EA00F2" w:rsidRDefault="00EA00F2" w:rsidP="006E2A77">
      <w:pPr>
        <w:pStyle w:val="COMexecsummnumbered"/>
        <w:numPr>
          <w:ilvl w:val="0"/>
          <w:numId w:val="12"/>
        </w:numPr>
        <w:ind w:left="1134"/>
      </w:pPr>
      <w:r>
        <w:t xml:space="preserve">the PBS restriction should state that the new therapy should not be used in combination with </w:t>
      </w:r>
      <w:proofErr w:type="gramStart"/>
      <w:r>
        <w:t>IVIg;</w:t>
      </w:r>
      <w:proofErr w:type="gramEnd"/>
      <w:r>
        <w:t xml:space="preserve"> </w:t>
      </w:r>
    </w:p>
    <w:p w14:paraId="51B1E796" w14:textId="092B81F0" w:rsidR="00EA00F2" w:rsidRDefault="00EA00F2" w:rsidP="006E2A77">
      <w:pPr>
        <w:pStyle w:val="COMexecsummnumbered"/>
        <w:numPr>
          <w:ilvl w:val="0"/>
          <w:numId w:val="12"/>
        </w:numPr>
        <w:ind w:left="1134"/>
      </w:pPr>
      <w:r>
        <w:t>there should be no requirement for the patient to have trialled prior IVIg (or PLEX)</w:t>
      </w:r>
      <w:r w:rsidR="00BC3B5E">
        <w:t xml:space="preserve"> given the limitations of the available evidence for chronic IVIg</w:t>
      </w:r>
      <w:r>
        <w:t>; and</w:t>
      </w:r>
    </w:p>
    <w:p w14:paraId="57516483" w14:textId="77777777" w:rsidR="007E0CDA" w:rsidRDefault="007E0CDA" w:rsidP="006E2A77">
      <w:pPr>
        <w:pStyle w:val="COMexecsummnumbered"/>
        <w:numPr>
          <w:ilvl w:val="0"/>
          <w:numId w:val="12"/>
        </w:numPr>
        <w:ind w:left="1134"/>
      </w:pPr>
      <w:r>
        <w:t>t</w:t>
      </w:r>
      <w:r w:rsidRPr="007E0CDA">
        <w:t>he prescribing criteria for IVIg should be revised to ensure use remains appropriate in the context of the availability of the new therapies.</w:t>
      </w:r>
    </w:p>
    <w:p w14:paraId="7D000DC7" w14:textId="7A512B94" w:rsidR="000A1820" w:rsidRDefault="000A1820" w:rsidP="006E2A77">
      <w:pPr>
        <w:pStyle w:val="COMexecsummnumbered"/>
      </w:pPr>
      <w:r>
        <w:t xml:space="preserve">The PBAC considered that </w:t>
      </w:r>
      <w:r w:rsidRPr="000A1820">
        <w:t>chronic IVIg was a relevant comparator for providing a frame of reference for interpreting the cost</w:t>
      </w:r>
      <w:r w:rsidR="003426BD">
        <w:t>-</w:t>
      </w:r>
      <w:r w:rsidRPr="000A1820">
        <w:t>per</w:t>
      </w:r>
      <w:r w:rsidR="003426BD">
        <w:t>-</w:t>
      </w:r>
      <w:r w:rsidRPr="000A1820">
        <w:t xml:space="preserve">patient of the newer gMG therapies </w:t>
      </w:r>
      <w:r w:rsidR="003426BD">
        <w:t>across</w:t>
      </w:r>
      <w:r w:rsidRPr="000A1820">
        <w:t xml:space="preserve"> </w:t>
      </w:r>
      <w:r w:rsidR="003426BD">
        <w:t xml:space="preserve">both </w:t>
      </w:r>
      <w:r w:rsidRPr="000A1820">
        <w:t xml:space="preserve">the refractory </w:t>
      </w:r>
      <w:r w:rsidR="00C54C97">
        <w:t xml:space="preserve">and bridging </w:t>
      </w:r>
      <w:r w:rsidRPr="000A1820">
        <w:t>setting</w:t>
      </w:r>
      <w:r w:rsidR="00C54C97">
        <w:t>s</w:t>
      </w:r>
      <w:r>
        <w:t xml:space="preserve">. The PBAC </w:t>
      </w:r>
      <w:r w:rsidR="00C54C97">
        <w:t xml:space="preserve">acknowledged the ESC’s concerns that, </w:t>
      </w:r>
      <w:r w:rsidR="00C54C97" w:rsidRPr="00C54C97">
        <w:t>in the bridging setting</w:t>
      </w:r>
      <w:r w:rsidR="00C54C97">
        <w:t>,</w:t>
      </w:r>
      <w:r w:rsidR="00C54C97" w:rsidRPr="00C54C97">
        <w:t xml:space="preserve"> </w:t>
      </w:r>
      <w:r w:rsidR="00C54C97">
        <w:t xml:space="preserve">there is a </w:t>
      </w:r>
      <w:r w:rsidR="00C54C97" w:rsidRPr="00C54C97">
        <w:t xml:space="preserve">lower level of certainty in the incremental benefit versus optimisation of existing therapies </w:t>
      </w:r>
      <w:r w:rsidR="003426BD">
        <w:t>but</w:t>
      </w:r>
      <w:r w:rsidR="00C54C97">
        <w:t xml:space="preserve"> </w:t>
      </w:r>
      <w:r w:rsidR="00C54C97" w:rsidRPr="00C54C97">
        <w:t xml:space="preserve">considered these concerns would be adequately addressed by </w:t>
      </w:r>
      <w:r w:rsidR="007E0CDA">
        <w:t xml:space="preserve">having a </w:t>
      </w:r>
      <w:r w:rsidR="00C54C97" w:rsidRPr="00C54C97">
        <w:t>maximum duration</w:t>
      </w:r>
      <w:r w:rsidR="007E0CDA">
        <w:t xml:space="preserve"> of use in this setting</w:t>
      </w:r>
      <w:r w:rsidR="00C54C97" w:rsidRPr="00C54C97">
        <w:t>, along with a combined RSA across both setting</w:t>
      </w:r>
      <w:r w:rsidR="00C54C97">
        <w:t>s.</w:t>
      </w:r>
    </w:p>
    <w:p w14:paraId="25EF3D3A" w14:textId="11A57A47" w:rsidR="000A1820" w:rsidRDefault="000A1820" w:rsidP="006E2A77">
      <w:pPr>
        <w:pStyle w:val="COMexecsummnumbered"/>
      </w:pPr>
      <w:r>
        <w:t xml:space="preserve">The PBAC also considered that the </w:t>
      </w:r>
      <w:r w:rsidRPr="000A1820">
        <w:t xml:space="preserve">four </w:t>
      </w:r>
      <w:r w:rsidR="003426BD">
        <w:t xml:space="preserve">new </w:t>
      </w:r>
      <w:r w:rsidRPr="000A1820">
        <w:t>gMG therapies (efgartigimod, rozanolixizumab, ravulizumab and zilucoplan) were all near-market comparators to each other</w:t>
      </w:r>
      <w:r>
        <w:t>.</w:t>
      </w:r>
    </w:p>
    <w:p w14:paraId="48B0DCC6" w14:textId="32AA195A" w:rsidR="00C54C97" w:rsidRPr="003D5A3A" w:rsidRDefault="00C54C97" w:rsidP="006E2A77">
      <w:pPr>
        <w:pStyle w:val="COMexecsummnumbered"/>
      </w:pPr>
      <w:r>
        <w:t xml:space="preserve">The PBAC </w:t>
      </w:r>
      <w:r w:rsidR="00662484">
        <w:t>considered</w:t>
      </w:r>
      <w:r>
        <w:t xml:space="preserve"> there was no evidence to suggest superior efficacy or safety between any of the four new gMG therapies (zilucoplan, ravulizumab, efgartigimod and rozanolixizumab). The PBAC further </w:t>
      </w:r>
      <w:r w:rsidR="00662484">
        <w:t xml:space="preserve">considered </w:t>
      </w:r>
      <w:r>
        <w:t xml:space="preserve">that the published network meta-analyses had substantial </w:t>
      </w:r>
      <w:r w:rsidRPr="003D5A3A">
        <w:t xml:space="preserve">limitations, </w:t>
      </w:r>
      <w:r w:rsidR="003E79CC" w:rsidRPr="003D5A3A">
        <w:t>in particular</w:t>
      </w:r>
      <w:r w:rsidRPr="003D5A3A">
        <w:t xml:space="preserve"> the lack of accounting for the treatment effects of FcRn blockers waning over time during the off-treatment period.</w:t>
      </w:r>
      <w:r w:rsidR="00D61CA6">
        <w:t xml:space="preserve"> </w:t>
      </w:r>
    </w:p>
    <w:bookmarkEnd w:id="90"/>
    <w:p w14:paraId="44126B2D" w14:textId="5D2B72A4" w:rsidR="00C54C97" w:rsidRPr="003D5A3A" w:rsidRDefault="00DC3E1D" w:rsidP="006E2A77">
      <w:pPr>
        <w:pStyle w:val="COMexecsummnumbered"/>
      </w:pPr>
      <w:r w:rsidRPr="003D5A3A">
        <w:lastRenderedPageBreak/>
        <w:t xml:space="preserve">The PBAC noted the ravulizumab </w:t>
      </w:r>
      <w:r w:rsidR="007B0F65" w:rsidRPr="003D5A3A">
        <w:t xml:space="preserve">submission </w:t>
      </w:r>
      <w:r w:rsidRPr="003D5A3A">
        <w:t xml:space="preserve">did not include a clinical comparison versus </w:t>
      </w:r>
      <w:proofErr w:type="gramStart"/>
      <w:r w:rsidRPr="003D5A3A">
        <w:t>IVIg, but</w:t>
      </w:r>
      <w:proofErr w:type="gramEnd"/>
      <w:r w:rsidRPr="003D5A3A">
        <w:t xml:space="preserve"> noted that at least one of the submissions for a new gMG therapy claimed non-inferior efficacy and safety versus IVIg based on an indirect</w:t>
      </w:r>
      <w:r w:rsidR="00503CAC" w:rsidRPr="003D5A3A">
        <w:t xml:space="preserve"> </w:t>
      </w:r>
      <w:r w:rsidRPr="003D5A3A">
        <w:t>comparison versus NCT02473952 (later published as Bril 2024)</w:t>
      </w:r>
      <w:r w:rsidR="001163FD" w:rsidRPr="003D5A3A">
        <w:t xml:space="preserve"> which found no statistically significant differences in functional outcomes or serious adverse events between the new therapy and IVIg</w:t>
      </w:r>
      <w:r w:rsidRPr="003D5A3A">
        <w:t xml:space="preserve">. </w:t>
      </w:r>
      <w:r w:rsidR="001A7913" w:rsidRPr="003D5A3A">
        <w:t>T</w:t>
      </w:r>
      <w:r w:rsidR="00C54C97" w:rsidRPr="003D5A3A">
        <w:t xml:space="preserve">he PBAC acknowledged the limitations of the available evidence for chronic IVIg </w:t>
      </w:r>
      <w:r w:rsidR="00662484" w:rsidRPr="003D5A3A">
        <w:t>however</w:t>
      </w:r>
      <w:r w:rsidR="0055778B" w:rsidRPr="003D5A3A">
        <w:t>, based on the totality of the evidence presented across the four submissions, the PBAC</w:t>
      </w:r>
      <w:r w:rsidR="00C54C97" w:rsidRPr="003D5A3A">
        <w:t xml:space="preserve"> considered that there was </w:t>
      </w:r>
      <w:r w:rsidR="00FD23E7" w:rsidRPr="003D5A3A">
        <w:t>insufficient evidence to support</w:t>
      </w:r>
      <w:r w:rsidR="00C54C97" w:rsidRPr="003D5A3A">
        <w:t xml:space="preserve"> superior efficacy </w:t>
      </w:r>
      <w:r w:rsidR="005B25A0" w:rsidRPr="003D5A3A">
        <w:t xml:space="preserve">or safety </w:t>
      </w:r>
      <w:r w:rsidR="00C54C97" w:rsidRPr="003D5A3A">
        <w:t>of any of the four new gMG therapies versus chronic IVIg or PLEX.</w:t>
      </w:r>
      <w:r w:rsidR="0055778B" w:rsidRPr="003D5A3A">
        <w:t xml:space="preserve"> </w:t>
      </w:r>
    </w:p>
    <w:p w14:paraId="4FBCB42C" w14:textId="042DC1D2" w:rsidR="000A1820" w:rsidRPr="003D5A3A" w:rsidRDefault="00C54C97" w:rsidP="006E2A77">
      <w:pPr>
        <w:pStyle w:val="COMexecsummnumbered"/>
      </w:pPr>
      <w:r w:rsidRPr="003D5A3A">
        <w:t xml:space="preserve">Overall, the PBAC considered that ravulizumab has non-inferior comparative effectiveness and safety versus chronic IVIg </w:t>
      </w:r>
      <w:proofErr w:type="gramStart"/>
      <w:r w:rsidRPr="003D5A3A">
        <w:t>and also</w:t>
      </w:r>
      <w:proofErr w:type="gramEnd"/>
      <w:r w:rsidRPr="003D5A3A">
        <w:t xml:space="preserve"> </w:t>
      </w:r>
      <w:r w:rsidR="00662484" w:rsidRPr="003D5A3A">
        <w:t xml:space="preserve">against </w:t>
      </w:r>
      <w:r w:rsidRPr="003D5A3A">
        <w:t xml:space="preserve">zilucoplan, efgartigimod and rozanolixizumab. </w:t>
      </w:r>
    </w:p>
    <w:p w14:paraId="1B4D67D3" w14:textId="1146F8B8" w:rsidR="000A1820" w:rsidRDefault="00C54C97" w:rsidP="006E2A77">
      <w:pPr>
        <w:pStyle w:val="COMexecsummnumbered"/>
      </w:pPr>
      <w:r w:rsidRPr="003D5A3A">
        <w:t xml:space="preserve">The PBAC </w:t>
      </w:r>
      <w:r w:rsidR="00B41543" w:rsidRPr="003D5A3A">
        <w:t xml:space="preserve">noted the economic model was based on a treatment setting in which patients had an inadequate prior response </w:t>
      </w:r>
      <w:r w:rsidR="006B0113" w:rsidRPr="003D5A3A">
        <w:t>to</w:t>
      </w:r>
      <w:r w:rsidR="00B41543" w:rsidRPr="003D5A3A">
        <w:t xml:space="preserve"> IVIg/PLEX (or were intolerant or unable to access these treatments), which was </w:t>
      </w:r>
      <w:r w:rsidR="009E238A" w:rsidRPr="003D5A3A">
        <w:t>in</w:t>
      </w:r>
      <w:r w:rsidR="00B41543" w:rsidRPr="003D5A3A">
        <w:t xml:space="preserve">consistent with the recommended place in therapy. Further, the PBAC </w:t>
      </w:r>
      <w:r w:rsidRPr="003D5A3A">
        <w:t xml:space="preserve">agreed with ESC that the cost-utility analysis submitted was limited by the lack of </w:t>
      </w:r>
      <w:r w:rsidR="00662484" w:rsidRPr="003D5A3A">
        <w:t>long-term data</w:t>
      </w:r>
      <w:r w:rsidR="00662484">
        <w:t xml:space="preserve"> </w:t>
      </w:r>
      <w:r w:rsidRPr="00C54C97">
        <w:t xml:space="preserve">available </w:t>
      </w:r>
      <w:r w:rsidR="00E63FD7" w:rsidRPr="00E63FD7">
        <w:t>and the complex nature of the condition</w:t>
      </w:r>
      <w:r>
        <w:t>.</w:t>
      </w:r>
      <w:r w:rsidR="000A16D7" w:rsidRPr="000A16D7">
        <w:t xml:space="preserve"> As such, the PBAC considered the uncertainty in the ICER was unlikely to be adequately resolved with further revisions to the model structure </w:t>
      </w:r>
      <w:r w:rsidR="000A16D7">
        <w:t xml:space="preserve">and reiterated that the cost-per-patient of </w:t>
      </w:r>
      <w:r w:rsidR="000A16D7" w:rsidRPr="000A16D7">
        <w:t xml:space="preserve">IVIg </w:t>
      </w:r>
      <w:r w:rsidR="000A16D7">
        <w:t>could</w:t>
      </w:r>
      <w:r w:rsidR="000A16D7" w:rsidRPr="000A16D7">
        <w:t xml:space="preserve"> provid</w:t>
      </w:r>
      <w:r w:rsidR="000A16D7">
        <w:t>e</w:t>
      </w:r>
      <w:r w:rsidR="000A16D7" w:rsidRPr="000A16D7">
        <w:t xml:space="preserve"> a frame of reference for the newer gMG therapies </w:t>
      </w:r>
      <w:r w:rsidR="000A16D7">
        <w:t>in a cost-comparison approach.</w:t>
      </w:r>
    </w:p>
    <w:p w14:paraId="512DBFC3" w14:textId="29BA3C5C" w:rsidR="000A16D7" w:rsidRDefault="000A16D7" w:rsidP="006E2A77">
      <w:pPr>
        <w:pStyle w:val="COMexecsummnumbered"/>
      </w:pPr>
      <w:r>
        <w:t xml:space="preserve">To determine the average IVIg dose per patient per year, the PBAC considered it would not be practical to use the dose </w:t>
      </w:r>
      <w:r w:rsidR="009E238A">
        <w:t xml:space="preserve">recommended </w:t>
      </w:r>
      <w:r>
        <w:t>in the Product Information (induction dose</w:t>
      </w:r>
      <w:r w:rsidRPr="00155D8F">
        <w:t xml:space="preserve">: 1-2g/kg </w:t>
      </w:r>
      <w:r>
        <w:t xml:space="preserve">and </w:t>
      </w:r>
      <w:r w:rsidRPr="00155D8F">
        <w:t>maintenance</w:t>
      </w:r>
      <w:r>
        <w:t xml:space="preserve"> dose</w:t>
      </w:r>
      <w:r w:rsidRPr="00155D8F">
        <w:t>: 0.4-</w:t>
      </w:r>
      <w:r>
        <w:t xml:space="preserve">1 </w:t>
      </w:r>
      <w:r w:rsidRPr="00155D8F">
        <w:t xml:space="preserve">g/kg every </w:t>
      </w:r>
      <w:r>
        <w:t>4</w:t>
      </w:r>
      <w:r w:rsidRPr="00155D8F">
        <w:t xml:space="preserve"> to 6 weeks</w:t>
      </w:r>
      <w:r>
        <w:t>)</w:t>
      </w:r>
      <w:r>
        <w:rPr>
          <w:rStyle w:val="FootnoteReference"/>
        </w:rPr>
        <w:footnoteReference w:id="8"/>
      </w:r>
      <w:r>
        <w:t xml:space="preserve"> given the wide dose range specified which could result in </w:t>
      </w:r>
      <w:r w:rsidR="009E238A">
        <w:t>ann</w:t>
      </w:r>
      <w:r w:rsidR="002F1A34">
        <w:t>u</w:t>
      </w:r>
      <w:r w:rsidR="009E238A">
        <w:t xml:space="preserve">al </w:t>
      </w:r>
      <w:r>
        <w:t xml:space="preserve">doses </w:t>
      </w:r>
      <w:r w:rsidR="000C2C27">
        <w:t>of</w:t>
      </w:r>
      <w:r>
        <w:t xml:space="preserve"> 352g to 1,172g per patient (using an average patient weight of 83.7 kg per Bril 2024). Further, </w:t>
      </w:r>
      <w:r w:rsidR="003616F6">
        <w:t xml:space="preserve">in Bril 2024 (one of the key studies of chronic IVIg in gMG), IVIg was administered every 3 weeks </w:t>
      </w:r>
      <w:r>
        <w:t>which d</w:t>
      </w:r>
      <w:r w:rsidR="003616F6">
        <w:t>oes</w:t>
      </w:r>
      <w:r>
        <w:t xml:space="preserve"> not align with the Product Information (dosing every 4 to 6 weeks). </w:t>
      </w:r>
    </w:p>
    <w:p w14:paraId="3973E88C" w14:textId="57757074" w:rsidR="00AA17C4" w:rsidRPr="00F0419A" w:rsidRDefault="00AA17C4" w:rsidP="006E2A77">
      <w:pPr>
        <w:pStyle w:val="COMexecsummnumbered"/>
      </w:pPr>
      <w:bookmarkStart w:id="93" w:name="_Ref194046300"/>
      <w:r>
        <w:t>The PBAC acknowledged the NBA data</w:t>
      </w:r>
      <w:r w:rsidR="009B6AAF">
        <w:t xml:space="preserve"> </w:t>
      </w:r>
      <w:r w:rsidR="009F74D0">
        <w:t>was based on the</w:t>
      </w:r>
      <w:r w:rsidR="009B6AAF">
        <w:t xml:space="preserve"> </w:t>
      </w:r>
      <w:r w:rsidR="00897E77" w:rsidRPr="00897E77">
        <w:t>average</w:t>
      </w:r>
      <w:r w:rsidR="009B6AAF">
        <w:t xml:space="preserve"> dose</w:t>
      </w:r>
      <w:r w:rsidR="00897E77" w:rsidRPr="00897E77">
        <w:t xml:space="preserve"> across all severity levels </w:t>
      </w:r>
      <w:r w:rsidR="00BD546B">
        <w:t xml:space="preserve">and thus included </w:t>
      </w:r>
      <w:r w:rsidR="009B6AAF">
        <w:t xml:space="preserve">patients with less severe disease than the </w:t>
      </w:r>
      <w:r w:rsidR="008075DB">
        <w:t xml:space="preserve">threshold for </w:t>
      </w:r>
      <w:r w:rsidR="009B6AAF">
        <w:t xml:space="preserve">initiation </w:t>
      </w:r>
      <w:r w:rsidR="008075DB">
        <w:t xml:space="preserve">of the </w:t>
      </w:r>
      <w:r w:rsidR="009B6AAF">
        <w:t>new therapies</w:t>
      </w:r>
      <w:r w:rsidR="00BD546B">
        <w:t>. Further, use of the 2023-24 NBA data</w:t>
      </w:r>
      <w:r w:rsidR="009F74D0">
        <w:t xml:space="preserve"> </w:t>
      </w:r>
      <w:r w:rsidR="00BD546B">
        <w:t>would</w:t>
      </w:r>
      <w:r w:rsidR="009F74D0">
        <w:t xml:space="preserve"> not account </w:t>
      </w:r>
      <w:r w:rsidR="00BD546B">
        <w:t xml:space="preserve">for </w:t>
      </w:r>
      <w:r w:rsidR="009F74D0">
        <w:t>the varying</w:t>
      </w:r>
      <w:r w:rsidR="009B6AAF">
        <w:t xml:space="preserve"> cost per gram of IVIg (</w:t>
      </w:r>
      <w:r w:rsidR="00BD546B">
        <w:t>which</w:t>
      </w:r>
      <w:r w:rsidR="00BD546B" w:rsidRPr="00897E77">
        <w:t xml:space="preserve"> depend</w:t>
      </w:r>
      <w:r w:rsidR="00BD546B">
        <w:t>s</w:t>
      </w:r>
      <w:r w:rsidR="00BD546B" w:rsidRPr="00897E77">
        <w:t xml:space="preserve"> on the proportion of imported IVIg</w:t>
      </w:r>
      <w:r w:rsidR="00BD546B">
        <w:t>,</w:t>
      </w:r>
      <w:r w:rsidR="00BD546B" w:rsidRPr="00897E77">
        <w:t xml:space="preserve"> </w:t>
      </w:r>
      <w:r w:rsidR="00BD546B">
        <w:t>with the cost in 2023-24 being higher than previous years</w:t>
      </w:r>
      <w:r w:rsidR="009B6AAF">
        <w:t>)</w:t>
      </w:r>
      <w:r w:rsidR="00897E77" w:rsidRPr="00897E77">
        <w:t>.</w:t>
      </w:r>
      <w:r w:rsidR="000C2BDE">
        <w:t xml:space="preserve"> </w:t>
      </w:r>
      <w:bookmarkStart w:id="94" w:name="_Hlk194585929"/>
      <w:r w:rsidR="00E82BE5">
        <w:t>Notwithstanding this</w:t>
      </w:r>
      <w:r w:rsidR="000C2BDE" w:rsidRPr="00F0419A">
        <w:t>,</w:t>
      </w:r>
      <w:r w:rsidR="000A16D7" w:rsidRPr="00F0419A">
        <w:t xml:space="preserve"> the PBAC considered</w:t>
      </w:r>
      <w:r w:rsidR="007B62F7" w:rsidRPr="00F0419A">
        <w:t xml:space="preserve"> the IVIg utilisation data from the NBA</w:t>
      </w:r>
      <w:r w:rsidR="000A16D7" w:rsidRPr="00F0419A">
        <w:t xml:space="preserve"> was the most </w:t>
      </w:r>
      <w:r w:rsidR="00BD546B">
        <w:t xml:space="preserve">appropriate </w:t>
      </w:r>
      <w:r w:rsidR="000A16D7" w:rsidRPr="00F0419A">
        <w:t>data available</w:t>
      </w:r>
      <w:r w:rsidR="007B62F7" w:rsidRPr="00F0419A">
        <w:t xml:space="preserve"> for determining the average annual dose of IVIg </w:t>
      </w:r>
      <w:r w:rsidR="00FC1A3E">
        <w:t xml:space="preserve">being used </w:t>
      </w:r>
      <w:r w:rsidR="007B62F7" w:rsidRPr="00F0419A">
        <w:t>in Australian patients</w:t>
      </w:r>
      <w:r w:rsidR="000A16D7" w:rsidRPr="00F0419A">
        <w:t>.</w:t>
      </w:r>
      <w:bookmarkEnd w:id="93"/>
      <w:r w:rsidR="00897E77" w:rsidRPr="00F0419A">
        <w:t xml:space="preserve"> </w:t>
      </w:r>
      <w:bookmarkEnd w:id="94"/>
    </w:p>
    <w:p w14:paraId="3E457FE5" w14:textId="307E64FA" w:rsidR="003B1252" w:rsidRDefault="003B1252" w:rsidP="006E2A77">
      <w:pPr>
        <w:pStyle w:val="COMexecsummnumbered"/>
      </w:pPr>
      <w:bookmarkStart w:id="95" w:name="_Ref194427278"/>
      <w:r>
        <w:lastRenderedPageBreak/>
        <w:t xml:space="preserve">The PBAC considered that a cost-comparison versus IVIg </w:t>
      </w:r>
      <w:r w:rsidR="002C60AF">
        <w:t xml:space="preserve">would need to </w:t>
      </w:r>
      <w:r w:rsidR="008F6179">
        <w:t>be based on the drug cost per patient per year accounting for</w:t>
      </w:r>
      <w:r w:rsidR="007C6D46">
        <w:t>:</w:t>
      </w:r>
      <w:bookmarkEnd w:id="95"/>
    </w:p>
    <w:p w14:paraId="19AAC070" w14:textId="0BFCE67D" w:rsidR="003B1252" w:rsidRPr="00815370" w:rsidRDefault="008F6179" w:rsidP="006E2A77">
      <w:pPr>
        <w:pStyle w:val="COMexecsummbulletlist"/>
        <w:ind w:left="1134" w:hanging="283"/>
      </w:pPr>
      <w:r>
        <w:t xml:space="preserve">the </w:t>
      </w:r>
      <w:r w:rsidR="00BC22F3">
        <w:t>t</w:t>
      </w:r>
      <w:r w:rsidR="003B1252">
        <w:t xml:space="preserve">otal average annual dose </w:t>
      </w:r>
      <w:r w:rsidR="00E63FD7">
        <w:t xml:space="preserve">of IVIg per patient </w:t>
      </w:r>
      <w:r>
        <w:t xml:space="preserve">observed in the NBA data </w:t>
      </w:r>
      <w:r w:rsidR="0041412E">
        <w:t>(</w:t>
      </w:r>
      <w:r w:rsidR="00BC22F3">
        <w:t>for maintenance gMG</w:t>
      </w:r>
      <w:r w:rsidR="007A7D1E">
        <w:t>)</w:t>
      </w:r>
      <w:r w:rsidR="003616F6">
        <w:t xml:space="preserve"> of </w:t>
      </w:r>
      <w:r w:rsidR="005F5822" w:rsidRPr="005F5822">
        <w:t xml:space="preserve">541.1 </w:t>
      </w:r>
      <w:r w:rsidR="005F5822" w:rsidRPr="00815370">
        <w:t>grams per year</w:t>
      </w:r>
      <w:r w:rsidR="000B0D82" w:rsidRPr="00815370">
        <w:t xml:space="preserve"> (shown in </w:t>
      </w:r>
      <w:r w:rsidR="000B0D82" w:rsidRPr="00815370">
        <w:fldChar w:fldCharType="begin"/>
      </w:r>
      <w:r w:rsidR="000B0D82" w:rsidRPr="00815370">
        <w:instrText xml:space="preserve"> REF _Ref193116172 \h  \* MERGEFORMAT </w:instrText>
      </w:r>
      <w:r w:rsidR="000B0D82" w:rsidRPr="00815370">
        <w:fldChar w:fldCharType="separate"/>
      </w:r>
      <w:r w:rsidR="00875704" w:rsidRPr="00875704">
        <w:t>Table 21</w:t>
      </w:r>
      <w:r w:rsidR="000B0D82" w:rsidRPr="00815370">
        <w:fldChar w:fldCharType="end"/>
      </w:r>
      <w:r w:rsidR="000B0D82" w:rsidRPr="00815370">
        <w:t>)</w:t>
      </w:r>
      <w:r w:rsidR="005F5822" w:rsidRPr="00815370">
        <w:t>.</w:t>
      </w:r>
    </w:p>
    <w:p w14:paraId="49F32B0B" w14:textId="5B23B20C" w:rsidR="006A65AA" w:rsidRPr="00815370" w:rsidRDefault="008F6179" w:rsidP="006E2A77">
      <w:pPr>
        <w:pStyle w:val="COMexecsummbulletlist"/>
        <w:ind w:left="1134" w:hanging="283"/>
      </w:pPr>
      <w:r w:rsidRPr="00815370">
        <w:t xml:space="preserve">the ravulizumab dose </w:t>
      </w:r>
      <w:r w:rsidR="006A65AA" w:rsidRPr="00815370">
        <w:t>recommended</w:t>
      </w:r>
      <w:r w:rsidRPr="00815370">
        <w:t xml:space="preserve"> in the product information assuming the same weight distribution as patients in the trial</w:t>
      </w:r>
      <w:r w:rsidR="007B270C" w:rsidRPr="00815370">
        <w:t xml:space="preserve"> (outlined in </w:t>
      </w:r>
      <w:r w:rsidR="007B270C" w:rsidRPr="00815370">
        <w:fldChar w:fldCharType="begin"/>
      </w:r>
      <w:r w:rsidR="007B270C" w:rsidRPr="00815370">
        <w:instrText xml:space="preserve"> REF _Ref187653162 \h </w:instrText>
      </w:r>
      <w:r w:rsidR="00815370">
        <w:instrText xml:space="preserve"> \* MERGEFORMAT </w:instrText>
      </w:r>
      <w:r w:rsidR="007B270C" w:rsidRPr="00815370">
        <w:fldChar w:fldCharType="separate"/>
      </w:r>
      <w:r w:rsidR="00875704" w:rsidRPr="00704B78">
        <w:t xml:space="preserve">Table </w:t>
      </w:r>
      <w:r w:rsidR="00875704">
        <w:rPr>
          <w:noProof/>
        </w:rPr>
        <w:t>17</w:t>
      </w:r>
      <w:r w:rsidR="007B270C" w:rsidRPr="00815370">
        <w:fldChar w:fldCharType="end"/>
      </w:r>
      <w:r w:rsidR="007B270C" w:rsidRPr="00815370">
        <w:t>)</w:t>
      </w:r>
      <w:r w:rsidRPr="00815370">
        <w:t xml:space="preserve">, not accounting for response rates. </w:t>
      </w:r>
      <w:r w:rsidR="006A65AA" w:rsidRPr="00815370">
        <w:t>The PBAC considered it would be reasonable to exclude the ravulizumab loading dose from the cost-comparison (i.e. account for 6.5 ravulizumab maintenance doses per year) given the IVIg dose was akin to a steady state dose. Compliance assumptions of around 95% may be appropriate for the complement inhibitors (administered on a chronic basis) given the cost-comparison approach being applied. Based on these assumptions the average annual dose of ravulizumab would be: 20,854 mg per year (</w:t>
      </w:r>
      <w:r w:rsidR="005E6E8A" w:rsidRPr="00815370">
        <w:t xml:space="preserve">i.e. </w:t>
      </w:r>
      <w:r w:rsidR="006A65AA" w:rsidRPr="00815370">
        <w:t>21,95</w:t>
      </w:r>
      <w:r w:rsidR="00EC26C7" w:rsidRPr="00815370">
        <w:t>1</w:t>
      </w:r>
      <w:r w:rsidR="006A65AA" w:rsidRPr="00815370">
        <w:t xml:space="preserve"> x 0.95</w:t>
      </w:r>
      <w:r w:rsidR="005E6E8A" w:rsidRPr="00815370">
        <w:t xml:space="preserve"> compliance</w:t>
      </w:r>
      <w:r w:rsidR="006A65AA" w:rsidRPr="00815370">
        <w:t>).</w:t>
      </w:r>
    </w:p>
    <w:p w14:paraId="5C151F35" w14:textId="0EC5CDDB" w:rsidR="0089484D" w:rsidRPr="00EC26C7" w:rsidRDefault="0089484D" w:rsidP="006E2A77">
      <w:pPr>
        <w:pStyle w:val="COMexecsummbulletlist"/>
        <w:ind w:left="1134" w:hanging="283"/>
      </w:pPr>
      <w:r w:rsidRPr="00815370">
        <w:t>a small premium to account for the administration benefits associated with the newer therapies compared with</w:t>
      </w:r>
      <w:r w:rsidRPr="00EC26C7">
        <w:t xml:space="preserve"> IVIg, noting the extensive administration requirements associated with IVIg, with an infusion time of around 2 to 4 hours and up to 8 hours, which have resource implications and a direct impact on patient</w:t>
      </w:r>
      <w:r w:rsidR="00EC26C7">
        <w:t>s and carers</w:t>
      </w:r>
      <w:r w:rsidRPr="00EC26C7">
        <w:t>.</w:t>
      </w:r>
    </w:p>
    <w:p w14:paraId="3DDCF97F" w14:textId="0A092895" w:rsidR="00906051" w:rsidRPr="003D5A3A" w:rsidRDefault="00906051" w:rsidP="006E2A77">
      <w:pPr>
        <w:pStyle w:val="COMexecsummbulletlist"/>
        <w:ind w:left="1134" w:hanging="283"/>
      </w:pPr>
      <w:r w:rsidRPr="003D5A3A">
        <w:t>meningococcal vaccination for the complement inhibitors.</w:t>
      </w:r>
    </w:p>
    <w:p w14:paraId="6E7020F8" w14:textId="54AC387D" w:rsidR="003649DA" w:rsidRPr="003D5A3A" w:rsidRDefault="00BC22F3" w:rsidP="006E2A77">
      <w:pPr>
        <w:pStyle w:val="COMexecsummnumbered"/>
      </w:pPr>
      <w:r w:rsidRPr="003D5A3A">
        <w:t>The PBAC noted the results of a cost-per-responder analysis</w:t>
      </w:r>
      <w:r w:rsidR="003649DA" w:rsidRPr="003D5A3A">
        <w:t xml:space="preserve"> versus placebo</w:t>
      </w:r>
      <w:r w:rsidR="003C7B2B" w:rsidRPr="003D5A3A">
        <w:t xml:space="preserve"> </w:t>
      </w:r>
      <w:r w:rsidR="00E14A88" w:rsidRPr="003D5A3A">
        <w:t xml:space="preserve">which assumed the same drug cost per patient as IVIg (based on the NBA data), along with the average </w:t>
      </w:r>
      <w:r w:rsidR="003649DA" w:rsidRPr="003D5A3A">
        <w:t xml:space="preserve">incremental </w:t>
      </w:r>
      <w:r w:rsidR="00E14A88" w:rsidRPr="003D5A3A">
        <w:t xml:space="preserve">response rate across the four gMG trials </w:t>
      </w:r>
      <w:r w:rsidR="003C7B2B" w:rsidRPr="003D5A3A">
        <w:t xml:space="preserve">(refer to paragraph </w:t>
      </w:r>
      <w:r w:rsidR="00F223A8" w:rsidRPr="003D5A3A">
        <w:fldChar w:fldCharType="begin"/>
      </w:r>
      <w:r w:rsidR="00F223A8" w:rsidRPr="003D5A3A">
        <w:instrText xml:space="preserve"> REF _Ref193117743 \r \h </w:instrText>
      </w:r>
      <w:r w:rsidR="003D5A3A">
        <w:instrText xml:space="preserve"> \* MERGEFORMAT </w:instrText>
      </w:r>
      <w:r w:rsidR="00F223A8" w:rsidRPr="003D5A3A">
        <w:fldChar w:fldCharType="separate"/>
      </w:r>
      <w:r w:rsidR="00875704">
        <w:t>6.88</w:t>
      </w:r>
      <w:r w:rsidR="00F223A8" w:rsidRPr="003D5A3A">
        <w:fldChar w:fldCharType="end"/>
      </w:r>
      <w:r w:rsidR="003C7B2B" w:rsidRPr="003D5A3A">
        <w:t>)</w:t>
      </w:r>
      <w:r w:rsidR="00E14A88" w:rsidRPr="003D5A3A">
        <w:t xml:space="preserve">. The PBAC </w:t>
      </w:r>
      <w:r w:rsidRPr="003D5A3A">
        <w:t xml:space="preserve">considered </w:t>
      </w:r>
      <w:r w:rsidR="003649DA" w:rsidRPr="003D5A3A">
        <w:t xml:space="preserve">cost-per-responder analysis supported that the new therapies would be cost effective if priced based on </w:t>
      </w:r>
      <w:r w:rsidR="009E238A" w:rsidRPr="003D5A3A">
        <w:t xml:space="preserve">the </w:t>
      </w:r>
      <w:r w:rsidR="003649DA" w:rsidRPr="003D5A3A">
        <w:t>IVIg cost as outlined above.</w:t>
      </w:r>
    </w:p>
    <w:p w14:paraId="3A18E210" w14:textId="1A167A63" w:rsidR="003C7B2B" w:rsidRPr="003D5A3A" w:rsidRDefault="00162BF2" w:rsidP="006E2A77">
      <w:pPr>
        <w:pStyle w:val="COMexecsummnumbered"/>
      </w:pPr>
      <w:bookmarkStart w:id="96" w:name="_Ref194349212"/>
      <w:r w:rsidRPr="003D5A3A">
        <w:t xml:space="preserve">The PBAC advised that the financial estimates should </w:t>
      </w:r>
      <w:r w:rsidR="007B270C" w:rsidRPr="003D5A3A">
        <w:t>take</w:t>
      </w:r>
      <w:r w:rsidRPr="003D5A3A">
        <w:t xml:space="preserve"> the total number of patients accessing IVIg as gMG maintenance therapy</w:t>
      </w:r>
      <w:r w:rsidR="007B270C" w:rsidRPr="003D5A3A">
        <w:t xml:space="preserve"> as a starting point</w:t>
      </w:r>
      <w:r w:rsidRPr="003D5A3A">
        <w:t xml:space="preserve">, which </w:t>
      </w:r>
      <w:r w:rsidRPr="00891511">
        <w:t>was 1,324</w:t>
      </w:r>
      <w:r w:rsidRPr="003D5A3A">
        <w:t xml:space="preserve"> in 2023-24</w:t>
      </w:r>
      <w:r w:rsidR="007A384B" w:rsidRPr="003D5A3A">
        <w:t xml:space="preserve"> (refer to </w:t>
      </w:r>
      <w:r w:rsidR="007A384B" w:rsidRPr="003D5A3A">
        <w:fldChar w:fldCharType="begin"/>
      </w:r>
      <w:r w:rsidR="007A384B" w:rsidRPr="003D5A3A">
        <w:instrText xml:space="preserve"> REF _Ref193702983 \h  \* MERGEFORMAT </w:instrText>
      </w:r>
      <w:r w:rsidR="007A384B" w:rsidRPr="003D5A3A">
        <w:fldChar w:fldCharType="separate"/>
      </w:r>
      <w:r w:rsidR="00875704" w:rsidRPr="00875704">
        <w:t>Table 20</w:t>
      </w:r>
      <w:r w:rsidR="007A384B" w:rsidRPr="003D5A3A">
        <w:fldChar w:fldCharType="end"/>
      </w:r>
      <w:r w:rsidR="007A384B" w:rsidRPr="003D5A3A">
        <w:t>)</w:t>
      </w:r>
      <w:r w:rsidRPr="003D5A3A">
        <w:t xml:space="preserve">. The PBAC considered the following should </w:t>
      </w:r>
      <w:r w:rsidR="007B270C" w:rsidRPr="003D5A3A">
        <w:t xml:space="preserve">then </w:t>
      </w:r>
      <w:r w:rsidRPr="003D5A3A">
        <w:t xml:space="preserve">be applied: market growth (of around 4% per year, based on the last five years of IVIg data); </w:t>
      </w:r>
      <w:r w:rsidR="00143925" w:rsidRPr="003D5A3A">
        <w:t xml:space="preserve">and </w:t>
      </w:r>
      <w:r w:rsidRPr="003D5A3A">
        <w:t>the proportion of patients whose gMG is AChR+ (of around 86%</w:t>
      </w:r>
      <w:r w:rsidR="00C35090" w:rsidRPr="003D5A3A">
        <w:t>, based on the pooled estimates provided in one of the submissions</w:t>
      </w:r>
      <w:r w:rsidR="00DE3E0C" w:rsidRPr="003D5A3A">
        <w:t xml:space="preserve">, noting this is </w:t>
      </w:r>
      <w:r w:rsidR="00C35090" w:rsidRPr="003D5A3A">
        <w:t xml:space="preserve">similar to the estimate </w:t>
      </w:r>
      <w:r w:rsidR="00DE3E0C" w:rsidRPr="003D5A3A">
        <w:t xml:space="preserve">of 88% </w:t>
      </w:r>
      <w:r w:rsidR="00C35090" w:rsidRPr="003D5A3A">
        <w:t>provided in Hendricks et al. 2019</w:t>
      </w:r>
      <w:r w:rsidR="00DE3E0C" w:rsidRPr="003D5A3A">
        <w:t>, which was the only estimate included in the ravulizumab submission that was based on a gMG population</w:t>
      </w:r>
      <w:r w:rsidRPr="003D5A3A">
        <w:t>).</w:t>
      </w:r>
      <w:bookmarkEnd w:id="96"/>
    </w:p>
    <w:p w14:paraId="072D39A2" w14:textId="053BF4D9" w:rsidR="00162BF2" w:rsidRDefault="00162BF2" w:rsidP="006E2A77">
      <w:pPr>
        <w:pStyle w:val="COMexecsummnumbered"/>
      </w:pPr>
      <w:r w:rsidRPr="003D5A3A">
        <w:t>The PBAC advised</w:t>
      </w:r>
      <w:r>
        <w:t xml:space="preserve"> that uptake </w:t>
      </w:r>
      <w:r w:rsidR="00EA4377">
        <w:t xml:space="preserve">should be based on the new therapies as a group, and </w:t>
      </w:r>
      <w:r w:rsidR="00143925">
        <w:t>sh</w:t>
      </w:r>
      <w:r>
        <w:t>ould be from two key groups</w:t>
      </w:r>
      <w:r w:rsidR="00EA4377">
        <w:t xml:space="preserve"> within existing IVIg users</w:t>
      </w:r>
      <w:r>
        <w:t>:</w:t>
      </w:r>
    </w:p>
    <w:p w14:paraId="6FC40B24" w14:textId="48A6B8EB" w:rsidR="00162BF2" w:rsidRDefault="00671A85" w:rsidP="006E2A77">
      <w:pPr>
        <w:pStyle w:val="COMexecsummbulletlist"/>
        <w:ind w:left="1134" w:hanging="283"/>
      </w:pPr>
      <w:bookmarkStart w:id="97" w:name="_Hlk194586127"/>
      <w:bookmarkStart w:id="98" w:name="_Hlk194586155"/>
      <w:r>
        <w:t>u</w:t>
      </w:r>
      <w:r w:rsidR="00162BF2" w:rsidRPr="00162BF2">
        <w:t>ptake from new patients and existing IVIg users with ongoing functional impairment</w:t>
      </w:r>
      <w:r w:rsidR="00934084">
        <w:t xml:space="preserve"> (i.e. </w:t>
      </w:r>
      <w:r w:rsidR="00F555BD" w:rsidRPr="00875704">
        <w:rPr>
          <w:color w:val="000000"/>
          <w:w w:val="15"/>
          <w:shd w:val="solid" w:color="000000" w:fill="000000"/>
          <w:fitText w:val="-20" w:id="-691349748"/>
          <w14:textFill>
            <w14:solidFill>
              <w14:srgbClr w14:val="000000">
                <w14:alpha w14:val="100000"/>
              </w14:srgbClr>
            </w14:solidFill>
          </w14:textFill>
        </w:rPr>
        <w:t>|</w:t>
      </w:r>
      <w:r w:rsidR="00D61CA6" w:rsidRPr="00875704">
        <w:rPr>
          <w:color w:val="000000"/>
          <w:w w:val="15"/>
          <w:shd w:val="solid" w:color="000000" w:fill="000000"/>
          <w:fitText w:val="-20" w:id="-691349748"/>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8"/>
          <w14:textFill>
            <w14:solidFill>
              <w14:srgbClr w14:val="000000">
                <w14:alpha w14:val="100000"/>
              </w14:srgbClr>
            </w14:solidFill>
          </w14:textFill>
        </w:rPr>
        <w:t>|</w:t>
      </w:r>
      <w:r w:rsidR="001316DC">
        <w:t xml:space="preserve">% of the </w:t>
      </w:r>
      <w:proofErr w:type="spellStart"/>
      <w:r w:rsidR="007C2262">
        <w:t>AChR</w:t>
      </w:r>
      <w:proofErr w:type="spellEnd"/>
      <w:r w:rsidR="007C2262">
        <w:t xml:space="preserve">+ </w:t>
      </w:r>
      <w:r w:rsidR="002E2A93">
        <w:t xml:space="preserve">patient cohort, </w:t>
      </w:r>
      <w:r w:rsidR="00821221">
        <w:fldChar w:fldCharType="begin"/>
      </w:r>
      <w:r w:rsidR="00821221">
        <w:instrText xml:space="preserve"> REF _Ref193702983 \h  \* MERGEFORMAT </w:instrText>
      </w:r>
      <w:r w:rsidR="00821221">
        <w:fldChar w:fldCharType="separate"/>
      </w:r>
      <w:r w:rsidR="00875704" w:rsidRPr="00875704">
        <w:t>Table 20</w:t>
      </w:r>
      <w:r w:rsidR="00821221">
        <w:fldChar w:fldCharType="end"/>
      </w:r>
      <w:r w:rsidR="002E2A93">
        <w:t>)</w:t>
      </w:r>
      <w:r w:rsidR="00162BF2">
        <w:t>. This group would likely have relatively high uptake</w:t>
      </w:r>
      <w:r w:rsidR="00EA4377">
        <w:t xml:space="preserve"> of the new therapies (potentially up to </w:t>
      </w:r>
      <w:r w:rsidR="00F555BD" w:rsidRPr="00875704">
        <w:rPr>
          <w:color w:val="000000"/>
          <w:w w:val="15"/>
          <w:shd w:val="solid" w:color="000000" w:fill="000000"/>
          <w:fitText w:val="-20" w:id="-691349747"/>
          <w14:textFill>
            <w14:solidFill>
              <w14:srgbClr w14:val="000000">
                <w14:alpha w14:val="100000"/>
              </w14:srgbClr>
            </w14:solidFill>
          </w14:textFill>
        </w:rPr>
        <w:t>|</w:t>
      </w:r>
      <w:r w:rsidR="00D61CA6" w:rsidRPr="00875704">
        <w:rPr>
          <w:color w:val="000000"/>
          <w:w w:val="15"/>
          <w:shd w:val="solid" w:color="000000" w:fill="000000"/>
          <w:fitText w:val="-20" w:id="-691349747"/>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747"/>
          <w14:textFill>
            <w14:solidFill>
              <w14:srgbClr w14:val="000000">
                <w14:alpha w14:val="100000"/>
              </w14:srgbClr>
            </w14:solidFill>
          </w14:textFill>
        </w:rPr>
        <w:t>|</w:t>
      </w:r>
      <w:r w:rsidR="00EA4377">
        <w:t>%)</w:t>
      </w:r>
      <w:bookmarkEnd w:id="97"/>
      <w:r w:rsidR="00162BF2">
        <w:t xml:space="preserve">. </w:t>
      </w:r>
    </w:p>
    <w:p w14:paraId="1A7B21B2" w14:textId="28B28CCC" w:rsidR="00A137C3" w:rsidRDefault="00671A85" w:rsidP="006E2A77">
      <w:pPr>
        <w:pStyle w:val="COMexecsummbulletlist"/>
        <w:ind w:left="1134" w:hanging="283"/>
      </w:pPr>
      <w:r>
        <w:lastRenderedPageBreak/>
        <w:t>u</w:t>
      </w:r>
      <w:r w:rsidR="00162BF2" w:rsidRPr="00162BF2">
        <w:t>ptake from prevalent patients</w:t>
      </w:r>
      <w:r w:rsidR="002E2A93">
        <w:t xml:space="preserve"> </w:t>
      </w:r>
      <w:bookmarkStart w:id="99" w:name="_Hlk194433402"/>
      <w:r w:rsidR="002E2A93">
        <w:t xml:space="preserve">(i.e. the remaining </w:t>
      </w:r>
      <w:r w:rsidR="00F555BD" w:rsidRPr="00875704">
        <w:rPr>
          <w:color w:val="000000"/>
          <w:w w:val="15"/>
          <w:shd w:val="solid" w:color="000000" w:fill="000000"/>
          <w:fitText w:val="-20" w:id="-691349504"/>
          <w14:textFill>
            <w14:solidFill>
              <w14:srgbClr w14:val="000000">
                <w14:alpha w14:val="100000"/>
              </w14:srgbClr>
            </w14:solidFill>
          </w14:textFill>
        </w:rPr>
        <w:t>|</w:t>
      </w:r>
      <w:r w:rsidR="00D61CA6" w:rsidRPr="00875704">
        <w:rPr>
          <w:color w:val="000000"/>
          <w:w w:val="15"/>
          <w:shd w:val="solid" w:color="000000" w:fill="000000"/>
          <w:fitText w:val="-20" w:id="-691349504"/>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504"/>
          <w14:textFill>
            <w14:solidFill>
              <w14:srgbClr w14:val="000000">
                <w14:alpha w14:val="100000"/>
              </w14:srgbClr>
            </w14:solidFill>
          </w14:textFill>
        </w:rPr>
        <w:t>|</w:t>
      </w:r>
      <w:r w:rsidR="00270355">
        <w:t>% of the AChR+ patient c</w:t>
      </w:r>
      <w:r w:rsidR="000D0696">
        <w:t>o</w:t>
      </w:r>
      <w:r w:rsidR="00270355">
        <w:t>hort)</w:t>
      </w:r>
      <w:r w:rsidR="00162BF2" w:rsidRPr="00162BF2">
        <w:t xml:space="preserve"> </w:t>
      </w:r>
      <w:bookmarkEnd w:id="99"/>
      <w:r w:rsidR="00162BF2" w:rsidRPr="00162BF2">
        <w:t>already established on IVIg</w:t>
      </w:r>
      <w:r w:rsidR="00EA4377">
        <w:t xml:space="preserve"> (uptake of around </w:t>
      </w:r>
      <w:r w:rsidR="00F555BD" w:rsidRPr="00875704">
        <w:rPr>
          <w:color w:val="000000"/>
          <w:w w:val="15"/>
          <w:shd w:val="solid" w:color="000000" w:fill="000000"/>
          <w:fitText w:val="-20" w:id="-691349503"/>
          <w14:textFill>
            <w14:solidFill>
              <w14:srgbClr w14:val="000000">
                <w14:alpha w14:val="100000"/>
              </w14:srgbClr>
            </w14:solidFill>
          </w14:textFill>
        </w:rPr>
        <w:t>|</w:t>
      </w:r>
      <w:r w:rsidR="00D61CA6" w:rsidRPr="00875704">
        <w:rPr>
          <w:color w:val="000000"/>
          <w:w w:val="15"/>
          <w:shd w:val="solid" w:color="000000" w:fill="000000"/>
          <w:fitText w:val="-20" w:id="-691349503"/>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503"/>
          <w14:textFill>
            <w14:solidFill>
              <w14:srgbClr w14:val="000000">
                <w14:alpha w14:val="100000"/>
              </w14:srgbClr>
            </w14:solidFill>
          </w14:textFill>
        </w:rPr>
        <w:t>|</w:t>
      </w:r>
      <w:r w:rsidR="00EA4377">
        <w:t>%)</w:t>
      </w:r>
      <w:r w:rsidR="00143925">
        <w:t>.</w:t>
      </w:r>
    </w:p>
    <w:bookmarkEnd w:id="98"/>
    <w:p w14:paraId="56BC65BB" w14:textId="591F0C6C" w:rsidR="00143925" w:rsidRDefault="00EA4377" w:rsidP="006E2A77">
      <w:pPr>
        <w:pStyle w:val="COMexecsummnumbered"/>
      </w:pPr>
      <w:r>
        <w:t xml:space="preserve">The PBAC advised that the </w:t>
      </w:r>
      <w:proofErr w:type="gramStart"/>
      <w:r>
        <w:t>aforementioned uptake</w:t>
      </w:r>
      <w:proofErr w:type="gramEnd"/>
      <w:r>
        <w:t xml:space="preserve"> rates were intended to account for</w:t>
      </w:r>
      <w:r w:rsidR="00026F27">
        <w:t xml:space="preserve">: </w:t>
      </w:r>
      <w:r>
        <w:t>any additional eligible patients (</w:t>
      </w:r>
      <w:r w:rsidRPr="00EA4377">
        <w:t xml:space="preserve">e.g. </w:t>
      </w:r>
      <w:r w:rsidR="0032616E" w:rsidRPr="00EA4377">
        <w:t xml:space="preserve">patients </w:t>
      </w:r>
      <w:r w:rsidRPr="00EA4377">
        <w:t xml:space="preserve">who are not responding </w:t>
      </w:r>
      <w:r>
        <w:t xml:space="preserve">to, </w:t>
      </w:r>
      <w:r w:rsidRPr="00EA4377">
        <w:t>or</w:t>
      </w:r>
      <w:r>
        <w:t xml:space="preserve"> who are </w:t>
      </w:r>
      <w:r w:rsidRPr="00EA4377">
        <w:t>unable to be treated with IVIg</w:t>
      </w:r>
      <w:r>
        <w:t>)</w:t>
      </w:r>
      <w:r w:rsidR="00026F27">
        <w:t xml:space="preserve">; </w:t>
      </w:r>
      <w:r w:rsidR="006066CC">
        <w:t xml:space="preserve">the PBS restriction being narrower than the current IVIg criteria; </w:t>
      </w:r>
      <w:r w:rsidR="0032616E" w:rsidRPr="0081336B">
        <w:t xml:space="preserve">and the </w:t>
      </w:r>
      <w:r w:rsidR="00026F27" w:rsidRPr="0081336B">
        <w:t>stopping rules (as these would generally mirror how IVIg is used in practice)</w:t>
      </w:r>
      <w:r w:rsidR="0096524D" w:rsidRPr="0081336B">
        <w:t xml:space="preserve">. </w:t>
      </w:r>
      <w:r w:rsidR="00BB3376" w:rsidRPr="0081336B">
        <w:t xml:space="preserve">The aforementioned rates would equate to an overall uptake rate of around </w:t>
      </w:r>
      <w:r w:rsidR="00F555BD" w:rsidRPr="00875704">
        <w:rPr>
          <w:color w:val="000000"/>
          <w:w w:val="15"/>
          <w:shd w:val="solid" w:color="000000" w:fill="000000"/>
          <w:fitText w:val="-20" w:id="-691349502"/>
          <w14:textFill>
            <w14:solidFill>
              <w14:srgbClr w14:val="000000">
                <w14:alpha w14:val="100000"/>
              </w14:srgbClr>
            </w14:solidFill>
          </w14:textFill>
        </w:rPr>
        <w:t>|</w:t>
      </w:r>
      <w:r w:rsidR="00D61CA6" w:rsidRPr="00875704">
        <w:rPr>
          <w:color w:val="000000"/>
          <w:w w:val="15"/>
          <w:shd w:val="solid" w:color="000000" w:fill="000000"/>
          <w:fitText w:val="-20" w:id="-691349502"/>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502"/>
          <w14:textFill>
            <w14:solidFill>
              <w14:srgbClr w14:val="000000">
                <w14:alpha w14:val="100000"/>
              </w14:srgbClr>
            </w14:solidFill>
          </w14:textFill>
        </w:rPr>
        <w:t>|</w:t>
      </w:r>
      <w:r w:rsidR="00BB3376" w:rsidRPr="0081336B">
        <w:t xml:space="preserve">% in Year 1 (i.e. </w:t>
      </w:r>
      <w:r w:rsidR="00F555BD" w:rsidRPr="00875704">
        <w:rPr>
          <w:color w:val="000000"/>
          <w:w w:val="15"/>
          <w:shd w:val="solid" w:color="000000" w:fill="000000"/>
          <w:fitText w:val="-20" w:id="-691349501"/>
          <w14:textFill>
            <w14:solidFill>
              <w14:srgbClr w14:val="000000">
                <w14:alpha w14:val="100000"/>
              </w14:srgbClr>
            </w14:solidFill>
          </w14:textFill>
        </w:rPr>
        <w:t>|</w:t>
      </w:r>
      <w:r w:rsidR="00D61CA6" w:rsidRPr="00875704">
        <w:rPr>
          <w:color w:val="000000"/>
          <w:w w:val="15"/>
          <w:shd w:val="solid" w:color="000000" w:fill="000000"/>
          <w:fitText w:val="-20" w:id="-691349501"/>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501"/>
          <w14:textFill>
            <w14:solidFill>
              <w14:srgbClr w14:val="000000">
                <w14:alpha w14:val="100000"/>
              </w14:srgbClr>
            </w14:solidFill>
          </w14:textFill>
        </w:rPr>
        <w:t>|</w:t>
      </w:r>
      <w:r w:rsidR="00BB3376" w:rsidRPr="0081336B">
        <w:t>% of all patients on IVIg for AChR+ gMG would commence a new gMG therapy in Year 1 of listing</w:t>
      </w:r>
      <w:r w:rsidR="0081336B" w:rsidRPr="0081336B">
        <w:t xml:space="preserve">, refer to </w:t>
      </w:r>
      <w:r w:rsidR="0081336B" w:rsidRPr="0081336B">
        <w:fldChar w:fldCharType="begin"/>
      </w:r>
      <w:r w:rsidR="0081336B" w:rsidRPr="0081336B">
        <w:instrText xml:space="preserve"> REF _Ref193702983 \h  \* MERGEFORMAT </w:instrText>
      </w:r>
      <w:r w:rsidR="0081336B" w:rsidRPr="0081336B">
        <w:fldChar w:fldCharType="separate"/>
      </w:r>
      <w:r w:rsidR="00875704" w:rsidRPr="00875704">
        <w:t>Table 20</w:t>
      </w:r>
      <w:r w:rsidR="0081336B" w:rsidRPr="0081336B">
        <w:fldChar w:fldCharType="end"/>
      </w:r>
      <w:r w:rsidR="00BB3376" w:rsidRPr="0081336B">
        <w:t>). The PBAC considered this was at the higher end of plausibility given the proportion of patients on IVIg who would be eligible for the new therapies could potentially be quite low.</w:t>
      </w:r>
    </w:p>
    <w:p w14:paraId="54FC476E" w14:textId="309BC204" w:rsidR="00162BF2" w:rsidRDefault="00162BF2" w:rsidP="006E2A77">
      <w:pPr>
        <w:pStyle w:val="COMexecsummnumbered"/>
      </w:pPr>
      <w:r>
        <w:t>The PBAC advised that u</w:t>
      </w:r>
      <w:r w:rsidRPr="00162BF2">
        <w:t xml:space="preserve">ptake </w:t>
      </w:r>
      <w:r>
        <w:t xml:space="preserve">was </w:t>
      </w:r>
      <w:r w:rsidRPr="00162BF2">
        <w:t>likely to increase over time</w:t>
      </w:r>
      <w:r w:rsidR="00EA4377">
        <w:t xml:space="preserve">, and that this </w:t>
      </w:r>
      <w:r w:rsidRPr="00162BF2">
        <w:t>may be gradual given the large prevalent pool with a long history of IVIg us</w:t>
      </w:r>
      <w:r w:rsidR="0032616E">
        <w:t>e</w:t>
      </w:r>
      <w:r w:rsidR="00EA4377">
        <w:t xml:space="preserve">. </w:t>
      </w:r>
      <w:r w:rsidR="0032616E">
        <w:t xml:space="preserve">As such, the PBAC advised that it would be reasonable for the estimated </w:t>
      </w:r>
      <w:r w:rsidR="00EA4377">
        <w:t xml:space="preserve">uptake rates </w:t>
      </w:r>
      <w:r w:rsidR="0032616E">
        <w:t xml:space="preserve">to increase </w:t>
      </w:r>
      <w:r w:rsidR="00EA4377">
        <w:t>by 5</w:t>
      </w:r>
      <w:r w:rsidR="0032616E">
        <w:t> </w:t>
      </w:r>
      <w:r w:rsidR="00EA4377">
        <w:t>percentage points each year</w:t>
      </w:r>
      <w:r w:rsidR="0081336B">
        <w:t xml:space="preserve"> for the first </w:t>
      </w:r>
      <w:r w:rsidR="000D0696">
        <w:t xml:space="preserve">six </w:t>
      </w:r>
      <w:r w:rsidR="0081336B">
        <w:t>years of listing</w:t>
      </w:r>
      <w:r w:rsidR="00E63FD7">
        <w:t>.</w:t>
      </w:r>
    </w:p>
    <w:p w14:paraId="57DFBF2A" w14:textId="21364D26" w:rsidR="0081336B" w:rsidRPr="003D5A3A" w:rsidRDefault="0081336B" w:rsidP="006E2A77">
      <w:pPr>
        <w:pStyle w:val="COMexecsummnumbered"/>
      </w:pPr>
      <w:bookmarkStart w:id="100" w:name="_Ref194349215"/>
      <w:r>
        <w:t>The PBAC advised that the dose assumptions (</w:t>
      </w:r>
      <w:r w:rsidR="007A384B">
        <w:t>e.g</w:t>
      </w:r>
      <w:r>
        <w:t>. number of doses per patient per year) in the financial estimates should be the same as those applied in the cost-comparison</w:t>
      </w:r>
      <w:bookmarkEnd w:id="100"/>
      <w:r w:rsidR="000D0696">
        <w:t xml:space="preserve"> </w:t>
      </w:r>
      <w:bookmarkStart w:id="101" w:name="_Hlk194433419"/>
      <w:r w:rsidR="000D0696">
        <w:t>(refer to paragraph</w:t>
      </w:r>
      <w:r w:rsidR="00262EFF">
        <w:t xml:space="preserve"> </w:t>
      </w:r>
      <w:r w:rsidR="00262EFF">
        <w:fldChar w:fldCharType="begin"/>
      </w:r>
      <w:r w:rsidR="00262EFF">
        <w:instrText xml:space="preserve"> REF _Ref194427278 \r \h </w:instrText>
      </w:r>
      <w:r w:rsidR="00262EFF">
        <w:fldChar w:fldCharType="separate"/>
      </w:r>
      <w:r w:rsidR="00875704">
        <w:t>8.23</w:t>
      </w:r>
      <w:r w:rsidR="00262EFF">
        <w:fldChar w:fldCharType="end"/>
      </w:r>
      <w:bookmarkEnd w:id="101"/>
      <w:r w:rsidR="000D0696">
        <w:t>)</w:t>
      </w:r>
      <w:r w:rsidR="00F223A8">
        <w:t xml:space="preserve"> </w:t>
      </w:r>
      <w:r w:rsidR="00F223A8" w:rsidRPr="003D5A3A">
        <w:t xml:space="preserve">although the </w:t>
      </w:r>
      <w:proofErr w:type="spellStart"/>
      <w:r w:rsidR="00F223A8" w:rsidRPr="003D5A3A">
        <w:t>ravulizumab</w:t>
      </w:r>
      <w:proofErr w:type="spellEnd"/>
      <w:r w:rsidR="00F223A8" w:rsidRPr="003D5A3A">
        <w:t xml:space="preserve"> loading dose should be accounted for</w:t>
      </w:r>
      <w:r w:rsidRPr="003D5A3A">
        <w:t>.</w:t>
      </w:r>
    </w:p>
    <w:p w14:paraId="66EA7564" w14:textId="6F00E907" w:rsidR="00063DFC" w:rsidRPr="00063DFC" w:rsidRDefault="00063DFC" w:rsidP="006E2A77">
      <w:pPr>
        <w:pStyle w:val="COMexecsummnumbered"/>
      </w:pPr>
      <w:r w:rsidRPr="00063DFC">
        <w:t xml:space="preserve">The PBAC considered that any listing of the new gMG therapies would be associated with a substantial reduction in the utilisation of IVIg for gMG maintenance, given the lack of other treatment options but also acknowledging that a small proportion of patients cannot tolerate or access </w:t>
      </w:r>
      <w:proofErr w:type="gramStart"/>
      <w:r w:rsidRPr="00063DFC">
        <w:t>IVIg, or</w:t>
      </w:r>
      <w:proofErr w:type="gramEnd"/>
      <w:r w:rsidRPr="00063DFC">
        <w:t xml:space="preserve"> have ceased IVIg due to lack of response.</w:t>
      </w:r>
      <w:r w:rsidR="00D61CA6">
        <w:t xml:space="preserve"> </w:t>
      </w:r>
    </w:p>
    <w:p w14:paraId="78CC2307" w14:textId="7F8CAA58" w:rsidR="00E63FD7" w:rsidRDefault="00E63FD7" w:rsidP="006E2A77">
      <w:pPr>
        <w:pStyle w:val="COMexecsummnumbered"/>
      </w:pPr>
      <w:r>
        <w:t xml:space="preserve">The PBAC noted that more complex approaches to estimating the financial impacts could be used (e.g. calculating utilisation in the bridging and refractory settings separately, taking stopping rules into account) but considered the simplified approach outlined above was </w:t>
      </w:r>
      <w:r w:rsidR="00821221" w:rsidRPr="00C50D06">
        <w:t>likely to provide more accurate forecasts</w:t>
      </w:r>
      <w:r>
        <w:t xml:space="preserve"> given the</w:t>
      </w:r>
      <w:r w:rsidR="006066CC">
        <w:t>: lack of robust data to inform a</w:t>
      </w:r>
      <w:r w:rsidR="000B4C41">
        <w:t xml:space="preserve"> more complex</w:t>
      </w:r>
      <w:r w:rsidR="006066CC">
        <w:t xml:space="preserve"> approach </w:t>
      </w:r>
      <w:r>
        <w:t>and the intent of the restrictions to mimic the current use of IVIg in clinical practice (in terms of use across both the bridging and refractory settings, with clinicians regularly assessing the on-going need for continuing IVIg therapy including through treatment breaks).</w:t>
      </w:r>
    </w:p>
    <w:p w14:paraId="03A43C5E" w14:textId="061C4627" w:rsidR="00EA4377" w:rsidRDefault="00EA4377" w:rsidP="006E2A77">
      <w:pPr>
        <w:pStyle w:val="COMexecsummnumbered"/>
      </w:pPr>
      <w:r>
        <w:t>The PBAC advised that a s</w:t>
      </w:r>
      <w:r w:rsidRPr="00EA4377">
        <w:t xml:space="preserve">ingle RSA that includes </w:t>
      </w:r>
      <w:proofErr w:type="gramStart"/>
      <w:r w:rsidRPr="00EA4377">
        <w:t>all of</w:t>
      </w:r>
      <w:proofErr w:type="gramEnd"/>
      <w:r w:rsidRPr="00EA4377">
        <w:t xml:space="preserve"> the new therapies (in all settings) </w:t>
      </w:r>
      <w:r>
        <w:t xml:space="preserve">would be required </w:t>
      </w:r>
      <w:r w:rsidRPr="00EA4377">
        <w:t xml:space="preserve">to mitigate </w:t>
      </w:r>
      <w:r>
        <w:t xml:space="preserve">the </w:t>
      </w:r>
      <w:r w:rsidRPr="00EA4377">
        <w:t>risk of use outside the intended restriction.</w:t>
      </w:r>
      <w:r>
        <w:t xml:space="preserve"> </w:t>
      </w:r>
      <w:r w:rsidRPr="00EA4377">
        <w:t xml:space="preserve">For </w:t>
      </w:r>
      <w:r>
        <w:t xml:space="preserve">the </w:t>
      </w:r>
      <w:r w:rsidRPr="00EA4377">
        <w:t>FcR</w:t>
      </w:r>
      <w:r w:rsidR="005B0AFF">
        <w:t>n</w:t>
      </w:r>
      <w:r w:rsidRPr="00EA4377">
        <w:t xml:space="preserve"> blockers, the RSA would also need to mitigate the risk of an increase in the frequency of cycles received over time.</w:t>
      </w:r>
      <w:r>
        <w:t xml:space="preserve"> The PBAC advised that t</w:t>
      </w:r>
      <w:r w:rsidRPr="00EA4377">
        <w:t xml:space="preserve">he risk of higher dosing frequency is less relevant for the complement inhibitors </w:t>
      </w:r>
      <w:r w:rsidR="0032616E">
        <w:t xml:space="preserve">and thus </w:t>
      </w:r>
      <w:r w:rsidRPr="00EA4377">
        <w:t>these sponsors should</w:t>
      </w:r>
      <w:r w:rsidR="0032616E">
        <w:t xml:space="preserve"> not</w:t>
      </w:r>
      <w:r w:rsidRPr="00EA4377">
        <w:t xml:space="preserve"> be adversely affected by more frequent FcR</w:t>
      </w:r>
      <w:r w:rsidR="005B0AFF">
        <w:t>n</w:t>
      </w:r>
      <w:r w:rsidRPr="00EA4377">
        <w:t xml:space="preserve"> blocker dosing. </w:t>
      </w:r>
      <w:r>
        <w:t>The PBAC advised that the D</w:t>
      </w:r>
      <w:r w:rsidRPr="00EA4377">
        <w:t xml:space="preserve">epartment and </w:t>
      </w:r>
      <w:r>
        <w:t xml:space="preserve">each </w:t>
      </w:r>
      <w:r w:rsidRPr="00EA4377">
        <w:t>sponsor</w:t>
      </w:r>
      <w:r>
        <w:t xml:space="preserve"> should</w:t>
      </w:r>
      <w:r w:rsidRPr="00EA4377">
        <w:t xml:space="preserve"> work to ensure the cost per patient does</w:t>
      </w:r>
      <w:r w:rsidR="0032616E">
        <w:t xml:space="preserve"> not</w:t>
      </w:r>
      <w:r w:rsidRPr="00EA4377">
        <w:t xml:space="preserve"> exceed the estimates in the </w:t>
      </w:r>
      <w:r>
        <w:t>cost-comparison</w:t>
      </w:r>
      <w:r w:rsidRPr="00EA4377">
        <w:t xml:space="preserve"> and the financials.</w:t>
      </w:r>
    </w:p>
    <w:p w14:paraId="49627A3C" w14:textId="1D481260" w:rsidR="00790C83" w:rsidRDefault="00790C83" w:rsidP="006E2A77">
      <w:pPr>
        <w:pStyle w:val="COMexecsummnumbered"/>
      </w:pPr>
      <w:bookmarkStart w:id="102" w:name="_Hlk194648330"/>
      <w:r w:rsidRPr="00790C83">
        <w:lastRenderedPageBreak/>
        <w:t xml:space="preserve">The PBAC </w:t>
      </w:r>
      <w:r w:rsidR="007A1067" w:rsidRPr="00A47FE9">
        <w:t>acknowledged</w:t>
      </w:r>
      <w:r w:rsidR="007B270C">
        <w:t xml:space="preserve"> the</w:t>
      </w:r>
      <w:r w:rsidR="007A1067" w:rsidRPr="00A47FE9">
        <w:t xml:space="preserve"> </w:t>
      </w:r>
      <w:r w:rsidR="007B270C" w:rsidRPr="00790C83">
        <w:t>financial estimates</w:t>
      </w:r>
      <w:r w:rsidR="007B270C" w:rsidRPr="00A47FE9">
        <w:t xml:space="preserve"> </w:t>
      </w:r>
      <w:r w:rsidR="000C2C27">
        <w:t xml:space="preserve">as </w:t>
      </w:r>
      <w:r w:rsidR="007B270C" w:rsidRPr="00790C83">
        <w:t xml:space="preserve">outlined </w:t>
      </w:r>
      <w:r w:rsidR="007B270C" w:rsidRPr="009D4208">
        <w:t xml:space="preserve">in paragraphs </w:t>
      </w:r>
      <w:r w:rsidR="007B270C" w:rsidRPr="009D4208">
        <w:fldChar w:fldCharType="begin"/>
      </w:r>
      <w:r w:rsidR="007B270C" w:rsidRPr="009D4208">
        <w:instrText xml:space="preserve"> REF _Ref194349212 \r \h  \* MERGEFORMAT </w:instrText>
      </w:r>
      <w:r w:rsidR="007B270C" w:rsidRPr="009D4208">
        <w:fldChar w:fldCharType="separate"/>
      </w:r>
      <w:r w:rsidR="00875704">
        <w:t>8.25</w:t>
      </w:r>
      <w:r w:rsidR="007B270C" w:rsidRPr="009D4208">
        <w:fldChar w:fldCharType="end"/>
      </w:r>
      <w:r w:rsidR="007B270C" w:rsidRPr="009D4208">
        <w:t xml:space="preserve"> to </w:t>
      </w:r>
      <w:r w:rsidR="007B270C" w:rsidRPr="009D4208">
        <w:fldChar w:fldCharType="begin"/>
      </w:r>
      <w:r w:rsidR="007B270C" w:rsidRPr="009D4208">
        <w:instrText xml:space="preserve"> REF _Ref194349215 \r \h  \* MERGEFORMAT </w:instrText>
      </w:r>
      <w:r w:rsidR="007B270C" w:rsidRPr="009D4208">
        <w:fldChar w:fldCharType="separate"/>
      </w:r>
      <w:r w:rsidR="00875704">
        <w:t>8.29</w:t>
      </w:r>
      <w:r w:rsidR="007B270C" w:rsidRPr="009D4208">
        <w:fldChar w:fldCharType="end"/>
      </w:r>
      <w:r w:rsidR="007B270C" w:rsidRPr="009D4208">
        <w:t xml:space="preserve"> were associated with</w:t>
      </w:r>
      <w:r w:rsidR="007A1067" w:rsidRPr="009D4208">
        <w:t xml:space="preserve"> some</w:t>
      </w:r>
      <w:r w:rsidRPr="009D4208">
        <w:t xml:space="preserve"> uncertainty </w:t>
      </w:r>
      <w:r w:rsidR="00192885" w:rsidRPr="009D4208">
        <w:t xml:space="preserve">and considered that </w:t>
      </w:r>
      <w:r w:rsidR="00DD3193" w:rsidRPr="009D4208">
        <w:t xml:space="preserve">it may be reasonable for </w:t>
      </w:r>
      <w:r w:rsidR="00192885" w:rsidRPr="009D4208">
        <w:t>the risk of use outside the intended restriction</w:t>
      </w:r>
      <w:r w:rsidRPr="009D4208">
        <w:t xml:space="preserve"> </w:t>
      </w:r>
      <w:r w:rsidR="00DD3193" w:rsidRPr="009D4208">
        <w:t>to</w:t>
      </w:r>
      <w:r w:rsidRPr="009D4208">
        <w:t xml:space="preserve"> be managed through a </w:t>
      </w:r>
      <w:r w:rsidR="00F555BD" w:rsidRPr="00875704">
        <w:rPr>
          <w:color w:val="000000"/>
          <w:w w:val="15"/>
          <w:shd w:val="solid" w:color="000000" w:fill="000000"/>
          <w:fitText w:val="-20" w:id="-691349500"/>
          <w14:textFill>
            <w14:solidFill>
              <w14:srgbClr w14:val="000000">
                <w14:alpha w14:val="100000"/>
              </w14:srgbClr>
            </w14:solidFill>
          </w14:textFill>
        </w:rPr>
        <w:t>|</w:t>
      </w:r>
      <w:r w:rsidR="00D61CA6" w:rsidRPr="00875704">
        <w:rPr>
          <w:color w:val="000000"/>
          <w:w w:val="15"/>
          <w:shd w:val="solid" w:color="000000" w:fill="000000"/>
          <w:fitText w:val="-20" w:id="-691349500"/>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500"/>
          <w14:textFill>
            <w14:solidFill>
              <w14:srgbClr w14:val="000000">
                <w14:alpha w14:val="100000"/>
              </w14:srgbClr>
            </w14:solidFill>
          </w14:textFill>
        </w:rPr>
        <w:t>|</w:t>
      </w:r>
      <w:r w:rsidRPr="009D4208">
        <w:t xml:space="preserve"> RSA</w:t>
      </w:r>
      <w:r w:rsidR="00AC38A1" w:rsidRPr="009D4208">
        <w:t xml:space="preserve"> </w:t>
      </w:r>
      <w:r w:rsidR="00C623DF" w:rsidRPr="009D4208">
        <w:t xml:space="preserve">– </w:t>
      </w:r>
      <w:r w:rsidR="00AC38A1" w:rsidRPr="009D4208">
        <w:t xml:space="preserve">with the </w:t>
      </w:r>
      <w:r w:rsidR="00F555BD" w:rsidRPr="00875704">
        <w:rPr>
          <w:color w:val="000000"/>
          <w:w w:val="15"/>
          <w:shd w:val="solid" w:color="000000" w:fill="000000"/>
          <w:fitText w:val="-20" w:id="-691349499"/>
          <w14:textFill>
            <w14:solidFill>
              <w14:srgbClr w14:val="000000">
                <w14:alpha w14:val="100000"/>
              </w14:srgbClr>
            </w14:solidFill>
          </w14:textFill>
        </w:rPr>
        <w:t>|</w:t>
      </w:r>
      <w:r w:rsidR="00D61CA6" w:rsidRPr="00875704">
        <w:rPr>
          <w:color w:val="000000"/>
          <w:w w:val="15"/>
          <w:shd w:val="solid" w:color="000000" w:fill="000000"/>
          <w:fitText w:val="-20" w:id="-691349499"/>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499"/>
          <w14:textFill>
            <w14:solidFill>
              <w14:srgbClr w14:val="000000">
                <w14:alpha w14:val="100000"/>
              </w14:srgbClr>
            </w14:solidFill>
          </w14:textFill>
        </w:rPr>
        <w:t>|</w:t>
      </w:r>
      <w:r w:rsidR="00D1412E" w:rsidRPr="00D1412E">
        <w:t xml:space="preserve"> </w:t>
      </w:r>
      <w:r w:rsidR="00F555BD" w:rsidRPr="00875704">
        <w:rPr>
          <w:color w:val="000000"/>
          <w:w w:val="15"/>
          <w:shd w:val="solid" w:color="000000" w:fill="000000"/>
          <w:fitText w:val="-20" w:id="-691349498"/>
          <w14:textFill>
            <w14:solidFill>
              <w14:srgbClr w14:val="000000">
                <w14:alpha w14:val="100000"/>
              </w14:srgbClr>
            </w14:solidFill>
          </w14:textFill>
        </w:rPr>
        <w:t>|</w:t>
      </w:r>
      <w:r w:rsidR="00D61CA6" w:rsidRPr="00875704">
        <w:rPr>
          <w:color w:val="000000"/>
          <w:w w:val="15"/>
          <w:shd w:val="solid" w:color="000000" w:fill="000000"/>
          <w:fitText w:val="-20" w:id="-691349498"/>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498"/>
          <w14:textFill>
            <w14:solidFill>
              <w14:srgbClr w14:val="000000">
                <w14:alpha w14:val="100000"/>
              </w14:srgbClr>
            </w14:solidFill>
          </w14:textFill>
        </w:rPr>
        <w:t>|</w:t>
      </w:r>
      <w:r w:rsidR="00AC38A1" w:rsidRPr="009D4208">
        <w:t xml:space="preserve"> based on the financial estimates outlined by </w:t>
      </w:r>
      <w:r w:rsidR="00CF2F1D" w:rsidRPr="009D4208">
        <w:t xml:space="preserve">the </w:t>
      </w:r>
      <w:r w:rsidR="00AC38A1" w:rsidRPr="009D4208">
        <w:t xml:space="preserve">PBAC </w:t>
      </w:r>
      <w:r w:rsidR="007B270C" w:rsidRPr="009D4208">
        <w:t>(e.g. with</w:t>
      </w:r>
      <w:r w:rsidR="007B270C">
        <w:t xml:space="preserve"> the AChR+ proportion and uptake rates applied as outlined i</w:t>
      </w:r>
      <w:r w:rsidR="007B270C" w:rsidRPr="00AA1386">
        <w:t xml:space="preserve">n paragraphs </w:t>
      </w:r>
      <w:r w:rsidR="007B270C" w:rsidRPr="00A47FE9">
        <w:fldChar w:fldCharType="begin"/>
      </w:r>
      <w:r w:rsidR="007B270C" w:rsidRPr="00A47FE9">
        <w:instrText xml:space="preserve"> REF _Ref194349212 \r \h  \* MERGEFORMAT </w:instrText>
      </w:r>
      <w:r w:rsidR="007B270C" w:rsidRPr="00A47FE9">
        <w:fldChar w:fldCharType="separate"/>
      </w:r>
      <w:r w:rsidR="00875704">
        <w:t>8.25</w:t>
      </w:r>
      <w:r w:rsidR="007B270C" w:rsidRPr="00A47FE9">
        <w:fldChar w:fldCharType="end"/>
      </w:r>
      <w:r w:rsidR="007B270C">
        <w:t xml:space="preserve"> to </w:t>
      </w:r>
      <w:r w:rsidR="007B270C" w:rsidRPr="00A47FE9">
        <w:fldChar w:fldCharType="begin"/>
      </w:r>
      <w:r w:rsidR="007B270C" w:rsidRPr="00A47FE9">
        <w:instrText xml:space="preserve"> REF _Ref194349215 \r \h  \* MERGEFORMAT </w:instrText>
      </w:r>
      <w:r w:rsidR="007B270C" w:rsidRPr="00A47FE9">
        <w:fldChar w:fldCharType="separate"/>
      </w:r>
      <w:r w:rsidR="00875704">
        <w:t>8.29</w:t>
      </w:r>
      <w:r w:rsidR="007B270C" w:rsidRPr="00A47FE9">
        <w:fldChar w:fldCharType="end"/>
      </w:r>
      <w:r w:rsidR="007B270C">
        <w:t xml:space="preserve"> and </w:t>
      </w:r>
      <w:r w:rsidR="007B270C">
        <w:fldChar w:fldCharType="begin"/>
      </w:r>
      <w:r w:rsidR="007B270C">
        <w:instrText xml:space="preserve"> REF _Ref193702983 \h  \* MERGEFORMAT </w:instrText>
      </w:r>
      <w:r w:rsidR="007B270C">
        <w:fldChar w:fldCharType="separate"/>
      </w:r>
      <w:r w:rsidR="00875704" w:rsidRPr="00875704">
        <w:t>Table 20</w:t>
      </w:r>
      <w:r w:rsidR="007B270C">
        <w:fldChar w:fldCharType="end"/>
      </w:r>
      <w:r w:rsidR="007B270C">
        <w:t xml:space="preserve">) </w:t>
      </w:r>
      <w:r w:rsidR="00AC38A1">
        <w:t xml:space="preserve">with a rebate of </w:t>
      </w:r>
      <w:r w:rsidR="00AC38A1" w:rsidRPr="00D1412E">
        <w:t>less</w:t>
      </w:r>
      <w:r w:rsidR="00D1412E" w:rsidRPr="00D1412E">
        <w:t xml:space="preserve"> </w:t>
      </w:r>
      <w:r w:rsidR="00AC38A1" w:rsidRPr="00D1412E">
        <w:t>than</w:t>
      </w:r>
      <w:r w:rsidR="00AC38A1">
        <w:t xml:space="preserve"> </w:t>
      </w:r>
      <w:r w:rsidR="00F555BD" w:rsidRPr="00875704">
        <w:rPr>
          <w:color w:val="000000"/>
          <w:w w:val="15"/>
          <w:shd w:val="solid" w:color="000000" w:fill="000000"/>
          <w:fitText w:val="-20" w:id="-691349497"/>
          <w14:textFill>
            <w14:solidFill>
              <w14:srgbClr w14:val="000000">
                <w14:alpha w14:val="100000"/>
              </w14:srgbClr>
            </w14:solidFill>
          </w14:textFill>
        </w:rPr>
        <w:t>|</w:t>
      </w:r>
      <w:r w:rsidR="00D61CA6" w:rsidRPr="00875704">
        <w:rPr>
          <w:color w:val="000000"/>
          <w:w w:val="15"/>
          <w:shd w:val="solid" w:color="000000" w:fill="000000"/>
          <w:fitText w:val="-20" w:id="-691349497"/>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497"/>
          <w14:textFill>
            <w14:solidFill>
              <w14:srgbClr w14:val="000000">
                <w14:alpha w14:val="100000"/>
              </w14:srgbClr>
            </w14:solidFill>
          </w14:textFill>
        </w:rPr>
        <w:t>|</w:t>
      </w:r>
      <w:r w:rsidR="00AC38A1">
        <w:t xml:space="preserve">%, then a </w:t>
      </w:r>
      <w:r w:rsidR="00F555BD" w:rsidRPr="00875704">
        <w:rPr>
          <w:color w:val="000000"/>
          <w:w w:val="15"/>
          <w:shd w:val="solid" w:color="000000" w:fill="000000"/>
          <w:fitText w:val="-20" w:id="-691349496"/>
          <w14:textFill>
            <w14:solidFill>
              <w14:srgbClr w14:val="000000">
                <w14:alpha w14:val="100000"/>
              </w14:srgbClr>
            </w14:solidFill>
          </w14:textFill>
        </w:rPr>
        <w:t>|</w:t>
      </w:r>
      <w:r w:rsidR="00D61CA6" w:rsidRPr="00875704">
        <w:rPr>
          <w:color w:val="000000"/>
          <w:w w:val="15"/>
          <w:shd w:val="solid" w:color="000000" w:fill="000000"/>
          <w:fitText w:val="-20" w:id="-691349496"/>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496"/>
          <w14:textFill>
            <w14:solidFill>
              <w14:srgbClr w14:val="000000">
                <w14:alpha w14:val="100000"/>
              </w14:srgbClr>
            </w14:solidFill>
          </w14:textFill>
        </w:rPr>
        <w:t>|</w:t>
      </w:r>
      <w:r w:rsidR="00D1412E" w:rsidRPr="00D1412E">
        <w:t xml:space="preserve"> </w:t>
      </w:r>
      <w:r w:rsidR="00F555BD" w:rsidRPr="00875704">
        <w:rPr>
          <w:color w:val="000000"/>
          <w:w w:val="15"/>
          <w:shd w:val="solid" w:color="000000" w:fill="000000"/>
          <w:fitText w:val="-20" w:id="-691349495"/>
          <w14:textFill>
            <w14:solidFill>
              <w14:srgbClr w14:val="000000">
                <w14:alpha w14:val="100000"/>
              </w14:srgbClr>
            </w14:solidFill>
          </w14:textFill>
        </w:rPr>
        <w:t>|</w:t>
      </w:r>
      <w:r w:rsidR="00D61CA6" w:rsidRPr="00875704">
        <w:rPr>
          <w:color w:val="000000"/>
          <w:w w:val="15"/>
          <w:shd w:val="solid" w:color="000000" w:fill="000000"/>
          <w:fitText w:val="-20" w:id="-691349495"/>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495"/>
          <w14:textFill>
            <w14:solidFill>
              <w14:srgbClr w14:val="000000">
                <w14:alpha w14:val="100000"/>
              </w14:srgbClr>
            </w14:solidFill>
          </w14:textFill>
        </w:rPr>
        <w:t>|</w:t>
      </w:r>
      <w:r w:rsidR="00D1412E" w:rsidRPr="00D1412E">
        <w:t xml:space="preserve"> </w:t>
      </w:r>
      <w:r w:rsidR="00AC38A1" w:rsidRPr="006B629A">
        <w:t>based on the total number of patients using IVIg for maintenance gMG with a rebate of</w:t>
      </w:r>
      <w:r w:rsidR="00AC38A1">
        <w:t xml:space="preserve"> </w:t>
      </w:r>
      <w:r w:rsidR="00F555BD" w:rsidRPr="00875704">
        <w:rPr>
          <w:color w:val="000000"/>
          <w:w w:val="15"/>
          <w:shd w:val="solid" w:color="000000" w:fill="000000"/>
          <w:fitText w:val="-20" w:id="-691349494"/>
          <w14:textFill>
            <w14:solidFill>
              <w14:srgbClr w14:val="000000">
                <w14:alpha w14:val="100000"/>
              </w14:srgbClr>
            </w14:solidFill>
          </w14:textFill>
        </w:rPr>
        <w:t>|</w:t>
      </w:r>
      <w:r w:rsidR="00D61CA6" w:rsidRPr="00875704">
        <w:rPr>
          <w:color w:val="000000"/>
          <w:w w:val="15"/>
          <w:shd w:val="solid" w:color="000000" w:fill="000000"/>
          <w:fitText w:val="-20" w:id="-691349494"/>
          <w14:textFill>
            <w14:solidFill>
              <w14:srgbClr w14:val="000000">
                <w14:alpha w14:val="100000"/>
              </w14:srgbClr>
            </w14:solidFill>
          </w14:textFill>
        </w:rPr>
        <w:t xml:space="preserve"> </w:t>
      </w:r>
      <w:r w:rsidR="00F555BD" w:rsidRPr="00875704">
        <w:rPr>
          <w:color w:val="000000"/>
          <w:spacing w:val="-61"/>
          <w:w w:val="15"/>
          <w:shd w:val="solid" w:color="000000" w:fill="000000"/>
          <w:fitText w:val="-20" w:id="-691349494"/>
          <w14:textFill>
            <w14:solidFill>
              <w14:srgbClr w14:val="000000">
                <w14:alpha w14:val="100000"/>
              </w14:srgbClr>
            </w14:solidFill>
          </w14:textFill>
        </w:rPr>
        <w:t>|</w:t>
      </w:r>
      <w:r w:rsidR="00AC38A1">
        <w:t>%</w:t>
      </w:r>
      <w:r w:rsidRPr="00790C83">
        <w:t>.</w:t>
      </w:r>
    </w:p>
    <w:bookmarkEnd w:id="102"/>
    <w:p w14:paraId="7BF77B04" w14:textId="26D572B7" w:rsidR="002049D6" w:rsidRDefault="002049D6" w:rsidP="006E2A77">
      <w:pPr>
        <w:pStyle w:val="COMexecsummnumbered"/>
      </w:pPr>
      <w:r w:rsidRPr="002049D6">
        <w:t>The PBAC advised that</w:t>
      </w:r>
      <w:r w:rsidR="003426BD" w:rsidRPr="003426BD">
        <w:t xml:space="preserve"> a utilisation review by DUSC should be conducted two year</w:t>
      </w:r>
      <w:r w:rsidR="003426BD">
        <w:t>s after listing of any new therapies</w:t>
      </w:r>
      <w:r w:rsidRPr="002049D6">
        <w:t>,</w:t>
      </w:r>
      <w:r w:rsidR="003426BD">
        <w:t xml:space="preserve"> which should also</w:t>
      </w:r>
      <w:r w:rsidRPr="002049D6">
        <w:t xml:space="preserve"> assess whether the newer therapies </w:t>
      </w:r>
      <w:r w:rsidR="0032616E">
        <w:t>have</w:t>
      </w:r>
      <w:r w:rsidRPr="002049D6">
        <w:t xml:space="preserve"> result</w:t>
      </w:r>
      <w:r w:rsidR="0032616E">
        <w:t>ed</w:t>
      </w:r>
      <w:r w:rsidRPr="002049D6">
        <w:t xml:space="preserve"> in a reduction in IVIg use (</w:t>
      </w:r>
      <w:r w:rsidR="003426BD">
        <w:t xml:space="preserve">noting this would require data from the </w:t>
      </w:r>
      <w:r w:rsidR="00591DD1">
        <w:t>NBA</w:t>
      </w:r>
      <w:r w:rsidR="003426BD">
        <w:t>).</w:t>
      </w:r>
    </w:p>
    <w:p w14:paraId="5EFA67A0" w14:textId="655584A7" w:rsidR="00E8507D" w:rsidRPr="0059141C" w:rsidRDefault="00E8507D" w:rsidP="006E2A77">
      <w:pPr>
        <w:pStyle w:val="COMexecsummnumbered"/>
      </w:pPr>
      <w:r w:rsidRPr="0059141C">
        <w:t xml:space="preserve">The PBAC noted </w:t>
      </w:r>
      <w:r w:rsidR="008E7C9B" w:rsidRPr="0059141C">
        <w:t xml:space="preserve">the Product </w:t>
      </w:r>
      <w:r w:rsidR="008E7C9B" w:rsidRPr="003D5A3A">
        <w:t>Information for ravulizumab stated</w:t>
      </w:r>
      <w:r w:rsidR="008E7C9B" w:rsidRPr="0059141C">
        <w:t xml:space="preserve"> “vaccines against serogroups A, C, Y, W135 and B where available, are recommended to reduce the risk of infection with the commonly pathogenic meningococcal serogroups. Patients must be vaccinated or revaccinated according to current medical guidelines for vaccination use</w:t>
      </w:r>
      <w:r w:rsidR="00BC3B5E">
        <w:t>.</w:t>
      </w:r>
      <w:r w:rsidR="008E7C9B" w:rsidRPr="0059141C">
        <w:t>”</w:t>
      </w:r>
      <w:r w:rsidRPr="0059141C">
        <w:t xml:space="preserve"> The PBAC </w:t>
      </w:r>
      <w:r w:rsidR="00CA32C9">
        <w:t>advised</w:t>
      </w:r>
      <w:r w:rsidRPr="0059141C">
        <w:t xml:space="preserve"> it would be appropriate to extend access on the National Immunisation Program for the vaccinations recommended </w:t>
      </w:r>
      <w:r w:rsidR="008E7C9B" w:rsidRPr="0059141C">
        <w:t>in the Product Information.</w:t>
      </w:r>
      <w:r w:rsidR="00D61CA6">
        <w:t xml:space="preserve"> </w:t>
      </w:r>
    </w:p>
    <w:p w14:paraId="7AF701AB" w14:textId="6A901AAF" w:rsidR="00361627" w:rsidRPr="0023321F" w:rsidRDefault="00361627" w:rsidP="006E2A77">
      <w:pPr>
        <w:pStyle w:val="COMexecsummnumbered"/>
        <w:rPr>
          <w:bCs/>
          <w:snapToGrid w:val="0"/>
          <w:lang w:eastAsia="en-US"/>
        </w:rPr>
      </w:pPr>
      <w:r w:rsidRPr="0023321F">
        <w:rPr>
          <w:rFonts w:eastAsia="Times New Roman" w:cs="Arial"/>
          <w:bCs/>
          <w:snapToGrid w:val="0"/>
          <w:szCs w:val="24"/>
          <w:lang w:eastAsia="en-US"/>
        </w:rPr>
        <w:t xml:space="preserve">The PBAC advised that </w:t>
      </w:r>
      <w:r>
        <w:rPr>
          <w:rFonts w:eastAsia="Times New Roman" w:cs="Arial"/>
          <w:bCs/>
          <w:snapToGrid w:val="0"/>
          <w:szCs w:val="24"/>
          <w:lang w:eastAsia="en-US"/>
        </w:rPr>
        <w:t>ravulizumab</w:t>
      </w:r>
      <w:r w:rsidRPr="0023321F">
        <w:rPr>
          <w:rFonts w:eastAsia="Times New Roman" w:cs="Arial"/>
          <w:bCs/>
          <w:snapToGrid w:val="0"/>
          <w:szCs w:val="24"/>
          <w:lang w:eastAsia="en-US"/>
        </w:rPr>
        <w:t xml:space="preserve"> should not be treated as interchangeable with any other drug</w:t>
      </w:r>
      <w:r>
        <w:rPr>
          <w:rFonts w:eastAsia="Times New Roman" w:cs="Arial"/>
          <w:bCs/>
          <w:snapToGrid w:val="0"/>
          <w:szCs w:val="24"/>
          <w:lang w:eastAsia="en-US"/>
        </w:rPr>
        <w:t>s.</w:t>
      </w:r>
    </w:p>
    <w:p w14:paraId="4AA6F179" w14:textId="3D554B88" w:rsidR="00E12A0E" w:rsidRPr="003D5A3A" w:rsidRDefault="00E12A0E" w:rsidP="006E2A77">
      <w:pPr>
        <w:pStyle w:val="COMexecsummnumbered"/>
      </w:pPr>
      <w:r>
        <w:t xml:space="preserve">The PBAC found that the criteria prescribed by the </w:t>
      </w:r>
      <w:r w:rsidRPr="00E12A0E">
        <w:rPr>
          <w:i/>
          <w:iCs/>
        </w:rPr>
        <w:t>National Health (Pharmaceuticals and Vaccines – Cost Recovery) Regulations 2022</w:t>
      </w:r>
      <w:r>
        <w:t xml:space="preserve"> </w:t>
      </w:r>
      <w:r w:rsidRPr="003D5A3A">
        <w:t>for Pricing Pathway A were not met. Specifically, the PBAC found that in the circumstances of its recommendation for ravulizumab:</w:t>
      </w:r>
    </w:p>
    <w:p w14:paraId="018A825B" w14:textId="360E3F58" w:rsidR="00E12A0E" w:rsidRDefault="00E12A0E" w:rsidP="006E2A77">
      <w:pPr>
        <w:pStyle w:val="COMexecsummbulletlist"/>
        <w:ind w:left="1276" w:hanging="357"/>
      </w:pPr>
      <w:r w:rsidRPr="003D5A3A">
        <w:t>The treatment is not expected to provide a substantial</w:t>
      </w:r>
      <w:r>
        <w:t xml:space="preserve"> and clinically relevant improvement in efficacy, or reduction of toxicity, over </w:t>
      </w:r>
      <w:proofErr w:type="gramStart"/>
      <w:r>
        <w:t>IVIg;</w:t>
      </w:r>
      <w:proofErr w:type="gramEnd"/>
    </w:p>
    <w:p w14:paraId="39B796E7" w14:textId="1FF9BC80" w:rsidR="00E12A0E" w:rsidRDefault="00E12A0E" w:rsidP="006E2A77">
      <w:pPr>
        <w:pStyle w:val="COMexecsummbulletlist"/>
        <w:ind w:left="1276" w:hanging="357"/>
      </w:pPr>
      <w:r>
        <w:t xml:space="preserve">The treatment is not expected to address a high and urgent unmet clinical need because an alternative therapy (IVIg) is </w:t>
      </w:r>
      <w:proofErr w:type="gramStart"/>
      <w:r>
        <w:t>available;</w:t>
      </w:r>
      <w:proofErr w:type="gramEnd"/>
      <w:r>
        <w:t xml:space="preserve"> </w:t>
      </w:r>
    </w:p>
    <w:p w14:paraId="5E4D3BDB" w14:textId="53FE1D8B" w:rsidR="00E12A0E" w:rsidRDefault="00E12A0E" w:rsidP="006E2A77">
      <w:pPr>
        <w:pStyle w:val="COMexecsummbulletlist"/>
        <w:ind w:left="1276"/>
      </w:pPr>
      <w:r>
        <w:t xml:space="preserve">It was not necessary to make a finding in relation to whether it would be in the public interest for the subsequent pricing application to be progressed under Pricing Pathway A because one or more of the preceding tests had failed. </w:t>
      </w:r>
    </w:p>
    <w:p w14:paraId="35EDA08F" w14:textId="02F33AC2" w:rsidR="00926600" w:rsidRDefault="0044089B" w:rsidP="006E2A77">
      <w:pPr>
        <w:pStyle w:val="COMexecsummnumbered"/>
      </w:pPr>
      <w:r>
        <w:t>The PBAC noted that this submission is not eligible for an Independent Review</w:t>
      </w:r>
      <w:r w:rsidR="00E8507D">
        <w:t xml:space="preserve"> </w:t>
      </w:r>
      <w:r w:rsidR="00E8507D" w:rsidRPr="00E8507D">
        <w:t>as it received a positive recommendation.</w:t>
      </w:r>
      <w:r>
        <w:t xml:space="preserve"> </w:t>
      </w:r>
    </w:p>
    <w:bookmarkEnd w:id="87"/>
    <w:p w14:paraId="45D31879" w14:textId="77777777" w:rsidR="0044089B" w:rsidRPr="007C6D46" w:rsidRDefault="0044089B" w:rsidP="006E2A77">
      <w:pPr>
        <w:jc w:val="left"/>
        <w:rPr>
          <w:b/>
          <w:bCs/>
        </w:rPr>
      </w:pPr>
      <w:r w:rsidRPr="007C6D46">
        <w:rPr>
          <w:b/>
          <w:bCs/>
        </w:rPr>
        <w:t>Outcome:</w:t>
      </w:r>
    </w:p>
    <w:p w14:paraId="4E5EC4F4" w14:textId="1F60F8B8" w:rsidR="0044089B" w:rsidRDefault="0044089B" w:rsidP="006E2A77">
      <w:pPr>
        <w:jc w:val="left"/>
      </w:pPr>
      <w:r>
        <w:t xml:space="preserve">Recommended </w:t>
      </w:r>
    </w:p>
    <w:p w14:paraId="2D7B972D" w14:textId="060D4C78" w:rsidR="0044089B" w:rsidRDefault="0044089B" w:rsidP="006E2A77">
      <w:pPr>
        <w:pStyle w:val="COMH1-numbered"/>
        <w:numPr>
          <w:ilvl w:val="0"/>
          <w:numId w:val="1"/>
        </w:numPr>
      </w:pPr>
      <w:r>
        <w:t>Recommended listing</w:t>
      </w:r>
    </w:p>
    <w:p w14:paraId="3C7BB452" w14:textId="76DE5D3D" w:rsidR="00F30719" w:rsidRDefault="00C45D0A" w:rsidP="006E2A77">
      <w:pPr>
        <w:ind w:left="720"/>
        <w:jc w:val="left"/>
      </w:pPr>
      <w:bookmarkStart w:id="103" w:name="_Hlk194586440"/>
      <w:r w:rsidRPr="00C45D0A">
        <w:t>This restriction is in the process of being finalised</w:t>
      </w:r>
      <w:r w:rsidR="0099300D">
        <w:t xml:space="preserve"> (see </w:t>
      </w:r>
      <w:r w:rsidR="005100FF">
        <w:t>paragraph</w:t>
      </w:r>
      <w:r w:rsidR="0099300D">
        <w:t xml:space="preserve"> 8.4)</w:t>
      </w:r>
      <w:r w:rsidRPr="00C45D0A">
        <w:t>. The sponsor will be notified of the final restriction</w:t>
      </w:r>
      <w:r>
        <w:t>.</w:t>
      </w:r>
      <w:bookmarkEnd w:id="80"/>
      <w:bookmarkEnd w:id="103"/>
    </w:p>
    <w:p w14:paraId="34FA38A1" w14:textId="77777777" w:rsidR="00F30719" w:rsidRPr="00F30719" w:rsidRDefault="00F30719" w:rsidP="006E2A77">
      <w:pPr>
        <w:keepNext/>
        <w:numPr>
          <w:ilvl w:val="0"/>
          <w:numId w:val="1"/>
        </w:numPr>
        <w:spacing w:before="240" w:after="120"/>
        <w:jc w:val="left"/>
        <w:outlineLvl w:val="0"/>
        <w:rPr>
          <w:rFonts w:asciiTheme="minorHAnsi" w:hAnsiTheme="minorHAnsi"/>
          <w:b/>
          <w:snapToGrid w:val="0"/>
          <w:sz w:val="32"/>
          <w:szCs w:val="32"/>
        </w:rPr>
      </w:pPr>
      <w:r w:rsidRPr="00F30719">
        <w:rPr>
          <w:rFonts w:asciiTheme="minorHAnsi" w:hAnsiTheme="minorHAnsi"/>
          <w:b/>
          <w:snapToGrid w:val="0"/>
          <w:sz w:val="32"/>
          <w:szCs w:val="32"/>
        </w:rPr>
        <w:lastRenderedPageBreak/>
        <w:t>Context for Decision</w:t>
      </w:r>
    </w:p>
    <w:p w14:paraId="7E5B3D1E" w14:textId="77777777" w:rsidR="00F30719" w:rsidRPr="00F30719" w:rsidRDefault="00F30719" w:rsidP="006E2A77">
      <w:pPr>
        <w:spacing w:after="120"/>
        <w:ind w:left="720"/>
        <w:rPr>
          <w:bCs/>
          <w:lang w:val="en-GB"/>
        </w:rPr>
      </w:pPr>
      <w:r w:rsidRPr="00F30719">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D44B6CA" w14:textId="77777777" w:rsidR="00F30719" w:rsidRPr="00F30719" w:rsidRDefault="00F30719" w:rsidP="006E2A77">
      <w:pPr>
        <w:keepNext/>
        <w:numPr>
          <w:ilvl w:val="0"/>
          <w:numId w:val="1"/>
        </w:numPr>
        <w:spacing w:before="240" w:after="120"/>
        <w:jc w:val="left"/>
        <w:outlineLvl w:val="0"/>
        <w:rPr>
          <w:rFonts w:asciiTheme="minorHAnsi" w:hAnsiTheme="minorHAnsi"/>
          <w:b/>
          <w:snapToGrid w:val="0"/>
          <w:sz w:val="32"/>
          <w:szCs w:val="32"/>
        </w:rPr>
      </w:pPr>
      <w:r w:rsidRPr="00F30719">
        <w:rPr>
          <w:rFonts w:asciiTheme="minorHAnsi" w:hAnsiTheme="minorHAnsi"/>
          <w:b/>
          <w:snapToGrid w:val="0"/>
          <w:sz w:val="32"/>
          <w:szCs w:val="32"/>
        </w:rPr>
        <w:t>Sponsor’s Comment</w:t>
      </w:r>
    </w:p>
    <w:p w14:paraId="34B926CA" w14:textId="4C29ADBA" w:rsidR="00F30719" w:rsidRDefault="00F30719" w:rsidP="006E2A77">
      <w:pPr>
        <w:ind w:left="720"/>
        <w:jc w:val="left"/>
      </w:pPr>
      <w:r w:rsidRPr="00F30719">
        <w:rPr>
          <w:rFonts w:eastAsia="Calibri"/>
          <w:bCs/>
          <w:szCs w:val="22"/>
          <w:lang w:eastAsia="en-US"/>
        </w:rPr>
        <w:t>The sponsor had no comment.</w:t>
      </w:r>
    </w:p>
    <w:sectPr w:rsidR="00F30719" w:rsidSect="00CD477D">
      <w:headerReference w:type="even" r:id="rId24"/>
      <w:headerReference w:type="default" r:id="rId25"/>
      <w:footerReference w:type="even" r:id="rId26"/>
      <w:footerReference w:type="default" r:id="rId27"/>
      <w:headerReference w:type="first" r:id="rId28"/>
      <w:footerReference w:type="first" r:id="rId2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F63B" w14:textId="77777777" w:rsidR="00117B04" w:rsidRDefault="00117B04" w:rsidP="00124A51">
      <w:r>
        <w:separator/>
      </w:r>
    </w:p>
    <w:p w14:paraId="0242F893" w14:textId="77777777" w:rsidR="00117B04" w:rsidRDefault="00117B04"/>
    <w:p w14:paraId="5E46C949" w14:textId="77777777" w:rsidR="00117B04" w:rsidRDefault="00117B04"/>
    <w:p w14:paraId="5CA4E3F7" w14:textId="77777777" w:rsidR="00117B04" w:rsidRDefault="00117B04"/>
  </w:endnote>
  <w:endnote w:type="continuationSeparator" w:id="0">
    <w:p w14:paraId="3B0C8057" w14:textId="77777777" w:rsidR="00117B04" w:rsidRDefault="00117B04" w:rsidP="00124A51">
      <w:r>
        <w:continuationSeparator/>
      </w:r>
    </w:p>
    <w:p w14:paraId="69A44C97" w14:textId="77777777" w:rsidR="00117B04" w:rsidRDefault="00117B04"/>
    <w:p w14:paraId="5F1B2587" w14:textId="77777777" w:rsidR="00117B04" w:rsidRDefault="00117B04"/>
    <w:p w14:paraId="2F7BA2BB" w14:textId="77777777" w:rsidR="00117B04" w:rsidRDefault="00117B04"/>
  </w:endnote>
  <w:endnote w:type="continuationNotice" w:id="1">
    <w:p w14:paraId="752BC539" w14:textId="77777777" w:rsidR="00117B04" w:rsidRDefault="00117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3ADC" w14:textId="5482C480" w:rsidR="00F555BD" w:rsidRDefault="005E55F1">
    <w:pPr>
      <w:pStyle w:val="Footer"/>
    </w:pPr>
    <w:r>
      <w:rPr>
        <w:noProof/>
      </w:rPr>
      <mc:AlternateContent>
        <mc:Choice Requires="wps">
          <w:drawing>
            <wp:anchor distT="0" distB="0" distL="0" distR="0" simplePos="0" relativeHeight="251658244" behindDoc="0" locked="0" layoutInCell="1" allowOverlap="1" wp14:anchorId="37B95717" wp14:editId="296D289B">
              <wp:simplePos x="635" y="635"/>
              <wp:positionH relativeFrom="page">
                <wp:align>center</wp:align>
              </wp:positionH>
              <wp:positionV relativeFrom="page">
                <wp:align>bottom</wp:align>
              </wp:positionV>
              <wp:extent cx="551815" cy="376555"/>
              <wp:effectExtent l="0" t="0" r="635" b="0"/>
              <wp:wrapNone/>
              <wp:docPr id="1262994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1039B1" w14:textId="4281E975" w:rsidR="005E55F1" w:rsidRPr="005E55F1" w:rsidRDefault="005E55F1" w:rsidP="005E55F1">
                          <w:pPr>
                            <w:rPr>
                              <w:rFonts w:eastAsia="Calibri" w:cs="Calibri"/>
                              <w:noProof/>
                              <w:color w:val="FF0000"/>
                            </w:rPr>
                          </w:pPr>
                          <w:r w:rsidRPr="005E55F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9571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D1039B1" w14:textId="4281E975" w:rsidR="005E55F1" w:rsidRPr="005E55F1" w:rsidRDefault="005E55F1" w:rsidP="005E55F1">
                    <w:pPr>
                      <w:rPr>
                        <w:rFonts w:eastAsia="Calibri" w:cs="Calibri"/>
                        <w:noProof/>
                        <w:color w:val="FF0000"/>
                      </w:rPr>
                    </w:pPr>
                    <w:r w:rsidRPr="005E55F1">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3014" w14:textId="4445F34D" w:rsidR="00CA48CC" w:rsidRDefault="005E55F1" w:rsidP="00753B29">
    <w:pPr>
      <w:jc w:val="center"/>
    </w:pPr>
    <w:r>
      <w:rPr>
        <w:noProof/>
      </w:rPr>
      <mc:AlternateContent>
        <mc:Choice Requires="wps">
          <w:drawing>
            <wp:anchor distT="0" distB="0" distL="0" distR="0" simplePos="0" relativeHeight="251658245" behindDoc="0" locked="0" layoutInCell="1" allowOverlap="1" wp14:anchorId="4A93A0FF" wp14:editId="188844C9">
              <wp:simplePos x="914400" y="9410700"/>
              <wp:positionH relativeFrom="page">
                <wp:align>center</wp:align>
              </wp:positionH>
              <wp:positionV relativeFrom="page">
                <wp:align>bottom</wp:align>
              </wp:positionV>
              <wp:extent cx="551815" cy="376555"/>
              <wp:effectExtent l="0" t="0" r="635" b="0"/>
              <wp:wrapNone/>
              <wp:docPr id="7548002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E5071B" w14:textId="4A4E3D3F" w:rsidR="005E55F1" w:rsidRPr="005E55F1" w:rsidRDefault="005E55F1" w:rsidP="005E55F1">
                          <w:pPr>
                            <w:rPr>
                              <w:rFonts w:eastAsia="Calibri" w:cs="Calibri"/>
                              <w:noProof/>
                              <w:color w:val="FF0000"/>
                            </w:rPr>
                          </w:pPr>
                          <w:r w:rsidRPr="005E55F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3A0F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1E5071B" w14:textId="4A4E3D3F" w:rsidR="005E55F1" w:rsidRPr="005E55F1" w:rsidRDefault="005E55F1" w:rsidP="005E55F1">
                    <w:pPr>
                      <w:rPr>
                        <w:rFonts w:eastAsia="Calibri" w:cs="Calibri"/>
                        <w:noProof/>
                        <w:color w:val="FF0000"/>
                      </w:rPr>
                    </w:pPr>
                    <w:r w:rsidRPr="005E55F1">
                      <w:rPr>
                        <w:rFonts w:eastAsia="Calibri" w:cs="Calibri"/>
                        <w:noProof/>
                        <w:color w:val="FF0000"/>
                      </w:rPr>
                      <w:t>OFFICIAL</w:t>
                    </w:r>
                  </w:p>
                </w:txbxContent>
              </v:textbox>
              <w10:wrap anchorx="page" anchory="page"/>
            </v:shape>
          </w:pict>
        </mc:Fallback>
      </mc:AlternateContent>
    </w:r>
  </w:p>
  <w:p w14:paraId="65CF239E" w14:textId="5996A7B4" w:rsidR="00E63FD7" w:rsidRDefault="00875704" w:rsidP="00613733">
    <w:pPr>
      <w:jc w:val="center"/>
    </w:pPr>
    <w:sdt>
      <w:sdtPr>
        <w:id w:val="995226175"/>
        <w:docPartObj>
          <w:docPartGallery w:val="Page Numbers (Bottom of Page)"/>
          <w:docPartUnique/>
        </w:docPartObj>
      </w:sdtPr>
      <w:sdtEndPr>
        <w:rPr>
          <w:b/>
        </w:rPr>
      </w:sdtEndPr>
      <w:sdtContent>
        <w:r w:rsidR="00CA48CC" w:rsidRPr="002E1848">
          <w:rPr>
            <w:b/>
          </w:rPr>
          <w:fldChar w:fldCharType="begin"/>
        </w:r>
        <w:r w:rsidR="00CA48CC" w:rsidRPr="002E1848">
          <w:rPr>
            <w:b/>
          </w:rPr>
          <w:instrText xml:space="preserve"> PAGE   \* MERGEFORMAT </w:instrText>
        </w:r>
        <w:r w:rsidR="00CA48CC" w:rsidRPr="002E1848">
          <w:rPr>
            <w:b/>
          </w:rPr>
          <w:fldChar w:fldCharType="separate"/>
        </w:r>
        <w:r w:rsidR="00CA48CC" w:rsidRPr="002E1848">
          <w:rPr>
            <w:b/>
          </w:rPr>
          <w:t>36</w:t>
        </w:r>
        <w:r w:rsidR="00CA48CC" w:rsidRPr="002E1848">
          <w:rPr>
            <w: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49A2" w14:textId="3A0D467E" w:rsidR="00F555BD" w:rsidRDefault="005E55F1">
    <w:pPr>
      <w:pStyle w:val="Footer"/>
    </w:pPr>
    <w:r>
      <w:rPr>
        <w:noProof/>
      </w:rPr>
      <mc:AlternateContent>
        <mc:Choice Requires="wps">
          <w:drawing>
            <wp:anchor distT="0" distB="0" distL="0" distR="0" simplePos="0" relativeHeight="251658243" behindDoc="0" locked="0" layoutInCell="1" allowOverlap="1" wp14:anchorId="2A563467" wp14:editId="48FAB719">
              <wp:simplePos x="635" y="635"/>
              <wp:positionH relativeFrom="page">
                <wp:align>center</wp:align>
              </wp:positionH>
              <wp:positionV relativeFrom="page">
                <wp:align>bottom</wp:align>
              </wp:positionV>
              <wp:extent cx="551815" cy="376555"/>
              <wp:effectExtent l="0" t="0" r="635" b="0"/>
              <wp:wrapNone/>
              <wp:docPr id="3052795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B2D0DD" w14:textId="50039802" w:rsidR="005E55F1" w:rsidRPr="005E55F1" w:rsidRDefault="005E55F1" w:rsidP="005E55F1">
                          <w:pPr>
                            <w:rPr>
                              <w:rFonts w:eastAsia="Calibri" w:cs="Calibri"/>
                              <w:noProof/>
                              <w:color w:val="FF0000"/>
                            </w:rPr>
                          </w:pPr>
                          <w:r w:rsidRPr="005E55F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6346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DB2D0DD" w14:textId="50039802" w:rsidR="005E55F1" w:rsidRPr="005E55F1" w:rsidRDefault="005E55F1" w:rsidP="005E55F1">
                    <w:pPr>
                      <w:rPr>
                        <w:rFonts w:eastAsia="Calibri" w:cs="Calibri"/>
                        <w:noProof/>
                        <w:color w:val="FF0000"/>
                      </w:rPr>
                    </w:pPr>
                    <w:r w:rsidRPr="005E55F1">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0BAD" w14:textId="77777777" w:rsidR="00117B04" w:rsidRDefault="00117B04" w:rsidP="00124A51">
      <w:r>
        <w:separator/>
      </w:r>
    </w:p>
  </w:footnote>
  <w:footnote w:type="continuationSeparator" w:id="0">
    <w:p w14:paraId="4937CC17" w14:textId="77777777" w:rsidR="00117B04" w:rsidRDefault="00117B04" w:rsidP="00124A51">
      <w:r>
        <w:continuationSeparator/>
      </w:r>
    </w:p>
    <w:p w14:paraId="7C9D6CE9" w14:textId="77777777" w:rsidR="00117B04" w:rsidRDefault="00117B04"/>
    <w:p w14:paraId="3E682FB0" w14:textId="77777777" w:rsidR="00117B04" w:rsidRDefault="00117B04"/>
    <w:p w14:paraId="3DFA5552" w14:textId="77777777" w:rsidR="00117B04" w:rsidRDefault="00117B04"/>
  </w:footnote>
  <w:footnote w:type="continuationNotice" w:id="1">
    <w:p w14:paraId="10DDE7A9" w14:textId="77777777" w:rsidR="00117B04" w:rsidRDefault="00117B04"/>
  </w:footnote>
  <w:footnote w:id="2">
    <w:p w14:paraId="2463525C" w14:textId="77777777" w:rsidR="00621D63" w:rsidRPr="00116D6F" w:rsidRDefault="00621D63" w:rsidP="00621D63">
      <w:pPr>
        <w:pStyle w:val="FootnoteText"/>
        <w:rPr>
          <w:rFonts w:ascii="Arial Narrow" w:hAnsi="Arial Narrow"/>
        </w:rPr>
      </w:pPr>
      <w:r w:rsidRPr="00116D6F">
        <w:rPr>
          <w:rStyle w:val="FootnoteReference"/>
          <w:rFonts w:ascii="Arial Narrow" w:hAnsi="Arial Narrow"/>
        </w:rPr>
        <w:footnoteRef/>
      </w:r>
      <w:r w:rsidRPr="00116D6F">
        <w:rPr>
          <w:rFonts w:ascii="Arial Narrow" w:hAnsi="Arial Narrow"/>
        </w:rPr>
        <w:t xml:space="preserve"> Criteria for Clinical Use of Immunoglobulin in Australia, accessed at: </w:t>
      </w:r>
    </w:p>
    <w:p w14:paraId="115B475A" w14:textId="77777777" w:rsidR="00621D63" w:rsidRDefault="00621D63" w:rsidP="00621D63">
      <w:pPr>
        <w:pStyle w:val="FootnoteText"/>
      </w:pPr>
      <w:r w:rsidRPr="00116D6F">
        <w:rPr>
          <w:rFonts w:ascii="Arial Narrow" w:hAnsi="Arial Narrow"/>
        </w:rPr>
        <w:t xml:space="preserve"> https://www.criteria.blood.gov.au/MedicalCondition/View/2681</w:t>
      </w:r>
    </w:p>
  </w:footnote>
  <w:footnote w:id="3">
    <w:p w14:paraId="1FB3CA7C" w14:textId="77777777" w:rsidR="00874F10" w:rsidRPr="00C539C3" w:rsidRDefault="00874F10" w:rsidP="00874F10">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4">
    <w:p w14:paraId="0C01DB81" w14:textId="77777777" w:rsidR="000A1820" w:rsidRPr="00C539C3" w:rsidRDefault="000A1820" w:rsidP="000A1820">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5">
    <w:p w14:paraId="3E4E97A4" w14:textId="77777777" w:rsidR="000A1820" w:rsidRDefault="000A1820" w:rsidP="000A1820">
      <w:pPr>
        <w:pStyle w:val="FootnoteText"/>
      </w:pPr>
      <w:r w:rsidRPr="00C539C3">
        <w:rPr>
          <w:rStyle w:val="FootnoteReference"/>
          <w:rFonts w:ascii="Arial Narrow" w:hAnsi="Arial Narrow"/>
        </w:rPr>
        <w:footnoteRef/>
      </w:r>
      <w:r w:rsidRPr="00C539C3">
        <w:rPr>
          <w:rFonts w:ascii="Arial Narrow" w:hAnsi="Arial Narrow"/>
        </w:rPr>
        <w:t xml:space="preserve"> Hehir, M.K., Burns, T.M., Alpers, J., Conaway, M.R., Sawa, M. and Sanders, D.B. (2010), Mycophenolate mofetil in AChR-antibody-positive myasthenia gravis: Outcomes in 102 patients†. Muscle Nerve, 41: 593-598. </w:t>
      </w:r>
      <w:hyperlink r:id="rId1" w:history="1">
        <w:r w:rsidRPr="00C539C3">
          <w:rPr>
            <w:rStyle w:val="Hyperlink"/>
            <w:rFonts w:ascii="Arial Narrow" w:hAnsi="Arial Narrow"/>
          </w:rPr>
          <w:t>https://doi.org/10.1002/mus.21640</w:t>
        </w:r>
      </w:hyperlink>
      <w:r w:rsidRPr="00C539C3">
        <w:rPr>
          <w:rFonts w:ascii="Arial Narrow" w:hAnsi="Arial Narrow"/>
        </w:rPr>
        <w:t>, Accessed at https://pubmed.ncbi.nlm.nih.gov/20405499/</w:t>
      </w:r>
    </w:p>
  </w:footnote>
  <w:footnote w:id="6">
    <w:p w14:paraId="681C35C2" w14:textId="77777777" w:rsidR="000A1820" w:rsidRPr="00C112C3" w:rsidRDefault="000A1820" w:rsidP="000A1820">
      <w:pPr>
        <w:pStyle w:val="FootnoteText"/>
        <w:rPr>
          <w:rFonts w:ascii="Arial Narrow" w:hAnsi="Arial Narrow"/>
        </w:rPr>
      </w:pPr>
      <w:r w:rsidRPr="00C112C3">
        <w:rPr>
          <w:rStyle w:val="FootnoteReference"/>
          <w:rFonts w:ascii="Arial Narrow" w:hAnsi="Arial Narrow"/>
        </w:rPr>
        <w:footnoteRef/>
      </w:r>
      <w:r w:rsidRPr="00C112C3">
        <w:rPr>
          <w:rFonts w:ascii="Arial Narrow" w:hAnsi="Arial Narrow"/>
        </w:rPr>
        <w:t xml:space="preserve"> Palace J, Newsom-Davis J, Lecky B. A randomized double-blind trial of prednisolone alone or with azathioprine in myasthenia gravis. Myasthenia Gravis Study Group. Neurology. 1998 Jun;50(6):1778-83. doi: 10.1212/wnl.50.6.1778. PMID: 9633727.</w:t>
      </w:r>
    </w:p>
  </w:footnote>
  <w:footnote w:id="7">
    <w:p w14:paraId="1D4742BF" w14:textId="77777777" w:rsidR="000A1820" w:rsidRPr="00116D6F" w:rsidRDefault="000A1820" w:rsidP="000A1820">
      <w:pPr>
        <w:pStyle w:val="FootnoteText"/>
        <w:rPr>
          <w:rFonts w:ascii="Arial Narrow" w:hAnsi="Arial Narrow"/>
        </w:rPr>
      </w:pPr>
      <w:r w:rsidRPr="00116D6F">
        <w:rPr>
          <w:rStyle w:val="FootnoteReference"/>
          <w:rFonts w:ascii="Arial Narrow" w:hAnsi="Arial Narrow"/>
        </w:rPr>
        <w:footnoteRef/>
      </w:r>
      <w:r w:rsidRPr="00116D6F">
        <w:rPr>
          <w:rFonts w:ascii="Arial Narrow" w:hAnsi="Arial Narrow"/>
        </w:rPr>
        <w:t xml:space="preserve"> Criteria for Clinical Use of Immunoglobulin in Australia, accessed at: </w:t>
      </w:r>
    </w:p>
    <w:p w14:paraId="51D8691C" w14:textId="77777777" w:rsidR="000A1820" w:rsidRDefault="000A1820" w:rsidP="000A1820">
      <w:pPr>
        <w:pStyle w:val="FootnoteText"/>
      </w:pPr>
      <w:r w:rsidRPr="00116D6F">
        <w:rPr>
          <w:rFonts w:ascii="Arial Narrow" w:hAnsi="Arial Narrow"/>
        </w:rPr>
        <w:t xml:space="preserve"> https://www.criteria.blood.gov.au/MedicalCondition/View/2681</w:t>
      </w:r>
    </w:p>
  </w:footnote>
  <w:footnote w:id="8">
    <w:p w14:paraId="3EA727C0" w14:textId="77777777" w:rsidR="000A16D7" w:rsidRDefault="000A16D7" w:rsidP="000A16D7">
      <w:pPr>
        <w:pStyle w:val="FootnoteText"/>
      </w:pPr>
      <w:r>
        <w:rPr>
          <w:rStyle w:val="FootnoteReference"/>
        </w:rPr>
        <w:footnoteRef/>
      </w:r>
      <w:r>
        <w:t xml:space="preserve"> Australian Product Information for </w:t>
      </w:r>
      <w:r>
        <w:t xml:space="preserve">Privigen and Intragam </w:t>
      </w:r>
      <w:hyperlink r:id="rId2" w:history="1">
        <w:r w:rsidRPr="000A46CD">
          <w:rPr>
            <w:rStyle w:val="Hyperlink"/>
          </w:rPr>
          <w:t>https://www.ebs.tga.gov.au/ebs/picmi/picmirepository.nsf/pdf?OpenAgent=&amp;id=CP-2020-PI-01935-1&amp;d=20250321172310101</w:t>
        </w:r>
      </w:hyperlink>
      <w:r>
        <w:t xml:space="preserve">; </w:t>
      </w:r>
      <w:r w:rsidRPr="00155D8F">
        <w:t>https://www.ebs.tga.gov.au/ebs/picmi/picmirepository.nsf/pdf?OpenAgent=&amp;id=CP-2014-PI-03087-1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D6F0" w14:textId="612B9D18" w:rsidR="00F555BD" w:rsidRDefault="005E55F1">
    <w:pPr>
      <w:pStyle w:val="Header"/>
    </w:pPr>
    <w:r>
      <w:rPr>
        <w:noProof/>
      </w:rPr>
      <mc:AlternateContent>
        <mc:Choice Requires="wps">
          <w:drawing>
            <wp:anchor distT="0" distB="0" distL="0" distR="0" simplePos="0" relativeHeight="251658241" behindDoc="0" locked="0" layoutInCell="1" allowOverlap="1" wp14:anchorId="6136897E" wp14:editId="7AA4E0F0">
              <wp:simplePos x="635" y="635"/>
              <wp:positionH relativeFrom="page">
                <wp:align>center</wp:align>
              </wp:positionH>
              <wp:positionV relativeFrom="page">
                <wp:align>top</wp:align>
              </wp:positionV>
              <wp:extent cx="551815" cy="376555"/>
              <wp:effectExtent l="0" t="0" r="635" b="4445"/>
              <wp:wrapNone/>
              <wp:docPr id="19305389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14A31C" w14:textId="5BC2323A" w:rsidR="005E55F1" w:rsidRPr="005E55F1" w:rsidRDefault="005E55F1" w:rsidP="005E55F1">
                          <w:pPr>
                            <w:rPr>
                              <w:rFonts w:eastAsia="Calibri" w:cs="Calibri"/>
                              <w:noProof/>
                              <w:color w:val="FF0000"/>
                            </w:rPr>
                          </w:pPr>
                          <w:r w:rsidRPr="005E55F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6897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D14A31C" w14:textId="5BC2323A" w:rsidR="005E55F1" w:rsidRPr="005E55F1" w:rsidRDefault="005E55F1" w:rsidP="005E55F1">
                    <w:pPr>
                      <w:rPr>
                        <w:rFonts w:eastAsia="Calibri" w:cs="Calibri"/>
                        <w:noProof/>
                        <w:color w:val="FF0000"/>
                      </w:rPr>
                    </w:pPr>
                    <w:r w:rsidRPr="005E55F1">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F82E" w14:textId="63863E8B" w:rsidR="00CA48CC" w:rsidRPr="00195452" w:rsidRDefault="005E55F1">
    <w:pPr>
      <w:jc w:val="cent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58242" behindDoc="0" locked="0" layoutInCell="1" allowOverlap="1" wp14:anchorId="301A3469" wp14:editId="523F9CC6">
              <wp:simplePos x="914400" y="914400"/>
              <wp:positionH relativeFrom="page">
                <wp:align>center</wp:align>
              </wp:positionH>
              <wp:positionV relativeFrom="page">
                <wp:align>top</wp:align>
              </wp:positionV>
              <wp:extent cx="551815" cy="376555"/>
              <wp:effectExtent l="0" t="0" r="635" b="4445"/>
              <wp:wrapNone/>
              <wp:docPr id="11697462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C1C1A1" w14:textId="3D2E3A05" w:rsidR="005E55F1" w:rsidRPr="005E55F1" w:rsidRDefault="005E55F1" w:rsidP="005E55F1">
                          <w:pPr>
                            <w:rPr>
                              <w:rFonts w:eastAsia="Calibri" w:cs="Calibri"/>
                              <w:noProof/>
                              <w:color w:val="FF0000"/>
                            </w:rPr>
                          </w:pPr>
                          <w:r w:rsidRPr="005E55F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A346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DC1C1A1" w14:textId="3D2E3A05" w:rsidR="005E55F1" w:rsidRPr="005E55F1" w:rsidRDefault="005E55F1" w:rsidP="005E55F1">
                    <w:pPr>
                      <w:rPr>
                        <w:rFonts w:eastAsia="Calibri" w:cs="Calibri"/>
                        <w:noProof/>
                        <w:color w:val="FF0000"/>
                      </w:rPr>
                    </w:pPr>
                    <w:r w:rsidRPr="005E55F1">
                      <w:rPr>
                        <w:rFonts w:eastAsia="Calibri" w:cs="Calibri"/>
                        <w:noProof/>
                        <w:color w:val="FF0000"/>
                      </w:rPr>
                      <w:t>OFFICIAL</w:t>
                    </w:r>
                  </w:p>
                </w:txbxContent>
              </v:textbox>
              <w10:wrap anchorx="page" anchory="page"/>
            </v:shape>
          </w:pict>
        </mc:Fallback>
      </mc:AlternateContent>
    </w:r>
    <w:r w:rsidR="00D50D10" w:rsidRPr="00D50D10">
      <w:rPr>
        <w:rFonts w:asciiTheme="minorHAnsi" w:hAnsiTheme="minorHAnsi"/>
        <w:i/>
        <w:color w:val="808080"/>
      </w:rPr>
      <w:t xml:space="preserve">Public Summary Document </w:t>
    </w:r>
    <w:r w:rsidR="00704B78" w:rsidRPr="00704B78">
      <w:rPr>
        <w:rFonts w:asciiTheme="minorHAnsi" w:hAnsiTheme="minorHAnsi"/>
        <w:i/>
        <w:color w:val="808080"/>
      </w:rPr>
      <w:t>– March 202</w:t>
    </w:r>
    <w:r w:rsidR="00704B78">
      <w:rPr>
        <w:rFonts w:asciiTheme="minorHAnsi" w:hAnsiTheme="minorHAnsi"/>
        <w:i/>
        <w:color w:val="808080"/>
      </w:rPr>
      <w:t>5</w:t>
    </w:r>
    <w:r w:rsidR="00704B78" w:rsidRPr="00704B78">
      <w:rPr>
        <w:rFonts w:asciiTheme="minorHAnsi" w:hAnsiTheme="minorHAnsi"/>
        <w:i/>
        <w:color w:val="808080"/>
      </w:rPr>
      <w:t xml:space="preserve"> PBAC Meeting</w:t>
    </w:r>
    <w:r w:rsidR="00704B78">
      <w:rPr>
        <w:rFonts w:asciiTheme="minorHAnsi" w:hAnsiTheme="minorHAnsi"/>
        <w:i/>
        <w:color w:val="808080"/>
      </w:rPr>
      <w:t xml:space="preserve"> </w:t>
    </w:r>
  </w:p>
  <w:p w14:paraId="15B320E3" w14:textId="77777777" w:rsidR="00E63FD7" w:rsidRDefault="00E63F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69A9" w14:textId="5261B90B" w:rsidR="00F555BD" w:rsidRDefault="005E55F1">
    <w:pPr>
      <w:pStyle w:val="Header"/>
    </w:pPr>
    <w:r>
      <w:rPr>
        <w:noProof/>
      </w:rPr>
      <mc:AlternateContent>
        <mc:Choice Requires="wps">
          <w:drawing>
            <wp:anchor distT="0" distB="0" distL="0" distR="0" simplePos="0" relativeHeight="251658240" behindDoc="0" locked="0" layoutInCell="1" allowOverlap="1" wp14:anchorId="0A04AA46" wp14:editId="4965B8F6">
              <wp:simplePos x="635" y="635"/>
              <wp:positionH relativeFrom="page">
                <wp:align>center</wp:align>
              </wp:positionH>
              <wp:positionV relativeFrom="page">
                <wp:align>top</wp:align>
              </wp:positionV>
              <wp:extent cx="551815" cy="376555"/>
              <wp:effectExtent l="0" t="0" r="635" b="4445"/>
              <wp:wrapNone/>
              <wp:docPr id="4337324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E5C730" w14:textId="22176C62" w:rsidR="005E55F1" w:rsidRPr="005E55F1" w:rsidRDefault="005E55F1" w:rsidP="005E55F1">
                          <w:pPr>
                            <w:rPr>
                              <w:rFonts w:eastAsia="Calibri" w:cs="Calibri"/>
                              <w:noProof/>
                              <w:color w:val="FF0000"/>
                            </w:rPr>
                          </w:pPr>
                          <w:r w:rsidRPr="005E55F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4AA4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8E5C730" w14:textId="22176C62" w:rsidR="005E55F1" w:rsidRPr="005E55F1" w:rsidRDefault="005E55F1" w:rsidP="005E55F1">
                    <w:pPr>
                      <w:rPr>
                        <w:rFonts w:eastAsia="Calibri" w:cs="Calibri"/>
                        <w:noProof/>
                        <w:color w:val="FF0000"/>
                      </w:rPr>
                    </w:pPr>
                    <w:r w:rsidRPr="005E55F1">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D26BB8"/>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226086D"/>
    <w:multiLevelType w:val="hybridMultilevel"/>
    <w:tmpl w:val="9C608A90"/>
    <w:lvl w:ilvl="0" w:tplc="3C88AF1E">
      <w:start w:val="541"/>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767DE"/>
    <w:multiLevelType w:val="hybridMultilevel"/>
    <w:tmpl w:val="035894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5EE7AEA"/>
    <w:multiLevelType w:val="hybridMultilevel"/>
    <w:tmpl w:val="444CA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74259D"/>
    <w:multiLevelType w:val="multilevel"/>
    <w:tmpl w:val="89609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892759"/>
    <w:multiLevelType w:val="hybridMultilevel"/>
    <w:tmpl w:val="7F6A9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008530A"/>
    <w:multiLevelType w:val="hybridMultilevel"/>
    <w:tmpl w:val="8384D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FB3943"/>
    <w:multiLevelType w:val="hybridMultilevel"/>
    <w:tmpl w:val="B99651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3DFC5C6E"/>
    <w:lvl w:ilvl="0" w:tplc="7ADCBE76">
      <w:start w:val="1"/>
      <w:numFmt w:val="bullet"/>
      <w:pStyle w:val="COMexecsummbulletlist"/>
      <w:lvlText w:val=""/>
      <w:lvlJc w:val="left"/>
      <w:pPr>
        <w:ind w:left="6456"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962D4"/>
    <w:multiLevelType w:val="hybridMultilevel"/>
    <w:tmpl w:val="326262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7D1684F"/>
    <w:multiLevelType w:val="hybridMultilevel"/>
    <w:tmpl w:val="FA44A946"/>
    <w:lvl w:ilvl="0" w:tplc="84F8AA1A">
      <w:start w:val="1"/>
      <w:numFmt w:val="bullet"/>
      <w:lvlText w:val="•"/>
      <w:lvlJc w:val="left"/>
      <w:pPr>
        <w:tabs>
          <w:tab w:val="num" w:pos="720"/>
        </w:tabs>
        <w:ind w:left="720" w:hanging="360"/>
      </w:pPr>
      <w:rPr>
        <w:rFonts w:ascii="Arial" w:hAnsi="Arial" w:hint="default"/>
      </w:rPr>
    </w:lvl>
    <w:lvl w:ilvl="1" w:tplc="464AD4D8" w:tentative="1">
      <w:start w:val="1"/>
      <w:numFmt w:val="bullet"/>
      <w:lvlText w:val="•"/>
      <w:lvlJc w:val="left"/>
      <w:pPr>
        <w:tabs>
          <w:tab w:val="num" w:pos="1440"/>
        </w:tabs>
        <w:ind w:left="1440" w:hanging="360"/>
      </w:pPr>
      <w:rPr>
        <w:rFonts w:ascii="Arial" w:hAnsi="Arial" w:hint="default"/>
      </w:rPr>
    </w:lvl>
    <w:lvl w:ilvl="2" w:tplc="DAB01160" w:tentative="1">
      <w:start w:val="1"/>
      <w:numFmt w:val="bullet"/>
      <w:lvlText w:val="•"/>
      <w:lvlJc w:val="left"/>
      <w:pPr>
        <w:tabs>
          <w:tab w:val="num" w:pos="2160"/>
        </w:tabs>
        <w:ind w:left="2160" w:hanging="360"/>
      </w:pPr>
      <w:rPr>
        <w:rFonts w:ascii="Arial" w:hAnsi="Arial" w:hint="default"/>
      </w:rPr>
    </w:lvl>
    <w:lvl w:ilvl="3" w:tplc="08505AB0" w:tentative="1">
      <w:start w:val="1"/>
      <w:numFmt w:val="bullet"/>
      <w:lvlText w:val="•"/>
      <w:lvlJc w:val="left"/>
      <w:pPr>
        <w:tabs>
          <w:tab w:val="num" w:pos="2880"/>
        </w:tabs>
        <w:ind w:left="2880" w:hanging="360"/>
      </w:pPr>
      <w:rPr>
        <w:rFonts w:ascii="Arial" w:hAnsi="Arial" w:hint="default"/>
      </w:rPr>
    </w:lvl>
    <w:lvl w:ilvl="4" w:tplc="A8822C62" w:tentative="1">
      <w:start w:val="1"/>
      <w:numFmt w:val="bullet"/>
      <w:lvlText w:val="•"/>
      <w:lvlJc w:val="left"/>
      <w:pPr>
        <w:tabs>
          <w:tab w:val="num" w:pos="3600"/>
        </w:tabs>
        <w:ind w:left="3600" w:hanging="360"/>
      </w:pPr>
      <w:rPr>
        <w:rFonts w:ascii="Arial" w:hAnsi="Arial" w:hint="default"/>
      </w:rPr>
    </w:lvl>
    <w:lvl w:ilvl="5" w:tplc="163677B8" w:tentative="1">
      <w:start w:val="1"/>
      <w:numFmt w:val="bullet"/>
      <w:lvlText w:val="•"/>
      <w:lvlJc w:val="left"/>
      <w:pPr>
        <w:tabs>
          <w:tab w:val="num" w:pos="4320"/>
        </w:tabs>
        <w:ind w:left="4320" w:hanging="360"/>
      </w:pPr>
      <w:rPr>
        <w:rFonts w:ascii="Arial" w:hAnsi="Arial" w:hint="default"/>
      </w:rPr>
    </w:lvl>
    <w:lvl w:ilvl="6" w:tplc="60A65DBA" w:tentative="1">
      <w:start w:val="1"/>
      <w:numFmt w:val="bullet"/>
      <w:lvlText w:val="•"/>
      <w:lvlJc w:val="left"/>
      <w:pPr>
        <w:tabs>
          <w:tab w:val="num" w:pos="5040"/>
        </w:tabs>
        <w:ind w:left="5040" w:hanging="360"/>
      </w:pPr>
      <w:rPr>
        <w:rFonts w:ascii="Arial" w:hAnsi="Arial" w:hint="default"/>
      </w:rPr>
    </w:lvl>
    <w:lvl w:ilvl="7" w:tplc="FBAEC8A4" w:tentative="1">
      <w:start w:val="1"/>
      <w:numFmt w:val="bullet"/>
      <w:lvlText w:val="•"/>
      <w:lvlJc w:val="left"/>
      <w:pPr>
        <w:tabs>
          <w:tab w:val="num" w:pos="5760"/>
        </w:tabs>
        <w:ind w:left="5760" w:hanging="360"/>
      </w:pPr>
      <w:rPr>
        <w:rFonts w:ascii="Arial" w:hAnsi="Arial" w:hint="default"/>
      </w:rPr>
    </w:lvl>
    <w:lvl w:ilvl="8" w:tplc="F2F408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941D99"/>
    <w:multiLevelType w:val="hybridMultilevel"/>
    <w:tmpl w:val="4EF684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AD721C7"/>
    <w:multiLevelType w:val="hybridMultilevel"/>
    <w:tmpl w:val="F5B0F7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099164C"/>
    <w:multiLevelType w:val="hybridMultilevel"/>
    <w:tmpl w:val="0C740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2E74AF"/>
    <w:multiLevelType w:val="hybridMultilevel"/>
    <w:tmpl w:val="0472E1D6"/>
    <w:lvl w:ilvl="0" w:tplc="B6A8DF66">
      <w:start w:val="1"/>
      <w:numFmt w:val="lowerLetter"/>
      <w:pStyle w:val="TableLetters"/>
      <w:lvlText w:val="%1)"/>
      <w:lvlJc w:val="left"/>
      <w:pPr>
        <w:ind w:left="397" w:hanging="17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64C93D04"/>
    <w:multiLevelType w:val="hybridMultilevel"/>
    <w:tmpl w:val="EA766FCC"/>
    <w:lvl w:ilvl="0" w:tplc="520063BA">
      <w:start w:val="1"/>
      <w:numFmt w:val="bullet"/>
      <w:lvlText w:val=""/>
      <w:lvlJc w:val="left"/>
      <w:pPr>
        <w:tabs>
          <w:tab w:val="num" w:pos="720"/>
        </w:tabs>
        <w:ind w:left="720" w:hanging="360"/>
      </w:pPr>
      <w:rPr>
        <w:rFonts w:ascii="Wingdings" w:hAnsi="Wingdings" w:hint="default"/>
      </w:rPr>
    </w:lvl>
    <w:lvl w:ilvl="1" w:tplc="3076A4C8" w:tentative="1">
      <w:start w:val="1"/>
      <w:numFmt w:val="bullet"/>
      <w:lvlText w:val=""/>
      <w:lvlJc w:val="left"/>
      <w:pPr>
        <w:tabs>
          <w:tab w:val="num" w:pos="1440"/>
        </w:tabs>
        <w:ind w:left="1440" w:hanging="360"/>
      </w:pPr>
      <w:rPr>
        <w:rFonts w:ascii="Wingdings" w:hAnsi="Wingdings" w:hint="default"/>
      </w:rPr>
    </w:lvl>
    <w:lvl w:ilvl="2" w:tplc="252C65E2" w:tentative="1">
      <w:start w:val="1"/>
      <w:numFmt w:val="bullet"/>
      <w:lvlText w:val=""/>
      <w:lvlJc w:val="left"/>
      <w:pPr>
        <w:tabs>
          <w:tab w:val="num" w:pos="2160"/>
        </w:tabs>
        <w:ind w:left="2160" w:hanging="360"/>
      </w:pPr>
      <w:rPr>
        <w:rFonts w:ascii="Wingdings" w:hAnsi="Wingdings" w:hint="default"/>
      </w:rPr>
    </w:lvl>
    <w:lvl w:ilvl="3" w:tplc="2ED87632" w:tentative="1">
      <w:start w:val="1"/>
      <w:numFmt w:val="bullet"/>
      <w:lvlText w:val=""/>
      <w:lvlJc w:val="left"/>
      <w:pPr>
        <w:tabs>
          <w:tab w:val="num" w:pos="2880"/>
        </w:tabs>
        <w:ind w:left="2880" w:hanging="360"/>
      </w:pPr>
      <w:rPr>
        <w:rFonts w:ascii="Wingdings" w:hAnsi="Wingdings" w:hint="default"/>
      </w:rPr>
    </w:lvl>
    <w:lvl w:ilvl="4" w:tplc="B68812A6" w:tentative="1">
      <w:start w:val="1"/>
      <w:numFmt w:val="bullet"/>
      <w:lvlText w:val=""/>
      <w:lvlJc w:val="left"/>
      <w:pPr>
        <w:tabs>
          <w:tab w:val="num" w:pos="3600"/>
        </w:tabs>
        <w:ind w:left="3600" w:hanging="360"/>
      </w:pPr>
      <w:rPr>
        <w:rFonts w:ascii="Wingdings" w:hAnsi="Wingdings" w:hint="default"/>
      </w:rPr>
    </w:lvl>
    <w:lvl w:ilvl="5" w:tplc="E91216BC" w:tentative="1">
      <w:start w:val="1"/>
      <w:numFmt w:val="bullet"/>
      <w:lvlText w:val=""/>
      <w:lvlJc w:val="left"/>
      <w:pPr>
        <w:tabs>
          <w:tab w:val="num" w:pos="4320"/>
        </w:tabs>
        <w:ind w:left="4320" w:hanging="360"/>
      </w:pPr>
      <w:rPr>
        <w:rFonts w:ascii="Wingdings" w:hAnsi="Wingdings" w:hint="default"/>
      </w:rPr>
    </w:lvl>
    <w:lvl w:ilvl="6" w:tplc="7722E650" w:tentative="1">
      <w:start w:val="1"/>
      <w:numFmt w:val="bullet"/>
      <w:lvlText w:val=""/>
      <w:lvlJc w:val="left"/>
      <w:pPr>
        <w:tabs>
          <w:tab w:val="num" w:pos="5040"/>
        </w:tabs>
        <w:ind w:left="5040" w:hanging="360"/>
      </w:pPr>
      <w:rPr>
        <w:rFonts w:ascii="Wingdings" w:hAnsi="Wingdings" w:hint="default"/>
      </w:rPr>
    </w:lvl>
    <w:lvl w:ilvl="7" w:tplc="51325FFA" w:tentative="1">
      <w:start w:val="1"/>
      <w:numFmt w:val="bullet"/>
      <w:lvlText w:val=""/>
      <w:lvlJc w:val="left"/>
      <w:pPr>
        <w:tabs>
          <w:tab w:val="num" w:pos="5760"/>
        </w:tabs>
        <w:ind w:left="5760" w:hanging="360"/>
      </w:pPr>
      <w:rPr>
        <w:rFonts w:ascii="Wingdings" w:hAnsi="Wingdings" w:hint="default"/>
      </w:rPr>
    </w:lvl>
    <w:lvl w:ilvl="8" w:tplc="567E76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83DA5"/>
    <w:multiLevelType w:val="hybridMultilevel"/>
    <w:tmpl w:val="B7082B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8763651"/>
    <w:multiLevelType w:val="hybridMultilevel"/>
    <w:tmpl w:val="1BF4C0CE"/>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15:restartNumberingAfterBreak="0">
    <w:nsid w:val="6A760829"/>
    <w:multiLevelType w:val="hybridMultilevel"/>
    <w:tmpl w:val="5C324902"/>
    <w:lvl w:ilvl="0" w:tplc="FB687838">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A163B1"/>
    <w:multiLevelType w:val="hybridMultilevel"/>
    <w:tmpl w:val="9C2E33AC"/>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2" w15:restartNumberingAfterBreak="0">
    <w:nsid w:val="784D033C"/>
    <w:multiLevelType w:val="multilevel"/>
    <w:tmpl w:val="320409CE"/>
    <w:lvl w:ilvl="0">
      <w:start w:val="1"/>
      <w:numFmt w:val="decimal"/>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422EC2"/>
    <w:multiLevelType w:val="hybridMultilevel"/>
    <w:tmpl w:val="F752A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22"/>
  </w:num>
  <w:num w:numId="2" w16cid:durableId="917793048">
    <w:abstractNumId w:val="9"/>
  </w:num>
  <w:num w:numId="3" w16cid:durableId="521091235">
    <w:abstractNumId w:val="0"/>
  </w:num>
  <w:num w:numId="4" w16cid:durableId="2123836775">
    <w:abstractNumId w:val="10"/>
  </w:num>
  <w:num w:numId="5" w16cid:durableId="690643893">
    <w:abstractNumId w:val="5"/>
  </w:num>
  <w:num w:numId="6" w16cid:durableId="498428501">
    <w:abstractNumId w:val="23"/>
  </w:num>
  <w:num w:numId="7" w16cid:durableId="179708781">
    <w:abstractNumId w:val="16"/>
  </w:num>
  <w:num w:numId="8" w16cid:durableId="408427589">
    <w:abstractNumId w:val="11"/>
  </w:num>
  <w:num w:numId="9" w16cid:durableId="336660034">
    <w:abstractNumId w:val="8"/>
  </w:num>
  <w:num w:numId="10" w16cid:durableId="1555193464">
    <w:abstractNumId w:val="18"/>
  </w:num>
  <w:num w:numId="11" w16cid:durableId="142284581">
    <w:abstractNumId w:val="6"/>
  </w:num>
  <w:num w:numId="12" w16cid:durableId="143206416">
    <w:abstractNumId w:val="7"/>
  </w:num>
  <w:num w:numId="13" w16cid:durableId="1008681907">
    <w:abstractNumId w:val="14"/>
  </w:num>
  <w:num w:numId="14" w16cid:durableId="135609547">
    <w:abstractNumId w:val="21"/>
  </w:num>
  <w:num w:numId="15" w16cid:durableId="772212157">
    <w:abstractNumId w:val="3"/>
  </w:num>
  <w:num w:numId="16" w16cid:durableId="241448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5532295">
    <w:abstractNumId w:val="2"/>
  </w:num>
  <w:num w:numId="18" w16cid:durableId="296952065">
    <w:abstractNumId w:val="13"/>
  </w:num>
  <w:num w:numId="19" w16cid:durableId="1280256941">
    <w:abstractNumId w:val="17"/>
  </w:num>
  <w:num w:numId="20" w16cid:durableId="2080404081">
    <w:abstractNumId w:val="12"/>
  </w:num>
  <w:num w:numId="21" w16cid:durableId="488207436">
    <w:abstractNumId w:val="19"/>
  </w:num>
  <w:num w:numId="22" w16cid:durableId="1602490514">
    <w:abstractNumId w:val="15"/>
  </w:num>
  <w:num w:numId="23" w16cid:durableId="616909948">
    <w:abstractNumId w:val="10"/>
  </w:num>
  <w:num w:numId="24" w16cid:durableId="1941985739">
    <w:abstractNumId w:val="10"/>
  </w:num>
  <w:num w:numId="25" w16cid:durableId="437409292">
    <w:abstractNumId w:val="10"/>
  </w:num>
  <w:num w:numId="26" w16cid:durableId="1673147308">
    <w:abstractNumId w:val="10"/>
  </w:num>
  <w:num w:numId="27" w16cid:durableId="1837958495">
    <w:abstractNumId w:val="22"/>
  </w:num>
  <w:num w:numId="28" w16cid:durableId="1219047907">
    <w:abstractNumId w:val="10"/>
  </w:num>
  <w:num w:numId="29" w16cid:durableId="631059680">
    <w:abstractNumId w:val="10"/>
  </w:num>
  <w:num w:numId="30" w16cid:durableId="66461141">
    <w:abstractNumId w:val="10"/>
  </w:num>
  <w:num w:numId="31" w16cid:durableId="562832481">
    <w:abstractNumId w:val="22"/>
  </w:num>
  <w:num w:numId="32" w16cid:durableId="1168909208">
    <w:abstractNumId w:val="22"/>
  </w:num>
  <w:num w:numId="33" w16cid:durableId="965427369">
    <w:abstractNumId w:val="10"/>
  </w:num>
  <w:num w:numId="34" w16cid:durableId="1321499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2072751">
    <w:abstractNumId w:val="22"/>
  </w:num>
  <w:num w:numId="36" w16cid:durableId="1154486603">
    <w:abstractNumId w:val="1"/>
  </w:num>
  <w:num w:numId="37" w16cid:durableId="35542978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A0"/>
    <w:rsid w:val="00000790"/>
    <w:rsid w:val="0000110B"/>
    <w:rsid w:val="0000167A"/>
    <w:rsid w:val="00001D16"/>
    <w:rsid w:val="0000214D"/>
    <w:rsid w:val="00002151"/>
    <w:rsid w:val="00003499"/>
    <w:rsid w:val="000039B7"/>
    <w:rsid w:val="000040FE"/>
    <w:rsid w:val="00004A64"/>
    <w:rsid w:val="00004DFC"/>
    <w:rsid w:val="00004F76"/>
    <w:rsid w:val="00005365"/>
    <w:rsid w:val="000054E4"/>
    <w:rsid w:val="000056B9"/>
    <w:rsid w:val="00006080"/>
    <w:rsid w:val="00006253"/>
    <w:rsid w:val="0000639A"/>
    <w:rsid w:val="0000684D"/>
    <w:rsid w:val="00007096"/>
    <w:rsid w:val="0000739E"/>
    <w:rsid w:val="00007886"/>
    <w:rsid w:val="00007DE4"/>
    <w:rsid w:val="00010575"/>
    <w:rsid w:val="00010C9A"/>
    <w:rsid w:val="00010F6F"/>
    <w:rsid w:val="000111DE"/>
    <w:rsid w:val="00011472"/>
    <w:rsid w:val="00011721"/>
    <w:rsid w:val="00011E09"/>
    <w:rsid w:val="000128D8"/>
    <w:rsid w:val="00013247"/>
    <w:rsid w:val="000132B3"/>
    <w:rsid w:val="00013A58"/>
    <w:rsid w:val="00014A68"/>
    <w:rsid w:val="00015886"/>
    <w:rsid w:val="0001591A"/>
    <w:rsid w:val="00015F65"/>
    <w:rsid w:val="000162EF"/>
    <w:rsid w:val="000166D3"/>
    <w:rsid w:val="000176ED"/>
    <w:rsid w:val="000207C9"/>
    <w:rsid w:val="00021181"/>
    <w:rsid w:val="0002129E"/>
    <w:rsid w:val="0002157E"/>
    <w:rsid w:val="0002184C"/>
    <w:rsid w:val="0002225F"/>
    <w:rsid w:val="000232D9"/>
    <w:rsid w:val="000234D0"/>
    <w:rsid w:val="00023763"/>
    <w:rsid w:val="000246C4"/>
    <w:rsid w:val="000247D8"/>
    <w:rsid w:val="00024EB5"/>
    <w:rsid w:val="00024F6E"/>
    <w:rsid w:val="00025056"/>
    <w:rsid w:val="00025FED"/>
    <w:rsid w:val="000267A5"/>
    <w:rsid w:val="00026F27"/>
    <w:rsid w:val="000274B8"/>
    <w:rsid w:val="00027674"/>
    <w:rsid w:val="0002776A"/>
    <w:rsid w:val="00030CAE"/>
    <w:rsid w:val="00031135"/>
    <w:rsid w:val="00031288"/>
    <w:rsid w:val="00033863"/>
    <w:rsid w:val="00033902"/>
    <w:rsid w:val="00033909"/>
    <w:rsid w:val="000339F6"/>
    <w:rsid w:val="00033AF7"/>
    <w:rsid w:val="00033FC6"/>
    <w:rsid w:val="00034253"/>
    <w:rsid w:val="000343CB"/>
    <w:rsid w:val="00034747"/>
    <w:rsid w:val="000347A8"/>
    <w:rsid w:val="00034DA7"/>
    <w:rsid w:val="0003501C"/>
    <w:rsid w:val="0003576F"/>
    <w:rsid w:val="0003580D"/>
    <w:rsid w:val="00035DC0"/>
    <w:rsid w:val="00035DEA"/>
    <w:rsid w:val="00036443"/>
    <w:rsid w:val="00036829"/>
    <w:rsid w:val="00036AB4"/>
    <w:rsid w:val="00036CB3"/>
    <w:rsid w:val="00037108"/>
    <w:rsid w:val="0003718F"/>
    <w:rsid w:val="0003765D"/>
    <w:rsid w:val="00037A5E"/>
    <w:rsid w:val="000406F7"/>
    <w:rsid w:val="00040895"/>
    <w:rsid w:val="000410A0"/>
    <w:rsid w:val="0004139E"/>
    <w:rsid w:val="000414A4"/>
    <w:rsid w:val="00042084"/>
    <w:rsid w:val="00042222"/>
    <w:rsid w:val="00042362"/>
    <w:rsid w:val="000428F8"/>
    <w:rsid w:val="00042B2F"/>
    <w:rsid w:val="000435EE"/>
    <w:rsid w:val="000438EB"/>
    <w:rsid w:val="00043AB5"/>
    <w:rsid w:val="00043C37"/>
    <w:rsid w:val="00043E22"/>
    <w:rsid w:val="00044785"/>
    <w:rsid w:val="00044789"/>
    <w:rsid w:val="00044E6F"/>
    <w:rsid w:val="00045017"/>
    <w:rsid w:val="00045A2B"/>
    <w:rsid w:val="00045B10"/>
    <w:rsid w:val="00046978"/>
    <w:rsid w:val="0004698F"/>
    <w:rsid w:val="00046D64"/>
    <w:rsid w:val="0004730F"/>
    <w:rsid w:val="000479C8"/>
    <w:rsid w:val="00047B83"/>
    <w:rsid w:val="000501C3"/>
    <w:rsid w:val="00050398"/>
    <w:rsid w:val="0005063A"/>
    <w:rsid w:val="000508C2"/>
    <w:rsid w:val="000509BC"/>
    <w:rsid w:val="00050E82"/>
    <w:rsid w:val="0005192A"/>
    <w:rsid w:val="00051A52"/>
    <w:rsid w:val="00051CC0"/>
    <w:rsid w:val="00052EDC"/>
    <w:rsid w:val="0005368B"/>
    <w:rsid w:val="000539D0"/>
    <w:rsid w:val="00053A81"/>
    <w:rsid w:val="00053B90"/>
    <w:rsid w:val="0005407C"/>
    <w:rsid w:val="00054100"/>
    <w:rsid w:val="00054621"/>
    <w:rsid w:val="000546D7"/>
    <w:rsid w:val="0005476C"/>
    <w:rsid w:val="00054A8D"/>
    <w:rsid w:val="00054E36"/>
    <w:rsid w:val="00054EC7"/>
    <w:rsid w:val="00055099"/>
    <w:rsid w:val="00055B98"/>
    <w:rsid w:val="00055C30"/>
    <w:rsid w:val="00055F62"/>
    <w:rsid w:val="000567F5"/>
    <w:rsid w:val="00056ECF"/>
    <w:rsid w:val="00057860"/>
    <w:rsid w:val="00057884"/>
    <w:rsid w:val="00057D19"/>
    <w:rsid w:val="000604DF"/>
    <w:rsid w:val="00060E22"/>
    <w:rsid w:val="00061163"/>
    <w:rsid w:val="00061BF8"/>
    <w:rsid w:val="00062324"/>
    <w:rsid w:val="00062335"/>
    <w:rsid w:val="00062825"/>
    <w:rsid w:val="00062E27"/>
    <w:rsid w:val="0006307B"/>
    <w:rsid w:val="00063C3A"/>
    <w:rsid w:val="00063DFC"/>
    <w:rsid w:val="0006457B"/>
    <w:rsid w:val="000647D9"/>
    <w:rsid w:val="000649DE"/>
    <w:rsid w:val="00065164"/>
    <w:rsid w:val="000653B5"/>
    <w:rsid w:val="000658CC"/>
    <w:rsid w:val="00065A43"/>
    <w:rsid w:val="0006602A"/>
    <w:rsid w:val="00066360"/>
    <w:rsid w:val="00066A14"/>
    <w:rsid w:val="00066AF8"/>
    <w:rsid w:val="000677DB"/>
    <w:rsid w:val="00067809"/>
    <w:rsid w:val="00067ACB"/>
    <w:rsid w:val="000704AF"/>
    <w:rsid w:val="00070725"/>
    <w:rsid w:val="000709B3"/>
    <w:rsid w:val="00070F15"/>
    <w:rsid w:val="00071248"/>
    <w:rsid w:val="000720B9"/>
    <w:rsid w:val="000722B5"/>
    <w:rsid w:val="0007272C"/>
    <w:rsid w:val="00073766"/>
    <w:rsid w:val="000737A2"/>
    <w:rsid w:val="000737F7"/>
    <w:rsid w:val="00074A26"/>
    <w:rsid w:val="0007519D"/>
    <w:rsid w:val="00075E89"/>
    <w:rsid w:val="000762D8"/>
    <w:rsid w:val="0007640C"/>
    <w:rsid w:val="0007652F"/>
    <w:rsid w:val="0007672F"/>
    <w:rsid w:val="00076A10"/>
    <w:rsid w:val="00076B54"/>
    <w:rsid w:val="000774F0"/>
    <w:rsid w:val="00077722"/>
    <w:rsid w:val="00077D40"/>
    <w:rsid w:val="0008027E"/>
    <w:rsid w:val="00080373"/>
    <w:rsid w:val="00080817"/>
    <w:rsid w:val="00080909"/>
    <w:rsid w:val="000812CA"/>
    <w:rsid w:val="00081334"/>
    <w:rsid w:val="000814E6"/>
    <w:rsid w:val="00081BE2"/>
    <w:rsid w:val="00081E63"/>
    <w:rsid w:val="0008258D"/>
    <w:rsid w:val="00082609"/>
    <w:rsid w:val="00082751"/>
    <w:rsid w:val="000827B8"/>
    <w:rsid w:val="00082FFA"/>
    <w:rsid w:val="00083C25"/>
    <w:rsid w:val="00083D19"/>
    <w:rsid w:val="00083DAF"/>
    <w:rsid w:val="00083E99"/>
    <w:rsid w:val="00084395"/>
    <w:rsid w:val="00084835"/>
    <w:rsid w:val="00084B8F"/>
    <w:rsid w:val="00084C1D"/>
    <w:rsid w:val="00084EE1"/>
    <w:rsid w:val="00084FA8"/>
    <w:rsid w:val="00085156"/>
    <w:rsid w:val="000852DC"/>
    <w:rsid w:val="000853F7"/>
    <w:rsid w:val="000854FC"/>
    <w:rsid w:val="000856C5"/>
    <w:rsid w:val="00085984"/>
    <w:rsid w:val="00085A88"/>
    <w:rsid w:val="00085C31"/>
    <w:rsid w:val="000867C6"/>
    <w:rsid w:val="000869BF"/>
    <w:rsid w:val="000873BF"/>
    <w:rsid w:val="00090238"/>
    <w:rsid w:val="000902D9"/>
    <w:rsid w:val="000903B4"/>
    <w:rsid w:val="00090547"/>
    <w:rsid w:val="000906D0"/>
    <w:rsid w:val="00090C7E"/>
    <w:rsid w:val="0009113C"/>
    <w:rsid w:val="000911AC"/>
    <w:rsid w:val="000919C7"/>
    <w:rsid w:val="00091DCA"/>
    <w:rsid w:val="0009215E"/>
    <w:rsid w:val="000925DB"/>
    <w:rsid w:val="00092600"/>
    <w:rsid w:val="0009262B"/>
    <w:rsid w:val="00093310"/>
    <w:rsid w:val="000936E3"/>
    <w:rsid w:val="000938EF"/>
    <w:rsid w:val="00093B24"/>
    <w:rsid w:val="0009429B"/>
    <w:rsid w:val="0009445C"/>
    <w:rsid w:val="00095200"/>
    <w:rsid w:val="00095FE5"/>
    <w:rsid w:val="00096082"/>
    <w:rsid w:val="00096284"/>
    <w:rsid w:val="00096449"/>
    <w:rsid w:val="00096884"/>
    <w:rsid w:val="00096A47"/>
    <w:rsid w:val="000970BB"/>
    <w:rsid w:val="000973A8"/>
    <w:rsid w:val="00097682"/>
    <w:rsid w:val="000977C0"/>
    <w:rsid w:val="00097881"/>
    <w:rsid w:val="000A0461"/>
    <w:rsid w:val="000A07A2"/>
    <w:rsid w:val="000A0A03"/>
    <w:rsid w:val="000A126A"/>
    <w:rsid w:val="000A1572"/>
    <w:rsid w:val="000A16D7"/>
    <w:rsid w:val="000A1820"/>
    <w:rsid w:val="000A1BC0"/>
    <w:rsid w:val="000A206A"/>
    <w:rsid w:val="000A2F9E"/>
    <w:rsid w:val="000A36E8"/>
    <w:rsid w:val="000A3E47"/>
    <w:rsid w:val="000A4A39"/>
    <w:rsid w:val="000A522B"/>
    <w:rsid w:val="000A5AD9"/>
    <w:rsid w:val="000A6039"/>
    <w:rsid w:val="000A63A0"/>
    <w:rsid w:val="000A6439"/>
    <w:rsid w:val="000A6529"/>
    <w:rsid w:val="000A6888"/>
    <w:rsid w:val="000A7453"/>
    <w:rsid w:val="000A7D08"/>
    <w:rsid w:val="000B0121"/>
    <w:rsid w:val="000B0670"/>
    <w:rsid w:val="000B08A9"/>
    <w:rsid w:val="000B0D82"/>
    <w:rsid w:val="000B0E75"/>
    <w:rsid w:val="000B13C5"/>
    <w:rsid w:val="000B1EDA"/>
    <w:rsid w:val="000B224E"/>
    <w:rsid w:val="000B2392"/>
    <w:rsid w:val="000B2DCB"/>
    <w:rsid w:val="000B4013"/>
    <w:rsid w:val="000B43EF"/>
    <w:rsid w:val="000B4C41"/>
    <w:rsid w:val="000B4DC5"/>
    <w:rsid w:val="000B4E4B"/>
    <w:rsid w:val="000B5678"/>
    <w:rsid w:val="000B5CE0"/>
    <w:rsid w:val="000B67B2"/>
    <w:rsid w:val="000B6CAC"/>
    <w:rsid w:val="000B7612"/>
    <w:rsid w:val="000B778D"/>
    <w:rsid w:val="000B78AE"/>
    <w:rsid w:val="000C010D"/>
    <w:rsid w:val="000C0639"/>
    <w:rsid w:val="000C0D05"/>
    <w:rsid w:val="000C1D94"/>
    <w:rsid w:val="000C249C"/>
    <w:rsid w:val="000C28E8"/>
    <w:rsid w:val="000C2BDE"/>
    <w:rsid w:val="000C2C27"/>
    <w:rsid w:val="000C3937"/>
    <w:rsid w:val="000C3A67"/>
    <w:rsid w:val="000C3DF9"/>
    <w:rsid w:val="000C446F"/>
    <w:rsid w:val="000C471B"/>
    <w:rsid w:val="000C4CF2"/>
    <w:rsid w:val="000C562B"/>
    <w:rsid w:val="000C5A25"/>
    <w:rsid w:val="000C5AA3"/>
    <w:rsid w:val="000C6713"/>
    <w:rsid w:val="000C67D3"/>
    <w:rsid w:val="000C6B5A"/>
    <w:rsid w:val="000C6E14"/>
    <w:rsid w:val="000C7537"/>
    <w:rsid w:val="000C7B47"/>
    <w:rsid w:val="000C7BD6"/>
    <w:rsid w:val="000D0696"/>
    <w:rsid w:val="000D071E"/>
    <w:rsid w:val="000D111D"/>
    <w:rsid w:val="000D1BFC"/>
    <w:rsid w:val="000D1D5D"/>
    <w:rsid w:val="000D2603"/>
    <w:rsid w:val="000D281A"/>
    <w:rsid w:val="000D2848"/>
    <w:rsid w:val="000D2C6D"/>
    <w:rsid w:val="000D326A"/>
    <w:rsid w:val="000D37C4"/>
    <w:rsid w:val="000D394B"/>
    <w:rsid w:val="000D3BBE"/>
    <w:rsid w:val="000D3BC9"/>
    <w:rsid w:val="000D3DD1"/>
    <w:rsid w:val="000D4056"/>
    <w:rsid w:val="000D435D"/>
    <w:rsid w:val="000D51FB"/>
    <w:rsid w:val="000D56A0"/>
    <w:rsid w:val="000D62AF"/>
    <w:rsid w:val="000D6331"/>
    <w:rsid w:val="000D6BBA"/>
    <w:rsid w:val="000D6D05"/>
    <w:rsid w:val="000D7123"/>
    <w:rsid w:val="000E0640"/>
    <w:rsid w:val="000E1011"/>
    <w:rsid w:val="000E135D"/>
    <w:rsid w:val="000E1EDD"/>
    <w:rsid w:val="000E24AB"/>
    <w:rsid w:val="000E2545"/>
    <w:rsid w:val="000E291B"/>
    <w:rsid w:val="000E2B6D"/>
    <w:rsid w:val="000E31E3"/>
    <w:rsid w:val="000E39F5"/>
    <w:rsid w:val="000E78DE"/>
    <w:rsid w:val="000E78FA"/>
    <w:rsid w:val="000F00BA"/>
    <w:rsid w:val="000F0415"/>
    <w:rsid w:val="000F0C8C"/>
    <w:rsid w:val="000F0F65"/>
    <w:rsid w:val="000F137D"/>
    <w:rsid w:val="000F165F"/>
    <w:rsid w:val="000F19FF"/>
    <w:rsid w:val="000F316A"/>
    <w:rsid w:val="000F3958"/>
    <w:rsid w:val="000F3C39"/>
    <w:rsid w:val="000F3C74"/>
    <w:rsid w:val="000F428D"/>
    <w:rsid w:val="000F4483"/>
    <w:rsid w:val="000F478D"/>
    <w:rsid w:val="000F4BB8"/>
    <w:rsid w:val="000F4FA9"/>
    <w:rsid w:val="000F52A3"/>
    <w:rsid w:val="000F53FB"/>
    <w:rsid w:val="000F5C0D"/>
    <w:rsid w:val="000F5EAA"/>
    <w:rsid w:val="000F6170"/>
    <w:rsid w:val="000F66FF"/>
    <w:rsid w:val="000F6824"/>
    <w:rsid w:val="000F6A22"/>
    <w:rsid w:val="000F6BAF"/>
    <w:rsid w:val="000F6F52"/>
    <w:rsid w:val="000F7127"/>
    <w:rsid w:val="000F7B54"/>
    <w:rsid w:val="000F7C87"/>
    <w:rsid w:val="001000B3"/>
    <w:rsid w:val="00100C2F"/>
    <w:rsid w:val="00100CA0"/>
    <w:rsid w:val="00100F8A"/>
    <w:rsid w:val="001018E3"/>
    <w:rsid w:val="00101A50"/>
    <w:rsid w:val="00101A55"/>
    <w:rsid w:val="00103710"/>
    <w:rsid w:val="0010391F"/>
    <w:rsid w:val="00103A15"/>
    <w:rsid w:val="00103E6B"/>
    <w:rsid w:val="0010452E"/>
    <w:rsid w:val="001049BB"/>
    <w:rsid w:val="001050B7"/>
    <w:rsid w:val="00105AE2"/>
    <w:rsid w:val="001060C6"/>
    <w:rsid w:val="001068E8"/>
    <w:rsid w:val="00106B80"/>
    <w:rsid w:val="0010769E"/>
    <w:rsid w:val="0010772E"/>
    <w:rsid w:val="0011032E"/>
    <w:rsid w:val="00111C12"/>
    <w:rsid w:val="00111CC4"/>
    <w:rsid w:val="00112EA7"/>
    <w:rsid w:val="00112FEF"/>
    <w:rsid w:val="0011348B"/>
    <w:rsid w:val="001135D3"/>
    <w:rsid w:val="00113ADE"/>
    <w:rsid w:val="001149E0"/>
    <w:rsid w:val="00114D5B"/>
    <w:rsid w:val="0011538F"/>
    <w:rsid w:val="001153BA"/>
    <w:rsid w:val="00115631"/>
    <w:rsid w:val="00115982"/>
    <w:rsid w:val="001163FD"/>
    <w:rsid w:val="001165C0"/>
    <w:rsid w:val="00116917"/>
    <w:rsid w:val="00116C53"/>
    <w:rsid w:val="00116F72"/>
    <w:rsid w:val="001177D2"/>
    <w:rsid w:val="0011785B"/>
    <w:rsid w:val="00117877"/>
    <w:rsid w:val="00117B04"/>
    <w:rsid w:val="001203F7"/>
    <w:rsid w:val="00120400"/>
    <w:rsid w:val="00120F79"/>
    <w:rsid w:val="00121799"/>
    <w:rsid w:val="00121963"/>
    <w:rsid w:val="001222FC"/>
    <w:rsid w:val="00122769"/>
    <w:rsid w:val="00122E05"/>
    <w:rsid w:val="00123367"/>
    <w:rsid w:val="001237DB"/>
    <w:rsid w:val="00123902"/>
    <w:rsid w:val="00124A51"/>
    <w:rsid w:val="00124FF5"/>
    <w:rsid w:val="0012544A"/>
    <w:rsid w:val="00125762"/>
    <w:rsid w:val="0012628A"/>
    <w:rsid w:val="00126621"/>
    <w:rsid w:val="0012691E"/>
    <w:rsid w:val="00126B1D"/>
    <w:rsid w:val="00127491"/>
    <w:rsid w:val="001274A3"/>
    <w:rsid w:val="00127D4A"/>
    <w:rsid w:val="00127EF0"/>
    <w:rsid w:val="001301E9"/>
    <w:rsid w:val="00130875"/>
    <w:rsid w:val="0013152A"/>
    <w:rsid w:val="001316DC"/>
    <w:rsid w:val="00131D4C"/>
    <w:rsid w:val="00131D82"/>
    <w:rsid w:val="00132441"/>
    <w:rsid w:val="00132A0C"/>
    <w:rsid w:val="00132A4D"/>
    <w:rsid w:val="00132B22"/>
    <w:rsid w:val="00132CBF"/>
    <w:rsid w:val="001331C2"/>
    <w:rsid w:val="00133B35"/>
    <w:rsid w:val="00133D36"/>
    <w:rsid w:val="00134785"/>
    <w:rsid w:val="001348FE"/>
    <w:rsid w:val="00134AFC"/>
    <w:rsid w:val="00134C84"/>
    <w:rsid w:val="00135903"/>
    <w:rsid w:val="0013682A"/>
    <w:rsid w:val="00136856"/>
    <w:rsid w:val="001371AE"/>
    <w:rsid w:val="00137645"/>
    <w:rsid w:val="0013787F"/>
    <w:rsid w:val="00137933"/>
    <w:rsid w:val="0014015A"/>
    <w:rsid w:val="0014048E"/>
    <w:rsid w:val="00140772"/>
    <w:rsid w:val="00140A2B"/>
    <w:rsid w:val="00140E99"/>
    <w:rsid w:val="00140EFD"/>
    <w:rsid w:val="0014114A"/>
    <w:rsid w:val="00141320"/>
    <w:rsid w:val="001416A4"/>
    <w:rsid w:val="00141D8D"/>
    <w:rsid w:val="00141DEA"/>
    <w:rsid w:val="001425A5"/>
    <w:rsid w:val="00142A74"/>
    <w:rsid w:val="001431EB"/>
    <w:rsid w:val="00143925"/>
    <w:rsid w:val="00143F67"/>
    <w:rsid w:val="00144481"/>
    <w:rsid w:val="001445D4"/>
    <w:rsid w:val="00144B9B"/>
    <w:rsid w:val="00145234"/>
    <w:rsid w:val="00145540"/>
    <w:rsid w:val="001456B0"/>
    <w:rsid w:val="00147693"/>
    <w:rsid w:val="00147A6E"/>
    <w:rsid w:val="00147D7D"/>
    <w:rsid w:val="00147E9C"/>
    <w:rsid w:val="00150BF3"/>
    <w:rsid w:val="001511F7"/>
    <w:rsid w:val="0015191A"/>
    <w:rsid w:val="0015192D"/>
    <w:rsid w:val="00152F04"/>
    <w:rsid w:val="00154710"/>
    <w:rsid w:val="001547AB"/>
    <w:rsid w:val="001548C7"/>
    <w:rsid w:val="00154CE1"/>
    <w:rsid w:val="00154F6F"/>
    <w:rsid w:val="001552A0"/>
    <w:rsid w:val="001557AD"/>
    <w:rsid w:val="00155B56"/>
    <w:rsid w:val="00155D8F"/>
    <w:rsid w:val="001561C6"/>
    <w:rsid w:val="00156F8F"/>
    <w:rsid w:val="00157130"/>
    <w:rsid w:val="001576B1"/>
    <w:rsid w:val="0016047B"/>
    <w:rsid w:val="0016086E"/>
    <w:rsid w:val="001609BC"/>
    <w:rsid w:val="00160A4C"/>
    <w:rsid w:val="00160DA3"/>
    <w:rsid w:val="00160E8B"/>
    <w:rsid w:val="001613B5"/>
    <w:rsid w:val="001616FA"/>
    <w:rsid w:val="00161C57"/>
    <w:rsid w:val="00161F0A"/>
    <w:rsid w:val="00162913"/>
    <w:rsid w:val="00162BE1"/>
    <w:rsid w:val="00162BF2"/>
    <w:rsid w:val="00162CD0"/>
    <w:rsid w:val="00163EFF"/>
    <w:rsid w:val="00163F38"/>
    <w:rsid w:val="00163F66"/>
    <w:rsid w:val="0016478E"/>
    <w:rsid w:val="001649DE"/>
    <w:rsid w:val="00165CAC"/>
    <w:rsid w:val="00165E48"/>
    <w:rsid w:val="00165EC4"/>
    <w:rsid w:val="001661FB"/>
    <w:rsid w:val="001662BF"/>
    <w:rsid w:val="0016659C"/>
    <w:rsid w:val="001671A0"/>
    <w:rsid w:val="0016767F"/>
    <w:rsid w:val="001677A6"/>
    <w:rsid w:val="00167939"/>
    <w:rsid w:val="00167EEF"/>
    <w:rsid w:val="00167EF3"/>
    <w:rsid w:val="00170465"/>
    <w:rsid w:val="00170DB3"/>
    <w:rsid w:val="00170F44"/>
    <w:rsid w:val="0017154D"/>
    <w:rsid w:val="0017247E"/>
    <w:rsid w:val="00172AF5"/>
    <w:rsid w:val="00172BAA"/>
    <w:rsid w:val="001730AD"/>
    <w:rsid w:val="001731F8"/>
    <w:rsid w:val="00173565"/>
    <w:rsid w:val="001738B2"/>
    <w:rsid w:val="001739B0"/>
    <w:rsid w:val="00173A88"/>
    <w:rsid w:val="00173B07"/>
    <w:rsid w:val="00174932"/>
    <w:rsid w:val="0017508F"/>
    <w:rsid w:val="001751FA"/>
    <w:rsid w:val="00175CA7"/>
    <w:rsid w:val="00176035"/>
    <w:rsid w:val="00176EBA"/>
    <w:rsid w:val="00177526"/>
    <w:rsid w:val="00177631"/>
    <w:rsid w:val="001778EB"/>
    <w:rsid w:val="00177E51"/>
    <w:rsid w:val="00181145"/>
    <w:rsid w:val="00181C10"/>
    <w:rsid w:val="00181D9C"/>
    <w:rsid w:val="00182558"/>
    <w:rsid w:val="00182CEA"/>
    <w:rsid w:val="00182DF9"/>
    <w:rsid w:val="00183040"/>
    <w:rsid w:val="001837DE"/>
    <w:rsid w:val="001837FF"/>
    <w:rsid w:val="001838B3"/>
    <w:rsid w:val="0018417C"/>
    <w:rsid w:val="00184918"/>
    <w:rsid w:val="00184B0E"/>
    <w:rsid w:val="0018569C"/>
    <w:rsid w:val="00185B8D"/>
    <w:rsid w:val="00185FA0"/>
    <w:rsid w:val="00186725"/>
    <w:rsid w:val="00186981"/>
    <w:rsid w:val="00187031"/>
    <w:rsid w:val="0018720F"/>
    <w:rsid w:val="0018752F"/>
    <w:rsid w:val="00187D3B"/>
    <w:rsid w:val="001909D7"/>
    <w:rsid w:val="0019127D"/>
    <w:rsid w:val="00191B6B"/>
    <w:rsid w:val="00192885"/>
    <w:rsid w:val="0019308C"/>
    <w:rsid w:val="00193721"/>
    <w:rsid w:val="00193838"/>
    <w:rsid w:val="00193DB2"/>
    <w:rsid w:val="00194383"/>
    <w:rsid w:val="00194990"/>
    <w:rsid w:val="00194AD8"/>
    <w:rsid w:val="00195222"/>
    <w:rsid w:val="00195452"/>
    <w:rsid w:val="00195927"/>
    <w:rsid w:val="00195C21"/>
    <w:rsid w:val="001969B0"/>
    <w:rsid w:val="00197048"/>
    <w:rsid w:val="001975D8"/>
    <w:rsid w:val="00197A9E"/>
    <w:rsid w:val="00197CAB"/>
    <w:rsid w:val="001A0130"/>
    <w:rsid w:val="001A0B6A"/>
    <w:rsid w:val="001A1422"/>
    <w:rsid w:val="001A1714"/>
    <w:rsid w:val="001A178E"/>
    <w:rsid w:val="001A2465"/>
    <w:rsid w:val="001A311A"/>
    <w:rsid w:val="001A371C"/>
    <w:rsid w:val="001A43FA"/>
    <w:rsid w:val="001A47C5"/>
    <w:rsid w:val="001A4B32"/>
    <w:rsid w:val="001A4E43"/>
    <w:rsid w:val="001A59FB"/>
    <w:rsid w:val="001A5D6A"/>
    <w:rsid w:val="001A5DA0"/>
    <w:rsid w:val="001A5E9E"/>
    <w:rsid w:val="001A632D"/>
    <w:rsid w:val="001A6354"/>
    <w:rsid w:val="001A6366"/>
    <w:rsid w:val="001A64C0"/>
    <w:rsid w:val="001A6D4B"/>
    <w:rsid w:val="001A764D"/>
    <w:rsid w:val="001A7830"/>
    <w:rsid w:val="001A7913"/>
    <w:rsid w:val="001A7AE8"/>
    <w:rsid w:val="001A7B7A"/>
    <w:rsid w:val="001A7BD8"/>
    <w:rsid w:val="001A7CC5"/>
    <w:rsid w:val="001B001B"/>
    <w:rsid w:val="001B08F8"/>
    <w:rsid w:val="001B1DF0"/>
    <w:rsid w:val="001B204E"/>
    <w:rsid w:val="001B2372"/>
    <w:rsid w:val="001B285A"/>
    <w:rsid w:val="001B2D69"/>
    <w:rsid w:val="001B308F"/>
    <w:rsid w:val="001B33C7"/>
    <w:rsid w:val="001B3443"/>
    <w:rsid w:val="001B38BB"/>
    <w:rsid w:val="001B3BBA"/>
    <w:rsid w:val="001B4D20"/>
    <w:rsid w:val="001B57F7"/>
    <w:rsid w:val="001B6FC4"/>
    <w:rsid w:val="001B735E"/>
    <w:rsid w:val="001B79EA"/>
    <w:rsid w:val="001B7B9B"/>
    <w:rsid w:val="001B7E2F"/>
    <w:rsid w:val="001B7F34"/>
    <w:rsid w:val="001B7F84"/>
    <w:rsid w:val="001C002E"/>
    <w:rsid w:val="001C07F3"/>
    <w:rsid w:val="001C1414"/>
    <w:rsid w:val="001C1819"/>
    <w:rsid w:val="001C21D3"/>
    <w:rsid w:val="001C22F4"/>
    <w:rsid w:val="001C2728"/>
    <w:rsid w:val="001C284F"/>
    <w:rsid w:val="001C2A35"/>
    <w:rsid w:val="001C2A9B"/>
    <w:rsid w:val="001C2CE5"/>
    <w:rsid w:val="001C2DE8"/>
    <w:rsid w:val="001C3066"/>
    <w:rsid w:val="001C3A91"/>
    <w:rsid w:val="001C3C08"/>
    <w:rsid w:val="001C3DD6"/>
    <w:rsid w:val="001C4299"/>
    <w:rsid w:val="001C44C6"/>
    <w:rsid w:val="001C4874"/>
    <w:rsid w:val="001C4D9C"/>
    <w:rsid w:val="001C4EA8"/>
    <w:rsid w:val="001C5578"/>
    <w:rsid w:val="001C5F94"/>
    <w:rsid w:val="001C6B0D"/>
    <w:rsid w:val="001C6B51"/>
    <w:rsid w:val="001C6E66"/>
    <w:rsid w:val="001C7468"/>
    <w:rsid w:val="001C7B92"/>
    <w:rsid w:val="001D030B"/>
    <w:rsid w:val="001D0549"/>
    <w:rsid w:val="001D06B3"/>
    <w:rsid w:val="001D0B35"/>
    <w:rsid w:val="001D1100"/>
    <w:rsid w:val="001D1391"/>
    <w:rsid w:val="001D1397"/>
    <w:rsid w:val="001D1786"/>
    <w:rsid w:val="001D17E3"/>
    <w:rsid w:val="001D1942"/>
    <w:rsid w:val="001D1954"/>
    <w:rsid w:val="001D1B14"/>
    <w:rsid w:val="001D25D7"/>
    <w:rsid w:val="001D2861"/>
    <w:rsid w:val="001D366D"/>
    <w:rsid w:val="001D45C3"/>
    <w:rsid w:val="001D4DAD"/>
    <w:rsid w:val="001D4E83"/>
    <w:rsid w:val="001D50B2"/>
    <w:rsid w:val="001D5ECE"/>
    <w:rsid w:val="001D6068"/>
    <w:rsid w:val="001D71F4"/>
    <w:rsid w:val="001D72C2"/>
    <w:rsid w:val="001D7330"/>
    <w:rsid w:val="001D74EA"/>
    <w:rsid w:val="001D7553"/>
    <w:rsid w:val="001D7645"/>
    <w:rsid w:val="001D7FCF"/>
    <w:rsid w:val="001E0423"/>
    <w:rsid w:val="001E06F8"/>
    <w:rsid w:val="001E17D2"/>
    <w:rsid w:val="001E1E29"/>
    <w:rsid w:val="001E1E86"/>
    <w:rsid w:val="001E238E"/>
    <w:rsid w:val="001E2483"/>
    <w:rsid w:val="001E28DF"/>
    <w:rsid w:val="001E2B1E"/>
    <w:rsid w:val="001E2CFF"/>
    <w:rsid w:val="001E2F24"/>
    <w:rsid w:val="001E30D4"/>
    <w:rsid w:val="001E3484"/>
    <w:rsid w:val="001E34DF"/>
    <w:rsid w:val="001E3696"/>
    <w:rsid w:val="001E414C"/>
    <w:rsid w:val="001E4696"/>
    <w:rsid w:val="001E52EB"/>
    <w:rsid w:val="001E61D2"/>
    <w:rsid w:val="001E6246"/>
    <w:rsid w:val="001E680E"/>
    <w:rsid w:val="001E740C"/>
    <w:rsid w:val="001F00CF"/>
    <w:rsid w:val="001F0C9B"/>
    <w:rsid w:val="001F0E33"/>
    <w:rsid w:val="001F0F6E"/>
    <w:rsid w:val="001F1235"/>
    <w:rsid w:val="001F1CB3"/>
    <w:rsid w:val="001F2C0E"/>
    <w:rsid w:val="001F38B5"/>
    <w:rsid w:val="001F3DEB"/>
    <w:rsid w:val="001F3F4A"/>
    <w:rsid w:val="001F4081"/>
    <w:rsid w:val="001F42A7"/>
    <w:rsid w:val="001F49F7"/>
    <w:rsid w:val="001F5580"/>
    <w:rsid w:val="001F5C73"/>
    <w:rsid w:val="001F5F78"/>
    <w:rsid w:val="001F5F89"/>
    <w:rsid w:val="001F6147"/>
    <w:rsid w:val="001F624A"/>
    <w:rsid w:val="001F6264"/>
    <w:rsid w:val="001F6974"/>
    <w:rsid w:val="001F7361"/>
    <w:rsid w:val="001F75E5"/>
    <w:rsid w:val="001F7F3A"/>
    <w:rsid w:val="00200746"/>
    <w:rsid w:val="00200D95"/>
    <w:rsid w:val="002011B0"/>
    <w:rsid w:val="002012E6"/>
    <w:rsid w:val="00201884"/>
    <w:rsid w:val="00201AAE"/>
    <w:rsid w:val="0020223E"/>
    <w:rsid w:val="00203181"/>
    <w:rsid w:val="00203548"/>
    <w:rsid w:val="002036FB"/>
    <w:rsid w:val="00203783"/>
    <w:rsid w:val="0020385F"/>
    <w:rsid w:val="00203DBE"/>
    <w:rsid w:val="002042B2"/>
    <w:rsid w:val="00204615"/>
    <w:rsid w:val="00204633"/>
    <w:rsid w:val="002049D6"/>
    <w:rsid w:val="002052BD"/>
    <w:rsid w:val="002064FB"/>
    <w:rsid w:val="002068A0"/>
    <w:rsid w:val="00207021"/>
    <w:rsid w:val="0020732F"/>
    <w:rsid w:val="002078E5"/>
    <w:rsid w:val="00207D00"/>
    <w:rsid w:val="0021003D"/>
    <w:rsid w:val="0021007B"/>
    <w:rsid w:val="002105C1"/>
    <w:rsid w:val="002105E5"/>
    <w:rsid w:val="00210A66"/>
    <w:rsid w:val="002116FD"/>
    <w:rsid w:val="00211BFA"/>
    <w:rsid w:val="002126B1"/>
    <w:rsid w:val="00212704"/>
    <w:rsid w:val="0021272A"/>
    <w:rsid w:val="00212E83"/>
    <w:rsid w:val="00212F7D"/>
    <w:rsid w:val="00213436"/>
    <w:rsid w:val="00213EF5"/>
    <w:rsid w:val="002142E7"/>
    <w:rsid w:val="00214CA7"/>
    <w:rsid w:val="00215045"/>
    <w:rsid w:val="00215484"/>
    <w:rsid w:val="00216216"/>
    <w:rsid w:val="00216269"/>
    <w:rsid w:val="00216463"/>
    <w:rsid w:val="002165D5"/>
    <w:rsid w:val="00216B13"/>
    <w:rsid w:val="00216BF5"/>
    <w:rsid w:val="00216ED5"/>
    <w:rsid w:val="00217207"/>
    <w:rsid w:val="002178E3"/>
    <w:rsid w:val="00217EE6"/>
    <w:rsid w:val="00217F6D"/>
    <w:rsid w:val="00220647"/>
    <w:rsid w:val="00220D56"/>
    <w:rsid w:val="002214C0"/>
    <w:rsid w:val="00222006"/>
    <w:rsid w:val="00222A39"/>
    <w:rsid w:val="0022325A"/>
    <w:rsid w:val="00223B49"/>
    <w:rsid w:val="00223C18"/>
    <w:rsid w:val="00223D5A"/>
    <w:rsid w:val="00224393"/>
    <w:rsid w:val="00224407"/>
    <w:rsid w:val="00224645"/>
    <w:rsid w:val="00224736"/>
    <w:rsid w:val="00224DD4"/>
    <w:rsid w:val="002254E4"/>
    <w:rsid w:val="00225518"/>
    <w:rsid w:val="0022576C"/>
    <w:rsid w:val="00225812"/>
    <w:rsid w:val="002260AB"/>
    <w:rsid w:val="002269BF"/>
    <w:rsid w:val="00226F31"/>
    <w:rsid w:val="002278A0"/>
    <w:rsid w:val="002309A8"/>
    <w:rsid w:val="002309CC"/>
    <w:rsid w:val="002309CF"/>
    <w:rsid w:val="00230DA0"/>
    <w:rsid w:val="002314ED"/>
    <w:rsid w:val="00231BA9"/>
    <w:rsid w:val="00231D8F"/>
    <w:rsid w:val="0023209F"/>
    <w:rsid w:val="00232358"/>
    <w:rsid w:val="00232437"/>
    <w:rsid w:val="0023279E"/>
    <w:rsid w:val="00232E0F"/>
    <w:rsid w:val="00233125"/>
    <w:rsid w:val="00233505"/>
    <w:rsid w:val="00233975"/>
    <w:rsid w:val="00233C01"/>
    <w:rsid w:val="0023413C"/>
    <w:rsid w:val="00234604"/>
    <w:rsid w:val="002346F0"/>
    <w:rsid w:val="00234791"/>
    <w:rsid w:val="00234FE2"/>
    <w:rsid w:val="00236180"/>
    <w:rsid w:val="0023629D"/>
    <w:rsid w:val="002368F5"/>
    <w:rsid w:val="00236CF8"/>
    <w:rsid w:val="00236D4A"/>
    <w:rsid w:val="00237255"/>
    <w:rsid w:val="002374FE"/>
    <w:rsid w:val="00237858"/>
    <w:rsid w:val="00240283"/>
    <w:rsid w:val="00240B0C"/>
    <w:rsid w:val="002410E8"/>
    <w:rsid w:val="00241DC4"/>
    <w:rsid w:val="002424AF"/>
    <w:rsid w:val="00242C54"/>
    <w:rsid w:val="00243509"/>
    <w:rsid w:val="002439DC"/>
    <w:rsid w:val="002441D2"/>
    <w:rsid w:val="00244DC8"/>
    <w:rsid w:val="00245056"/>
    <w:rsid w:val="002458BA"/>
    <w:rsid w:val="0024590B"/>
    <w:rsid w:val="00245CE9"/>
    <w:rsid w:val="00245E5B"/>
    <w:rsid w:val="0024636C"/>
    <w:rsid w:val="00246C79"/>
    <w:rsid w:val="00246E7B"/>
    <w:rsid w:val="00247127"/>
    <w:rsid w:val="00247925"/>
    <w:rsid w:val="00247A50"/>
    <w:rsid w:val="00251006"/>
    <w:rsid w:val="002520A0"/>
    <w:rsid w:val="002524D5"/>
    <w:rsid w:val="0025298F"/>
    <w:rsid w:val="00253667"/>
    <w:rsid w:val="0025388C"/>
    <w:rsid w:val="00253B1D"/>
    <w:rsid w:val="00253EBB"/>
    <w:rsid w:val="00254577"/>
    <w:rsid w:val="00254DCF"/>
    <w:rsid w:val="0025531E"/>
    <w:rsid w:val="0025534B"/>
    <w:rsid w:val="00255BB7"/>
    <w:rsid w:val="00255C81"/>
    <w:rsid w:val="0025611F"/>
    <w:rsid w:val="00256AF9"/>
    <w:rsid w:val="00256B44"/>
    <w:rsid w:val="00256D2A"/>
    <w:rsid w:val="0025737A"/>
    <w:rsid w:val="002573D1"/>
    <w:rsid w:val="00257541"/>
    <w:rsid w:val="00257A39"/>
    <w:rsid w:val="00257AC4"/>
    <w:rsid w:val="00257BBE"/>
    <w:rsid w:val="002611CB"/>
    <w:rsid w:val="00261754"/>
    <w:rsid w:val="002617A6"/>
    <w:rsid w:val="00261A16"/>
    <w:rsid w:val="00261EEF"/>
    <w:rsid w:val="002628A4"/>
    <w:rsid w:val="00262A1A"/>
    <w:rsid w:val="00262A87"/>
    <w:rsid w:val="00262C0C"/>
    <w:rsid w:val="00262C6D"/>
    <w:rsid w:val="00262EFF"/>
    <w:rsid w:val="00263A81"/>
    <w:rsid w:val="00263E52"/>
    <w:rsid w:val="00264720"/>
    <w:rsid w:val="00264D26"/>
    <w:rsid w:val="002651CD"/>
    <w:rsid w:val="00265244"/>
    <w:rsid w:val="00265901"/>
    <w:rsid w:val="00265B41"/>
    <w:rsid w:val="002661A1"/>
    <w:rsid w:val="002663EF"/>
    <w:rsid w:val="00266BD0"/>
    <w:rsid w:val="00266DBB"/>
    <w:rsid w:val="002670C4"/>
    <w:rsid w:val="00267642"/>
    <w:rsid w:val="00267AEA"/>
    <w:rsid w:val="00267BF8"/>
    <w:rsid w:val="002700E6"/>
    <w:rsid w:val="00270355"/>
    <w:rsid w:val="002714B6"/>
    <w:rsid w:val="00271A10"/>
    <w:rsid w:val="0027294B"/>
    <w:rsid w:val="00272A62"/>
    <w:rsid w:val="00272FB6"/>
    <w:rsid w:val="002735A3"/>
    <w:rsid w:val="00273EB4"/>
    <w:rsid w:val="00274682"/>
    <w:rsid w:val="002746F2"/>
    <w:rsid w:val="00274B23"/>
    <w:rsid w:val="00274B46"/>
    <w:rsid w:val="00275158"/>
    <w:rsid w:val="00275BBE"/>
    <w:rsid w:val="00275C5A"/>
    <w:rsid w:val="0027784C"/>
    <w:rsid w:val="00280F35"/>
    <w:rsid w:val="00281014"/>
    <w:rsid w:val="0028104D"/>
    <w:rsid w:val="002812CE"/>
    <w:rsid w:val="00281BBF"/>
    <w:rsid w:val="0028232C"/>
    <w:rsid w:val="00282344"/>
    <w:rsid w:val="002824AE"/>
    <w:rsid w:val="0028257F"/>
    <w:rsid w:val="002827AD"/>
    <w:rsid w:val="00283278"/>
    <w:rsid w:val="002832DE"/>
    <w:rsid w:val="0028372D"/>
    <w:rsid w:val="00283FA0"/>
    <w:rsid w:val="00284039"/>
    <w:rsid w:val="0028537E"/>
    <w:rsid w:val="002856F9"/>
    <w:rsid w:val="00285BCE"/>
    <w:rsid w:val="0028617B"/>
    <w:rsid w:val="0028665D"/>
    <w:rsid w:val="002868B9"/>
    <w:rsid w:val="002877D6"/>
    <w:rsid w:val="0029108F"/>
    <w:rsid w:val="002914F5"/>
    <w:rsid w:val="002918D1"/>
    <w:rsid w:val="00291AA7"/>
    <w:rsid w:val="00292028"/>
    <w:rsid w:val="00293747"/>
    <w:rsid w:val="00293B05"/>
    <w:rsid w:val="00293B64"/>
    <w:rsid w:val="00293FFD"/>
    <w:rsid w:val="0029442E"/>
    <w:rsid w:val="0029565B"/>
    <w:rsid w:val="00295A93"/>
    <w:rsid w:val="00295FC4"/>
    <w:rsid w:val="002961E0"/>
    <w:rsid w:val="0029651B"/>
    <w:rsid w:val="00296553"/>
    <w:rsid w:val="00296837"/>
    <w:rsid w:val="00296C1A"/>
    <w:rsid w:val="00296DD9"/>
    <w:rsid w:val="00296F50"/>
    <w:rsid w:val="0029770D"/>
    <w:rsid w:val="00297EF5"/>
    <w:rsid w:val="002A00D2"/>
    <w:rsid w:val="002A03A8"/>
    <w:rsid w:val="002A0B78"/>
    <w:rsid w:val="002A1172"/>
    <w:rsid w:val="002A14AB"/>
    <w:rsid w:val="002A1734"/>
    <w:rsid w:val="002A2ADE"/>
    <w:rsid w:val="002A2F50"/>
    <w:rsid w:val="002A329B"/>
    <w:rsid w:val="002A32FF"/>
    <w:rsid w:val="002A3EBD"/>
    <w:rsid w:val="002A40CD"/>
    <w:rsid w:val="002A42C2"/>
    <w:rsid w:val="002A4A0E"/>
    <w:rsid w:val="002A51F6"/>
    <w:rsid w:val="002A653C"/>
    <w:rsid w:val="002A707E"/>
    <w:rsid w:val="002A750B"/>
    <w:rsid w:val="002A7943"/>
    <w:rsid w:val="002B05A1"/>
    <w:rsid w:val="002B09A4"/>
    <w:rsid w:val="002B0BB8"/>
    <w:rsid w:val="002B13C0"/>
    <w:rsid w:val="002B14BB"/>
    <w:rsid w:val="002B1609"/>
    <w:rsid w:val="002B1BEA"/>
    <w:rsid w:val="002B1C1F"/>
    <w:rsid w:val="002B1E02"/>
    <w:rsid w:val="002B2589"/>
    <w:rsid w:val="002B2EFF"/>
    <w:rsid w:val="002B2F0D"/>
    <w:rsid w:val="002B39CF"/>
    <w:rsid w:val="002B4104"/>
    <w:rsid w:val="002B42AB"/>
    <w:rsid w:val="002B432F"/>
    <w:rsid w:val="002B4BD6"/>
    <w:rsid w:val="002B5430"/>
    <w:rsid w:val="002B5A7A"/>
    <w:rsid w:val="002B5AC9"/>
    <w:rsid w:val="002B60E4"/>
    <w:rsid w:val="002B62B3"/>
    <w:rsid w:val="002B63F5"/>
    <w:rsid w:val="002B64BB"/>
    <w:rsid w:val="002B6754"/>
    <w:rsid w:val="002B6CCE"/>
    <w:rsid w:val="002B72DF"/>
    <w:rsid w:val="002B7429"/>
    <w:rsid w:val="002B7B71"/>
    <w:rsid w:val="002C0091"/>
    <w:rsid w:val="002C1390"/>
    <w:rsid w:val="002C1D30"/>
    <w:rsid w:val="002C2510"/>
    <w:rsid w:val="002C2644"/>
    <w:rsid w:val="002C2775"/>
    <w:rsid w:val="002C27C1"/>
    <w:rsid w:val="002C2B3F"/>
    <w:rsid w:val="002C3436"/>
    <w:rsid w:val="002C36E3"/>
    <w:rsid w:val="002C3955"/>
    <w:rsid w:val="002C411E"/>
    <w:rsid w:val="002C435E"/>
    <w:rsid w:val="002C5099"/>
    <w:rsid w:val="002C5315"/>
    <w:rsid w:val="002C5889"/>
    <w:rsid w:val="002C5ADE"/>
    <w:rsid w:val="002C5CC0"/>
    <w:rsid w:val="002C60AF"/>
    <w:rsid w:val="002C71CE"/>
    <w:rsid w:val="002C725F"/>
    <w:rsid w:val="002D0011"/>
    <w:rsid w:val="002D04BA"/>
    <w:rsid w:val="002D0536"/>
    <w:rsid w:val="002D066D"/>
    <w:rsid w:val="002D0834"/>
    <w:rsid w:val="002D08F8"/>
    <w:rsid w:val="002D095D"/>
    <w:rsid w:val="002D0B58"/>
    <w:rsid w:val="002D0FD9"/>
    <w:rsid w:val="002D1337"/>
    <w:rsid w:val="002D1DB0"/>
    <w:rsid w:val="002D1E77"/>
    <w:rsid w:val="002D21FC"/>
    <w:rsid w:val="002D23F7"/>
    <w:rsid w:val="002D27F6"/>
    <w:rsid w:val="002D2C7E"/>
    <w:rsid w:val="002D2D94"/>
    <w:rsid w:val="002D3095"/>
    <w:rsid w:val="002D3197"/>
    <w:rsid w:val="002D3355"/>
    <w:rsid w:val="002D46C5"/>
    <w:rsid w:val="002D48A7"/>
    <w:rsid w:val="002D4B39"/>
    <w:rsid w:val="002D577C"/>
    <w:rsid w:val="002D5B6D"/>
    <w:rsid w:val="002D6750"/>
    <w:rsid w:val="002D6CCD"/>
    <w:rsid w:val="002D6E06"/>
    <w:rsid w:val="002D77A6"/>
    <w:rsid w:val="002D7832"/>
    <w:rsid w:val="002E037F"/>
    <w:rsid w:val="002E0B52"/>
    <w:rsid w:val="002E1071"/>
    <w:rsid w:val="002E1280"/>
    <w:rsid w:val="002E15B9"/>
    <w:rsid w:val="002E1848"/>
    <w:rsid w:val="002E2158"/>
    <w:rsid w:val="002E2873"/>
    <w:rsid w:val="002E2A93"/>
    <w:rsid w:val="002E3763"/>
    <w:rsid w:val="002E39AB"/>
    <w:rsid w:val="002E3B5E"/>
    <w:rsid w:val="002E3C9C"/>
    <w:rsid w:val="002E3CEA"/>
    <w:rsid w:val="002E4F02"/>
    <w:rsid w:val="002E5080"/>
    <w:rsid w:val="002E589E"/>
    <w:rsid w:val="002E5D87"/>
    <w:rsid w:val="002E685D"/>
    <w:rsid w:val="002E7722"/>
    <w:rsid w:val="002E7AA4"/>
    <w:rsid w:val="002E7B91"/>
    <w:rsid w:val="002F06DB"/>
    <w:rsid w:val="002F07BA"/>
    <w:rsid w:val="002F0C03"/>
    <w:rsid w:val="002F0DA9"/>
    <w:rsid w:val="002F1014"/>
    <w:rsid w:val="002F193C"/>
    <w:rsid w:val="002F1A34"/>
    <w:rsid w:val="002F1E3B"/>
    <w:rsid w:val="002F21F1"/>
    <w:rsid w:val="002F39A5"/>
    <w:rsid w:val="002F3D8E"/>
    <w:rsid w:val="002F4066"/>
    <w:rsid w:val="002F4623"/>
    <w:rsid w:val="002F49FB"/>
    <w:rsid w:val="002F50ED"/>
    <w:rsid w:val="002F58FA"/>
    <w:rsid w:val="002F6382"/>
    <w:rsid w:val="002F643C"/>
    <w:rsid w:val="002F67B4"/>
    <w:rsid w:val="002F6A04"/>
    <w:rsid w:val="002F6AFD"/>
    <w:rsid w:val="002F6C52"/>
    <w:rsid w:val="002F71C0"/>
    <w:rsid w:val="002F74F1"/>
    <w:rsid w:val="002F7589"/>
    <w:rsid w:val="00300C25"/>
    <w:rsid w:val="00300E3C"/>
    <w:rsid w:val="00301017"/>
    <w:rsid w:val="0030155F"/>
    <w:rsid w:val="00301B3D"/>
    <w:rsid w:val="00301D09"/>
    <w:rsid w:val="003020CF"/>
    <w:rsid w:val="00303D20"/>
    <w:rsid w:val="00304314"/>
    <w:rsid w:val="003043F6"/>
    <w:rsid w:val="00304911"/>
    <w:rsid w:val="003050A3"/>
    <w:rsid w:val="0030587B"/>
    <w:rsid w:val="0030591F"/>
    <w:rsid w:val="00306A7F"/>
    <w:rsid w:val="00306D98"/>
    <w:rsid w:val="0030742E"/>
    <w:rsid w:val="0030786C"/>
    <w:rsid w:val="00307B55"/>
    <w:rsid w:val="00307FDF"/>
    <w:rsid w:val="0031031A"/>
    <w:rsid w:val="00310755"/>
    <w:rsid w:val="00310981"/>
    <w:rsid w:val="00311699"/>
    <w:rsid w:val="00311952"/>
    <w:rsid w:val="0031197A"/>
    <w:rsid w:val="00311D69"/>
    <w:rsid w:val="00311D9B"/>
    <w:rsid w:val="003124D9"/>
    <w:rsid w:val="00312594"/>
    <w:rsid w:val="003126AC"/>
    <w:rsid w:val="00312960"/>
    <w:rsid w:val="00313022"/>
    <w:rsid w:val="003134FD"/>
    <w:rsid w:val="00313B20"/>
    <w:rsid w:val="0031402F"/>
    <w:rsid w:val="003143BA"/>
    <w:rsid w:val="00314452"/>
    <w:rsid w:val="003144DA"/>
    <w:rsid w:val="00314999"/>
    <w:rsid w:val="00315498"/>
    <w:rsid w:val="00315895"/>
    <w:rsid w:val="00315928"/>
    <w:rsid w:val="003162FF"/>
    <w:rsid w:val="00316474"/>
    <w:rsid w:val="00316FE2"/>
    <w:rsid w:val="0031749C"/>
    <w:rsid w:val="003176A4"/>
    <w:rsid w:val="0031783D"/>
    <w:rsid w:val="00317C87"/>
    <w:rsid w:val="00317E04"/>
    <w:rsid w:val="00320ABF"/>
    <w:rsid w:val="00320E0A"/>
    <w:rsid w:val="00322107"/>
    <w:rsid w:val="00322209"/>
    <w:rsid w:val="00322355"/>
    <w:rsid w:val="003224B8"/>
    <w:rsid w:val="00322846"/>
    <w:rsid w:val="00323339"/>
    <w:rsid w:val="00323C53"/>
    <w:rsid w:val="003244A1"/>
    <w:rsid w:val="00324961"/>
    <w:rsid w:val="00324AA1"/>
    <w:rsid w:val="0032616E"/>
    <w:rsid w:val="00326236"/>
    <w:rsid w:val="0032638A"/>
    <w:rsid w:val="00326DA7"/>
    <w:rsid w:val="003270E4"/>
    <w:rsid w:val="003279EB"/>
    <w:rsid w:val="00330DAA"/>
    <w:rsid w:val="00330F5C"/>
    <w:rsid w:val="003312FC"/>
    <w:rsid w:val="003318D2"/>
    <w:rsid w:val="00331BEC"/>
    <w:rsid w:val="00332E97"/>
    <w:rsid w:val="003334FC"/>
    <w:rsid w:val="003335E8"/>
    <w:rsid w:val="00333669"/>
    <w:rsid w:val="003339F4"/>
    <w:rsid w:val="00333FE9"/>
    <w:rsid w:val="00334B1C"/>
    <w:rsid w:val="00334D79"/>
    <w:rsid w:val="00335183"/>
    <w:rsid w:val="00335F3C"/>
    <w:rsid w:val="0033631D"/>
    <w:rsid w:val="003366C9"/>
    <w:rsid w:val="003366FC"/>
    <w:rsid w:val="00336F75"/>
    <w:rsid w:val="003371B0"/>
    <w:rsid w:val="0034025B"/>
    <w:rsid w:val="00340DF1"/>
    <w:rsid w:val="003410FC"/>
    <w:rsid w:val="00341107"/>
    <w:rsid w:val="00341B83"/>
    <w:rsid w:val="0034264A"/>
    <w:rsid w:val="003426BD"/>
    <w:rsid w:val="00342C0A"/>
    <w:rsid w:val="00342C92"/>
    <w:rsid w:val="00343123"/>
    <w:rsid w:val="003432E8"/>
    <w:rsid w:val="00343D78"/>
    <w:rsid w:val="003443D0"/>
    <w:rsid w:val="00344744"/>
    <w:rsid w:val="003450E7"/>
    <w:rsid w:val="003452A6"/>
    <w:rsid w:val="0034590C"/>
    <w:rsid w:val="0034690C"/>
    <w:rsid w:val="00346F38"/>
    <w:rsid w:val="00347958"/>
    <w:rsid w:val="00347A91"/>
    <w:rsid w:val="0035005B"/>
    <w:rsid w:val="00350536"/>
    <w:rsid w:val="00350863"/>
    <w:rsid w:val="003510A3"/>
    <w:rsid w:val="003515B8"/>
    <w:rsid w:val="003517F9"/>
    <w:rsid w:val="00351AEE"/>
    <w:rsid w:val="00351BA9"/>
    <w:rsid w:val="003525A9"/>
    <w:rsid w:val="003529DB"/>
    <w:rsid w:val="0035300D"/>
    <w:rsid w:val="00353068"/>
    <w:rsid w:val="003533EA"/>
    <w:rsid w:val="0035397D"/>
    <w:rsid w:val="00354BDF"/>
    <w:rsid w:val="00354F3F"/>
    <w:rsid w:val="00354F64"/>
    <w:rsid w:val="0035580B"/>
    <w:rsid w:val="00355CC4"/>
    <w:rsid w:val="00355D3F"/>
    <w:rsid w:val="0035620E"/>
    <w:rsid w:val="00356240"/>
    <w:rsid w:val="00356261"/>
    <w:rsid w:val="003564E8"/>
    <w:rsid w:val="00356D7A"/>
    <w:rsid w:val="00356DBE"/>
    <w:rsid w:val="00356E40"/>
    <w:rsid w:val="00356EFB"/>
    <w:rsid w:val="003575BE"/>
    <w:rsid w:val="00360345"/>
    <w:rsid w:val="0036043B"/>
    <w:rsid w:val="00360C86"/>
    <w:rsid w:val="00360D93"/>
    <w:rsid w:val="003610F5"/>
    <w:rsid w:val="00361627"/>
    <w:rsid w:val="003616F6"/>
    <w:rsid w:val="0036183E"/>
    <w:rsid w:val="00361A05"/>
    <w:rsid w:val="00361A25"/>
    <w:rsid w:val="00361EB4"/>
    <w:rsid w:val="00361F9C"/>
    <w:rsid w:val="003623A9"/>
    <w:rsid w:val="003624B7"/>
    <w:rsid w:val="003624C4"/>
    <w:rsid w:val="003629A4"/>
    <w:rsid w:val="00363059"/>
    <w:rsid w:val="003637CF"/>
    <w:rsid w:val="00363817"/>
    <w:rsid w:val="00363B00"/>
    <w:rsid w:val="00364462"/>
    <w:rsid w:val="0036456B"/>
    <w:rsid w:val="003649DA"/>
    <w:rsid w:val="0036533E"/>
    <w:rsid w:val="00365479"/>
    <w:rsid w:val="003654AC"/>
    <w:rsid w:val="003657F7"/>
    <w:rsid w:val="00366625"/>
    <w:rsid w:val="0036682A"/>
    <w:rsid w:val="00366B27"/>
    <w:rsid w:val="00366BBC"/>
    <w:rsid w:val="00366BE3"/>
    <w:rsid w:val="00367092"/>
    <w:rsid w:val="0036712B"/>
    <w:rsid w:val="0036718A"/>
    <w:rsid w:val="00367712"/>
    <w:rsid w:val="00367715"/>
    <w:rsid w:val="00367BAC"/>
    <w:rsid w:val="00370A95"/>
    <w:rsid w:val="00370D76"/>
    <w:rsid w:val="003710CF"/>
    <w:rsid w:val="00371AAF"/>
    <w:rsid w:val="00372415"/>
    <w:rsid w:val="00372459"/>
    <w:rsid w:val="0037257E"/>
    <w:rsid w:val="00372A7C"/>
    <w:rsid w:val="00372AD3"/>
    <w:rsid w:val="0037358A"/>
    <w:rsid w:val="0037399E"/>
    <w:rsid w:val="00374984"/>
    <w:rsid w:val="003750BF"/>
    <w:rsid w:val="003750F6"/>
    <w:rsid w:val="00375C90"/>
    <w:rsid w:val="003760FC"/>
    <w:rsid w:val="0037628D"/>
    <w:rsid w:val="003764D8"/>
    <w:rsid w:val="00376CC2"/>
    <w:rsid w:val="0037743D"/>
    <w:rsid w:val="003775C4"/>
    <w:rsid w:val="00377DE4"/>
    <w:rsid w:val="0038071F"/>
    <w:rsid w:val="003817CA"/>
    <w:rsid w:val="00381856"/>
    <w:rsid w:val="00382657"/>
    <w:rsid w:val="00382B19"/>
    <w:rsid w:val="003835C1"/>
    <w:rsid w:val="0038365C"/>
    <w:rsid w:val="0038369B"/>
    <w:rsid w:val="00383B78"/>
    <w:rsid w:val="00383C81"/>
    <w:rsid w:val="003844A7"/>
    <w:rsid w:val="00384BF1"/>
    <w:rsid w:val="00384F93"/>
    <w:rsid w:val="003850A9"/>
    <w:rsid w:val="00385104"/>
    <w:rsid w:val="00385173"/>
    <w:rsid w:val="00385905"/>
    <w:rsid w:val="00385A9D"/>
    <w:rsid w:val="003869EE"/>
    <w:rsid w:val="00386B46"/>
    <w:rsid w:val="00387121"/>
    <w:rsid w:val="003902B1"/>
    <w:rsid w:val="003904F5"/>
    <w:rsid w:val="00390682"/>
    <w:rsid w:val="00390B02"/>
    <w:rsid w:val="003911BE"/>
    <w:rsid w:val="0039179C"/>
    <w:rsid w:val="003933F7"/>
    <w:rsid w:val="00393BD7"/>
    <w:rsid w:val="00393C64"/>
    <w:rsid w:val="00393CED"/>
    <w:rsid w:val="003941A2"/>
    <w:rsid w:val="00394334"/>
    <w:rsid w:val="003946A6"/>
    <w:rsid w:val="00394750"/>
    <w:rsid w:val="00394FF7"/>
    <w:rsid w:val="003956CE"/>
    <w:rsid w:val="003958D1"/>
    <w:rsid w:val="00395A04"/>
    <w:rsid w:val="00395CEA"/>
    <w:rsid w:val="0039678A"/>
    <w:rsid w:val="00396896"/>
    <w:rsid w:val="00396A8E"/>
    <w:rsid w:val="00396D6E"/>
    <w:rsid w:val="00396E96"/>
    <w:rsid w:val="00396F4E"/>
    <w:rsid w:val="00396FD0"/>
    <w:rsid w:val="003973E8"/>
    <w:rsid w:val="00397669"/>
    <w:rsid w:val="00397946"/>
    <w:rsid w:val="003A09FC"/>
    <w:rsid w:val="003A119B"/>
    <w:rsid w:val="003A1A7A"/>
    <w:rsid w:val="003A2392"/>
    <w:rsid w:val="003A2831"/>
    <w:rsid w:val="003A322A"/>
    <w:rsid w:val="003A337C"/>
    <w:rsid w:val="003A3C48"/>
    <w:rsid w:val="003A3CB6"/>
    <w:rsid w:val="003A3ED1"/>
    <w:rsid w:val="003A44DB"/>
    <w:rsid w:val="003A4C14"/>
    <w:rsid w:val="003A4CFC"/>
    <w:rsid w:val="003A5262"/>
    <w:rsid w:val="003A56BE"/>
    <w:rsid w:val="003A5A59"/>
    <w:rsid w:val="003A5BD3"/>
    <w:rsid w:val="003A5DCA"/>
    <w:rsid w:val="003A68BE"/>
    <w:rsid w:val="003A7680"/>
    <w:rsid w:val="003A780B"/>
    <w:rsid w:val="003B0A60"/>
    <w:rsid w:val="003B1252"/>
    <w:rsid w:val="003B14C1"/>
    <w:rsid w:val="003B1C5B"/>
    <w:rsid w:val="003B1ED8"/>
    <w:rsid w:val="003B304F"/>
    <w:rsid w:val="003B3971"/>
    <w:rsid w:val="003B397C"/>
    <w:rsid w:val="003B3D26"/>
    <w:rsid w:val="003B3DEC"/>
    <w:rsid w:val="003B3E0A"/>
    <w:rsid w:val="003B45D7"/>
    <w:rsid w:val="003B49BE"/>
    <w:rsid w:val="003B511C"/>
    <w:rsid w:val="003B54D6"/>
    <w:rsid w:val="003B55D1"/>
    <w:rsid w:val="003B5B61"/>
    <w:rsid w:val="003B5DD4"/>
    <w:rsid w:val="003B6EAE"/>
    <w:rsid w:val="003B798A"/>
    <w:rsid w:val="003C0125"/>
    <w:rsid w:val="003C01CF"/>
    <w:rsid w:val="003C0430"/>
    <w:rsid w:val="003C0607"/>
    <w:rsid w:val="003C07D0"/>
    <w:rsid w:val="003C09C2"/>
    <w:rsid w:val="003C0CFD"/>
    <w:rsid w:val="003C1078"/>
    <w:rsid w:val="003C1300"/>
    <w:rsid w:val="003C14C3"/>
    <w:rsid w:val="003C1654"/>
    <w:rsid w:val="003C198A"/>
    <w:rsid w:val="003C2051"/>
    <w:rsid w:val="003C24C1"/>
    <w:rsid w:val="003C28B3"/>
    <w:rsid w:val="003C3258"/>
    <w:rsid w:val="003C40B0"/>
    <w:rsid w:val="003C44CE"/>
    <w:rsid w:val="003C5542"/>
    <w:rsid w:val="003C5FE3"/>
    <w:rsid w:val="003C6198"/>
    <w:rsid w:val="003C6216"/>
    <w:rsid w:val="003C6463"/>
    <w:rsid w:val="003C78F0"/>
    <w:rsid w:val="003C7903"/>
    <w:rsid w:val="003C7B2B"/>
    <w:rsid w:val="003C7C15"/>
    <w:rsid w:val="003C7D19"/>
    <w:rsid w:val="003C7D2F"/>
    <w:rsid w:val="003C7D79"/>
    <w:rsid w:val="003D02D1"/>
    <w:rsid w:val="003D09D7"/>
    <w:rsid w:val="003D0C5A"/>
    <w:rsid w:val="003D0D78"/>
    <w:rsid w:val="003D13F9"/>
    <w:rsid w:val="003D1828"/>
    <w:rsid w:val="003D1DD0"/>
    <w:rsid w:val="003D1DE4"/>
    <w:rsid w:val="003D1E9A"/>
    <w:rsid w:val="003D22A7"/>
    <w:rsid w:val="003D2352"/>
    <w:rsid w:val="003D2422"/>
    <w:rsid w:val="003D384E"/>
    <w:rsid w:val="003D39A1"/>
    <w:rsid w:val="003D3FBF"/>
    <w:rsid w:val="003D4A30"/>
    <w:rsid w:val="003D5A3A"/>
    <w:rsid w:val="003D5A7B"/>
    <w:rsid w:val="003D5DE7"/>
    <w:rsid w:val="003D685D"/>
    <w:rsid w:val="003D69F9"/>
    <w:rsid w:val="003D70F7"/>
    <w:rsid w:val="003D712A"/>
    <w:rsid w:val="003D7265"/>
    <w:rsid w:val="003D7452"/>
    <w:rsid w:val="003D74DB"/>
    <w:rsid w:val="003D7595"/>
    <w:rsid w:val="003D79BB"/>
    <w:rsid w:val="003D7C98"/>
    <w:rsid w:val="003D7D9D"/>
    <w:rsid w:val="003D7F2D"/>
    <w:rsid w:val="003E0157"/>
    <w:rsid w:val="003E04E9"/>
    <w:rsid w:val="003E0543"/>
    <w:rsid w:val="003E06BD"/>
    <w:rsid w:val="003E0FBE"/>
    <w:rsid w:val="003E11A5"/>
    <w:rsid w:val="003E2406"/>
    <w:rsid w:val="003E2C69"/>
    <w:rsid w:val="003E3D04"/>
    <w:rsid w:val="003E4CF1"/>
    <w:rsid w:val="003E5345"/>
    <w:rsid w:val="003E55BF"/>
    <w:rsid w:val="003E5603"/>
    <w:rsid w:val="003E5ADA"/>
    <w:rsid w:val="003E639A"/>
    <w:rsid w:val="003E6B02"/>
    <w:rsid w:val="003E6F71"/>
    <w:rsid w:val="003E749E"/>
    <w:rsid w:val="003E79CC"/>
    <w:rsid w:val="003F0438"/>
    <w:rsid w:val="003F07FF"/>
    <w:rsid w:val="003F198E"/>
    <w:rsid w:val="003F1EFC"/>
    <w:rsid w:val="003F2B7E"/>
    <w:rsid w:val="003F2D30"/>
    <w:rsid w:val="003F2D43"/>
    <w:rsid w:val="003F2D85"/>
    <w:rsid w:val="003F31FD"/>
    <w:rsid w:val="003F34AA"/>
    <w:rsid w:val="003F37BF"/>
    <w:rsid w:val="003F3A74"/>
    <w:rsid w:val="003F4156"/>
    <w:rsid w:val="003F455C"/>
    <w:rsid w:val="003F47CF"/>
    <w:rsid w:val="003F48C5"/>
    <w:rsid w:val="003F56F0"/>
    <w:rsid w:val="003F5ADF"/>
    <w:rsid w:val="003F5C80"/>
    <w:rsid w:val="003F7079"/>
    <w:rsid w:val="003F79B5"/>
    <w:rsid w:val="003F7BD1"/>
    <w:rsid w:val="003F7EBD"/>
    <w:rsid w:val="003F7F04"/>
    <w:rsid w:val="00400B29"/>
    <w:rsid w:val="00402812"/>
    <w:rsid w:val="00402B21"/>
    <w:rsid w:val="00403A55"/>
    <w:rsid w:val="00403CAE"/>
    <w:rsid w:val="004043AE"/>
    <w:rsid w:val="0040469E"/>
    <w:rsid w:val="00404BF9"/>
    <w:rsid w:val="00404FDD"/>
    <w:rsid w:val="0040504B"/>
    <w:rsid w:val="004052B2"/>
    <w:rsid w:val="0040591B"/>
    <w:rsid w:val="004059F4"/>
    <w:rsid w:val="00406551"/>
    <w:rsid w:val="00406A7E"/>
    <w:rsid w:val="00407F7A"/>
    <w:rsid w:val="00407FE5"/>
    <w:rsid w:val="00410046"/>
    <w:rsid w:val="004101B0"/>
    <w:rsid w:val="004102C6"/>
    <w:rsid w:val="00410326"/>
    <w:rsid w:val="00410708"/>
    <w:rsid w:val="00410C13"/>
    <w:rsid w:val="00410DDF"/>
    <w:rsid w:val="00410EC7"/>
    <w:rsid w:val="00410F45"/>
    <w:rsid w:val="004116CB"/>
    <w:rsid w:val="00411B39"/>
    <w:rsid w:val="00412603"/>
    <w:rsid w:val="004127A7"/>
    <w:rsid w:val="00413172"/>
    <w:rsid w:val="00413A1E"/>
    <w:rsid w:val="0041412E"/>
    <w:rsid w:val="00414187"/>
    <w:rsid w:val="00414476"/>
    <w:rsid w:val="004146E9"/>
    <w:rsid w:val="004149C3"/>
    <w:rsid w:val="00414C2E"/>
    <w:rsid w:val="00414DB7"/>
    <w:rsid w:val="004151CF"/>
    <w:rsid w:val="00415460"/>
    <w:rsid w:val="00415541"/>
    <w:rsid w:val="004156D5"/>
    <w:rsid w:val="004158DE"/>
    <w:rsid w:val="00415E1D"/>
    <w:rsid w:val="00416026"/>
    <w:rsid w:val="00416110"/>
    <w:rsid w:val="00416299"/>
    <w:rsid w:val="00416364"/>
    <w:rsid w:val="004163F8"/>
    <w:rsid w:val="00417014"/>
    <w:rsid w:val="004171D9"/>
    <w:rsid w:val="00417380"/>
    <w:rsid w:val="0041788D"/>
    <w:rsid w:val="00417AA7"/>
    <w:rsid w:val="00417BE4"/>
    <w:rsid w:val="00420118"/>
    <w:rsid w:val="0042047F"/>
    <w:rsid w:val="004209C1"/>
    <w:rsid w:val="00420AA6"/>
    <w:rsid w:val="00420B9F"/>
    <w:rsid w:val="00420DE9"/>
    <w:rsid w:val="0042184C"/>
    <w:rsid w:val="0042192C"/>
    <w:rsid w:val="00421E7E"/>
    <w:rsid w:val="00422260"/>
    <w:rsid w:val="004224BD"/>
    <w:rsid w:val="0042255B"/>
    <w:rsid w:val="00423945"/>
    <w:rsid w:val="0042413F"/>
    <w:rsid w:val="00424451"/>
    <w:rsid w:val="00424773"/>
    <w:rsid w:val="00424DB4"/>
    <w:rsid w:val="00424FEF"/>
    <w:rsid w:val="004253A1"/>
    <w:rsid w:val="00426080"/>
    <w:rsid w:val="004262C0"/>
    <w:rsid w:val="00426306"/>
    <w:rsid w:val="0042716F"/>
    <w:rsid w:val="0042723E"/>
    <w:rsid w:val="00427D87"/>
    <w:rsid w:val="004302CA"/>
    <w:rsid w:val="00430575"/>
    <w:rsid w:val="00430A0F"/>
    <w:rsid w:val="00430F3F"/>
    <w:rsid w:val="004316CC"/>
    <w:rsid w:val="004319F8"/>
    <w:rsid w:val="00431D78"/>
    <w:rsid w:val="00431D7F"/>
    <w:rsid w:val="00431E55"/>
    <w:rsid w:val="00431E8D"/>
    <w:rsid w:val="004321F6"/>
    <w:rsid w:val="00432BC5"/>
    <w:rsid w:val="00433044"/>
    <w:rsid w:val="0043307C"/>
    <w:rsid w:val="00433764"/>
    <w:rsid w:val="00433880"/>
    <w:rsid w:val="00433C63"/>
    <w:rsid w:val="00434088"/>
    <w:rsid w:val="004342C8"/>
    <w:rsid w:val="0043454B"/>
    <w:rsid w:val="0043507B"/>
    <w:rsid w:val="004354D2"/>
    <w:rsid w:val="0043591E"/>
    <w:rsid w:val="00437461"/>
    <w:rsid w:val="004375B9"/>
    <w:rsid w:val="00437B15"/>
    <w:rsid w:val="00437D79"/>
    <w:rsid w:val="00437E8D"/>
    <w:rsid w:val="00440338"/>
    <w:rsid w:val="004403F9"/>
    <w:rsid w:val="00440623"/>
    <w:rsid w:val="0044089B"/>
    <w:rsid w:val="00440909"/>
    <w:rsid w:val="00441707"/>
    <w:rsid w:val="004428D0"/>
    <w:rsid w:val="00442D53"/>
    <w:rsid w:val="00443684"/>
    <w:rsid w:val="00444185"/>
    <w:rsid w:val="00444257"/>
    <w:rsid w:val="004443A7"/>
    <w:rsid w:val="0044442C"/>
    <w:rsid w:val="00444641"/>
    <w:rsid w:val="00444782"/>
    <w:rsid w:val="00444DED"/>
    <w:rsid w:val="00445408"/>
    <w:rsid w:val="00445941"/>
    <w:rsid w:val="00446161"/>
    <w:rsid w:val="00446221"/>
    <w:rsid w:val="004464EB"/>
    <w:rsid w:val="00446ECD"/>
    <w:rsid w:val="00447D26"/>
    <w:rsid w:val="00447DFC"/>
    <w:rsid w:val="00450064"/>
    <w:rsid w:val="004502CB"/>
    <w:rsid w:val="00450497"/>
    <w:rsid w:val="004504F5"/>
    <w:rsid w:val="00450A8A"/>
    <w:rsid w:val="00450C8F"/>
    <w:rsid w:val="0045125B"/>
    <w:rsid w:val="0045130A"/>
    <w:rsid w:val="00451346"/>
    <w:rsid w:val="004521B6"/>
    <w:rsid w:val="004523B5"/>
    <w:rsid w:val="00452902"/>
    <w:rsid w:val="0045381B"/>
    <w:rsid w:val="00453CC9"/>
    <w:rsid w:val="004552E5"/>
    <w:rsid w:val="004552F9"/>
    <w:rsid w:val="00455D45"/>
    <w:rsid w:val="004566FC"/>
    <w:rsid w:val="00456AAB"/>
    <w:rsid w:val="004571F9"/>
    <w:rsid w:val="004577BE"/>
    <w:rsid w:val="00457C3D"/>
    <w:rsid w:val="00460328"/>
    <w:rsid w:val="004607B9"/>
    <w:rsid w:val="0046105D"/>
    <w:rsid w:val="004614F1"/>
    <w:rsid w:val="00461616"/>
    <w:rsid w:val="00462439"/>
    <w:rsid w:val="00462CED"/>
    <w:rsid w:val="00463120"/>
    <w:rsid w:val="00463149"/>
    <w:rsid w:val="0046326D"/>
    <w:rsid w:val="004632BC"/>
    <w:rsid w:val="004632ED"/>
    <w:rsid w:val="00463CB6"/>
    <w:rsid w:val="004644FC"/>
    <w:rsid w:val="00464595"/>
    <w:rsid w:val="00464871"/>
    <w:rsid w:val="004658B5"/>
    <w:rsid w:val="00465A31"/>
    <w:rsid w:val="00466772"/>
    <w:rsid w:val="0046745C"/>
    <w:rsid w:val="0046769B"/>
    <w:rsid w:val="00467E2D"/>
    <w:rsid w:val="00467F20"/>
    <w:rsid w:val="00471133"/>
    <w:rsid w:val="00471973"/>
    <w:rsid w:val="00471EA5"/>
    <w:rsid w:val="00472246"/>
    <w:rsid w:val="00472A79"/>
    <w:rsid w:val="00472D3A"/>
    <w:rsid w:val="00473195"/>
    <w:rsid w:val="004732AC"/>
    <w:rsid w:val="00473869"/>
    <w:rsid w:val="00473F19"/>
    <w:rsid w:val="004741FF"/>
    <w:rsid w:val="004745F6"/>
    <w:rsid w:val="00474EC0"/>
    <w:rsid w:val="0047549F"/>
    <w:rsid w:val="004754D9"/>
    <w:rsid w:val="00475E22"/>
    <w:rsid w:val="004760E2"/>
    <w:rsid w:val="004766E6"/>
    <w:rsid w:val="00476C3D"/>
    <w:rsid w:val="00476C8D"/>
    <w:rsid w:val="00476FC7"/>
    <w:rsid w:val="004771C3"/>
    <w:rsid w:val="00477337"/>
    <w:rsid w:val="00477699"/>
    <w:rsid w:val="00477E72"/>
    <w:rsid w:val="004801AC"/>
    <w:rsid w:val="00480278"/>
    <w:rsid w:val="004804AC"/>
    <w:rsid w:val="0048088E"/>
    <w:rsid w:val="00480A5C"/>
    <w:rsid w:val="00480F2B"/>
    <w:rsid w:val="00481001"/>
    <w:rsid w:val="00481135"/>
    <w:rsid w:val="004811B0"/>
    <w:rsid w:val="00481C68"/>
    <w:rsid w:val="00481CBA"/>
    <w:rsid w:val="00482720"/>
    <w:rsid w:val="00482B48"/>
    <w:rsid w:val="004835E7"/>
    <w:rsid w:val="00483756"/>
    <w:rsid w:val="004859E1"/>
    <w:rsid w:val="004861E4"/>
    <w:rsid w:val="004865C3"/>
    <w:rsid w:val="004867C8"/>
    <w:rsid w:val="004867E2"/>
    <w:rsid w:val="004867FB"/>
    <w:rsid w:val="00486D8D"/>
    <w:rsid w:val="00487093"/>
    <w:rsid w:val="00487416"/>
    <w:rsid w:val="00487556"/>
    <w:rsid w:val="00487F89"/>
    <w:rsid w:val="00490B17"/>
    <w:rsid w:val="004919EF"/>
    <w:rsid w:val="00491B3A"/>
    <w:rsid w:val="00491FDA"/>
    <w:rsid w:val="00492A9C"/>
    <w:rsid w:val="00492CFD"/>
    <w:rsid w:val="00493185"/>
    <w:rsid w:val="00493F7A"/>
    <w:rsid w:val="0049400C"/>
    <w:rsid w:val="00494207"/>
    <w:rsid w:val="00494509"/>
    <w:rsid w:val="004945A5"/>
    <w:rsid w:val="004947A0"/>
    <w:rsid w:val="00494DD5"/>
    <w:rsid w:val="0049555C"/>
    <w:rsid w:val="00495685"/>
    <w:rsid w:val="004958F3"/>
    <w:rsid w:val="00495AA8"/>
    <w:rsid w:val="00496050"/>
    <w:rsid w:val="004962D2"/>
    <w:rsid w:val="00496B51"/>
    <w:rsid w:val="00496E69"/>
    <w:rsid w:val="004A0BF0"/>
    <w:rsid w:val="004A0DA1"/>
    <w:rsid w:val="004A12B1"/>
    <w:rsid w:val="004A13D6"/>
    <w:rsid w:val="004A161C"/>
    <w:rsid w:val="004A2231"/>
    <w:rsid w:val="004A2CB0"/>
    <w:rsid w:val="004A2EDF"/>
    <w:rsid w:val="004A3583"/>
    <w:rsid w:val="004A3AC7"/>
    <w:rsid w:val="004A3B2B"/>
    <w:rsid w:val="004A3F07"/>
    <w:rsid w:val="004A4A5B"/>
    <w:rsid w:val="004A4CA9"/>
    <w:rsid w:val="004A4E74"/>
    <w:rsid w:val="004A52E9"/>
    <w:rsid w:val="004A6040"/>
    <w:rsid w:val="004A6597"/>
    <w:rsid w:val="004A67FD"/>
    <w:rsid w:val="004A6978"/>
    <w:rsid w:val="004A69E7"/>
    <w:rsid w:val="004A7848"/>
    <w:rsid w:val="004A793B"/>
    <w:rsid w:val="004A793D"/>
    <w:rsid w:val="004B000A"/>
    <w:rsid w:val="004B0951"/>
    <w:rsid w:val="004B1793"/>
    <w:rsid w:val="004B1969"/>
    <w:rsid w:val="004B1CB4"/>
    <w:rsid w:val="004B2F18"/>
    <w:rsid w:val="004B3755"/>
    <w:rsid w:val="004B3DDB"/>
    <w:rsid w:val="004B44FD"/>
    <w:rsid w:val="004B4E32"/>
    <w:rsid w:val="004B5CFC"/>
    <w:rsid w:val="004B6880"/>
    <w:rsid w:val="004B6F79"/>
    <w:rsid w:val="004B754B"/>
    <w:rsid w:val="004B774D"/>
    <w:rsid w:val="004C0107"/>
    <w:rsid w:val="004C0F46"/>
    <w:rsid w:val="004C1AF0"/>
    <w:rsid w:val="004C1F45"/>
    <w:rsid w:val="004C259D"/>
    <w:rsid w:val="004C2AC2"/>
    <w:rsid w:val="004C2B57"/>
    <w:rsid w:val="004C3075"/>
    <w:rsid w:val="004C3B02"/>
    <w:rsid w:val="004C3E20"/>
    <w:rsid w:val="004C426B"/>
    <w:rsid w:val="004C43DE"/>
    <w:rsid w:val="004C4417"/>
    <w:rsid w:val="004C4AED"/>
    <w:rsid w:val="004C53B8"/>
    <w:rsid w:val="004C5685"/>
    <w:rsid w:val="004C5C5E"/>
    <w:rsid w:val="004C6E73"/>
    <w:rsid w:val="004C749F"/>
    <w:rsid w:val="004C798E"/>
    <w:rsid w:val="004C7E26"/>
    <w:rsid w:val="004D017D"/>
    <w:rsid w:val="004D1079"/>
    <w:rsid w:val="004D1805"/>
    <w:rsid w:val="004D1E13"/>
    <w:rsid w:val="004D25E6"/>
    <w:rsid w:val="004D26AE"/>
    <w:rsid w:val="004D28AB"/>
    <w:rsid w:val="004D2C2D"/>
    <w:rsid w:val="004D6689"/>
    <w:rsid w:val="004D69B5"/>
    <w:rsid w:val="004D7227"/>
    <w:rsid w:val="004D7B5E"/>
    <w:rsid w:val="004D7DBD"/>
    <w:rsid w:val="004E0E7A"/>
    <w:rsid w:val="004E0E7F"/>
    <w:rsid w:val="004E0EB8"/>
    <w:rsid w:val="004E1118"/>
    <w:rsid w:val="004E18E9"/>
    <w:rsid w:val="004E20A2"/>
    <w:rsid w:val="004E2A33"/>
    <w:rsid w:val="004E2ADC"/>
    <w:rsid w:val="004E356B"/>
    <w:rsid w:val="004E380C"/>
    <w:rsid w:val="004E3C0F"/>
    <w:rsid w:val="004E43B2"/>
    <w:rsid w:val="004E4560"/>
    <w:rsid w:val="004E4B76"/>
    <w:rsid w:val="004E4CA7"/>
    <w:rsid w:val="004E4ED2"/>
    <w:rsid w:val="004E53D8"/>
    <w:rsid w:val="004E580B"/>
    <w:rsid w:val="004E730E"/>
    <w:rsid w:val="004E75FF"/>
    <w:rsid w:val="004E774F"/>
    <w:rsid w:val="004F06B0"/>
    <w:rsid w:val="004F1704"/>
    <w:rsid w:val="004F18C4"/>
    <w:rsid w:val="004F1C3D"/>
    <w:rsid w:val="004F1D02"/>
    <w:rsid w:val="004F22E7"/>
    <w:rsid w:val="004F236D"/>
    <w:rsid w:val="004F2622"/>
    <w:rsid w:val="004F2679"/>
    <w:rsid w:val="004F2F21"/>
    <w:rsid w:val="004F3040"/>
    <w:rsid w:val="004F3DE5"/>
    <w:rsid w:val="004F5053"/>
    <w:rsid w:val="004F519B"/>
    <w:rsid w:val="004F5875"/>
    <w:rsid w:val="004F6482"/>
    <w:rsid w:val="004F67EF"/>
    <w:rsid w:val="004F6913"/>
    <w:rsid w:val="004F7551"/>
    <w:rsid w:val="004F7865"/>
    <w:rsid w:val="004F7A2D"/>
    <w:rsid w:val="004F7BD3"/>
    <w:rsid w:val="0050005E"/>
    <w:rsid w:val="00500B51"/>
    <w:rsid w:val="0050174E"/>
    <w:rsid w:val="00501854"/>
    <w:rsid w:val="00501A68"/>
    <w:rsid w:val="00501B25"/>
    <w:rsid w:val="0050219B"/>
    <w:rsid w:val="00502A20"/>
    <w:rsid w:val="00502CF3"/>
    <w:rsid w:val="00502F1A"/>
    <w:rsid w:val="00503974"/>
    <w:rsid w:val="00503CAC"/>
    <w:rsid w:val="00503D9C"/>
    <w:rsid w:val="00503F17"/>
    <w:rsid w:val="00503F3A"/>
    <w:rsid w:val="00505482"/>
    <w:rsid w:val="005054C9"/>
    <w:rsid w:val="00505D17"/>
    <w:rsid w:val="00505F71"/>
    <w:rsid w:val="00506193"/>
    <w:rsid w:val="00506684"/>
    <w:rsid w:val="00506928"/>
    <w:rsid w:val="005077EF"/>
    <w:rsid w:val="005100FF"/>
    <w:rsid w:val="00510759"/>
    <w:rsid w:val="00510936"/>
    <w:rsid w:val="00510974"/>
    <w:rsid w:val="00511AD5"/>
    <w:rsid w:val="00511B59"/>
    <w:rsid w:val="00511DC7"/>
    <w:rsid w:val="00512144"/>
    <w:rsid w:val="00513B02"/>
    <w:rsid w:val="005142C5"/>
    <w:rsid w:val="00514691"/>
    <w:rsid w:val="0051482F"/>
    <w:rsid w:val="00514B32"/>
    <w:rsid w:val="0051501B"/>
    <w:rsid w:val="005152B5"/>
    <w:rsid w:val="00515650"/>
    <w:rsid w:val="00515869"/>
    <w:rsid w:val="00515886"/>
    <w:rsid w:val="00515A93"/>
    <w:rsid w:val="00516A45"/>
    <w:rsid w:val="005179B0"/>
    <w:rsid w:val="00517E6F"/>
    <w:rsid w:val="00520A95"/>
    <w:rsid w:val="0052123C"/>
    <w:rsid w:val="00521319"/>
    <w:rsid w:val="00521AA9"/>
    <w:rsid w:val="00522735"/>
    <w:rsid w:val="00522BC8"/>
    <w:rsid w:val="00522E8A"/>
    <w:rsid w:val="00522EDA"/>
    <w:rsid w:val="00522F16"/>
    <w:rsid w:val="005233CE"/>
    <w:rsid w:val="005235B1"/>
    <w:rsid w:val="00523C28"/>
    <w:rsid w:val="00524710"/>
    <w:rsid w:val="00525380"/>
    <w:rsid w:val="00526057"/>
    <w:rsid w:val="005263E5"/>
    <w:rsid w:val="0052735B"/>
    <w:rsid w:val="005279D8"/>
    <w:rsid w:val="00527B6A"/>
    <w:rsid w:val="0053027C"/>
    <w:rsid w:val="00530EF1"/>
    <w:rsid w:val="00530FD3"/>
    <w:rsid w:val="0053176B"/>
    <w:rsid w:val="00531C7D"/>
    <w:rsid w:val="005321DE"/>
    <w:rsid w:val="0053240C"/>
    <w:rsid w:val="005329B6"/>
    <w:rsid w:val="00532AF2"/>
    <w:rsid w:val="00532D7A"/>
    <w:rsid w:val="00532E83"/>
    <w:rsid w:val="00532F08"/>
    <w:rsid w:val="005332D8"/>
    <w:rsid w:val="005341B3"/>
    <w:rsid w:val="005345D9"/>
    <w:rsid w:val="00534F3A"/>
    <w:rsid w:val="0053535E"/>
    <w:rsid w:val="00535DAE"/>
    <w:rsid w:val="005368AE"/>
    <w:rsid w:val="00536F42"/>
    <w:rsid w:val="00537182"/>
    <w:rsid w:val="00537421"/>
    <w:rsid w:val="005404EA"/>
    <w:rsid w:val="005408A8"/>
    <w:rsid w:val="005409AD"/>
    <w:rsid w:val="005413E2"/>
    <w:rsid w:val="005415EA"/>
    <w:rsid w:val="005419C4"/>
    <w:rsid w:val="00541EDD"/>
    <w:rsid w:val="00542577"/>
    <w:rsid w:val="00542743"/>
    <w:rsid w:val="005428AA"/>
    <w:rsid w:val="00542C2A"/>
    <w:rsid w:val="00542C2D"/>
    <w:rsid w:val="005439EB"/>
    <w:rsid w:val="00543BBE"/>
    <w:rsid w:val="00544F66"/>
    <w:rsid w:val="00545254"/>
    <w:rsid w:val="005452D8"/>
    <w:rsid w:val="005467ED"/>
    <w:rsid w:val="00546D2F"/>
    <w:rsid w:val="00547000"/>
    <w:rsid w:val="005478BD"/>
    <w:rsid w:val="005479E3"/>
    <w:rsid w:val="005509F9"/>
    <w:rsid w:val="005516D8"/>
    <w:rsid w:val="00551985"/>
    <w:rsid w:val="00552595"/>
    <w:rsid w:val="00552BD3"/>
    <w:rsid w:val="00553286"/>
    <w:rsid w:val="005532A0"/>
    <w:rsid w:val="00553619"/>
    <w:rsid w:val="005539AA"/>
    <w:rsid w:val="00553F78"/>
    <w:rsid w:val="00554851"/>
    <w:rsid w:val="00554873"/>
    <w:rsid w:val="00554D0C"/>
    <w:rsid w:val="00555109"/>
    <w:rsid w:val="0055510B"/>
    <w:rsid w:val="00555925"/>
    <w:rsid w:val="005563D6"/>
    <w:rsid w:val="005565C1"/>
    <w:rsid w:val="00556942"/>
    <w:rsid w:val="00556B35"/>
    <w:rsid w:val="0055741A"/>
    <w:rsid w:val="0055778B"/>
    <w:rsid w:val="00557A99"/>
    <w:rsid w:val="00557BDC"/>
    <w:rsid w:val="005603D5"/>
    <w:rsid w:val="0056067B"/>
    <w:rsid w:val="005611B7"/>
    <w:rsid w:val="005618D4"/>
    <w:rsid w:val="00562513"/>
    <w:rsid w:val="005626B3"/>
    <w:rsid w:val="00563D2C"/>
    <w:rsid w:val="00564632"/>
    <w:rsid w:val="00564867"/>
    <w:rsid w:val="00564E7F"/>
    <w:rsid w:val="00565336"/>
    <w:rsid w:val="00565C79"/>
    <w:rsid w:val="00565DF0"/>
    <w:rsid w:val="00565E93"/>
    <w:rsid w:val="00565FA6"/>
    <w:rsid w:val="00566692"/>
    <w:rsid w:val="0056696F"/>
    <w:rsid w:val="0056766F"/>
    <w:rsid w:val="00567D99"/>
    <w:rsid w:val="00570084"/>
    <w:rsid w:val="0057009A"/>
    <w:rsid w:val="00570632"/>
    <w:rsid w:val="00570B9E"/>
    <w:rsid w:val="0057119A"/>
    <w:rsid w:val="00571406"/>
    <w:rsid w:val="00571BB2"/>
    <w:rsid w:val="00571BF3"/>
    <w:rsid w:val="00572177"/>
    <w:rsid w:val="00572269"/>
    <w:rsid w:val="0057244A"/>
    <w:rsid w:val="00572A79"/>
    <w:rsid w:val="00572F26"/>
    <w:rsid w:val="00572F6D"/>
    <w:rsid w:val="00573163"/>
    <w:rsid w:val="005736A4"/>
    <w:rsid w:val="005737B7"/>
    <w:rsid w:val="00573D18"/>
    <w:rsid w:val="00573D39"/>
    <w:rsid w:val="005750C5"/>
    <w:rsid w:val="005752DE"/>
    <w:rsid w:val="005754C7"/>
    <w:rsid w:val="0057555E"/>
    <w:rsid w:val="00575D60"/>
    <w:rsid w:val="00575D8D"/>
    <w:rsid w:val="00575DBC"/>
    <w:rsid w:val="00575F03"/>
    <w:rsid w:val="00576972"/>
    <w:rsid w:val="00576A0E"/>
    <w:rsid w:val="00576C4C"/>
    <w:rsid w:val="00577248"/>
    <w:rsid w:val="00577B98"/>
    <w:rsid w:val="00580A93"/>
    <w:rsid w:val="00581129"/>
    <w:rsid w:val="0058286D"/>
    <w:rsid w:val="005831D0"/>
    <w:rsid w:val="00583699"/>
    <w:rsid w:val="00583BDC"/>
    <w:rsid w:val="00583CB4"/>
    <w:rsid w:val="00583E26"/>
    <w:rsid w:val="00584D91"/>
    <w:rsid w:val="0058572E"/>
    <w:rsid w:val="005858E6"/>
    <w:rsid w:val="00585CDD"/>
    <w:rsid w:val="00585FD9"/>
    <w:rsid w:val="005863E2"/>
    <w:rsid w:val="00586755"/>
    <w:rsid w:val="00586A5C"/>
    <w:rsid w:val="0058704B"/>
    <w:rsid w:val="00587058"/>
    <w:rsid w:val="005874C5"/>
    <w:rsid w:val="00587F6A"/>
    <w:rsid w:val="0059034A"/>
    <w:rsid w:val="0059098A"/>
    <w:rsid w:val="00591054"/>
    <w:rsid w:val="0059141C"/>
    <w:rsid w:val="00591434"/>
    <w:rsid w:val="00591957"/>
    <w:rsid w:val="00591DD1"/>
    <w:rsid w:val="005928B9"/>
    <w:rsid w:val="00593198"/>
    <w:rsid w:val="005938E4"/>
    <w:rsid w:val="005958A8"/>
    <w:rsid w:val="00596079"/>
    <w:rsid w:val="005968CB"/>
    <w:rsid w:val="00597331"/>
    <w:rsid w:val="005973C0"/>
    <w:rsid w:val="0059748B"/>
    <w:rsid w:val="00597BF9"/>
    <w:rsid w:val="00597E5A"/>
    <w:rsid w:val="005A0411"/>
    <w:rsid w:val="005A045B"/>
    <w:rsid w:val="005A06CC"/>
    <w:rsid w:val="005A07E5"/>
    <w:rsid w:val="005A0C11"/>
    <w:rsid w:val="005A1039"/>
    <w:rsid w:val="005A19DC"/>
    <w:rsid w:val="005A1E11"/>
    <w:rsid w:val="005A203D"/>
    <w:rsid w:val="005A309A"/>
    <w:rsid w:val="005A373D"/>
    <w:rsid w:val="005A4721"/>
    <w:rsid w:val="005A4D9D"/>
    <w:rsid w:val="005A545C"/>
    <w:rsid w:val="005A562B"/>
    <w:rsid w:val="005A597D"/>
    <w:rsid w:val="005A62E2"/>
    <w:rsid w:val="005A7198"/>
    <w:rsid w:val="005A76AE"/>
    <w:rsid w:val="005A7809"/>
    <w:rsid w:val="005A7AB4"/>
    <w:rsid w:val="005A7C79"/>
    <w:rsid w:val="005B0AFF"/>
    <w:rsid w:val="005B0B58"/>
    <w:rsid w:val="005B1A3C"/>
    <w:rsid w:val="005B1B83"/>
    <w:rsid w:val="005B220B"/>
    <w:rsid w:val="005B25A0"/>
    <w:rsid w:val="005B25B4"/>
    <w:rsid w:val="005B3293"/>
    <w:rsid w:val="005B377F"/>
    <w:rsid w:val="005B3D23"/>
    <w:rsid w:val="005B472A"/>
    <w:rsid w:val="005B4778"/>
    <w:rsid w:val="005B4D6B"/>
    <w:rsid w:val="005B4E53"/>
    <w:rsid w:val="005B4FCF"/>
    <w:rsid w:val="005B53AD"/>
    <w:rsid w:val="005B5857"/>
    <w:rsid w:val="005B790E"/>
    <w:rsid w:val="005B7E60"/>
    <w:rsid w:val="005C0575"/>
    <w:rsid w:val="005C0828"/>
    <w:rsid w:val="005C1185"/>
    <w:rsid w:val="005C13D6"/>
    <w:rsid w:val="005C17B4"/>
    <w:rsid w:val="005C19C4"/>
    <w:rsid w:val="005C1B83"/>
    <w:rsid w:val="005C25FF"/>
    <w:rsid w:val="005C2A9E"/>
    <w:rsid w:val="005C2D55"/>
    <w:rsid w:val="005C31A1"/>
    <w:rsid w:val="005C346B"/>
    <w:rsid w:val="005C3A25"/>
    <w:rsid w:val="005C3A7A"/>
    <w:rsid w:val="005C3BB2"/>
    <w:rsid w:val="005C4B68"/>
    <w:rsid w:val="005C4CC7"/>
    <w:rsid w:val="005C56F1"/>
    <w:rsid w:val="005C582E"/>
    <w:rsid w:val="005C5895"/>
    <w:rsid w:val="005C5914"/>
    <w:rsid w:val="005C5ABC"/>
    <w:rsid w:val="005C5BF1"/>
    <w:rsid w:val="005C5D04"/>
    <w:rsid w:val="005C74C5"/>
    <w:rsid w:val="005C7D57"/>
    <w:rsid w:val="005D044D"/>
    <w:rsid w:val="005D0740"/>
    <w:rsid w:val="005D0ABD"/>
    <w:rsid w:val="005D1120"/>
    <w:rsid w:val="005D18AD"/>
    <w:rsid w:val="005D1E00"/>
    <w:rsid w:val="005D23F3"/>
    <w:rsid w:val="005D26B4"/>
    <w:rsid w:val="005D3038"/>
    <w:rsid w:val="005D334E"/>
    <w:rsid w:val="005D3847"/>
    <w:rsid w:val="005D3D5D"/>
    <w:rsid w:val="005D3DDC"/>
    <w:rsid w:val="005D421A"/>
    <w:rsid w:val="005D43C6"/>
    <w:rsid w:val="005D4831"/>
    <w:rsid w:val="005D4A81"/>
    <w:rsid w:val="005D4F1A"/>
    <w:rsid w:val="005D51B1"/>
    <w:rsid w:val="005D5600"/>
    <w:rsid w:val="005D568F"/>
    <w:rsid w:val="005D5697"/>
    <w:rsid w:val="005D57A1"/>
    <w:rsid w:val="005D5815"/>
    <w:rsid w:val="005D5E95"/>
    <w:rsid w:val="005D6481"/>
    <w:rsid w:val="005D6501"/>
    <w:rsid w:val="005D66B1"/>
    <w:rsid w:val="005D6A14"/>
    <w:rsid w:val="005D7419"/>
    <w:rsid w:val="005D7B0B"/>
    <w:rsid w:val="005E0093"/>
    <w:rsid w:val="005E149B"/>
    <w:rsid w:val="005E16A9"/>
    <w:rsid w:val="005E16F7"/>
    <w:rsid w:val="005E1995"/>
    <w:rsid w:val="005E2758"/>
    <w:rsid w:val="005E28B4"/>
    <w:rsid w:val="005E3508"/>
    <w:rsid w:val="005E46F3"/>
    <w:rsid w:val="005E4785"/>
    <w:rsid w:val="005E4B23"/>
    <w:rsid w:val="005E4C92"/>
    <w:rsid w:val="005E5223"/>
    <w:rsid w:val="005E52CD"/>
    <w:rsid w:val="005E5387"/>
    <w:rsid w:val="005E55F1"/>
    <w:rsid w:val="005E5A70"/>
    <w:rsid w:val="005E5C88"/>
    <w:rsid w:val="005E6CBC"/>
    <w:rsid w:val="005E6E8A"/>
    <w:rsid w:val="005E72FF"/>
    <w:rsid w:val="005E73C0"/>
    <w:rsid w:val="005F07ED"/>
    <w:rsid w:val="005F11C9"/>
    <w:rsid w:val="005F1BCE"/>
    <w:rsid w:val="005F1D38"/>
    <w:rsid w:val="005F2097"/>
    <w:rsid w:val="005F2165"/>
    <w:rsid w:val="005F2706"/>
    <w:rsid w:val="005F469C"/>
    <w:rsid w:val="005F4965"/>
    <w:rsid w:val="005F502D"/>
    <w:rsid w:val="005F5822"/>
    <w:rsid w:val="005F6A8F"/>
    <w:rsid w:val="005F6BB7"/>
    <w:rsid w:val="005F6EC2"/>
    <w:rsid w:val="005F7588"/>
    <w:rsid w:val="0060020F"/>
    <w:rsid w:val="0060081A"/>
    <w:rsid w:val="00600E40"/>
    <w:rsid w:val="00601270"/>
    <w:rsid w:val="00601453"/>
    <w:rsid w:val="00601BAD"/>
    <w:rsid w:val="00601EEF"/>
    <w:rsid w:val="0060200D"/>
    <w:rsid w:val="006028D3"/>
    <w:rsid w:val="00603DB7"/>
    <w:rsid w:val="00603DB9"/>
    <w:rsid w:val="006045DC"/>
    <w:rsid w:val="00604B86"/>
    <w:rsid w:val="00605D02"/>
    <w:rsid w:val="006065E4"/>
    <w:rsid w:val="006066CC"/>
    <w:rsid w:val="00606FBA"/>
    <w:rsid w:val="00607104"/>
    <w:rsid w:val="00607669"/>
    <w:rsid w:val="006076F4"/>
    <w:rsid w:val="00607AF7"/>
    <w:rsid w:val="00607AFD"/>
    <w:rsid w:val="00607CB9"/>
    <w:rsid w:val="00607ECA"/>
    <w:rsid w:val="00610072"/>
    <w:rsid w:val="00610758"/>
    <w:rsid w:val="00611348"/>
    <w:rsid w:val="00611B01"/>
    <w:rsid w:val="00611B12"/>
    <w:rsid w:val="00611C22"/>
    <w:rsid w:val="006126F4"/>
    <w:rsid w:val="00612F50"/>
    <w:rsid w:val="00612F97"/>
    <w:rsid w:val="0061311B"/>
    <w:rsid w:val="0061345D"/>
    <w:rsid w:val="00613705"/>
    <w:rsid w:val="00613733"/>
    <w:rsid w:val="00613FC6"/>
    <w:rsid w:val="00614029"/>
    <w:rsid w:val="006153FE"/>
    <w:rsid w:val="0061549B"/>
    <w:rsid w:val="00615F63"/>
    <w:rsid w:val="00616802"/>
    <w:rsid w:val="00616D54"/>
    <w:rsid w:val="006171F1"/>
    <w:rsid w:val="0061763A"/>
    <w:rsid w:val="00617E12"/>
    <w:rsid w:val="006207F5"/>
    <w:rsid w:val="00620C25"/>
    <w:rsid w:val="00621477"/>
    <w:rsid w:val="0062152A"/>
    <w:rsid w:val="00621ADA"/>
    <w:rsid w:val="00621D63"/>
    <w:rsid w:val="00621DF6"/>
    <w:rsid w:val="00621E0C"/>
    <w:rsid w:val="00621E13"/>
    <w:rsid w:val="00622DCA"/>
    <w:rsid w:val="0062355C"/>
    <w:rsid w:val="00623B92"/>
    <w:rsid w:val="00623C61"/>
    <w:rsid w:val="00623D67"/>
    <w:rsid w:val="00623D83"/>
    <w:rsid w:val="00623F7B"/>
    <w:rsid w:val="00624686"/>
    <w:rsid w:val="00624BD4"/>
    <w:rsid w:val="0062553F"/>
    <w:rsid w:val="006255D2"/>
    <w:rsid w:val="00625B3B"/>
    <w:rsid w:val="00626022"/>
    <w:rsid w:val="006266EA"/>
    <w:rsid w:val="006271DA"/>
    <w:rsid w:val="006277CA"/>
    <w:rsid w:val="00627A23"/>
    <w:rsid w:val="00630C24"/>
    <w:rsid w:val="0063158F"/>
    <w:rsid w:val="006317F0"/>
    <w:rsid w:val="00631D6B"/>
    <w:rsid w:val="00632183"/>
    <w:rsid w:val="00632B86"/>
    <w:rsid w:val="006330A1"/>
    <w:rsid w:val="00633203"/>
    <w:rsid w:val="00634261"/>
    <w:rsid w:val="0063479F"/>
    <w:rsid w:val="00634901"/>
    <w:rsid w:val="006353F0"/>
    <w:rsid w:val="006357B5"/>
    <w:rsid w:val="00635BFE"/>
    <w:rsid w:val="0063629F"/>
    <w:rsid w:val="006364A1"/>
    <w:rsid w:val="0063678E"/>
    <w:rsid w:val="0063760F"/>
    <w:rsid w:val="00637BFD"/>
    <w:rsid w:val="00637C5C"/>
    <w:rsid w:val="00637DFA"/>
    <w:rsid w:val="006412CE"/>
    <w:rsid w:val="00641C4E"/>
    <w:rsid w:val="00641FB3"/>
    <w:rsid w:val="0064201F"/>
    <w:rsid w:val="006424B5"/>
    <w:rsid w:val="00642605"/>
    <w:rsid w:val="0064310D"/>
    <w:rsid w:val="00643A83"/>
    <w:rsid w:val="00644297"/>
    <w:rsid w:val="0064434C"/>
    <w:rsid w:val="006446EF"/>
    <w:rsid w:val="00644AB8"/>
    <w:rsid w:val="00645086"/>
    <w:rsid w:val="006452D1"/>
    <w:rsid w:val="006452E7"/>
    <w:rsid w:val="0064584B"/>
    <w:rsid w:val="00645BC7"/>
    <w:rsid w:val="00645CD9"/>
    <w:rsid w:val="00646636"/>
    <w:rsid w:val="0064695D"/>
    <w:rsid w:val="00646BA0"/>
    <w:rsid w:val="006471CC"/>
    <w:rsid w:val="006472FE"/>
    <w:rsid w:val="0064744C"/>
    <w:rsid w:val="00647A29"/>
    <w:rsid w:val="00647A90"/>
    <w:rsid w:val="0065079F"/>
    <w:rsid w:val="00650B45"/>
    <w:rsid w:val="00650E1E"/>
    <w:rsid w:val="00651940"/>
    <w:rsid w:val="00651DD1"/>
    <w:rsid w:val="00651E06"/>
    <w:rsid w:val="006522B5"/>
    <w:rsid w:val="00652754"/>
    <w:rsid w:val="00652A28"/>
    <w:rsid w:val="0065379F"/>
    <w:rsid w:val="0065394D"/>
    <w:rsid w:val="006541DD"/>
    <w:rsid w:val="006542C6"/>
    <w:rsid w:val="006547A9"/>
    <w:rsid w:val="00655219"/>
    <w:rsid w:val="00655325"/>
    <w:rsid w:val="00655EF1"/>
    <w:rsid w:val="00656188"/>
    <w:rsid w:val="006561A1"/>
    <w:rsid w:val="00656D64"/>
    <w:rsid w:val="0065715A"/>
    <w:rsid w:val="006610A8"/>
    <w:rsid w:val="006610F1"/>
    <w:rsid w:val="00661902"/>
    <w:rsid w:val="00661C6B"/>
    <w:rsid w:val="006620B1"/>
    <w:rsid w:val="00662131"/>
    <w:rsid w:val="00662484"/>
    <w:rsid w:val="006626E1"/>
    <w:rsid w:val="00662D3E"/>
    <w:rsid w:val="00663E2D"/>
    <w:rsid w:val="00664027"/>
    <w:rsid w:val="006649CA"/>
    <w:rsid w:val="00665B0B"/>
    <w:rsid w:val="00665BE3"/>
    <w:rsid w:val="00666E18"/>
    <w:rsid w:val="00667877"/>
    <w:rsid w:val="00667BE3"/>
    <w:rsid w:val="00670B98"/>
    <w:rsid w:val="00670BEC"/>
    <w:rsid w:val="00671004"/>
    <w:rsid w:val="00671210"/>
    <w:rsid w:val="00671A85"/>
    <w:rsid w:val="00672646"/>
    <w:rsid w:val="00672D71"/>
    <w:rsid w:val="00673346"/>
    <w:rsid w:val="006735D0"/>
    <w:rsid w:val="00673AB5"/>
    <w:rsid w:val="006744CF"/>
    <w:rsid w:val="00674E42"/>
    <w:rsid w:val="00675C0D"/>
    <w:rsid w:val="00676563"/>
    <w:rsid w:val="006778D5"/>
    <w:rsid w:val="00680545"/>
    <w:rsid w:val="00680E7A"/>
    <w:rsid w:val="006813F8"/>
    <w:rsid w:val="0068207D"/>
    <w:rsid w:val="00682112"/>
    <w:rsid w:val="006828EC"/>
    <w:rsid w:val="00682BA6"/>
    <w:rsid w:val="00683038"/>
    <w:rsid w:val="006831C6"/>
    <w:rsid w:val="0068333E"/>
    <w:rsid w:val="00683CC3"/>
    <w:rsid w:val="00684321"/>
    <w:rsid w:val="0068439A"/>
    <w:rsid w:val="00684554"/>
    <w:rsid w:val="00684D9B"/>
    <w:rsid w:val="00685043"/>
    <w:rsid w:val="00685094"/>
    <w:rsid w:val="00685541"/>
    <w:rsid w:val="00685B51"/>
    <w:rsid w:val="00685DC0"/>
    <w:rsid w:val="00685EB6"/>
    <w:rsid w:val="00686957"/>
    <w:rsid w:val="00686E35"/>
    <w:rsid w:val="00686F9D"/>
    <w:rsid w:val="006872BA"/>
    <w:rsid w:val="0068741C"/>
    <w:rsid w:val="006875A0"/>
    <w:rsid w:val="00687948"/>
    <w:rsid w:val="00690795"/>
    <w:rsid w:val="006914EA"/>
    <w:rsid w:val="00691648"/>
    <w:rsid w:val="006917D7"/>
    <w:rsid w:val="006918EE"/>
    <w:rsid w:val="00691ED1"/>
    <w:rsid w:val="00693B59"/>
    <w:rsid w:val="00693EB5"/>
    <w:rsid w:val="006940D9"/>
    <w:rsid w:val="00694309"/>
    <w:rsid w:val="0069434C"/>
    <w:rsid w:val="0069434F"/>
    <w:rsid w:val="006946CD"/>
    <w:rsid w:val="00694EA8"/>
    <w:rsid w:val="00694F44"/>
    <w:rsid w:val="00695AFD"/>
    <w:rsid w:val="006961ED"/>
    <w:rsid w:val="0069646B"/>
    <w:rsid w:val="00696832"/>
    <w:rsid w:val="0069684D"/>
    <w:rsid w:val="00696EF9"/>
    <w:rsid w:val="00696F51"/>
    <w:rsid w:val="006973A2"/>
    <w:rsid w:val="006979A5"/>
    <w:rsid w:val="00697ECB"/>
    <w:rsid w:val="006A016F"/>
    <w:rsid w:val="006A0995"/>
    <w:rsid w:val="006A0DF7"/>
    <w:rsid w:val="006A0F4B"/>
    <w:rsid w:val="006A18C5"/>
    <w:rsid w:val="006A1C2D"/>
    <w:rsid w:val="006A25B0"/>
    <w:rsid w:val="006A29FC"/>
    <w:rsid w:val="006A4321"/>
    <w:rsid w:val="006A43C6"/>
    <w:rsid w:val="006A43D9"/>
    <w:rsid w:val="006A490C"/>
    <w:rsid w:val="006A4EB7"/>
    <w:rsid w:val="006A5376"/>
    <w:rsid w:val="006A5DE9"/>
    <w:rsid w:val="006A6065"/>
    <w:rsid w:val="006A65AA"/>
    <w:rsid w:val="006A688B"/>
    <w:rsid w:val="006A6997"/>
    <w:rsid w:val="006A699D"/>
    <w:rsid w:val="006A6B99"/>
    <w:rsid w:val="006A6D68"/>
    <w:rsid w:val="006A7653"/>
    <w:rsid w:val="006A7CA0"/>
    <w:rsid w:val="006A7D48"/>
    <w:rsid w:val="006A7E5F"/>
    <w:rsid w:val="006B0113"/>
    <w:rsid w:val="006B04CB"/>
    <w:rsid w:val="006B09E2"/>
    <w:rsid w:val="006B1654"/>
    <w:rsid w:val="006B1D45"/>
    <w:rsid w:val="006B208F"/>
    <w:rsid w:val="006B261B"/>
    <w:rsid w:val="006B2C90"/>
    <w:rsid w:val="006B3339"/>
    <w:rsid w:val="006B3391"/>
    <w:rsid w:val="006B35E6"/>
    <w:rsid w:val="006B3655"/>
    <w:rsid w:val="006B39CC"/>
    <w:rsid w:val="006B4569"/>
    <w:rsid w:val="006B465A"/>
    <w:rsid w:val="006B59A8"/>
    <w:rsid w:val="006B5A50"/>
    <w:rsid w:val="006B623B"/>
    <w:rsid w:val="006B629A"/>
    <w:rsid w:val="006B6DD0"/>
    <w:rsid w:val="006B756C"/>
    <w:rsid w:val="006B7826"/>
    <w:rsid w:val="006B7DB3"/>
    <w:rsid w:val="006C0399"/>
    <w:rsid w:val="006C089A"/>
    <w:rsid w:val="006C08BB"/>
    <w:rsid w:val="006C177C"/>
    <w:rsid w:val="006C1931"/>
    <w:rsid w:val="006C2064"/>
    <w:rsid w:val="006C2A8E"/>
    <w:rsid w:val="006C2E31"/>
    <w:rsid w:val="006C3255"/>
    <w:rsid w:val="006C3BB5"/>
    <w:rsid w:val="006C3F26"/>
    <w:rsid w:val="006C4AAD"/>
    <w:rsid w:val="006C4AD4"/>
    <w:rsid w:val="006C4CF1"/>
    <w:rsid w:val="006C592F"/>
    <w:rsid w:val="006C63EF"/>
    <w:rsid w:val="006C654A"/>
    <w:rsid w:val="006C6609"/>
    <w:rsid w:val="006C6F83"/>
    <w:rsid w:val="006C7213"/>
    <w:rsid w:val="006C78DE"/>
    <w:rsid w:val="006C7D69"/>
    <w:rsid w:val="006D085A"/>
    <w:rsid w:val="006D0D17"/>
    <w:rsid w:val="006D15A7"/>
    <w:rsid w:val="006D23C1"/>
    <w:rsid w:val="006D2C59"/>
    <w:rsid w:val="006D333E"/>
    <w:rsid w:val="006D35F6"/>
    <w:rsid w:val="006D3663"/>
    <w:rsid w:val="006D385C"/>
    <w:rsid w:val="006D38CB"/>
    <w:rsid w:val="006D3C7D"/>
    <w:rsid w:val="006D45E5"/>
    <w:rsid w:val="006D4659"/>
    <w:rsid w:val="006D52B0"/>
    <w:rsid w:val="006D5427"/>
    <w:rsid w:val="006D5AF9"/>
    <w:rsid w:val="006D5D5F"/>
    <w:rsid w:val="006D613F"/>
    <w:rsid w:val="006D68FB"/>
    <w:rsid w:val="006D6E47"/>
    <w:rsid w:val="006D713C"/>
    <w:rsid w:val="006D7679"/>
    <w:rsid w:val="006E1781"/>
    <w:rsid w:val="006E1A73"/>
    <w:rsid w:val="006E1B7E"/>
    <w:rsid w:val="006E220B"/>
    <w:rsid w:val="006E2659"/>
    <w:rsid w:val="006E2845"/>
    <w:rsid w:val="006E2868"/>
    <w:rsid w:val="006E28DA"/>
    <w:rsid w:val="006E2A77"/>
    <w:rsid w:val="006E343A"/>
    <w:rsid w:val="006E368D"/>
    <w:rsid w:val="006E3C35"/>
    <w:rsid w:val="006E3F6B"/>
    <w:rsid w:val="006E42DE"/>
    <w:rsid w:val="006E4BE3"/>
    <w:rsid w:val="006E4BEB"/>
    <w:rsid w:val="006E5086"/>
    <w:rsid w:val="006E519E"/>
    <w:rsid w:val="006E7ABD"/>
    <w:rsid w:val="006F0338"/>
    <w:rsid w:val="006F0BFB"/>
    <w:rsid w:val="006F1153"/>
    <w:rsid w:val="006F17D6"/>
    <w:rsid w:val="006F306C"/>
    <w:rsid w:val="006F3C93"/>
    <w:rsid w:val="006F42FA"/>
    <w:rsid w:val="006F43C5"/>
    <w:rsid w:val="006F4AAC"/>
    <w:rsid w:val="006F57C6"/>
    <w:rsid w:val="006F5BEB"/>
    <w:rsid w:val="006F617B"/>
    <w:rsid w:val="006F63A5"/>
    <w:rsid w:val="006F6E5B"/>
    <w:rsid w:val="006F6F83"/>
    <w:rsid w:val="006F759E"/>
    <w:rsid w:val="006F7E7E"/>
    <w:rsid w:val="0070018D"/>
    <w:rsid w:val="00700730"/>
    <w:rsid w:val="00700986"/>
    <w:rsid w:val="00700D36"/>
    <w:rsid w:val="00700D94"/>
    <w:rsid w:val="0070142B"/>
    <w:rsid w:val="0070164D"/>
    <w:rsid w:val="00701727"/>
    <w:rsid w:val="00701DFE"/>
    <w:rsid w:val="0070276E"/>
    <w:rsid w:val="00702986"/>
    <w:rsid w:val="00702D8C"/>
    <w:rsid w:val="00702F8F"/>
    <w:rsid w:val="00703424"/>
    <w:rsid w:val="007035FF"/>
    <w:rsid w:val="00704165"/>
    <w:rsid w:val="00704485"/>
    <w:rsid w:val="00704566"/>
    <w:rsid w:val="00704ACD"/>
    <w:rsid w:val="00704B78"/>
    <w:rsid w:val="00704F7B"/>
    <w:rsid w:val="00705704"/>
    <w:rsid w:val="007057E7"/>
    <w:rsid w:val="00705A4A"/>
    <w:rsid w:val="00705AA7"/>
    <w:rsid w:val="0070610B"/>
    <w:rsid w:val="007074F7"/>
    <w:rsid w:val="0070773F"/>
    <w:rsid w:val="007077C1"/>
    <w:rsid w:val="007079FC"/>
    <w:rsid w:val="00707D68"/>
    <w:rsid w:val="00707E3D"/>
    <w:rsid w:val="00710360"/>
    <w:rsid w:val="0071044E"/>
    <w:rsid w:val="00710ED1"/>
    <w:rsid w:val="007113F1"/>
    <w:rsid w:val="00711775"/>
    <w:rsid w:val="00711A36"/>
    <w:rsid w:val="007125C1"/>
    <w:rsid w:val="007125D3"/>
    <w:rsid w:val="0071285F"/>
    <w:rsid w:val="00712BF9"/>
    <w:rsid w:val="00712CC3"/>
    <w:rsid w:val="0071329F"/>
    <w:rsid w:val="00713821"/>
    <w:rsid w:val="00713CD3"/>
    <w:rsid w:val="00714C26"/>
    <w:rsid w:val="0071529C"/>
    <w:rsid w:val="00715594"/>
    <w:rsid w:val="0071606F"/>
    <w:rsid w:val="00716647"/>
    <w:rsid w:val="007167DE"/>
    <w:rsid w:val="007169B9"/>
    <w:rsid w:val="007170DA"/>
    <w:rsid w:val="007172AD"/>
    <w:rsid w:val="00717330"/>
    <w:rsid w:val="00717546"/>
    <w:rsid w:val="00717716"/>
    <w:rsid w:val="00717CEF"/>
    <w:rsid w:val="00720801"/>
    <w:rsid w:val="00721D86"/>
    <w:rsid w:val="00722AE0"/>
    <w:rsid w:val="00722B1B"/>
    <w:rsid w:val="00722E99"/>
    <w:rsid w:val="00723154"/>
    <w:rsid w:val="00724014"/>
    <w:rsid w:val="0072416F"/>
    <w:rsid w:val="00724354"/>
    <w:rsid w:val="007245B3"/>
    <w:rsid w:val="007249D0"/>
    <w:rsid w:val="00724DC6"/>
    <w:rsid w:val="007250BA"/>
    <w:rsid w:val="00725329"/>
    <w:rsid w:val="00725EB4"/>
    <w:rsid w:val="00726074"/>
    <w:rsid w:val="00726AF9"/>
    <w:rsid w:val="007278B9"/>
    <w:rsid w:val="00727A13"/>
    <w:rsid w:val="00727BD5"/>
    <w:rsid w:val="00727C94"/>
    <w:rsid w:val="00727D1D"/>
    <w:rsid w:val="00730297"/>
    <w:rsid w:val="00730F4C"/>
    <w:rsid w:val="0073112A"/>
    <w:rsid w:val="007313C0"/>
    <w:rsid w:val="00731422"/>
    <w:rsid w:val="00731B0A"/>
    <w:rsid w:val="00731EAE"/>
    <w:rsid w:val="0073200D"/>
    <w:rsid w:val="00733073"/>
    <w:rsid w:val="007339E0"/>
    <w:rsid w:val="00733DB3"/>
    <w:rsid w:val="0073441F"/>
    <w:rsid w:val="007344C6"/>
    <w:rsid w:val="00734B7F"/>
    <w:rsid w:val="00735033"/>
    <w:rsid w:val="0073506B"/>
    <w:rsid w:val="00735328"/>
    <w:rsid w:val="007353E3"/>
    <w:rsid w:val="0073557A"/>
    <w:rsid w:val="00735AEF"/>
    <w:rsid w:val="00736227"/>
    <w:rsid w:val="00736280"/>
    <w:rsid w:val="0073685B"/>
    <w:rsid w:val="00736E06"/>
    <w:rsid w:val="00740CAC"/>
    <w:rsid w:val="00741603"/>
    <w:rsid w:val="00741C3E"/>
    <w:rsid w:val="00741F7B"/>
    <w:rsid w:val="00742A3C"/>
    <w:rsid w:val="00742D86"/>
    <w:rsid w:val="00742FC7"/>
    <w:rsid w:val="00743603"/>
    <w:rsid w:val="007437F5"/>
    <w:rsid w:val="00743E43"/>
    <w:rsid w:val="00743E62"/>
    <w:rsid w:val="0074402D"/>
    <w:rsid w:val="007449BF"/>
    <w:rsid w:val="007459E0"/>
    <w:rsid w:val="00746097"/>
    <w:rsid w:val="007460E2"/>
    <w:rsid w:val="007463FE"/>
    <w:rsid w:val="0074698A"/>
    <w:rsid w:val="00746BC0"/>
    <w:rsid w:val="00746F9E"/>
    <w:rsid w:val="007475F1"/>
    <w:rsid w:val="00747D62"/>
    <w:rsid w:val="007505F7"/>
    <w:rsid w:val="00750B9F"/>
    <w:rsid w:val="007510B4"/>
    <w:rsid w:val="00751C74"/>
    <w:rsid w:val="00752142"/>
    <w:rsid w:val="007523F9"/>
    <w:rsid w:val="00752BC4"/>
    <w:rsid w:val="0075357E"/>
    <w:rsid w:val="00753B29"/>
    <w:rsid w:val="00753C09"/>
    <w:rsid w:val="00753F02"/>
    <w:rsid w:val="00754054"/>
    <w:rsid w:val="0075447B"/>
    <w:rsid w:val="00754AD9"/>
    <w:rsid w:val="00755983"/>
    <w:rsid w:val="007562C1"/>
    <w:rsid w:val="00757102"/>
    <w:rsid w:val="007573E8"/>
    <w:rsid w:val="00757AAF"/>
    <w:rsid w:val="0076010F"/>
    <w:rsid w:val="00760317"/>
    <w:rsid w:val="00760824"/>
    <w:rsid w:val="00760A22"/>
    <w:rsid w:val="00760C4E"/>
    <w:rsid w:val="00760F31"/>
    <w:rsid w:val="00760F9E"/>
    <w:rsid w:val="007611F6"/>
    <w:rsid w:val="007616E6"/>
    <w:rsid w:val="0076187F"/>
    <w:rsid w:val="007619EE"/>
    <w:rsid w:val="00762074"/>
    <w:rsid w:val="007627BE"/>
    <w:rsid w:val="0076280A"/>
    <w:rsid w:val="00763241"/>
    <w:rsid w:val="0076374E"/>
    <w:rsid w:val="00764C75"/>
    <w:rsid w:val="00764F03"/>
    <w:rsid w:val="00765210"/>
    <w:rsid w:val="007655B7"/>
    <w:rsid w:val="00765B1A"/>
    <w:rsid w:val="00765B65"/>
    <w:rsid w:val="00765DC1"/>
    <w:rsid w:val="007661B0"/>
    <w:rsid w:val="0076728C"/>
    <w:rsid w:val="007676CC"/>
    <w:rsid w:val="00767AED"/>
    <w:rsid w:val="00767C3A"/>
    <w:rsid w:val="00767D90"/>
    <w:rsid w:val="00770260"/>
    <w:rsid w:val="0077063D"/>
    <w:rsid w:val="00770924"/>
    <w:rsid w:val="00771C13"/>
    <w:rsid w:val="00771E1F"/>
    <w:rsid w:val="007727B9"/>
    <w:rsid w:val="00772D92"/>
    <w:rsid w:val="00773AD8"/>
    <w:rsid w:val="0077417A"/>
    <w:rsid w:val="007742B9"/>
    <w:rsid w:val="0077433D"/>
    <w:rsid w:val="00774D1E"/>
    <w:rsid w:val="00774FA3"/>
    <w:rsid w:val="00775599"/>
    <w:rsid w:val="00775BA2"/>
    <w:rsid w:val="00775E1A"/>
    <w:rsid w:val="00776438"/>
    <w:rsid w:val="00776A29"/>
    <w:rsid w:val="007771D9"/>
    <w:rsid w:val="00777335"/>
    <w:rsid w:val="00777E71"/>
    <w:rsid w:val="0078080F"/>
    <w:rsid w:val="00780B74"/>
    <w:rsid w:val="007815E2"/>
    <w:rsid w:val="00781BA9"/>
    <w:rsid w:val="0078209F"/>
    <w:rsid w:val="007821EB"/>
    <w:rsid w:val="007823A1"/>
    <w:rsid w:val="0078381F"/>
    <w:rsid w:val="0078399C"/>
    <w:rsid w:val="00784158"/>
    <w:rsid w:val="007843F2"/>
    <w:rsid w:val="007846FA"/>
    <w:rsid w:val="00784974"/>
    <w:rsid w:val="007850C1"/>
    <w:rsid w:val="007852A7"/>
    <w:rsid w:val="007856E1"/>
    <w:rsid w:val="007858FC"/>
    <w:rsid w:val="00785A9F"/>
    <w:rsid w:val="00785CC0"/>
    <w:rsid w:val="00785E78"/>
    <w:rsid w:val="0078625D"/>
    <w:rsid w:val="0078638D"/>
    <w:rsid w:val="00786691"/>
    <w:rsid w:val="00786771"/>
    <w:rsid w:val="007875C5"/>
    <w:rsid w:val="00787A97"/>
    <w:rsid w:val="00787B5D"/>
    <w:rsid w:val="00790C83"/>
    <w:rsid w:val="00790F92"/>
    <w:rsid w:val="0079148F"/>
    <w:rsid w:val="0079172B"/>
    <w:rsid w:val="0079173B"/>
    <w:rsid w:val="007919A0"/>
    <w:rsid w:val="00791DEC"/>
    <w:rsid w:val="0079211C"/>
    <w:rsid w:val="007925DF"/>
    <w:rsid w:val="007931CB"/>
    <w:rsid w:val="00793731"/>
    <w:rsid w:val="007952A9"/>
    <w:rsid w:val="00795B16"/>
    <w:rsid w:val="00796CD8"/>
    <w:rsid w:val="007979FA"/>
    <w:rsid w:val="007A08AA"/>
    <w:rsid w:val="007A0A12"/>
    <w:rsid w:val="007A0AB8"/>
    <w:rsid w:val="007A1067"/>
    <w:rsid w:val="007A132D"/>
    <w:rsid w:val="007A1345"/>
    <w:rsid w:val="007A1351"/>
    <w:rsid w:val="007A2D55"/>
    <w:rsid w:val="007A2DAC"/>
    <w:rsid w:val="007A2DDB"/>
    <w:rsid w:val="007A34C9"/>
    <w:rsid w:val="007A384B"/>
    <w:rsid w:val="007A46C0"/>
    <w:rsid w:val="007A4905"/>
    <w:rsid w:val="007A5166"/>
    <w:rsid w:val="007A5749"/>
    <w:rsid w:val="007A70BA"/>
    <w:rsid w:val="007A7B7B"/>
    <w:rsid w:val="007A7D1E"/>
    <w:rsid w:val="007A7F80"/>
    <w:rsid w:val="007B01DE"/>
    <w:rsid w:val="007B0A5A"/>
    <w:rsid w:val="007B0D68"/>
    <w:rsid w:val="007B0F65"/>
    <w:rsid w:val="007B105D"/>
    <w:rsid w:val="007B1147"/>
    <w:rsid w:val="007B13D3"/>
    <w:rsid w:val="007B1A25"/>
    <w:rsid w:val="007B1AFF"/>
    <w:rsid w:val="007B251D"/>
    <w:rsid w:val="007B258E"/>
    <w:rsid w:val="007B270C"/>
    <w:rsid w:val="007B2AC3"/>
    <w:rsid w:val="007B2DD5"/>
    <w:rsid w:val="007B346C"/>
    <w:rsid w:val="007B3533"/>
    <w:rsid w:val="007B4F58"/>
    <w:rsid w:val="007B528D"/>
    <w:rsid w:val="007B5882"/>
    <w:rsid w:val="007B62F7"/>
    <w:rsid w:val="007B63CA"/>
    <w:rsid w:val="007B6AFC"/>
    <w:rsid w:val="007B727A"/>
    <w:rsid w:val="007B77D1"/>
    <w:rsid w:val="007C0040"/>
    <w:rsid w:val="007C07C7"/>
    <w:rsid w:val="007C1CD9"/>
    <w:rsid w:val="007C2262"/>
    <w:rsid w:val="007C23FA"/>
    <w:rsid w:val="007C24F5"/>
    <w:rsid w:val="007C3070"/>
    <w:rsid w:val="007C32EF"/>
    <w:rsid w:val="007C361D"/>
    <w:rsid w:val="007C3789"/>
    <w:rsid w:val="007C391D"/>
    <w:rsid w:val="007C4502"/>
    <w:rsid w:val="007C4B84"/>
    <w:rsid w:val="007C4CD8"/>
    <w:rsid w:val="007C5E39"/>
    <w:rsid w:val="007C65E3"/>
    <w:rsid w:val="007C6D46"/>
    <w:rsid w:val="007C6DCE"/>
    <w:rsid w:val="007C70FF"/>
    <w:rsid w:val="007C7C25"/>
    <w:rsid w:val="007D004F"/>
    <w:rsid w:val="007D035F"/>
    <w:rsid w:val="007D06B2"/>
    <w:rsid w:val="007D091D"/>
    <w:rsid w:val="007D0B38"/>
    <w:rsid w:val="007D1DD7"/>
    <w:rsid w:val="007D1ED5"/>
    <w:rsid w:val="007D1FEE"/>
    <w:rsid w:val="007D2541"/>
    <w:rsid w:val="007D2D02"/>
    <w:rsid w:val="007D34A6"/>
    <w:rsid w:val="007D3DA6"/>
    <w:rsid w:val="007D3FF2"/>
    <w:rsid w:val="007D4171"/>
    <w:rsid w:val="007D4571"/>
    <w:rsid w:val="007D45A9"/>
    <w:rsid w:val="007D5440"/>
    <w:rsid w:val="007D5B10"/>
    <w:rsid w:val="007D649B"/>
    <w:rsid w:val="007D69EB"/>
    <w:rsid w:val="007D6E74"/>
    <w:rsid w:val="007D7304"/>
    <w:rsid w:val="007D7507"/>
    <w:rsid w:val="007D7635"/>
    <w:rsid w:val="007D79ED"/>
    <w:rsid w:val="007D7AC1"/>
    <w:rsid w:val="007D7D49"/>
    <w:rsid w:val="007E02CC"/>
    <w:rsid w:val="007E0A34"/>
    <w:rsid w:val="007E0C7A"/>
    <w:rsid w:val="007E0CDA"/>
    <w:rsid w:val="007E0EF4"/>
    <w:rsid w:val="007E1021"/>
    <w:rsid w:val="007E128F"/>
    <w:rsid w:val="007E146F"/>
    <w:rsid w:val="007E17DE"/>
    <w:rsid w:val="007E1B7A"/>
    <w:rsid w:val="007E377C"/>
    <w:rsid w:val="007E3B4F"/>
    <w:rsid w:val="007E4550"/>
    <w:rsid w:val="007E496B"/>
    <w:rsid w:val="007E4A33"/>
    <w:rsid w:val="007E5119"/>
    <w:rsid w:val="007E51D5"/>
    <w:rsid w:val="007E56F4"/>
    <w:rsid w:val="007E57FF"/>
    <w:rsid w:val="007E608C"/>
    <w:rsid w:val="007E6127"/>
    <w:rsid w:val="007E6F85"/>
    <w:rsid w:val="007E7198"/>
    <w:rsid w:val="007E744F"/>
    <w:rsid w:val="007F1017"/>
    <w:rsid w:val="007F1861"/>
    <w:rsid w:val="007F1B28"/>
    <w:rsid w:val="007F1EE4"/>
    <w:rsid w:val="007F1FCD"/>
    <w:rsid w:val="007F4711"/>
    <w:rsid w:val="007F4A3F"/>
    <w:rsid w:val="007F4A61"/>
    <w:rsid w:val="007F4DD3"/>
    <w:rsid w:val="007F5255"/>
    <w:rsid w:val="007F5410"/>
    <w:rsid w:val="007F56CC"/>
    <w:rsid w:val="007F61C2"/>
    <w:rsid w:val="007F632A"/>
    <w:rsid w:val="007F6F3C"/>
    <w:rsid w:val="007F70A7"/>
    <w:rsid w:val="00800019"/>
    <w:rsid w:val="00800E74"/>
    <w:rsid w:val="008016B4"/>
    <w:rsid w:val="008019B9"/>
    <w:rsid w:val="00801DDD"/>
    <w:rsid w:val="0080244B"/>
    <w:rsid w:val="00802778"/>
    <w:rsid w:val="0080288D"/>
    <w:rsid w:val="00803848"/>
    <w:rsid w:val="00803A07"/>
    <w:rsid w:val="00803F2D"/>
    <w:rsid w:val="00803FFA"/>
    <w:rsid w:val="00804553"/>
    <w:rsid w:val="00804A0E"/>
    <w:rsid w:val="00804BB2"/>
    <w:rsid w:val="0080500C"/>
    <w:rsid w:val="00805142"/>
    <w:rsid w:val="00805182"/>
    <w:rsid w:val="0080566B"/>
    <w:rsid w:val="00805EE3"/>
    <w:rsid w:val="00805FCE"/>
    <w:rsid w:val="00806399"/>
    <w:rsid w:val="008065F4"/>
    <w:rsid w:val="00807414"/>
    <w:rsid w:val="008075DB"/>
    <w:rsid w:val="00807A8B"/>
    <w:rsid w:val="00807D17"/>
    <w:rsid w:val="00810038"/>
    <w:rsid w:val="008112D8"/>
    <w:rsid w:val="00811383"/>
    <w:rsid w:val="00812096"/>
    <w:rsid w:val="00812149"/>
    <w:rsid w:val="0081261F"/>
    <w:rsid w:val="00812929"/>
    <w:rsid w:val="0081293B"/>
    <w:rsid w:val="00812CAC"/>
    <w:rsid w:val="0081336B"/>
    <w:rsid w:val="00813A2C"/>
    <w:rsid w:val="00813B0F"/>
    <w:rsid w:val="00813D68"/>
    <w:rsid w:val="00813DE9"/>
    <w:rsid w:val="00814CA2"/>
    <w:rsid w:val="00815370"/>
    <w:rsid w:val="0081555C"/>
    <w:rsid w:val="00815B0F"/>
    <w:rsid w:val="00816361"/>
    <w:rsid w:val="008166EF"/>
    <w:rsid w:val="00816704"/>
    <w:rsid w:val="00816FEF"/>
    <w:rsid w:val="0081749D"/>
    <w:rsid w:val="00817C9E"/>
    <w:rsid w:val="008205AB"/>
    <w:rsid w:val="00820A8C"/>
    <w:rsid w:val="00821221"/>
    <w:rsid w:val="008215FB"/>
    <w:rsid w:val="008220CC"/>
    <w:rsid w:val="00822611"/>
    <w:rsid w:val="00822A39"/>
    <w:rsid w:val="0082302D"/>
    <w:rsid w:val="00823174"/>
    <w:rsid w:val="0082317F"/>
    <w:rsid w:val="008231F5"/>
    <w:rsid w:val="00823431"/>
    <w:rsid w:val="00823857"/>
    <w:rsid w:val="008249DC"/>
    <w:rsid w:val="008250E7"/>
    <w:rsid w:val="008256F9"/>
    <w:rsid w:val="00825751"/>
    <w:rsid w:val="008263F1"/>
    <w:rsid w:val="008264EB"/>
    <w:rsid w:val="008268CE"/>
    <w:rsid w:val="00826953"/>
    <w:rsid w:val="0082754E"/>
    <w:rsid w:val="00827C23"/>
    <w:rsid w:val="008300D9"/>
    <w:rsid w:val="00830A29"/>
    <w:rsid w:val="00830E41"/>
    <w:rsid w:val="0083162B"/>
    <w:rsid w:val="00832546"/>
    <w:rsid w:val="00833B05"/>
    <w:rsid w:val="00834DF9"/>
    <w:rsid w:val="0083518B"/>
    <w:rsid w:val="008351E4"/>
    <w:rsid w:val="008360BE"/>
    <w:rsid w:val="008362B4"/>
    <w:rsid w:val="00836633"/>
    <w:rsid w:val="00836FF6"/>
    <w:rsid w:val="0083774B"/>
    <w:rsid w:val="00840269"/>
    <w:rsid w:val="00840A04"/>
    <w:rsid w:val="00840CA2"/>
    <w:rsid w:val="008412CE"/>
    <w:rsid w:val="00841BB9"/>
    <w:rsid w:val="00841EA2"/>
    <w:rsid w:val="008429E1"/>
    <w:rsid w:val="00842A1A"/>
    <w:rsid w:val="00842B1D"/>
    <w:rsid w:val="00842BEB"/>
    <w:rsid w:val="0084374F"/>
    <w:rsid w:val="00843C58"/>
    <w:rsid w:val="00843FB2"/>
    <w:rsid w:val="008443F7"/>
    <w:rsid w:val="00844A22"/>
    <w:rsid w:val="00844C1A"/>
    <w:rsid w:val="00844D98"/>
    <w:rsid w:val="00846276"/>
    <w:rsid w:val="00847703"/>
    <w:rsid w:val="00847CFD"/>
    <w:rsid w:val="00847DF5"/>
    <w:rsid w:val="008503D8"/>
    <w:rsid w:val="00850699"/>
    <w:rsid w:val="008508E6"/>
    <w:rsid w:val="00850FDB"/>
    <w:rsid w:val="00851278"/>
    <w:rsid w:val="008518CB"/>
    <w:rsid w:val="00851A2D"/>
    <w:rsid w:val="00851C1E"/>
    <w:rsid w:val="008520C8"/>
    <w:rsid w:val="00852871"/>
    <w:rsid w:val="0085309D"/>
    <w:rsid w:val="00853713"/>
    <w:rsid w:val="0085396F"/>
    <w:rsid w:val="00853B6E"/>
    <w:rsid w:val="0085628E"/>
    <w:rsid w:val="00856897"/>
    <w:rsid w:val="00856A44"/>
    <w:rsid w:val="00856BAE"/>
    <w:rsid w:val="00856E9A"/>
    <w:rsid w:val="0085706F"/>
    <w:rsid w:val="008572CA"/>
    <w:rsid w:val="00857473"/>
    <w:rsid w:val="00857D2E"/>
    <w:rsid w:val="0086075D"/>
    <w:rsid w:val="00860CDD"/>
    <w:rsid w:val="00861ADE"/>
    <w:rsid w:val="00862502"/>
    <w:rsid w:val="00862587"/>
    <w:rsid w:val="00862CC1"/>
    <w:rsid w:val="00862CFD"/>
    <w:rsid w:val="00862D7E"/>
    <w:rsid w:val="00863629"/>
    <w:rsid w:val="00863E68"/>
    <w:rsid w:val="008642A7"/>
    <w:rsid w:val="00864B19"/>
    <w:rsid w:val="008653E1"/>
    <w:rsid w:val="00865B7A"/>
    <w:rsid w:val="00866041"/>
    <w:rsid w:val="008660D4"/>
    <w:rsid w:val="0086669E"/>
    <w:rsid w:val="00866BA1"/>
    <w:rsid w:val="00867646"/>
    <w:rsid w:val="00867879"/>
    <w:rsid w:val="00867E1E"/>
    <w:rsid w:val="00871019"/>
    <w:rsid w:val="0087130E"/>
    <w:rsid w:val="00871FA9"/>
    <w:rsid w:val="00871FC9"/>
    <w:rsid w:val="008728E9"/>
    <w:rsid w:val="00872C38"/>
    <w:rsid w:val="00872CE3"/>
    <w:rsid w:val="00872EFA"/>
    <w:rsid w:val="00874014"/>
    <w:rsid w:val="008744B7"/>
    <w:rsid w:val="00874899"/>
    <w:rsid w:val="00874BF3"/>
    <w:rsid w:val="00874D16"/>
    <w:rsid w:val="00874F10"/>
    <w:rsid w:val="00875704"/>
    <w:rsid w:val="0087679A"/>
    <w:rsid w:val="0087695A"/>
    <w:rsid w:val="0087704F"/>
    <w:rsid w:val="00877CDE"/>
    <w:rsid w:val="00880015"/>
    <w:rsid w:val="00880593"/>
    <w:rsid w:val="008809BC"/>
    <w:rsid w:val="00880AE5"/>
    <w:rsid w:val="0088195B"/>
    <w:rsid w:val="00882874"/>
    <w:rsid w:val="00882C7F"/>
    <w:rsid w:val="00882E3C"/>
    <w:rsid w:val="0088306C"/>
    <w:rsid w:val="0088308A"/>
    <w:rsid w:val="00883787"/>
    <w:rsid w:val="00884859"/>
    <w:rsid w:val="00884862"/>
    <w:rsid w:val="00884B8E"/>
    <w:rsid w:val="0088534E"/>
    <w:rsid w:val="0088546B"/>
    <w:rsid w:val="008854E7"/>
    <w:rsid w:val="008855E4"/>
    <w:rsid w:val="0088697E"/>
    <w:rsid w:val="00886CD2"/>
    <w:rsid w:val="008870BE"/>
    <w:rsid w:val="00890410"/>
    <w:rsid w:val="008912A1"/>
    <w:rsid w:val="0089139D"/>
    <w:rsid w:val="00891511"/>
    <w:rsid w:val="00891E6F"/>
    <w:rsid w:val="00892612"/>
    <w:rsid w:val="0089275D"/>
    <w:rsid w:val="00892A36"/>
    <w:rsid w:val="00892EC6"/>
    <w:rsid w:val="00893239"/>
    <w:rsid w:val="00893AC9"/>
    <w:rsid w:val="008941E5"/>
    <w:rsid w:val="008941EF"/>
    <w:rsid w:val="0089420E"/>
    <w:rsid w:val="008943A2"/>
    <w:rsid w:val="00894489"/>
    <w:rsid w:val="0089484D"/>
    <w:rsid w:val="00894CD6"/>
    <w:rsid w:val="00894E8E"/>
    <w:rsid w:val="008953CA"/>
    <w:rsid w:val="00895CFD"/>
    <w:rsid w:val="00895F57"/>
    <w:rsid w:val="008963A5"/>
    <w:rsid w:val="00896C9C"/>
    <w:rsid w:val="00896D5D"/>
    <w:rsid w:val="008976B8"/>
    <w:rsid w:val="008977AD"/>
    <w:rsid w:val="00897E77"/>
    <w:rsid w:val="008A06FF"/>
    <w:rsid w:val="008A1670"/>
    <w:rsid w:val="008A1F85"/>
    <w:rsid w:val="008A2510"/>
    <w:rsid w:val="008A2C8A"/>
    <w:rsid w:val="008A3158"/>
    <w:rsid w:val="008A32C0"/>
    <w:rsid w:val="008A3363"/>
    <w:rsid w:val="008A3371"/>
    <w:rsid w:val="008A3BDE"/>
    <w:rsid w:val="008A3C3E"/>
    <w:rsid w:val="008A4D19"/>
    <w:rsid w:val="008A4FD0"/>
    <w:rsid w:val="008A57D7"/>
    <w:rsid w:val="008A5860"/>
    <w:rsid w:val="008A5B80"/>
    <w:rsid w:val="008A6AE5"/>
    <w:rsid w:val="008A792B"/>
    <w:rsid w:val="008A79DE"/>
    <w:rsid w:val="008A7FBE"/>
    <w:rsid w:val="008B0C45"/>
    <w:rsid w:val="008B0E1D"/>
    <w:rsid w:val="008B1757"/>
    <w:rsid w:val="008B1815"/>
    <w:rsid w:val="008B1C33"/>
    <w:rsid w:val="008B1CEE"/>
    <w:rsid w:val="008B2032"/>
    <w:rsid w:val="008B25E9"/>
    <w:rsid w:val="008B2A21"/>
    <w:rsid w:val="008B2AC9"/>
    <w:rsid w:val="008B2CF5"/>
    <w:rsid w:val="008B4B6F"/>
    <w:rsid w:val="008B4FDA"/>
    <w:rsid w:val="008B521A"/>
    <w:rsid w:val="008B54BC"/>
    <w:rsid w:val="008B684B"/>
    <w:rsid w:val="008B6925"/>
    <w:rsid w:val="008B6D4F"/>
    <w:rsid w:val="008B78AE"/>
    <w:rsid w:val="008B7992"/>
    <w:rsid w:val="008B7B4A"/>
    <w:rsid w:val="008B7D7E"/>
    <w:rsid w:val="008C04D3"/>
    <w:rsid w:val="008C0BF2"/>
    <w:rsid w:val="008C0EFF"/>
    <w:rsid w:val="008C0FC5"/>
    <w:rsid w:val="008C1229"/>
    <w:rsid w:val="008C13E1"/>
    <w:rsid w:val="008C248A"/>
    <w:rsid w:val="008C2635"/>
    <w:rsid w:val="008C36C0"/>
    <w:rsid w:val="008C3E35"/>
    <w:rsid w:val="008C3E51"/>
    <w:rsid w:val="008C4B2B"/>
    <w:rsid w:val="008C4E74"/>
    <w:rsid w:val="008C51AD"/>
    <w:rsid w:val="008C53E4"/>
    <w:rsid w:val="008C54D9"/>
    <w:rsid w:val="008C5610"/>
    <w:rsid w:val="008C5739"/>
    <w:rsid w:val="008C5A57"/>
    <w:rsid w:val="008C5BB3"/>
    <w:rsid w:val="008C6741"/>
    <w:rsid w:val="008C7282"/>
    <w:rsid w:val="008C7DEE"/>
    <w:rsid w:val="008C7ECB"/>
    <w:rsid w:val="008D0189"/>
    <w:rsid w:val="008D0743"/>
    <w:rsid w:val="008D13E9"/>
    <w:rsid w:val="008D1449"/>
    <w:rsid w:val="008D1644"/>
    <w:rsid w:val="008D1802"/>
    <w:rsid w:val="008D2678"/>
    <w:rsid w:val="008D3484"/>
    <w:rsid w:val="008D3B86"/>
    <w:rsid w:val="008D3F00"/>
    <w:rsid w:val="008D43FD"/>
    <w:rsid w:val="008D4755"/>
    <w:rsid w:val="008D4C3D"/>
    <w:rsid w:val="008D4EA2"/>
    <w:rsid w:val="008D55D3"/>
    <w:rsid w:val="008D65A3"/>
    <w:rsid w:val="008D743C"/>
    <w:rsid w:val="008E01D2"/>
    <w:rsid w:val="008E0D2E"/>
    <w:rsid w:val="008E0D3C"/>
    <w:rsid w:val="008E15AA"/>
    <w:rsid w:val="008E1999"/>
    <w:rsid w:val="008E1B23"/>
    <w:rsid w:val="008E1B9E"/>
    <w:rsid w:val="008E20F7"/>
    <w:rsid w:val="008E3247"/>
    <w:rsid w:val="008E33BB"/>
    <w:rsid w:val="008E4646"/>
    <w:rsid w:val="008E47AB"/>
    <w:rsid w:val="008E4E58"/>
    <w:rsid w:val="008E55AB"/>
    <w:rsid w:val="008E5791"/>
    <w:rsid w:val="008E58C5"/>
    <w:rsid w:val="008E618E"/>
    <w:rsid w:val="008E66C5"/>
    <w:rsid w:val="008E6856"/>
    <w:rsid w:val="008E687D"/>
    <w:rsid w:val="008E68DA"/>
    <w:rsid w:val="008E696E"/>
    <w:rsid w:val="008E6C2E"/>
    <w:rsid w:val="008E75D4"/>
    <w:rsid w:val="008E7C9B"/>
    <w:rsid w:val="008F120A"/>
    <w:rsid w:val="008F1624"/>
    <w:rsid w:val="008F1ED8"/>
    <w:rsid w:val="008F2154"/>
    <w:rsid w:val="008F27E0"/>
    <w:rsid w:val="008F28D7"/>
    <w:rsid w:val="008F2B1A"/>
    <w:rsid w:val="008F2BF5"/>
    <w:rsid w:val="008F3398"/>
    <w:rsid w:val="008F380B"/>
    <w:rsid w:val="008F3AC4"/>
    <w:rsid w:val="008F3BBD"/>
    <w:rsid w:val="008F3CE5"/>
    <w:rsid w:val="008F3D0C"/>
    <w:rsid w:val="008F3F6F"/>
    <w:rsid w:val="008F3FD5"/>
    <w:rsid w:val="008F400C"/>
    <w:rsid w:val="008F48EB"/>
    <w:rsid w:val="008F4976"/>
    <w:rsid w:val="008F4F0B"/>
    <w:rsid w:val="008F6179"/>
    <w:rsid w:val="008F66C6"/>
    <w:rsid w:val="008F6749"/>
    <w:rsid w:val="008F6C6A"/>
    <w:rsid w:val="008F6E99"/>
    <w:rsid w:val="008F7241"/>
    <w:rsid w:val="008F7D6F"/>
    <w:rsid w:val="0090012A"/>
    <w:rsid w:val="00900A26"/>
    <w:rsid w:val="00901B41"/>
    <w:rsid w:val="0090244C"/>
    <w:rsid w:val="009024B0"/>
    <w:rsid w:val="00902BFF"/>
    <w:rsid w:val="009031BF"/>
    <w:rsid w:val="00903E9D"/>
    <w:rsid w:val="00903FCD"/>
    <w:rsid w:val="009043C6"/>
    <w:rsid w:val="009046C4"/>
    <w:rsid w:val="00904C3A"/>
    <w:rsid w:val="00905B54"/>
    <w:rsid w:val="00905F02"/>
    <w:rsid w:val="00906051"/>
    <w:rsid w:val="009062A5"/>
    <w:rsid w:val="00907557"/>
    <w:rsid w:val="00907699"/>
    <w:rsid w:val="00907B95"/>
    <w:rsid w:val="0091028B"/>
    <w:rsid w:val="00910FA7"/>
    <w:rsid w:val="009110B4"/>
    <w:rsid w:val="00911272"/>
    <w:rsid w:val="00911339"/>
    <w:rsid w:val="009119BE"/>
    <w:rsid w:val="009126DE"/>
    <w:rsid w:val="00912B61"/>
    <w:rsid w:val="00912DD6"/>
    <w:rsid w:val="00912F29"/>
    <w:rsid w:val="00913117"/>
    <w:rsid w:val="00913119"/>
    <w:rsid w:val="0091343A"/>
    <w:rsid w:val="009135D6"/>
    <w:rsid w:val="00913AFA"/>
    <w:rsid w:val="00913B13"/>
    <w:rsid w:val="00913D02"/>
    <w:rsid w:val="00914445"/>
    <w:rsid w:val="00914C77"/>
    <w:rsid w:val="00915668"/>
    <w:rsid w:val="009157BB"/>
    <w:rsid w:val="00917B3C"/>
    <w:rsid w:val="00921041"/>
    <w:rsid w:val="00921ACB"/>
    <w:rsid w:val="0092289A"/>
    <w:rsid w:val="00922B1F"/>
    <w:rsid w:val="0092369B"/>
    <w:rsid w:val="0092405A"/>
    <w:rsid w:val="00924536"/>
    <w:rsid w:val="009261F3"/>
    <w:rsid w:val="00926489"/>
    <w:rsid w:val="0092655B"/>
    <w:rsid w:val="00926600"/>
    <w:rsid w:val="00927043"/>
    <w:rsid w:val="0092746B"/>
    <w:rsid w:val="00930218"/>
    <w:rsid w:val="00930C20"/>
    <w:rsid w:val="00931590"/>
    <w:rsid w:val="009324E6"/>
    <w:rsid w:val="00932EBD"/>
    <w:rsid w:val="00932F64"/>
    <w:rsid w:val="00933147"/>
    <w:rsid w:val="00933E5D"/>
    <w:rsid w:val="00934084"/>
    <w:rsid w:val="00934806"/>
    <w:rsid w:val="00934988"/>
    <w:rsid w:val="009354B5"/>
    <w:rsid w:val="00935671"/>
    <w:rsid w:val="00935977"/>
    <w:rsid w:val="00935DE8"/>
    <w:rsid w:val="00937089"/>
    <w:rsid w:val="0093785A"/>
    <w:rsid w:val="00937CEA"/>
    <w:rsid w:val="009400D5"/>
    <w:rsid w:val="00940135"/>
    <w:rsid w:val="00940C81"/>
    <w:rsid w:val="00940DBD"/>
    <w:rsid w:val="009415F5"/>
    <w:rsid w:val="00941B17"/>
    <w:rsid w:val="00941EE9"/>
    <w:rsid w:val="00942514"/>
    <w:rsid w:val="00942559"/>
    <w:rsid w:val="00942854"/>
    <w:rsid w:val="00942A5E"/>
    <w:rsid w:val="00942EDA"/>
    <w:rsid w:val="0094322F"/>
    <w:rsid w:val="00943FC1"/>
    <w:rsid w:val="009445CC"/>
    <w:rsid w:val="00944F8A"/>
    <w:rsid w:val="00945088"/>
    <w:rsid w:val="0094519C"/>
    <w:rsid w:val="0094717F"/>
    <w:rsid w:val="009503C5"/>
    <w:rsid w:val="00950B30"/>
    <w:rsid w:val="009510A2"/>
    <w:rsid w:val="00951FB0"/>
    <w:rsid w:val="0095255F"/>
    <w:rsid w:val="00952715"/>
    <w:rsid w:val="00953257"/>
    <w:rsid w:val="009538E2"/>
    <w:rsid w:val="00953EBF"/>
    <w:rsid w:val="0095430F"/>
    <w:rsid w:val="0095474C"/>
    <w:rsid w:val="009547BE"/>
    <w:rsid w:val="00954986"/>
    <w:rsid w:val="00954C03"/>
    <w:rsid w:val="0095618A"/>
    <w:rsid w:val="009574F5"/>
    <w:rsid w:val="00957CCD"/>
    <w:rsid w:val="00957D92"/>
    <w:rsid w:val="00960235"/>
    <w:rsid w:val="009602CF"/>
    <w:rsid w:val="00960B32"/>
    <w:rsid w:val="0096187C"/>
    <w:rsid w:val="00961FEF"/>
    <w:rsid w:val="0096245B"/>
    <w:rsid w:val="00962CB9"/>
    <w:rsid w:val="00962E38"/>
    <w:rsid w:val="00963890"/>
    <w:rsid w:val="00964312"/>
    <w:rsid w:val="00964CAE"/>
    <w:rsid w:val="0096524D"/>
    <w:rsid w:val="00965660"/>
    <w:rsid w:val="00965B8A"/>
    <w:rsid w:val="0096638F"/>
    <w:rsid w:val="0096726C"/>
    <w:rsid w:val="0096748E"/>
    <w:rsid w:val="009677DB"/>
    <w:rsid w:val="009679B9"/>
    <w:rsid w:val="00970694"/>
    <w:rsid w:val="0097071F"/>
    <w:rsid w:val="00970F25"/>
    <w:rsid w:val="009717AC"/>
    <w:rsid w:val="009718B1"/>
    <w:rsid w:val="00971AA6"/>
    <w:rsid w:val="00971E48"/>
    <w:rsid w:val="0097264B"/>
    <w:rsid w:val="00973C11"/>
    <w:rsid w:val="00973DA2"/>
    <w:rsid w:val="00973EB2"/>
    <w:rsid w:val="009751C1"/>
    <w:rsid w:val="00976ED3"/>
    <w:rsid w:val="009775D5"/>
    <w:rsid w:val="00977CCE"/>
    <w:rsid w:val="00980708"/>
    <w:rsid w:val="00980C67"/>
    <w:rsid w:val="009810EE"/>
    <w:rsid w:val="009811F1"/>
    <w:rsid w:val="009812CB"/>
    <w:rsid w:val="00982323"/>
    <w:rsid w:val="0098262F"/>
    <w:rsid w:val="009827F5"/>
    <w:rsid w:val="009828B9"/>
    <w:rsid w:val="00982F96"/>
    <w:rsid w:val="00983A1D"/>
    <w:rsid w:val="00983E57"/>
    <w:rsid w:val="0098429C"/>
    <w:rsid w:val="00984AEF"/>
    <w:rsid w:val="00984B80"/>
    <w:rsid w:val="00985795"/>
    <w:rsid w:val="00985DE2"/>
    <w:rsid w:val="0098610A"/>
    <w:rsid w:val="0098675D"/>
    <w:rsid w:val="00987173"/>
    <w:rsid w:val="00987BA4"/>
    <w:rsid w:val="00990893"/>
    <w:rsid w:val="0099091E"/>
    <w:rsid w:val="009909CB"/>
    <w:rsid w:val="00990D28"/>
    <w:rsid w:val="00990E46"/>
    <w:rsid w:val="00991A0D"/>
    <w:rsid w:val="009926E0"/>
    <w:rsid w:val="00992924"/>
    <w:rsid w:val="00992945"/>
    <w:rsid w:val="009929F7"/>
    <w:rsid w:val="00992D30"/>
    <w:rsid w:val="00992E80"/>
    <w:rsid w:val="00992F2E"/>
    <w:rsid w:val="0099300D"/>
    <w:rsid w:val="009930C9"/>
    <w:rsid w:val="0099322B"/>
    <w:rsid w:val="009941FE"/>
    <w:rsid w:val="00994415"/>
    <w:rsid w:val="0099451E"/>
    <w:rsid w:val="0099497F"/>
    <w:rsid w:val="00994A4E"/>
    <w:rsid w:val="00994B4E"/>
    <w:rsid w:val="00994D80"/>
    <w:rsid w:val="0099513B"/>
    <w:rsid w:val="00995A46"/>
    <w:rsid w:val="00995BE7"/>
    <w:rsid w:val="009960DC"/>
    <w:rsid w:val="00996B1A"/>
    <w:rsid w:val="00997027"/>
    <w:rsid w:val="009A009F"/>
    <w:rsid w:val="009A0D99"/>
    <w:rsid w:val="009A18F6"/>
    <w:rsid w:val="009A1A1A"/>
    <w:rsid w:val="009A2C8F"/>
    <w:rsid w:val="009A2DCC"/>
    <w:rsid w:val="009A3063"/>
    <w:rsid w:val="009A354D"/>
    <w:rsid w:val="009A4248"/>
    <w:rsid w:val="009A4D84"/>
    <w:rsid w:val="009A4E03"/>
    <w:rsid w:val="009A54BB"/>
    <w:rsid w:val="009A5616"/>
    <w:rsid w:val="009A5ABC"/>
    <w:rsid w:val="009A61B7"/>
    <w:rsid w:val="009A6A76"/>
    <w:rsid w:val="009A6C20"/>
    <w:rsid w:val="009A732C"/>
    <w:rsid w:val="009A7335"/>
    <w:rsid w:val="009A7F10"/>
    <w:rsid w:val="009B0A19"/>
    <w:rsid w:val="009B0E73"/>
    <w:rsid w:val="009B1040"/>
    <w:rsid w:val="009B20B6"/>
    <w:rsid w:val="009B25A0"/>
    <w:rsid w:val="009B2FDC"/>
    <w:rsid w:val="009B3800"/>
    <w:rsid w:val="009B3E26"/>
    <w:rsid w:val="009B445E"/>
    <w:rsid w:val="009B4815"/>
    <w:rsid w:val="009B5142"/>
    <w:rsid w:val="009B5306"/>
    <w:rsid w:val="009B5C50"/>
    <w:rsid w:val="009B5F11"/>
    <w:rsid w:val="009B6AAF"/>
    <w:rsid w:val="009B6DC3"/>
    <w:rsid w:val="009B714F"/>
    <w:rsid w:val="009B7AE2"/>
    <w:rsid w:val="009C0494"/>
    <w:rsid w:val="009C06A3"/>
    <w:rsid w:val="009C1078"/>
    <w:rsid w:val="009C1271"/>
    <w:rsid w:val="009C19E1"/>
    <w:rsid w:val="009C1D43"/>
    <w:rsid w:val="009C25E2"/>
    <w:rsid w:val="009C343C"/>
    <w:rsid w:val="009C36BD"/>
    <w:rsid w:val="009C3706"/>
    <w:rsid w:val="009C3A3A"/>
    <w:rsid w:val="009C426B"/>
    <w:rsid w:val="009C4618"/>
    <w:rsid w:val="009C47FC"/>
    <w:rsid w:val="009C5C70"/>
    <w:rsid w:val="009C6270"/>
    <w:rsid w:val="009C655B"/>
    <w:rsid w:val="009C6CEA"/>
    <w:rsid w:val="009C6EDD"/>
    <w:rsid w:val="009C7AC9"/>
    <w:rsid w:val="009C7B85"/>
    <w:rsid w:val="009C7D18"/>
    <w:rsid w:val="009C7FCA"/>
    <w:rsid w:val="009D0254"/>
    <w:rsid w:val="009D1A64"/>
    <w:rsid w:val="009D2933"/>
    <w:rsid w:val="009D3A8A"/>
    <w:rsid w:val="009D3D56"/>
    <w:rsid w:val="009D4208"/>
    <w:rsid w:val="009D450D"/>
    <w:rsid w:val="009D5AE2"/>
    <w:rsid w:val="009D5B91"/>
    <w:rsid w:val="009D5FB8"/>
    <w:rsid w:val="009D61C2"/>
    <w:rsid w:val="009D733B"/>
    <w:rsid w:val="009D792E"/>
    <w:rsid w:val="009D7BF8"/>
    <w:rsid w:val="009E0DFE"/>
    <w:rsid w:val="009E19DD"/>
    <w:rsid w:val="009E1B24"/>
    <w:rsid w:val="009E1D55"/>
    <w:rsid w:val="009E238A"/>
    <w:rsid w:val="009E31F6"/>
    <w:rsid w:val="009E3823"/>
    <w:rsid w:val="009E38FF"/>
    <w:rsid w:val="009E4C07"/>
    <w:rsid w:val="009E52A0"/>
    <w:rsid w:val="009E5694"/>
    <w:rsid w:val="009E6E30"/>
    <w:rsid w:val="009E6FED"/>
    <w:rsid w:val="009E739E"/>
    <w:rsid w:val="009E777F"/>
    <w:rsid w:val="009E7ED7"/>
    <w:rsid w:val="009F069A"/>
    <w:rsid w:val="009F069C"/>
    <w:rsid w:val="009F10B3"/>
    <w:rsid w:val="009F1379"/>
    <w:rsid w:val="009F1E06"/>
    <w:rsid w:val="009F2826"/>
    <w:rsid w:val="009F30F8"/>
    <w:rsid w:val="009F314A"/>
    <w:rsid w:val="009F3601"/>
    <w:rsid w:val="009F3EF7"/>
    <w:rsid w:val="009F4497"/>
    <w:rsid w:val="009F496A"/>
    <w:rsid w:val="009F4D6E"/>
    <w:rsid w:val="009F4D96"/>
    <w:rsid w:val="009F53DE"/>
    <w:rsid w:val="009F6120"/>
    <w:rsid w:val="009F6F28"/>
    <w:rsid w:val="009F74D0"/>
    <w:rsid w:val="009F7B0C"/>
    <w:rsid w:val="00A0018A"/>
    <w:rsid w:val="00A00733"/>
    <w:rsid w:val="00A00D76"/>
    <w:rsid w:val="00A00E20"/>
    <w:rsid w:val="00A01184"/>
    <w:rsid w:val="00A01449"/>
    <w:rsid w:val="00A016FB"/>
    <w:rsid w:val="00A02916"/>
    <w:rsid w:val="00A02E18"/>
    <w:rsid w:val="00A037C2"/>
    <w:rsid w:val="00A0381B"/>
    <w:rsid w:val="00A03D43"/>
    <w:rsid w:val="00A042C0"/>
    <w:rsid w:val="00A0433B"/>
    <w:rsid w:val="00A04380"/>
    <w:rsid w:val="00A0460C"/>
    <w:rsid w:val="00A0468A"/>
    <w:rsid w:val="00A046E4"/>
    <w:rsid w:val="00A04786"/>
    <w:rsid w:val="00A0480D"/>
    <w:rsid w:val="00A05472"/>
    <w:rsid w:val="00A0555F"/>
    <w:rsid w:val="00A05C04"/>
    <w:rsid w:val="00A05C32"/>
    <w:rsid w:val="00A0653F"/>
    <w:rsid w:val="00A06B8A"/>
    <w:rsid w:val="00A072DC"/>
    <w:rsid w:val="00A07B0D"/>
    <w:rsid w:val="00A07EA7"/>
    <w:rsid w:val="00A10A3E"/>
    <w:rsid w:val="00A10F5A"/>
    <w:rsid w:val="00A10FB1"/>
    <w:rsid w:val="00A1104A"/>
    <w:rsid w:val="00A11BA4"/>
    <w:rsid w:val="00A11CD0"/>
    <w:rsid w:val="00A11EF4"/>
    <w:rsid w:val="00A12071"/>
    <w:rsid w:val="00A12DFB"/>
    <w:rsid w:val="00A12E14"/>
    <w:rsid w:val="00A12F83"/>
    <w:rsid w:val="00A1308E"/>
    <w:rsid w:val="00A137C3"/>
    <w:rsid w:val="00A13932"/>
    <w:rsid w:val="00A13948"/>
    <w:rsid w:val="00A13B74"/>
    <w:rsid w:val="00A13C35"/>
    <w:rsid w:val="00A13CE5"/>
    <w:rsid w:val="00A14E4F"/>
    <w:rsid w:val="00A1555B"/>
    <w:rsid w:val="00A155C5"/>
    <w:rsid w:val="00A155E7"/>
    <w:rsid w:val="00A168ED"/>
    <w:rsid w:val="00A16AD8"/>
    <w:rsid w:val="00A16B4F"/>
    <w:rsid w:val="00A17355"/>
    <w:rsid w:val="00A173B2"/>
    <w:rsid w:val="00A17D78"/>
    <w:rsid w:val="00A2021E"/>
    <w:rsid w:val="00A20ACA"/>
    <w:rsid w:val="00A21179"/>
    <w:rsid w:val="00A21387"/>
    <w:rsid w:val="00A21C95"/>
    <w:rsid w:val="00A21CF3"/>
    <w:rsid w:val="00A22A56"/>
    <w:rsid w:val="00A22C96"/>
    <w:rsid w:val="00A22E96"/>
    <w:rsid w:val="00A23189"/>
    <w:rsid w:val="00A2357E"/>
    <w:rsid w:val="00A23931"/>
    <w:rsid w:val="00A24433"/>
    <w:rsid w:val="00A2449C"/>
    <w:rsid w:val="00A24577"/>
    <w:rsid w:val="00A24813"/>
    <w:rsid w:val="00A24C75"/>
    <w:rsid w:val="00A24D8C"/>
    <w:rsid w:val="00A26C73"/>
    <w:rsid w:val="00A2767C"/>
    <w:rsid w:val="00A27AEC"/>
    <w:rsid w:val="00A27BDB"/>
    <w:rsid w:val="00A27E9C"/>
    <w:rsid w:val="00A300C3"/>
    <w:rsid w:val="00A31455"/>
    <w:rsid w:val="00A3148B"/>
    <w:rsid w:val="00A3173B"/>
    <w:rsid w:val="00A320DB"/>
    <w:rsid w:val="00A32829"/>
    <w:rsid w:val="00A3299F"/>
    <w:rsid w:val="00A32BC9"/>
    <w:rsid w:val="00A32CAA"/>
    <w:rsid w:val="00A3371A"/>
    <w:rsid w:val="00A33B7E"/>
    <w:rsid w:val="00A34030"/>
    <w:rsid w:val="00A340BF"/>
    <w:rsid w:val="00A355CB"/>
    <w:rsid w:val="00A35606"/>
    <w:rsid w:val="00A3580E"/>
    <w:rsid w:val="00A35D16"/>
    <w:rsid w:val="00A3629E"/>
    <w:rsid w:val="00A36B6E"/>
    <w:rsid w:val="00A378C6"/>
    <w:rsid w:val="00A37BCD"/>
    <w:rsid w:val="00A37ED7"/>
    <w:rsid w:val="00A405E9"/>
    <w:rsid w:val="00A40EE4"/>
    <w:rsid w:val="00A41639"/>
    <w:rsid w:val="00A41689"/>
    <w:rsid w:val="00A42592"/>
    <w:rsid w:val="00A429BB"/>
    <w:rsid w:val="00A42EBC"/>
    <w:rsid w:val="00A42FC6"/>
    <w:rsid w:val="00A434C5"/>
    <w:rsid w:val="00A43564"/>
    <w:rsid w:val="00A437A6"/>
    <w:rsid w:val="00A43C59"/>
    <w:rsid w:val="00A43F01"/>
    <w:rsid w:val="00A43F91"/>
    <w:rsid w:val="00A44182"/>
    <w:rsid w:val="00A44379"/>
    <w:rsid w:val="00A4483E"/>
    <w:rsid w:val="00A454F2"/>
    <w:rsid w:val="00A459EA"/>
    <w:rsid w:val="00A46388"/>
    <w:rsid w:val="00A466B1"/>
    <w:rsid w:val="00A46C56"/>
    <w:rsid w:val="00A470A3"/>
    <w:rsid w:val="00A479E8"/>
    <w:rsid w:val="00A47FE9"/>
    <w:rsid w:val="00A50290"/>
    <w:rsid w:val="00A506C1"/>
    <w:rsid w:val="00A50B73"/>
    <w:rsid w:val="00A50CFC"/>
    <w:rsid w:val="00A50ECD"/>
    <w:rsid w:val="00A51474"/>
    <w:rsid w:val="00A516AA"/>
    <w:rsid w:val="00A518F3"/>
    <w:rsid w:val="00A51C91"/>
    <w:rsid w:val="00A52272"/>
    <w:rsid w:val="00A5235B"/>
    <w:rsid w:val="00A52729"/>
    <w:rsid w:val="00A52E12"/>
    <w:rsid w:val="00A52F70"/>
    <w:rsid w:val="00A53675"/>
    <w:rsid w:val="00A539F4"/>
    <w:rsid w:val="00A53A34"/>
    <w:rsid w:val="00A53F0F"/>
    <w:rsid w:val="00A549AE"/>
    <w:rsid w:val="00A559CD"/>
    <w:rsid w:val="00A562F6"/>
    <w:rsid w:val="00A564D7"/>
    <w:rsid w:val="00A56B6A"/>
    <w:rsid w:val="00A57184"/>
    <w:rsid w:val="00A5777D"/>
    <w:rsid w:val="00A578DC"/>
    <w:rsid w:val="00A600A9"/>
    <w:rsid w:val="00A60585"/>
    <w:rsid w:val="00A60B71"/>
    <w:rsid w:val="00A6143E"/>
    <w:rsid w:val="00A61A93"/>
    <w:rsid w:val="00A61C32"/>
    <w:rsid w:val="00A61D69"/>
    <w:rsid w:val="00A62373"/>
    <w:rsid w:val="00A625F9"/>
    <w:rsid w:val="00A62CD8"/>
    <w:rsid w:val="00A6349C"/>
    <w:rsid w:val="00A6396F"/>
    <w:rsid w:val="00A640E2"/>
    <w:rsid w:val="00A6445D"/>
    <w:rsid w:val="00A64CB0"/>
    <w:rsid w:val="00A64D65"/>
    <w:rsid w:val="00A65202"/>
    <w:rsid w:val="00A658E8"/>
    <w:rsid w:val="00A660F8"/>
    <w:rsid w:val="00A661A4"/>
    <w:rsid w:val="00A66339"/>
    <w:rsid w:val="00A667E7"/>
    <w:rsid w:val="00A6725B"/>
    <w:rsid w:val="00A67931"/>
    <w:rsid w:val="00A67A8F"/>
    <w:rsid w:val="00A70519"/>
    <w:rsid w:val="00A70605"/>
    <w:rsid w:val="00A709A9"/>
    <w:rsid w:val="00A70BC3"/>
    <w:rsid w:val="00A71245"/>
    <w:rsid w:val="00A7148A"/>
    <w:rsid w:val="00A71E7A"/>
    <w:rsid w:val="00A71FA4"/>
    <w:rsid w:val="00A7231F"/>
    <w:rsid w:val="00A72810"/>
    <w:rsid w:val="00A728B8"/>
    <w:rsid w:val="00A73134"/>
    <w:rsid w:val="00A7313C"/>
    <w:rsid w:val="00A7365A"/>
    <w:rsid w:val="00A747E3"/>
    <w:rsid w:val="00A754E0"/>
    <w:rsid w:val="00A756B5"/>
    <w:rsid w:val="00A76001"/>
    <w:rsid w:val="00A76926"/>
    <w:rsid w:val="00A76B30"/>
    <w:rsid w:val="00A77418"/>
    <w:rsid w:val="00A77625"/>
    <w:rsid w:val="00A777B2"/>
    <w:rsid w:val="00A77AF7"/>
    <w:rsid w:val="00A804EA"/>
    <w:rsid w:val="00A81500"/>
    <w:rsid w:val="00A8157A"/>
    <w:rsid w:val="00A816B4"/>
    <w:rsid w:val="00A81835"/>
    <w:rsid w:val="00A825D4"/>
    <w:rsid w:val="00A828F6"/>
    <w:rsid w:val="00A82B73"/>
    <w:rsid w:val="00A82F31"/>
    <w:rsid w:val="00A83083"/>
    <w:rsid w:val="00A83279"/>
    <w:rsid w:val="00A8418C"/>
    <w:rsid w:val="00A84646"/>
    <w:rsid w:val="00A85BAB"/>
    <w:rsid w:val="00A85F8F"/>
    <w:rsid w:val="00A86077"/>
    <w:rsid w:val="00A86E8B"/>
    <w:rsid w:val="00A87016"/>
    <w:rsid w:val="00A87164"/>
    <w:rsid w:val="00A871A9"/>
    <w:rsid w:val="00A87C66"/>
    <w:rsid w:val="00A9052E"/>
    <w:rsid w:val="00A9062E"/>
    <w:rsid w:val="00A90DE2"/>
    <w:rsid w:val="00A91ADE"/>
    <w:rsid w:val="00A9208A"/>
    <w:rsid w:val="00A93072"/>
    <w:rsid w:val="00A9313C"/>
    <w:rsid w:val="00A934B2"/>
    <w:rsid w:val="00A938BD"/>
    <w:rsid w:val="00A93953"/>
    <w:rsid w:val="00A94277"/>
    <w:rsid w:val="00A945AA"/>
    <w:rsid w:val="00A95518"/>
    <w:rsid w:val="00A95988"/>
    <w:rsid w:val="00A959D8"/>
    <w:rsid w:val="00A95CD3"/>
    <w:rsid w:val="00A961A8"/>
    <w:rsid w:val="00A96440"/>
    <w:rsid w:val="00A96BFC"/>
    <w:rsid w:val="00A96C81"/>
    <w:rsid w:val="00A96DEE"/>
    <w:rsid w:val="00AA0305"/>
    <w:rsid w:val="00AA113D"/>
    <w:rsid w:val="00AA16BF"/>
    <w:rsid w:val="00AA17C4"/>
    <w:rsid w:val="00AA17DA"/>
    <w:rsid w:val="00AA2148"/>
    <w:rsid w:val="00AA21C1"/>
    <w:rsid w:val="00AA2B39"/>
    <w:rsid w:val="00AA3518"/>
    <w:rsid w:val="00AA4A93"/>
    <w:rsid w:val="00AA4E19"/>
    <w:rsid w:val="00AA53D4"/>
    <w:rsid w:val="00AA55D1"/>
    <w:rsid w:val="00AA5E65"/>
    <w:rsid w:val="00AA6BD5"/>
    <w:rsid w:val="00AA6BD8"/>
    <w:rsid w:val="00AA6C7D"/>
    <w:rsid w:val="00AA72BE"/>
    <w:rsid w:val="00AA7B63"/>
    <w:rsid w:val="00AA7BF2"/>
    <w:rsid w:val="00AA7FD6"/>
    <w:rsid w:val="00AB042A"/>
    <w:rsid w:val="00AB08A6"/>
    <w:rsid w:val="00AB0D96"/>
    <w:rsid w:val="00AB11AD"/>
    <w:rsid w:val="00AB16A3"/>
    <w:rsid w:val="00AB16AC"/>
    <w:rsid w:val="00AB19EF"/>
    <w:rsid w:val="00AB1B57"/>
    <w:rsid w:val="00AB2495"/>
    <w:rsid w:val="00AB2D34"/>
    <w:rsid w:val="00AB331D"/>
    <w:rsid w:val="00AB3430"/>
    <w:rsid w:val="00AB37B9"/>
    <w:rsid w:val="00AB3BC6"/>
    <w:rsid w:val="00AB3E65"/>
    <w:rsid w:val="00AB3F1B"/>
    <w:rsid w:val="00AB4107"/>
    <w:rsid w:val="00AB46D5"/>
    <w:rsid w:val="00AB4AD1"/>
    <w:rsid w:val="00AB5410"/>
    <w:rsid w:val="00AB54CC"/>
    <w:rsid w:val="00AB5E07"/>
    <w:rsid w:val="00AB6058"/>
    <w:rsid w:val="00AB63E4"/>
    <w:rsid w:val="00AB6403"/>
    <w:rsid w:val="00AB72A0"/>
    <w:rsid w:val="00AB7321"/>
    <w:rsid w:val="00AB7391"/>
    <w:rsid w:val="00AB73A8"/>
    <w:rsid w:val="00AB73BF"/>
    <w:rsid w:val="00AB7CFA"/>
    <w:rsid w:val="00AB7DC3"/>
    <w:rsid w:val="00AC102C"/>
    <w:rsid w:val="00AC165A"/>
    <w:rsid w:val="00AC1DB4"/>
    <w:rsid w:val="00AC2041"/>
    <w:rsid w:val="00AC29AA"/>
    <w:rsid w:val="00AC2C68"/>
    <w:rsid w:val="00AC301E"/>
    <w:rsid w:val="00AC3763"/>
    <w:rsid w:val="00AC38A1"/>
    <w:rsid w:val="00AC3965"/>
    <w:rsid w:val="00AC47F2"/>
    <w:rsid w:val="00AC50A9"/>
    <w:rsid w:val="00AC5B42"/>
    <w:rsid w:val="00AC5B48"/>
    <w:rsid w:val="00AC61FF"/>
    <w:rsid w:val="00AC6B79"/>
    <w:rsid w:val="00AC72C9"/>
    <w:rsid w:val="00AC7C4D"/>
    <w:rsid w:val="00AD0A75"/>
    <w:rsid w:val="00AD0CAD"/>
    <w:rsid w:val="00AD144A"/>
    <w:rsid w:val="00AD1450"/>
    <w:rsid w:val="00AD15E8"/>
    <w:rsid w:val="00AD1B89"/>
    <w:rsid w:val="00AD1DA0"/>
    <w:rsid w:val="00AD2A80"/>
    <w:rsid w:val="00AD32BD"/>
    <w:rsid w:val="00AD350F"/>
    <w:rsid w:val="00AD356D"/>
    <w:rsid w:val="00AD3818"/>
    <w:rsid w:val="00AD4292"/>
    <w:rsid w:val="00AD45C1"/>
    <w:rsid w:val="00AD4907"/>
    <w:rsid w:val="00AD5AB8"/>
    <w:rsid w:val="00AD6502"/>
    <w:rsid w:val="00AD6A9E"/>
    <w:rsid w:val="00AD6ACF"/>
    <w:rsid w:val="00AE0133"/>
    <w:rsid w:val="00AE02FD"/>
    <w:rsid w:val="00AE0695"/>
    <w:rsid w:val="00AE0BAE"/>
    <w:rsid w:val="00AE0F7D"/>
    <w:rsid w:val="00AE1D3B"/>
    <w:rsid w:val="00AE1D45"/>
    <w:rsid w:val="00AE1D6C"/>
    <w:rsid w:val="00AE23AC"/>
    <w:rsid w:val="00AE23F9"/>
    <w:rsid w:val="00AE2F30"/>
    <w:rsid w:val="00AE3CE6"/>
    <w:rsid w:val="00AE3E7E"/>
    <w:rsid w:val="00AE487A"/>
    <w:rsid w:val="00AE4AB2"/>
    <w:rsid w:val="00AE5059"/>
    <w:rsid w:val="00AE59DC"/>
    <w:rsid w:val="00AE5F93"/>
    <w:rsid w:val="00AE6E14"/>
    <w:rsid w:val="00AE7E53"/>
    <w:rsid w:val="00AF04D3"/>
    <w:rsid w:val="00AF087A"/>
    <w:rsid w:val="00AF1315"/>
    <w:rsid w:val="00AF19BF"/>
    <w:rsid w:val="00AF1A4F"/>
    <w:rsid w:val="00AF245F"/>
    <w:rsid w:val="00AF2593"/>
    <w:rsid w:val="00AF25F1"/>
    <w:rsid w:val="00AF2862"/>
    <w:rsid w:val="00AF2DC3"/>
    <w:rsid w:val="00AF376B"/>
    <w:rsid w:val="00AF39F4"/>
    <w:rsid w:val="00AF3B66"/>
    <w:rsid w:val="00AF4A88"/>
    <w:rsid w:val="00AF5B2E"/>
    <w:rsid w:val="00AF6C4B"/>
    <w:rsid w:val="00AF72A0"/>
    <w:rsid w:val="00AF7659"/>
    <w:rsid w:val="00AF7D40"/>
    <w:rsid w:val="00B0032D"/>
    <w:rsid w:val="00B004A1"/>
    <w:rsid w:val="00B00CEF"/>
    <w:rsid w:val="00B00E72"/>
    <w:rsid w:val="00B025ED"/>
    <w:rsid w:val="00B030B9"/>
    <w:rsid w:val="00B033E5"/>
    <w:rsid w:val="00B03A63"/>
    <w:rsid w:val="00B03C78"/>
    <w:rsid w:val="00B047C0"/>
    <w:rsid w:val="00B04EDE"/>
    <w:rsid w:val="00B04FDD"/>
    <w:rsid w:val="00B05637"/>
    <w:rsid w:val="00B05C15"/>
    <w:rsid w:val="00B05E15"/>
    <w:rsid w:val="00B0682E"/>
    <w:rsid w:val="00B0688E"/>
    <w:rsid w:val="00B076DD"/>
    <w:rsid w:val="00B07906"/>
    <w:rsid w:val="00B102BA"/>
    <w:rsid w:val="00B1064A"/>
    <w:rsid w:val="00B11660"/>
    <w:rsid w:val="00B129A4"/>
    <w:rsid w:val="00B12B55"/>
    <w:rsid w:val="00B130AE"/>
    <w:rsid w:val="00B13191"/>
    <w:rsid w:val="00B139BE"/>
    <w:rsid w:val="00B141F2"/>
    <w:rsid w:val="00B14931"/>
    <w:rsid w:val="00B15185"/>
    <w:rsid w:val="00B155A1"/>
    <w:rsid w:val="00B15A51"/>
    <w:rsid w:val="00B15F3D"/>
    <w:rsid w:val="00B167A3"/>
    <w:rsid w:val="00B168C5"/>
    <w:rsid w:val="00B16907"/>
    <w:rsid w:val="00B16F4A"/>
    <w:rsid w:val="00B201A4"/>
    <w:rsid w:val="00B201D1"/>
    <w:rsid w:val="00B20A34"/>
    <w:rsid w:val="00B213A6"/>
    <w:rsid w:val="00B21F97"/>
    <w:rsid w:val="00B220FC"/>
    <w:rsid w:val="00B22B8E"/>
    <w:rsid w:val="00B22C8F"/>
    <w:rsid w:val="00B235B0"/>
    <w:rsid w:val="00B2383A"/>
    <w:rsid w:val="00B240DD"/>
    <w:rsid w:val="00B24BBB"/>
    <w:rsid w:val="00B24BC9"/>
    <w:rsid w:val="00B24DF6"/>
    <w:rsid w:val="00B25951"/>
    <w:rsid w:val="00B26873"/>
    <w:rsid w:val="00B26B9B"/>
    <w:rsid w:val="00B26CC7"/>
    <w:rsid w:val="00B27783"/>
    <w:rsid w:val="00B279D7"/>
    <w:rsid w:val="00B27A61"/>
    <w:rsid w:val="00B27F47"/>
    <w:rsid w:val="00B30623"/>
    <w:rsid w:val="00B309F6"/>
    <w:rsid w:val="00B30B9B"/>
    <w:rsid w:val="00B30CFA"/>
    <w:rsid w:val="00B30E69"/>
    <w:rsid w:val="00B31267"/>
    <w:rsid w:val="00B31450"/>
    <w:rsid w:val="00B32144"/>
    <w:rsid w:val="00B32DB1"/>
    <w:rsid w:val="00B33045"/>
    <w:rsid w:val="00B34CA2"/>
    <w:rsid w:val="00B34FE2"/>
    <w:rsid w:val="00B35166"/>
    <w:rsid w:val="00B35470"/>
    <w:rsid w:val="00B355A6"/>
    <w:rsid w:val="00B357D8"/>
    <w:rsid w:val="00B3590D"/>
    <w:rsid w:val="00B360F4"/>
    <w:rsid w:val="00B36459"/>
    <w:rsid w:val="00B36A00"/>
    <w:rsid w:val="00B36F96"/>
    <w:rsid w:val="00B3792B"/>
    <w:rsid w:val="00B37BFC"/>
    <w:rsid w:val="00B37DAD"/>
    <w:rsid w:val="00B40358"/>
    <w:rsid w:val="00B411E0"/>
    <w:rsid w:val="00B4153F"/>
    <w:rsid w:val="00B41543"/>
    <w:rsid w:val="00B41614"/>
    <w:rsid w:val="00B4182D"/>
    <w:rsid w:val="00B41EA4"/>
    <w:rsid w:val="00B41F92"/>
    <w:rsid w:val="00B42851"/>
    <w:rsid w:val="00B42AA7"/>
    <w:rsid w:val="00B42F80"/>
    <w:rsid w:val="00B43245"/>
    <w:rsid w:val="00B435CB"/>
    <w:rsid w:val="00B43756"/>
    <w:rsid w:val="00B43AB3"/>
    <w:rsid w:val="00B43B17"/>
    <w:rsid w:val="00B43B9D"/>
    <w:rsid w:val="00B43FCF"/>
    <w:rsid w:val="00B45298"/>
    <w:rsid w:val="00B457DE"/>
    <w:rsid w:val="00B45CBE"/>
    <w:rsid w:val="00B45CDA"/>
    <w:rsid w:val="00B465EC"/>
    <w:rsid w:val="00B4661B"/>
    <w:rsid w:val="00B471FD"/>
    <w:rsid w:val="00B47B13"/>
    <w:rsid w:val="00B5010E"/>
    <w:rsid w:val="00B501A3"/>
    <w:rsid w:val="00B5028F"/>
    <w:rsid w:val="00B505C8"/>
    <w:rsid w:val="00B50DB8"/>
    <w:rsid w:val="00B50F7F"/>
    <w:rsid w:val="00B53654"/>
    <w:rsid w:val="00B53905"/>
    <w:rsid w:val="00B53C03"/>
    <w:rsid w:val="00B540F4"/>
    <w:rsid w:val="00B5425D"/>
    <w:rsid w:val="00B546DB"/>
    <w:rsid w:val="00B54B5B"/>
    <w:rsid w:val="00B5562E"/>
    <w:rsid w:val="00B55862"/>
    <w:rsid w:val="00B559A5"/>
    <w:rsid w:val="00B55AFE"/>
    <w:rsid w:val="00B55C33"/>
    <w:rsid w:val="00B55D65"/>
    <w:rsid w:val="00B560E8"/>
    <w:rsid w:val="00B56305"/>
    <w:rsid w:val="00B5652C"/>
    <w:rsid w:val="00B565FE"/>
    <w:rsid w:val="00B57000"/>
    <w:rsid w:val="00B60162"/>
    <w:rsid w:val="00B60939"/>
    <w:rsid w:val="00B60AFD"/>
    <w:rsid w:val="00B60CFF"/>
    <w:rsid w:val="00B61E9B"/>
    <w:rsid w:val="00B620AF"/>
    <w:rsid w:val="00B62715"/>
    <w:rsid w:val="00B63264"/>
    <w:rsid w:val="00B636A1"/>
    <w:rsid w:val="00B63B3D"/>
    <w:rsid w:val="00B64D11"/>
    <w:rsid w:val="00B652E7"/>
    <w:rsid w:val="00B65611"/>
    <w:rsid w:val="00B6566E"/>
    <w:rsid w:val="00B6609D"/>
    <w:rsid w:val="00B666F8"/>
    <w:rsid w:val="00B667A6"/>
    <w:rsid w:val="00B67319"/>
    <w:rsid w:val="00B67618"/>
    <w:rsid w:val="00B67AD8"/>
    <w:rsid w:val="00B67DDF"/>
    <w:rsid w:val="00B67E19"/>
    <w:rsid w:val="00B701F5"/>
    <w:rsid w:val="00B706B7"/>
    <w:rsid w:val="00B70E8E"/>
    <w:rsid w:val="00B71BE1"/>
    <w:rsid w:val="00B72E4C"/>
    <w:rsid w:val="00B7386D"/>
    <w:rsid w:val="00B74F8A"/>
    <w:rsid w:val="00B757C5"/>
    <w:rsid w:val="00B75A1D"/>
    <w:rsid w:val="00B75C3B"/>
    <w:rsid w:val="00B75CD8"/>
    <w:rsid w:val="00B75F16"/>
    <w:rsid w:val="00B76C92"/>
    <w:rsid w:val="00B77346"/>
    <w:rsid w:val="00B774CF"/>
    <w:rsid w:val="00B80416"/>
    <w:rsid w:val="00B80482"/>
    <w:rsid w:val="00B80DAD"/>
    <w:rsid w:val="00B80EFD"/>
    <w:rsid w:val="00B81684"/>
    <w:rsid w:val="00B818A4"/>
    <w:rsid w:val="00B82376"/>
    <w:rsid w:val="00B82902"/>
    <w:rsid w:val="00B82AB6"/>
    <w:rsid w:val="00B83267"/>
    <w:rsid w:val="00B834B7"/>
    <w:rsid w:val="00B83739"/>
    <w:rsid w:val="00B8400D"/>
    <w:rsid w:val="00B84117"/>
    <w:rsid w:val="00B85186"/>
    <w:rsid w:val="00B85253"/>
    <w:rsid w:val="00B8531E"/>
    <w:rsid w:val="00B855D7"/>
    <w:rsid w:val="00B858F0"/>
    <w:rsid w:val="00B85AA2"/>
    <w:rsid w:val="00B85CFA"/>
    <w:rsid w:val="00B85EE0"/>
    <w:rsid w:val="00B85F16"/>
    <w:rsid w:val="00B8649C"/>
    <w:rsid w:val="00B8695D"/>
    <w:rsid w:val="00B87268"/>
    <w:rsid w:val="00B87876"/>
    <w:rsid w:val="00B87BF5"/>
    <w:rsid w:val="00B87C63"/>
    <w:rsid w:val="00B87F0A"/>
    <w:rsid w:val="00B901A3"/>
    <w:rsid w:val="00B90359"/>
    <w:rsid w:val="00B9098D"/>
    <w:rsid w:val="00B90F33"/>
    <w:rsid w:val="00B91A08"/>
    <w:rsid w:val="00B91CF0"/>
    <w:rsid w:val="00B92115"/>
    <w:rsid w:val="00B92AC9"/>
    <w:rsid w:val="00B92D0B"/>
    <w:rsid w:val="00B93119"/>
    <w:rsid w:val="00B93139"/>
    <w:rsid w:val="00B93161"/>
    <w:rsid w:val="00B93410"/>
    <w:rsid w:val="00B93661"/>
    <w:rsid w:val="00B938F8"/>
    <w:rsid w:val="00B93AEC"/>
    <w:rsid w:val="00B93B96"/>
    <w:rsid w:val="00B93F66"/>
    <w:rsid w:val="00B944F3"/>
    <w:rsid w:val="00B94664"/>
    <w:rsid w:val="00B94945"/>
    <w:rsid w:val="00B94959"/>
    <w:rsid w:val="00B94B3C"/>
    <w:rsid w:val="00B94DD6"/>
    <w:rsid w:val="00B95B4D"/>
    <w:rsid w:val="00B95DBA"/>
    <w:rsid w:val="00B9613F"/>
    <w:rsid w:val="00B96804"/>
    <w:rsid w:val="00B97011"/>
    <w:rsid w:val="00B9774B"/>
    <w:rsid w:val="00B97EE2"/>
    <w:rsid w:val="00BA15A6"/>
    <w:rsid w:val="00BA1DE7"/>
    <w:rsid w:val="00BA26B9"/>
    <w:rsid w:val="00BA288B"/>
    <w:rsid w:val="00BA322D"/>
    <w:rsid w:val="00BA3916"/>
    <w:rsid w:val="00BA3D3D"/>
    <w:rsid w:val="00BA4D17"/>
    <w:rsid w:val="00BA609A"/>
    <w:rsid w:val="00BA63FA"/>
    <w:rsid w:val="00BA720F"/>
    <w:rsid w:val="00BB00B3"/>
    <w:rsid w:val="00BB04D6"/>
    <w:rsid w:val="00BB0645"/>
    <w:rsid w:val="00BB0BDD"/>
    <w:rsid w:val="00BB14D7"/>
    <w:rsid w:val="00BB176C"/>
    <w:rsid w:val="00BB1AAE"/>
    <w:rsid w:val="00BB2811"/>
    <w:rsid w:val="00BB285A"/>
    <w:rsid w:val="00BB2914"/>
    <w:rsid w:val="00BB2A73"/>
    <w:rsid w:val="00BB2A87"/>
    <w:rsid w:val="00BB3207"/>
    <w:rsid w:val="00BB3376"/>
    <w:rsid w:val="00BB3A45"/>
    <w:rsid w:val="00BB3AE6"/>
    <w:rsid w:val="00BB45D9"/>
    <w:rsid w:val="00BB4ACC"/>
    <w:rsid w:val="00BB586C"/>
    <w:rsid w:val="00BB5AF5"/>
    <w:rsid w:val="00BB5CED"/>
    <w:rsid w:val="00BB5E35"/>
    <w:rsid w:val="00BB6149"/>
    <w:rsid w:val="00BB6EB6"/>
    <w:rsid w:val="00BB6FDA"/>
    <w:rsid w:val="00BB703E"/>
    <w:rsid w:val="00BB70EF"/>
    <w:rsid w:val="00BB732D"/>
    <w:rsid w:val="00BB7405"/>
    <w:rsid w:val="00BB767E"/>
    <w:rsid w:val="00BC0649"/>
    <w:rsid w:val="00BC1008"/>
    <w:rsid w:val="00BC17FF"/>
    <w:rsid w:val="00BC2123"/>
    <w:rsid w:val="00BC22F3"/>
    <w:rsid w:val="00BC22F9"/>
    <w:rsid w:val="00BC2325"/>
    <w:rsid w:val="00BC2C43"/>
    <w:rsid w:val="00BC30BA"/>
    <w:rsid w:val="00BC3631"/>
    <w:rsid w:val="00BC3B5E"/>
    <w:rsid w:val="00BC3E5B"/>
    <w:rsid w:val="00BC3ED0"/>
    <w:rsid w:val="00BC42DE"/>
    <w:rsid w:val="00BC4C2C"/>
    <w:rsid w:val="00BC536D"/>
    <w:rsid w:val="00BC591F"/>
    <w:rsid w:val="00BC59E1"/>
    <w:rsid w:val="00BC5E95"/>
    <w:rsid w:val="00BC5F8B"/>
    <w:rsid w:val="00BC792C"/>
    <w:rsid w:val="00BC7AF6"/>
    <w:rsid w:val="00BC7D6D"/>
    <w:rsid w:val="00BD077C"/>
    <w:rsid w:val="00BD08BF"/>
    <w:rsid w:val="00BD0D04"/>
    <w:rsid w:val="00BD16D6"/>
    <w:rsid w:val="00BD2108"/>
    <w:rsid w:val="00BD2242"/>
    <w:rsid w:val="00BD2363"/>
    <w:rsid w:val="00BD24A0"/>
    <w:rsid w:val="00BD24DA"/>
    <w:rsid w:val="00BD2EA9"/>
    <w:rsid w:val="00BD30F7"/>
    <w:rsid w:val="00BD3852"/>
    <w:rsid w:val="00BD4AFF"/>
    <w:rsid w:val="00BD5351"/>
    <w:rsid w:val="00BD546B"/>
    <w:rsid w:val="00BD5483"/>
    <w:rsid w:val="00BD68A3"/>
    <w:rsid w:val="00BD6938"/>
    <w:rsid w:val="00BD6ABA"/>
    <w:rsid w:val="00BD6B41"/>
    <w:rsid w:val="00BD6CF3"/>
    <w:rsid w:val="00BD7F72"/>
    <w:rsid w:val="00BE0290"/>
    <w:rsid w:val="00BE0471"/>
    <w:rsid w:val="00BE0E6E"/>
    <w:rsid w:val="00BE0ECA"/>
    <w:rsid w:val="00BE133E"/>
    <w:rsid w:val="00BE2180"/>
    <w:rsid w:val="00BE21F2"/>
    <w:rsid w:val="00BE24FC"/>
    <w:rsid w:val="00BE2551"/>
    <w:rsid w:val="00BE2585"/>
    <w:rsid w:val="00BE2714"/>
    <w:rsid w:val="00BE3B9A"/>
    <w:rsid w:val="00BE4077"/>
    <w:rsid w:val="00BE4275"/>
    <w:rsid w:val="00BE4A4A"/>
    <w:rsid w:val="00BE68D7"/>
    <w:rsid w:val="00BE6D12"/>
    <w:rsid w:val="00BF018F"/>
    <w:rsid w:val="00BF06AE"/>
    <w:rsid w:val="00BF0F31"/>
    <w:rsid w:val="00BF0F95"/>
    <w:rsid w:val="00BF14FF"/>
    <w:rsid w:val="00BF1830"/>
    <w:rsid w:val="00BF224D"/>
    <w:rsid w:val="00BF2433"/>
    <w:rsid w:val="00BF2B68"/>
    <w:rsid w:val="00BF2E2A"/>
    <w:rsid w:val="00BF2E6E"/>
    <w:rsid w:val="00BF3012"/>
    <w:rsid w:val="00BF308E"/>
    <w:rsid w:val="00BF3105"/>
    <w:rsid w:val="00BF3B6C"/>
    <w:rsid w:val="00BF3CA9"/>
    <w:rsid w:val="00BF3E17"/>
    <w:rsid w:val="00BF3E5D"/>
    <w:rsid w:val="00BF5961"/>
    <w:rsid w:val="00BF5982"/>
    <w:rsid w:val="00BF604D"/>
    <w:rsid w:val="00BF61C9"/>
    <w:rsid w:val="00BF6C94"/>
    <w:rsid w:val="00BF7076"/>
    <w:rsid w:val="00BF7EDD"/>
    <w:rsid w:val="00C00424"/>
    <w:rsid w:val="00C00727"/>
    <w:rsid w:val="00C00BB0"/>
    <w:rsid w:val="00C00E28"/>
    <w:rsid w:val="00C00F0B"/>
    <w:rsid w:val="00C01573"/>
    <w:rsid w:val="00C01C02"/>
    <w:rsid w:val="00C01D64"/>
    <w:rsid w:val="00C026EF"/>
    <w:rsid w:val="00C03E48"/>
    <w:rsid w:val="00C053DC"/>
    <w:rsid w:val="00C05544"/>
    <w:rsid w:val="00C0584E"/>
    <w:rsid w:val="00C06003"/>
    <w:rsid w:val="00C070AA"/>
    <w:rsid w:val="00C075FA"/>
    <w:rsid w:val="00C07C9D"/>
    <w:rsid w:val="00C10295"/>
    <w:rsid w:val="00C105D0"/>
    <w:rsid w:val="00C10A2A"/>
    <w:rsid w:val="00C10B9C"/>
    <w:rsid w:val="00C11136"/>
    <w:rsid w:val="00C11693"/>
    <w:rsid w:val="00C1179F"/>
    <w:rsid w:val="00C11AB0"/>
    <w:rsid w:val="00C12260"/>
    <w:rsid w:val="00C127B9"/>
    <w:rsid w:val="00C128FA"/>
    <w:rsid w:val="00C12AE0"/>
    <w:rsid w:val="00C12C14"/>
    <w:rsid w:val="00C12FEB"/>
    <w:rsid w:val="00C13125"/>
    <w:rsid w:val="00C13147"/>
    <w:rsid w:val="00C13E72"/>
    <w:rsid w:val="00C142FB"/>
    <w:rsid w:val="00C1517A"/>
    <w:rsid w:val="00C15295"/>
    <w:rsid w:val="00C15BE8"/>
    <w:rsid w:val="00C15F04"/>
    <w:rsid w:val="00C161CB"/>
    <w:rsid w:val="00C16A66"/>
    <w:rsid w:val="00C16BA0"/>
    <w:rsid w:val="00C16C46"/>
    <w:rsid w:val="00C16CEC"/>
    <w:rsid w:val="00C1786E"/>
    <w:rsid w:val="00C178CD"/>
    <w:rsid w:val="00C179B3"/>
    <w:rsid w:val="00C17E3F"/>
    <w:rsid w:val="00C200AA"/>
    <w:rsid w:val="00C2044D"/>
    <w:rsid w:val="00C2083E"/>
    <w:rsid w:val="00C20D37"/>
    <w:rsid w:val="00C21BB3"/>
    <w:rsid w:val="00C21BEF"/>
    <w:rsid w:val="00C222C9"/>
    <w:rsid w:val="00C237ED"/>
    <w:rsid w:val="00C23BE7"/>
    <w:rsid w:val="00C24632"/>
    <w:rsid w:val="00C24A50"/>
    <w:rsid w:val="00C24C04"/>
    <w:rsid w:val="00C24EA3"/>
    <w:rsid w:val="00C25418"/>
    <w:rsid w:val="00C254DC"/>
    <w:rsid w:val="00C25D9C"/>
    <w:rsid w:val="00C26216"/>
    <w:rsid w:val="00C2721B"/>
    <w:rsid w:val="00C2778B"/>
    <w:rsid w:val="00C278C5"/>
    <w:rsid w:val="00C278D8"/>
    <w:rsid w:val="00C27910"/>
    <w:rsid w:val="00C302C6"/>
    <w:rsid w:val="00C30EA0"/>
    <w:rsid w:val="00C30F2F"/>
    <w:rsid w:val="00C31072"/>
    <w:rsid w:val="00C31649"/>
    <w:rsid w:val="00C3196E"/>
    <w:rsid w:val="00C3434C"/>
    <w:rsid w:val="00C34559"/>
    <w:rsid w:val="00C349C1"/>
    <w:rsid w:val="00C34A69"/>
    <w:rsid w:val="00C34AC4"/>
    <w:rsid w:val="00C34D2F"/>
    <w:rsid w:val="00C35090"/>
    <w:rsid w:val="00C35350"/>
    <w:rsid w:val="00C35B57"/>
    <w:rsid w:val="00C35ED6"/>
    <w:rsid w:val="00C360CD"/>
    <w:rsid w:val="00C3635A"/>
    <w:rsid w:val="00C369D9"/>
    <w:rsid w:val="00C371AF"/>
    <w:rsid w:val="00C3765E"/>
    <w:rsid w:val="00C377E0"/>
    <w:rsid w:val="00C37A5C"/>
    <w:rsid w:val="00C37E32"/>
    <w:rsid w:val="00C401F5"/>
    <w:rsid w:val="00C40297"/>
    <w:rsid w:val="00C40309"/>
    <w:rsid w:val="00C40385"/>
    <w:rsid w:val="00C407D4"/>
    <w:rsid w:val="00C41768"/>
    <w:rsid w:val="00C428FD"/>
    <w:rsid w:val="00C43696"/>
    <w:rsid w:val="00C43978"/>
    <w:rsid w:val="00C43984"/>
    <w:rsid w:val="00C43AE4"/>
    <w:rsid w:val="00C445DF"/>
    <w:rsid w:val="00C45BE2"/>
    <w:rsid w:val="00C45D0A"/>
    <w:rsid w:val="00C46396"/>
    <w:rsid w:val="00C46455"/>
    <w:rsid w:val="00C46B73"/>
    <w:rsid w:val="00C475AA"/>
    <w:rsid w:val="00C479EB"/>
    <w:rsid w:val="00C508D7"/>
    <w:rsid w:val="00C511C0"/>
    <w:rsid w:val="00C512E3"/>
    <w:rsid w:val="00C52045"/>
    <w:rsid w:val="00C527C7"/>
    <w:rsid w:val="00C52BED"/>
    <w:rsid w:val="00C52D23"/>
    <w:rsid w:val="00C53C98"/>
    <w:rsid w:val="00C54C97"/>
    <w:rsid w:val="00C55529"/>
    <w:rsid w:val="00C55543"/>
    <w:rsid w:val="00C55737"/>
    <w:rsid w:val="00C55CA1"/>
    <w:rsid w:val="00C5625C"/>
    <w:rsid w:val="00C5658B"/>
    <w:rsid w:val="00C56610"/>
    <w:rsid w:val="00C56846"/>
    <w:rsid w:val="00C56FCF"/>
    <w:rsid w:val="00C572F6"/>
    <w:rsid w:val="00C57B6C"/>
    <w:rsid w:val="00C57DEA"/>
    <w:rsid w:val="00C600B5"/>
    <w:rsid w:val="00C6019B"/>
    <w:rsid w:val="00C60624"/>
    <w:rsid w:val="00C60A91"/>
    <w:rsid w:val="00C60BC9"/>
    <w:rsid w:val="00C60C55"/>
    <w:rsid w:val="00C61383"/>
    <w:rsid w:val="00C617F1"/>
    <w:rsid w:val="00C61A59"/>
    <w:rsid w:val="00C61C15"/>
    <w:rsid w:val="00C623DF"/>
    <w:rsid w:val="00C625D2"/>
    <w:rsid w:val="00C6268D"/>
    <w:rsid w:val="00C6273A"/>
    <w:rsid w:val="00C628A6"/>
    <w:rsid w:val="00C6408E"/>
    <w:rsid w:val="00C64344"/>
    <w:rsid w:val="00C648E9"/>
    <w:rsid w:val="00C65108"/>
    <w:rsid w:val="00C65576"/>
    <w:rsid w:val="00C65616"/>
    <w:rsid w:val="00C6572A"/>
    <w:rsid w:val="00C659C1"/>
    <w:rsid w:val="00C65B57"/>
    <w:rsid w:val="00C66165"/>
    <w:rsid w:val="00C66E8E"/>
    <w:rsid w:val="00C676A1"/>
    <w:rsid w:val="00C70029"/>
    <w:rsid w:val="00C7042B"/>
    <w:rsid w:val="00C7060A"/>
    <w:rsid w:val="00C706EB"/>
    <w:rsid w:val="00C710C7"/>
    <w:rsid w:val="00C7151A"/>
    <w:rsid w:val="00C717E3"/>
    <w:rsid w:val="00C71F60"/>
    <w:rsid w:val="00C72241"/>
    <w:rsid w:val="00C72C54"/>
    <w:rsid w:val="00C72EFA"/>
    <w:rsid w:val="00C7330F"/>
    <w:rsid w:val="00C73FDE"/>
    <w:rsid w:val="00C7465A"/>
    <w:rsid w:val="00C74A0B"/>
    <w:rsid w:val="00C750C8"/>
    <w:rsid w:val="00C752DB"/>
    <w:rsid w:val="00C754CD"/>
    <w:rsid w:val="00C7555E"/>
    <w:rsid w:val="00C75570"/>
    <w:rsid w:val="00C7560F"/>
    <w:rsid w:val="00C76409"/>
    <w:rsid w:val="00C80A0E"/>
    <w:rsid w:val="00C80D1B"/>
    <w:rsid w:val="00C81A44"/>
    <w:rsid w:val="00C81EAD"/>
    <w:rsid w:val="00C82076"/>
    <w:rsid w:val="00C8213F"/>
    <w:rsid w:val="00C8303F"/>
    <w:rsid w:val="00C8318C"/>
    <w:rsid w:val="00C83D9F"/>
    <w:rsid w:val="00C85027"/>
    <w:rsid w:val="00C85154"/>
    <w:rsid w:val="00C853EF"/>
    <w:rsid w:val="00C85A70"/>
    <w:rsid w:val="00C85C21"/>
    <w:rsid w:val="00C85E59"/>
    <w:rsid w:val="00C86705"/>
    <w:rsid w:val="00C869B6"/>
    <w:rsid w:val="00C86AE5"/>
    <w:rsid w:val="00C87671"/>
    <w:rsid w:val="00C87806"/>
    <w:rsid w:val="00C87821"/>
    <w:rsid w:val="00C8797A"/>
    <w:rsid w:val="00C900B8"/>
    <w:rsid w:val="00C90197"/>
    <w:rsid w:val="00C90C71"/>
    <w:rsid w:val="00C90F89"/>
    <w:rsid w:val="00C91F39"/>
    <w:rsid w:val="00C91FD1"/>
    <w:rsid w:val="00C92203"/>
    <w:rsid w:val="00C9232A"/>
    <w:rsid w:val="00C92C90"/>
    <w:rsid w:val="00C92DE7"/>
    <w:rsid w:val="00C93143"/>
    <w:rsid w:val="00C931CF"/>
    <w:rsid w:val="00C938CF"/>
    <w:rsid w:val="00C94053"/>
    <w:rsid w:val="00C9408E"/>
    <w:rsid w:val="00C944A5"/>
    <w:rsid w:val="00C945D3"/>
    <w:rsid w:val="00C9520E"/>
    <w:rsid w:val="00C95909"/>
    <w:rsid w:val="00C95E56"/>
    <w:rsid w:val="00C9624D"/>
    <w:rsid w:val="00C96362"/>
    <w:rsid w:val="00C963BE"/>
    <w:rsid w:val="00C969DA"/>
    <w:rsid w:val="00C96DF8"/>
    <w:rsid w:val="00C96F4D"/>
    <w:rsid w:val="00C973E5"/>
    <w:rsid w:val="00CA0746"/>
    <w:rsid w:val="00CA0A94"/>
    <w:rsid w:val="00CA12D0"/>
    <w:rsid w:val="00CA1504"/>
    <w:rsid w:val="00CA1C6A"/>
    <w:rsid w:val="00CA23E6"/>
    <w:rsid w:val="00CA2C77"/>
    <w:rsid w:val="00CA300A"/>
    <w:rsid w:val="00CA32C9"/>
    <w:rsid w:val="00CA36C0"/>
    <w:rsid w:val="00CA36C2"/>
    <w:rsid w:val="00CA39A0"/>
    <w:rsid w:val="00CA444F"/>
    <w:rsid w:val="00CA4603"/>
    <w:rsid w:val="00CA48CC"/>
    <w:rsid w:val="00CA48E7"/>
    <w:rsid w:val="00CA5245"/>
    <w:rsid w:val="00CA539B"/>
    <w:rsid w:val="00CA56FB"/>
    <w:rsid w:val="00CA5EE8"/>
    <w:rsid w:val="00CA62A3"/>
    <w:rsid w:val="00CA6F9D"/>
    <w:rsid w:val="00CA71F4"/>
    <w:rsid w:val="00CA76DA"/>
    <w:rsid w:val="00CA7B09"/>
    <w:rsid w:val="00CA7E54"/>
    <w:rsid w:val="00CB05D4"/>
    <w:rsid w:val="00CB12A5"/>
    <w:rsid w:val="00CB12C3"/>
    <w:rsid w:val="00CB1373"/>
    <w:rsid w:val="00CB1656"/>
    <w:rsid w:val="00CB19C0"/>
    <w:rsid w:val="00CB1C9A"/>
    <w:rsid w:val="00CB1CAC"/>
    <w:rsid w:val="00CB1E2C"/>
    <w:rsid w:val="00CB2247"/>
    <w:rsid w:val="00CB247B"/>
    <w:rsid w:val="00CB2F2A"/>
    <w:rsid w:val="00CB31E4"/>
    <w:rsid w:val="00CB3CD3"/>
    <w:rsid w:val="00CB3D21"/>
    <w:rsid w:val="00CB4C85"/>
    <w:rsid w:val="00CB5137"/>
    <w:rsid w:val="00CB5749"/>
    <w:rsid w:val="00CB5B1A"/>
    <w:rsid w:val="00CB67D7"/>
    <w:rsid w:val="00CB6B22"/>
    <w:rsid w:val="00CB6D51"/>
    <w:rsid w:val="00CB6FA1"/>
    <w:rsid w:val="00CB7032"/>
    <w:rsid w:val="00CB719C"/>
    <w:rsid w:val="00CB79ED"/>
    <w:rsid w:val="00CB7EBC"/>
    <w:rsid w:val="00CB7F5F"/>
    <w:rsid w:val="00CC18C2"/>
    <w:rsid w:val="00CC1B39"/>
    <w:rsid w:val="00CC1BFA"/>
    <w:rsid w:val="00CC1C16"/>
    <w:rsid w:val="00CC28DF"/>
    <w:rsid w:val="00CC2D7A"/>
    <w:rsid w:val="00CC2E9F"/>
    <w:rsid w:val="00CC30DA"/>
    <w:rsid w:val="00CC35EA"/>
    <w:rsid w:val="00CC3848"/>
    <w:rsid w:val="00CC390C"/>
    <w:rsid w:val="00CC42EE"/>
    <w:rsid w:val="00CC5BA3"/>
    <w:rsid w:val="00CC5DE8"/>
    <w:rsid w:val="00CC6389"/>
    <w:rsid w:val="00CC6436"/>
    <w:rsid w:val="00CC6A3A"/>
    <w:rsid w:val="00CC6D5E"/>
    <w:rsid w:val="00CC792A"/>
    <w:rsid w:val="00CC7C0F"/>
    <w:rsid w:val="00CC7CC1"/>
    <w:rsid w:val="00CC7CFA"/>
    <w:rsid w:val="00CC7F9D"/>
    <w:rsid w:val="00CD0200"/>
    <w:rsid w:val="00CD0D5F"/>
    <w:rsid w:val="00CD1022"/>
    <w:rsid w:val="00CD1699"/>
    <w:rsid w:val="00CD19F7"/>
    <w:rsid w:val="00CD1C95"/>
    <w:rsid w:val="00CD1ECD"/>
    <w:rsid w:val="00CD1FCF"/>
    <w:rsid w:val="00CD2280"/>
    <w:rsid w:val="00CD2C9C"/>
    <w:rsid w:val="00CD32A9"/>
    <w:rsid w:val="00CD3841"/>
    <w:rsid w:val="00CD3D82"/>
    <w:rsid w:val="00CD3F77"/>
    <w:rsid w:val="00CD442D"/>
    <w:rsid w:val="00CD477D"/>
    <w:rsid w:val="00CD4ECB"/>
    <w:rsid w:val="00CD4F12"/>
    <w:rsid w:val="00CD4F38"/>
    <w:rsid w:val="00CD6762"/>
    <w:rsid w:val="00CD6ADC"/>
    <w:rsid w:val="00CD6B28"/>
    <w:rsid w:val="00CD6D48"/>
    <w:rsid w:val="00CD6E29"/>
    <w:rsid w:val="00CD7193"/>
    <w:rsid w:val="00CE0066"/>
    <w:rsid w:val="00CE0484"/>
    <w:rsid w:val="00CE08BF"/>
    <w:rsid w:val="00CE0CD7"/>
    <w:rsid w:val="00CE0F6C"/>
    <w:rsid w:val="00CE105C"/>
    <w:rsid w:val="00CE18F7"/>
    <w:rsid w:val="00CE1AED"/>
    <w:rsid w:val="00CE1D79"/>
    <w:rsid w:val="00CE260C"/>
    <w:rsid w:val="00CE2E57"/>
    <w:rsid w:val="00CE30D2"/>
    <w:rsid w:val="00CE3182"/>
    <w:rsid w:val="00CE35A1"/>
    <w:rsid w:val="00CE38C8"/>
    <w:rsid w:val="00CE41A2"/>
    <w:rsid w:val="00CE41B0"/>
    <w:rsid w:val="00CE430B"/>
    <w:rsid w:val="00CE45C7"/>
    <w:rsid w:val="00CE524F"/>
    <w:rsid w:val="00CE55F7"/>
    <w:rsid w:val="00CE58CC"/>
    <w:rsid w:val="00CE59CB"/>
    <w:rsid w:val="00CE60FD"/>
    <w:rsid w:val="00CE6274"/>
    <w:rsid w:val="00CE630D"/>
    <w:rsid w:val="00CE6647"/>
    <w:rsid w:val="00CE6E55"/>
    <w:rsid w:val="00CE6FB4"/>
    <w:rsid w:val="00CE77B6"/>
    <w:rsid w:val="00CE7D7D"/>
    <w:rsid w:val="00CE7FE0"/>
    <w:rsid w:val="00CF07A6"/>
    <w:rsid w:val="00CF0D95"/>
    <w:rsid w:val="00CF2516"/>
    <w:rsid w:val="00CF295A"/>
    <w:rsid w:val="00CF2B8D"/>
    <w:rsid w:val="00CF2BF5"/>
    <w:rsid w:val="00CF2F1D"/>
    <w:rsid w:val="00CF2FC0"/>
    <w:rsid w:val="00CF32B3"/>
    <w:rsid w:val="00CF338A"/>
    <w:rsid w:val="00CF3A1B"/>
    <w:rsid w:val="00CF3F2D"/>
    <w:rsid w:val="00CF3FBB"/>
    <w:rsid w:val="00CF456B"/>
    <w:rsid w:val="00CF48AC"/>
    <w:rsid w:val="00CF4B99"/>
    <w:rsid w:val="00CF4EF9"/>
    <w:rsid w:val="00CF5A22"/>
    <w:rsid w:val="00CF5B56"/>
    <w:rsid w:val="00CF5C85"/>
    <w:rsid w:val="00CF67FB"/>
    <w:rsid w:val="00CF7019"/>
    <w:rsid w:val="00CF7AE5"/>
    <w:rsid w:val="00D0044C"/>
    <w:rsid w:val="00D0061E"/>
    <w:rsid w:val="00D007EC"/>
    <w:rsid w:val="00D01849"/>
    <w:rsid w:val="00D01F25"/>
    <w:rsid w:val="00D0262E"/>
    <w:rsid w:val="00D030B9"/>
    <w:rsid w:val="00D032FA"/>
    <w:rsid w:val="00D03679"/>
    <w:rsid w:val="00D04031"/>
    <w:rsid w:val="00D04A62"/>
    <w:rsid w:val="00D0570A"/>
    <w:rsid w:val="00D05739"/>
    <w:rsid w:val="00D05A20"/>
    <w:rsid w:val="00D05E3D"/>
    <w:rsid w:val="00D06139"/>
    <w:rsid w:val="00D0640A"/>
    <w:rsid w:val="00D0676E"/>
    <w:rsid w:val="00D06D9D"/>
    <w:rsid w:val="00D06E0D"/>
    <w:rsid w:val="00D06F59"/>
    <w:rsid w:val="00D0700D"/>
    <w:rsid w:val="00D105C9"/>
    <w:rsid w:val="00D106E6"/>
    <w:rsid w:val="00D10F4A"/>
    <w:rsid w:val="00D110BD"/>
    <w:rsid w:val="00D113AB"/>
    <w:rsid w:val="00D11D29"/>
    <w:rsid w:val="00D12476"/>
    <w:rsid w:val="00D1271F"/>
    <w:rsid w:val="00D12781"/>
    <w:rsid w:val="00D128AA"/>
    <w:rsid w:val="00D12A95"/>
    <w:rsid w:val="00D12B56"/>
    <w:rsid w:val="00D13192"/>
    <w:rsid w:val="00D132EE"/>
    <w:rsid w:val="00D13515"/>
    <w:rsid w:val="00D1363D"/>
    <w:rsid w:val="00D13675"/>
    <w:rsid w:val="00D1412E"/>
    <w:rsid w:val="00D141E1"/>
    <w:rsid w:val="00D15314"/>
    <w:rsid w:val="00D15329"/>
    <w:rsid w:val="00D15B48"/>
    <w:rsid w:val="00D1797A"/>
    <w:rsid w:val="00D17D6C"/>
    <w:rsid w:val="00D211B5"/>
    <w:rsid w:val="00D21345"/>
    <w:rsid w:val="00D21540"/>
    <w:rsid w:val="00D2155B"/>
    <w:rsid w:val="00D219FB"/>
    <w:rsid w:val="00D21A34"/>
    <w:rsid w:val="00D21EDB"/>
    <w:rsid w:val="00D22496"/>
    <w:rsid w:val="00D22894"/>
    <w:rsid w:val="00D22C73"/>
    <w:rsid w:val="00D22E24"/>
    <w:rsid w:val="00D2350E"/>
    <w:rsid w:val="00D23A98"/>
    <w:rsid w:val="00D23AF1"/>
    <w:rsid w:val="00D23BD7"/>
    <w:rsid w:val="00D23D11"/>
    <w:rsid w:val="00D23FEC"/>
    <w:rsid w:val="00D244B6"/>
    <w:rsid w:val="00D25142"/>
    <w:rsid w:val="00D25323"/>
    <w:rsid w:val="00D25779"/>
    <w:rsid w:val="00D2598E"/>
    <w:rsid w:val="00D25DDC"/>
    <w:rsid w:val="00D262E8"/>
    <w:rsid w:val="00D26CA4"/>
    <w:rsid w:val="00D2754D"/>
    <w:rsid w:val="00D27B27"/>
    <w:rsid w:val="00D3010D"/>
    <w:rsid w:val="00D303AB"/>
    <w:rsid w:val="00D3042C"/>
    <w:rsid w:val="00D30837"/>
    <w:rsid w:val="00D30D5B"/>
    <w:rsid w:val="00D31414"/>
    <w:rsid w:val="00D3228F"/>
    <w:rsid w:val="00D3278D"/>
    <w:rsid w:val="00D3309D"/>
    <w:rsid w:val="00D33282"/>
    <w:rsid w:val="00D33BE9"/>
    <w:rsid w:val="00D33F93"/>
    <w:rsid w:val="00D348CC"/>
    <w:rsid w:val="00D3494B"/>
    <w:rsid w:val="00D34D54"/>
    <w:rsid w:val="00D35595"/>
    <w:rsid w:val="00D355DA"/>
    <w:rsid w:val="00D357FF"/>
    <w:rsid w:val="00D35D3D"/>
    <w:rsid w:val="00D36148"/>
    <w:rsid w:val="00D362F3"/>
    <w:rsid w:val="00D36B44"/>
    <w:rsid w:val="00D37B58"/>
    <w:rsid w:val="00D40568"/>
    <w:rsid w:val="00D40B7D"/>
    <w:rsid w:val="00D41CC3"/>
    <w:rsid w:val="00D42148"/>
    <w:rsid w:val="00D424C7"/>
    <w:rsid w:val="00D43036"/>
    <w:rsid w:val="00D43319"/>
    <w:rsid w:val="00D4355A"/>
    <w:rsid w:val="00D436EA"/>
    <w:rsid w:val="00D43767"/>
    <w:rsid w:val="00D43B2A"/>
    <w:rsid w:val="00D43CF1"/>
    <w:rsid w:val="00D43D83"/>
    <w:rsid w:val="00D4417C"/>
    <w:rsid w:val="00D445D3"/>
    <w:rsid w:val="00D44E74"/>
    <w:rsid w:val="00D450B6"/>
    <w:rsid w:val="00D45AEF"/>
    <w:rsid w:val="00D46BAC"/>
    <w:rsid w:val="00D46F2F"/>
    <w:rsid w:val="00D47575"/>
    <w:rsid w:val="00D50025"/>
    <w:rsid w:val="00D5032D"/>
    <w:rsid w:val="00D509F0"/>
    <w:rsid w:val="00D50C91"/>
    <w:rsid w:val="00D50D10"/>
    <w:rsid w:val="00D50EEC"/>
    <w:rsid w:val="00D512A0"/>
    <w:rsid w:val="00D514CA"/>
    <w:rsid w:val="00D51783"/>
    <w:rsid w:val="00D5243B"/>
    <w:rsid w:val="00D52A62"/>
    <w:rsid w:val="00D52ABF"/>
    <w:rsid w:val="00D52E49"/>
    <w:rsid w:val="00D533EC"/>
    <w:rsid w:val="00D54061"/>
    <w:rsid w:val="00D54575"/>
    <w:rsid w:val="00D54882"/>
    <w:rsid w:val="00D5679A"/>
    <w:rsid w:val="00D56815"/>
    <w:rsid w:val="00D56A95"/>
    <w:rsid w:val="00D57F41"/>
    <w:rsid w:val="00D60057"/>
    <w:rsid w:val="00D60146"/>
    <w:rsid w:val="00D6016C"/>
    <w:rsid w:val="00D60577"/>
    <w:rsid w:val="00D6076E"/>
    <w:rsid w:val="00D6170B"/>
    <w:rsid w:val="00D61CA6"/>
    <w:rsid w:val="00D62FCB"/>
    <w:rsid w:val="00D6343D"/>
    <w:rsid w:val="00D63730"/>
    <w:rsid w:val="00D63A53"/>
    <w:rsid w:val="00D6432B"/>
    <w:rsid w:val="00D64E6B"/>
    <w:rsid w:val="00D65157"/>
    <w:rsid w:val="00D65279"/>
    <w:rsid w:val="00D66E64"/>
    <w:rsid w:val="00D67784"/>
    <w:rsid w:val="00D67976"/>
    <w:rsid w:val="00D67C72"/>
    <w:rsid w:val="00D70F16"/>
    <w:rsid w:val="00D716C2"/>
    <w:rsid w:val="00D71BD4"/>
    <w:rsid w:val="00D71E53"/>
    <w:rsid w:val="00D725CB"/>
    <w:rsid w:val="00D72617"/>
    <w:rsid w:val="00D72F57"/>
    <w:rsid w:val="00D72FA1"/>
    <w:rsid w:val="00D73662"/>
    <w:rsid w:val="00D748A0"/>
    <w:rsid w:val="00D75363"/>
    <w:rsid w:val="00D75493"/>
    <w:rsid w:val="00D755F0"/>
    <w:rsid w:val="00D7567C"/>
    <w:rsid w:val="00D75735"/>
    <w:rsid w:val="00D75CC5"/>
    <w:rsid w:val="00D760EC"/>
    <w:rsid w:val="00D763B4"/>
    <w:rsid w:val="00D76A44"/>
    <w:rsid w:val="00D76B23"/>
    <w:rsid w:val="00D812F2"/>
    <w:rsid w:val="00D81428"/>
    <w:rsid w:val="00D815EF"/>
    <w:rsid w:val="00D81949"/>
    <w:rsid w:val="00D81F26"/>
    <w:rsid w:val="00D821C7"/>
    <w:rsid w:val="00D822E2"/>
    <w:rsid w:val="00D824F1"/>
    <w:rsid w:val="00D82BF0"/>
    <w:rsid w:val="00D836D1"/>
    <w:rsid w:val="00D83985"/>
    <w:rsid w:val="00D83C6B"/>
    <w:rsid w:val="00D843F2"/>
    <w:rsid w:val="00D86231"/>
    <w:rsid w:val="00D872CB"/>
    <w:rsid w:val="00D879D0"/>
    <w:rsid w:val="00D87FE0"/>
    <w:rsid w:val="00D900B0"/>
    <w:rsid w:val="00D90543"/>
    <w:rsid w:val="00D9094B"/>
    <w:rsid w:val="00D90DA9"/>
    <w:rsid w:val="00D91261"/>
    <w:rsid w:val="00D912AB"/>
    <w:rsid w:val="00D91443"/>
    <w:rsid w:val="00D91923"/>
    <w:rsid w:val="00D91B26"/>
    <w:rsid w:val="00D91CD5"/>
    <w:rsid w:val="00D92C9F"/>
    <w:rsid w:val="00D92D45"/>
    <w:rsid w:val="00D92D9D"/>
    <w:rsid w:val="00D9334B"/>
    <w:rsid w:val="00D93753"/>
    <w:rsid w:val="00D94249"/>
    <w:rsid w:val="00D9487F"/>
    <w:rsid w:val="00D94B4B"/>
    <w:rsid w:val="00D94E3A"/>
    <w:rsid w:val="00D952CF"/>
    <w:rsid w:val="00D95B0A"/>
    <w:rsid w:val="00D95B8F"/>
    <w:rsid w:val="00D96146"/>
    <w:rsid w:val="00D974C0"/>
    <w:rsid w:val="00D97CCC"/>
    <w:rsid w:val="00DA008B"/>
    <w:rsid w:val="00DA0E79"/>
    <w:rsid w:val="00DA1E99"/>
    <w:rsid w:val="00DA21D2"/>
    <w:rsid w:val="00DA2464"/>
    <w:rsid w:val="00DA2600"/>
    <w:rsid w:val="00DA2E45"/>
    <w:rsid w:val="00DA2F46"/>
    <w:rsid w:val="00DA3167"/>
    <w:rsid w:val="00DA332D"/>
    <w:rsid w:val="00DA33E0"/>
    <w:rsid w:val="00DA3C03"/>
    <w:rsid w:val="00DA433D"/>
    <w:rsid w:val="00DA4DC3"/>
    <w:rsid w:val="00DA4F53"/>
    <w:rsid w:val="00DA6144"/>
    <w:rsid w:val="00DA628F"/>
    <w:rsid w:val="00DA64A4"/>
    <w:rsid w:val="00DA77A5"/>
    <w:rsid w:val="00DA7923"/>
    <w:rsid w:val="00DA7FC6"/>
    <w:rsid w:val="00DB0937"/>
    <w:rsid w:val="00DB0A49"/>
    <w:rsid w:val="00DB0CF9"/>
    <w:rsid w:val="00DB0D93"/>
    <w:rsid w:val="00DB0E36"/>
    <w:rsid w:val="00DB114C"/>
    <w:rsid w:val="00DB12AA"/>
    <w:rsid w:val="00DB2528"/>
    <w:rsid w:val="00DB260A"/>
    <w:rsid w:val="00DB2723"/>
    <w:rsid w:val="00DB2FDC"/>
    <w:rsid w:val="00DB324E"/>
    <w:rsid w:val="00DB32E7"/>
    <w:rsid w:val="00DB338F"/>
    <w:rsid w:val="00DB378F"/>
    <w:rsid w:val="00DB3DBF"/>
    <w:rsid w:val="00DB4291"/>
    <w:rsid w:val="00DB4297"/>
    <w:rsid w:val="00DB458E"/>
    <w:rsid w:val="00DB484F"/>
    <w:rsid w:val="00DB4C23"/>
    <w:rsid w:val="00DB4DB9"/>
    <w:rsid w:val="00DB56AD"/>
    <w:rsid w:val="00DB5DAC"/>
    <w:rsid w:val="00DB5F5A"/>
    <w:rsid w:val="00DB6240"/>
    <w:rsid w:val="00DB62DD"/>
    <w:rsid w:val="00DB6306"/>
    <w:rsid w:val="00DB6B38"/>
    <w:rsid w:val="00DB7CB1"/>
    <w:rsid w:val="00DC00D3"/>
    <w:rsid w:val="00DC04F6"/>
    <w:rsid w:val="00DC0649"/>
    <w:rsid w:val="00DC0690"/>
    <w:rsid w:val="00DC080F"/>
    <w:rsid w:val="00DC0868"/>
    <w:rsid w:val="00DC0B76"/>
    <w:rsid w:val="00DC1D65"/>
    <w:rsid w:val="00DC2914"/>
    <w:rsid w:val="00DC29D3"/>
    <w:rsid w:val="00DC2F32"/>
    <w:rsid w:val="00DC3118"/>
    <w:rsid w:val="00DC3C57"/>
    <w:rsid w:val="00DC3E1D"/>
    <w:rsid w:val="00DC44BF"/>
    <w:rsid w:val="00DC47A8"/>
    <w:rsid w:val="00DC4DC7"/>
    <w:rsid w:val="00DC5501"/>
    <w:rsid w:val="00DC5638"/>
    <w:rsid w:val="00DC5A40"/>
    <w:rsid w:val="00DC5AFC"/>
    <w:rsid w:val="00DC5DE4"/>
    <w:rsid w:val="00DC5E87"/>
    <w:rsid w:val="00DC6CA6"/>
    <w:rsid w:val="00DC7154"/>
    <w:rsid w:val="00DC728E"/>
    <w:rsid w:val="00DC7398"/>
    <w:rsid w:val="00DC76FD"/>
    <w:rsid w:val="00DC7744"/>
    <w:rsid w:val="00DC77BC"/>
    <w:rsid w:val="00DC7A60"/>
    <w:rsid w:val="00DC7E8A"/>
    <w:rsid w:val="00DC7FD5"/>
    <w:rsid w:val="00DD0076"/>
    <w:rsid w:val="00DD0BAC"/>
    <w:rsid w:val="00DD0F38"/>
    <w:rsid w:val="00DD0F78"/>
    <w:rsid w:val="00DD1D05"/>
    <w:rsid w:val="00DD273C"/>
    <w:rsid w:val="00DD3193"/>
    <w:rsid w:val="00DD3626"/>
    <w:rsid w:val="00DD3F28"/>
    <w:rsid w:val="00DD3F34"/>
    <w:rsid w:val="00DD43EA"/>
    <w:rsid w:val="00DD4446"/>
    <w:rsid w:val="00DD4468"/>
    <w:rsid w:val="00DD4537"/>
    <w:rsid w:val="00DD4E15"/>
    <w:rsid w:val="00DD4F5C"/>
    <w:rsid w:val="00DD5040"/>
    <w:rsid w:val="00DD5132"/>
    <w:rsid w:val="00DD5310"/>
    <w:rsid w:val="00DD57F4"/>
    <w:rsid w:val="00DD5F17"/>
    <w:rsid w:val="00DD69F8"/>
    <w:rsid w:val="00DD786B"/>
    <w:rsid w:val="00DD7B54"/>
    <w:rsid w:val="00DE0F72"/>
    <w:rsid w:val="00DE17A4"/>
    <w:rsid w:val="00DE1B7B"/>
    <w:rsid w:val="00DE1E51"/>
    <w:rsid w:val="00DE1F67"/>
    <w:rsid w:val="00DE2304"/>
    <w:rsid w:val="00DE2A7E"/>
    <w:rsid w:val="00DE2F7D"/>
    <w:rsid w:val="00DE3138"/>
    <w:rsid w:val="00DE37F8"/>
    <w:rsid w:val="00DE3BB4"/>
    <w:rsid w:val="00DE3BD5"/>
    <w:rsid w:val="00DE3E0C"/>
    <w:rsid w:val="00DE4273"/>
    <w:rsid w:val="00DE4282"/>
    <w:rsid w:val="00DE431F"/>
    <w:rsid w:val="00DE4AD7"/>
    <w:rsid w:val="00DE4D20"/>
    <w:rsid w:val="00DE4D41"/>
    <w:rsid w:val="00DE4FCB"/>
    <w:rsid w:val="00DE59FD"/>
    <w:rsid w:val="00DE5D07"/>
    <w:rsid w:val="00DE68BA"/>
    <w:rsid w:val="00DE6AF4"/>
    <w:rsid w:val="00DE6E99"/>
    <w:rsid w:val="00DE72A7"/>
    <w:rsid w:val="00DE7832"/>
    <w:rsid w:val="00DE78A5"/>
    <w:rsid w:val="00DE7A66"/>
    <w:rsid w:val="00DE7E00"/>
    <w:rsid w:val="00DF0121"/>
    <w:rsid w:val="00DF157F"/>
    <w:rsid w:val="00DF18FC"/>
    <w:rsid w:val="00DF471E"/>
    <w:rsid w:val="00DF4FEA"/>
    <w:rsid w:val="00DF52BF"/>
    <w:rsid w:val="00DF5544"/>
    <w:rsid w:val="00DF5563"/>
    <w:rsid w:val="00DF587F"/>
    <w:rsid w:val="00DF5CB1"/>
    <w:rsid w:val="00DF5D2B"/>
    <w:rsid w:val="00DF6341"/>
    <w:rsid w:val="00DF6C27"/>
    <w:rsid w:val="00DF6E04"/>
    <w:rsid w:val="00E002E1"/>
    <w:rsid w:val="00E0089F"/>
    <w:rsid w:val="00E00A91"/>
    <w:rsid w:val="00E00E8E"/>
    <w:rsid w:val="00E01701"/>
    <w:rsid w:val="00E020E9"/>
    <w:rsid w:val="00E037AB"/>
    <w:rsid w:val="00E03D22"/>
    <w:rsid w:val="00E03E0B"/>
    <w:rsid w:val="00E03E60"/>
    <w:rsid w:val="00E040FB"/>
    <w:rsid w:val="00E04A4C"/>
    <w:rsid w:val="00E04D75"/>
    <w:rsid w:val="00E0516F"/>
    <w:rsid w:val="00E052C3"/>
    <w:rsid w:val="00E05630"/>
    <w:rsid w:val="00E05F5E"/>
    <w:rsid w:val="00E06AAE"/>
    <w:rsid w:val="00E06AC1"/>
    <w:rsid w:val="00E06DBB"/>
    <w:rsid w:val="00E06E1A"/>
    <w:rsid w:val="00E07433"/>
    <w:rsid w:val="00E078AF"/>
    <w:rsid w:val="00E079FB"/>
    <w:rsid w:val="00E079FE"/>
    <w:rsid w:val="00E10149"/>
    <w:rsid w:val="00E10224"/>
    <w:rsid w:val="00E10AE3"/>
    <w:rsid w:val="00E10BBC"/>
    <w:rsid w:val="00E10F02"/>
    <w:rsid w:val="00E11340"/>
    <w:rsid w:val="00E1143A"/>
    <w:rsid w:val="00E11C03"/>
    <w:rsid w:val="00E11CE2"/>
    <w:rsid w:val="00E11E40"/>
    <w:rsid w:val="00E11F57"/>
    <w:rsid w:val="00E122A1"/>
    <w:rsid w:val="00E12524"/>
    <w:rsid w:val="00E126E9"/>
    <w:rsid w:val="00E129CB"/>
    <w:rsid w:val="00E12A0E"/>
    <w:rsid w:val="00E12BE7"/>
    <w:rsid w:val="00E12E1A"/>
    <w:rsid w:val="00E1372D"/>
    <w:rsid w:val="00E14211"/>
    <w:rsid w:val="00E145F7"/>
    <w:rsid w:val="00E147B8"/>
    <w:rsid w:val="00E147F5"/>
    <w:rsid w:val="00E14A88"/>
    <w:rsid w:val="00E155EE"/>
    <w:rsid w:val="00E15796"/>
    <w:rsid w:val="00E16372"/>
    <w:rsid w:val="00E16AD8"/>
    <w:rsid w:val="00E17019"/>
    <w:rsid w:val="00E175C8"/>
    <w:rsid w:val="00E17900"/>
    <w:rsid w:val="00E17E52"/>
    <w:rsid w:val="00E17E73"/>
    <w:rsid w:val="00E17FC7"/>
    <w:rsid w:val="00E17FFA"/>
    <w:rsid w:val="00E20E4D"/>
    <w:rsid w:val="00E20ED6"/>
    <w:rsid w:val="00E20F4F"/>
    <w:rsid w:val="00E21358"/>
    <w:rsid w:val="00E216E2"/>
    <w:rsid w:val="00E21B75"/>
    <w:rsid w:val="00E2249B"/>
    <w:rsid w:val="00E2282B"/>
    <w:rsid w:val="00E22A0D"/>
    <w:rsid w:val="00E22D3A"/>
    <w:rsid w:val="00E23181"/>
    <w:rsid w:val="00E23241"/>
    <w:rsid w:val="00E235F4"/>
    <w:rsid w:val="00E242BA"/>
    <w:rsid w:val="00E244F6"/>
    <w:rsid w:val="00E258DB"/>
    <w:rsid w:val="00E258FF"/>
    <w:rsid w:val="00E26181"/>
    <w:rsid w:val="00E265C1"/>
    <w:rsid w:val="00E27192"/>
    <w:rsid w:val="00E2771E"/>
    <w:rsid w:val="00E27F27"/>
    <w:rsid w:val="00E310D8"/>
    <w:rsid w:val="00E311EF"/>
    <w:rsid w:val="00E32009"/>
    <w:rsid w:val="00E32177"/>
    <w:rsid w:val="00E32180"/>
    <w:rsid w:val="00E33244"/>
    <w:rsid w:val="00E33291"/>
    <w:rsid w:val="00E33765"/>
    <w:rsid w:val="00E33D04"/>
    <w:rsid w:val="00E33F50"/>
    <w:rsid w:val="00E34948"/>
    <w:rsid w:val="00E35CBD"/>
    <w:rsid w:val="00E35F25"/>
    <w:rsid w:val="00E370AB"/>
    <w:rsid w:val="00E37569"/>
    <w:rsid w:val="00E37A09"/>
    <w:rsid w:val="00E37A83"/>
    <w:rsid w:val="00E401B2"/>
    <w:rsid w:val="00E40526"/>
    <w:rsid w:val="00E40562"/>
    <w:rsid w:val="00E406BA"/>
    <w:rsid w:val="00E41E30"/>
    <w:rsid w:val="00E42F73"/>
    <w:rsid w:val="00E43D70"/>
    <w:rsid w:val="00E43D91"/>
    <w:rsid w:val="00E43FFF"/>
    <w:rsid w:val="00E44540"/>
    <w:rsid w:val="00E44CA7"/>
    <w:rsid w:val="00E45100"/>
    <w:rsid w:val="00E45847"/>
    <w:rsid w:val="00E45D14"/>
    <w:rsid w:val="00E466F3"/>
    <w:rsid w:val="00E46AFA"/>
    <w:rsid w:val="00E4730E"/>
    <w:rsid w:val="00E47B2C"/>
    <w:rsid w:val="00E51560"/>
    <w:rsid w:val="00E51821"/>
    <w:rsid w:val="00E5191E"/>
    <w:rsid w:val="00E51EE4"/>
    <w:rsid w:val="00E52063"/>
    <w:rsid w:val="00E52323"/>
    <w:rsid w:val="00E5233C"/>
    <w:rsid w:val="00E523DE"/>
    <w:rsid w:val="00E528DB"/>
    <w:rsid w:val="00E534BF"/>
    <w:rsid w:val="00E53724"/>
    <w:rsid w:val="00E537F7"/>
    <w:rsid w:val="00E53FC8"/>
    <w:rsid w:val="00E54347"/>
    <w:rsid w:val="00E548B4"/>
    <w:rsid w:val="00E54F62"/>
    <w:rsid w:val="00E552AE"/>
    <w:rsid w:val="00E55424"/>
    <w:rsid w:val="00E558B8"/>
    <w:rsid w:val="00E55915"/>
    <w:rsid w:val="00E55BB5"/>
    <w:rsid w:val="00E55D0A"/>
    <w:rsid w:val="00E55D49"/>
    <w:rsid w:val="00E56A1F"/>
    <w:rsid w:val="00E57338"/>
    <w:rsid w:val="00E5737E"/>
    <w:rsid w:val="00E574F6"/>
    <w:rsid w:val="00E579FF"/>
    <w:rsid w:val="00E57F88"/>
    <w:rsid w:val="00E608ED"/>
    <w:rsid w:val="00E611DF"/>
    <w:rsid w:val="00E61208"/>
    <w:rsid w:val="00E614C1"/>
    <w:rsid w:val="00E619D2"/>
    <w:rsid w:val="00E61A8C"/>
    <w:rsid w:val="00E61F59"/>
    <w:rsid w:val="00E62C96"/>
    <w:rsid w:val="00E6336B"/>
    <w:rsid w:val="00E633DA"/>
    <w:rsid w:val="00E63E2B"/>
    <w:rsid w:val="00E63FD7"/>
    <w:rsid w:val="00E64108"/>
    <w:rsid w:val="00E6432E"/>
    <w:rsid w:val="00E647F3"/>
    <w:rsid w:val="00E64A44"/>
    <w:rsid w:val="00E64BC1"/>
    <w:rsid w:val="00E650AE"/>
    <w:rsid w:val="00E65DA5"/>
    <w:rsid w:val="00E65E79"/>
    <w:rsid w:val="00E66BA2"/>
    <w:rsid w:val="00E6712C"/>
    <w:rsid w:val="00E67416"/>
    <w:rsid w:val="00E67A9D"/>
    <w:rsid w:val="00E718B6"/>
    <w:rsid w:val="00E71F19"/>
    <w:rsid w:val="00E723BA"/>
    <w:rsid w:val="00E72680"/>
    <w:rsid w:val="00E732C9"/>
    <w:rsid w:val="00E733EA"/>
    <w:rsid w:val="00E73581"/>
    <w:rsid w:val="00E738D6"/>
    <w:rsid w:val="00E73A5C"/>
    <w:rsid w:val="00E7402A"/>
    <w:rsid w:val="00E742D8"/>
    <w:rsid w:val="00E7456C"/>
    <w:rsid w:val="00E764A5"/>
    <w:rsid w:val="00E76CDE"/>
    <w:rsid w:val="00E76E93"/>
    <w:rsid w:val="00E80BF8"/>
    <w:rsid w:val="00E81D3C"/>
    <w:rsid w:val="00E81DBB"/>
    <w:rsid w:val="00E826CE"/>
    <w:rsid w:val="00E82BE5"/>
    <w:rsid w:val="00E833F7"/>
    <w:rsid w:val="00E83BDF"/>
    <w:rsid w:val="00E83F7E"/>
    <w:rsid w:val="00E841A7"/>
    <w:rsid w:val="00E8448A"/>
    <w:rsid w:val="00E8453E"/>
    <w:rsid w:val="00E8472A"/>
    <w:rsid w:val="00E8507D"/>
    <w:rsid w:val="00E85B84"/>
    <w:rsid w:val="00E85D26"/>
    <w:rsid w:val="00E8657F"/>
    <w:rsid w:val="00E86EAB"/>
    <w:rsid w:val="00E86EDD"/>
    <w:rsid w:val="00E86FCC"/>
    <w:rsid w:val="00E877B8"/>
    <w:rsid w:val="00E87A1D"/>
    <w:rsid w:val="00E87F7B"/>
    <w:rsid w:val="00E90447"/>
    <w:rsid w:val="00E907E4"/>
    <w:rsid w:val="00E9094A"/>
    <w:rsid w:val="00E90C34"/>
    <w:rsid w:val="00E910C1"/>
    <w:rsid w:val="00E915C1"/>
    <w:rsid w:val="00E91B72"/>
    <w:rsid w:val="00E91D35"/>
    <w:rsid w:val="00E921A3"/>
    <w:rsid w:val="00E92458"/>
    <w:rsid w:val="00E926A5"/>
    <w:rsid w:val="00E9276A"/>
    <w:rsid w:val="00E92836"/>
    <w:rsid w:val="00E94174"/>
    <w:rsid w:val="00E942E9"/>
    <w:rsid w:val="00E952D7"/>
    <w:rsid w:val="00E954D7"/>
    <w:rsid w:val="00E9554E"/>
    <w:rsid w:val="00E956FD"/>
    <w:rsid w:val="00E95B7A"/>
    <w:rsid w:val="00E96157"/>
    <w:rsid w:val="00E962CC"/>
    <w:rsid w:val="00E963AA"/>
    <w:rsid w:val="00E9658D"/>
    <w:rsid w:val="00E97598"/>
    <w:rsid w:val="00EA00F2"/>
    <w:rsid w:val="00EA0568"/>
    <w:rsid w:val="00EA0B15"/>
    <w:rsid w:val="00EA0C4C"/>
    <w:rsid w:val="00EA17C3"/>
    <w:rsid w:val="00EA19BF"/>
    <w:rsid w:val="00EA275E"/>
    <w:rsid w:val="00EA2CAA"/>
    <w:rsid w:val="00EA3864"/>
    <w:rsid w:val="00EA3D84"/>
    <w:rsid w:val="00EA41CE"/>
    <w:rsid w:val="00EA4377"/>
    <w:rsid w:val="00EA479F"/>
    <w:rsid w:val="00EA514B"/>
    <w:rsid w:val="00EA532C"/>
    <w:rsid w:val="00EA591C"/>
    <w:rsid w:val="00EA5C05"/>
    <w:rsid w:val="00EA5D60"/>
    <w:rsid w:val="00EA6029"/>
    <w:rsid w:val="00EA619B"/>
    <w:rsid w:val="00EA62CA"/>
    <w:rsid w:val="00EA679A"/>
    <w:rsid w:val="00EA6D8E"/>
    <w:rsid w:val="00EA7043"/>
    <w:rsid w:val="00EA7F1C"/>
    <w:rsid w:val="00EB15B6"/>
    <w:rsid w:val="00EB2040"/>
    <w:rsid w:val="00EB28D3"/>
    <w:rsid w:val="00EB3426"/>
    <w:rsid w:val="00EB3CC7"/>
    <w:rsid w:val="00EB3D06"/>
    <w:rsid w:val="00EB41C4"/>
    <w:rsid w:val="00EB4704"/>
    <w:rsid w:val="00EB4879"/>
    <w:rsid w:val="00EB4916"/>
    <w:rsid w:val="00EB4A7F"/>
    <w:rsid w:val="00EB4F13"/>
    <w:rsid w:val="00EB5D6D"/>
    <w:rsid w:val="00EB694C"/>
    <w:rsid w:val="00EB69F5"/>
    <w:rsid w:val="00EB7BCA"/>
    <w:rsid w:val="00EB7DBB"/>
    <w:rsid w:val="00EC00C9"/>
    <w:rsid w:val="00EC0DD9"/>
    <w:rsid w:val="00EC0DDE"/>
    <w:rsid w:val="00EC11C2"/>
    <w:rsid w:val="00EC1822"/>
    <w:rsid w:val="00EC1A0D"/>
    <w:rsid w:val="00EC1D29"/>
    <w:rsid w:val="00EC1E7F"/>
    <w:rsid w:val="00EC2064"/>
    <w:rsid w:val="00EC2649"/>
    <w:rsid w:val="00EC26C7"/>
    <w:rsid w:val="00EC31ED"/>
    <w:rsid w:val="00EC3395"/>
    <w:rsid w:val="00EC35B3"/>
    <w:rsid w:val="00EC39C4"/>
    <w:rsid w:val="00EC3BE0"/>
    <w:rsid w:val="00EC47AC"/>
    <w:rsid w:val="00EC5836"/>
    <w:rsid w:val="00EC6705"/>
    <w:rsid w:val="00EC671F"/>
    <w:rsid w:val="00EC688C"/>
    <w:rsid w:val="00EC697B"/>
    <w:rsid w:val="00EC7F12"/>
    <w:rsid w:val="00ED000E"/>
    <w:rsid w:val="00ED0CBB"/>
    <w:rsid w:val="00ED0D66"/>
    <w:rsid w:val="00ED12E3"/>
    <w:rsid w:val="00ED157A"/>
    <w:rsid w:val="00ED1806"/>
    <w:rsid w:val="00ED1EDE"/>
    <w:rsid w:val="00ED2103"/>
    <w:rsid w:val="00ED2EE0"/>
    <w:rsid w:val="00ED35D1"/>
    <w:rsid w:val="00ED3AD1"/>
    <w:rsid w:val="00ED4B04"/>
    <w:rsid w:val="00ED4CF2"/>
    <w:rsid w:val="00ED5647"/>
    <w:rsid w:val="00ED57EA"/>
    <w:rsid w:val="00ED5BD4"/>
    <w:rsid w:val="00ED5E18"/>
    <w:rsid w:val="00ED608E"/>
    <w:rsid w:val="00ED60C0"/>
    <w:rsid w:val="00ED6686"/>
    <w:rsid w:val="00ED691F"/>
    <w:rsid w:val="00ED6C03"/>
    <w:rsid w:val="00ED74D2"/>
    <w:rsid w:val="00EE07D3"/>
    <w:rsid w:val="00EE0AB4"/>
    <w:rsid w:val="00EE0C9C"/>
    <w:rsid w:val="00EE0EE4"/>
    <w:rsid w:val="00EE0F77"/>
    <w:rsid w:val="00EE1996"/>
    <w:rsid w:val="00EE1C01"/>
    <w:rsid w:val="00EE20B3"/>
    <w:rsid w:val="00EE22AF"/>
    <w:rsid w:val="00EE28F9"/>
    <w:rsid w:val="00EE3469"/>
    <w:rsid w:val="00EE36E1"/>
    <w:rsid w:val="00EE385E"/>
    <w:rsid w:val="00EE3CFD"/>
    <w:rsid w:val="00EE4303"/>
    <w:rsid w:val="00EE4FA6"/>
    <w:rsid w:val="00EE559D"/>
    <w:rsid w:val="00EE600B"/>
    <w:rsid w:val="00EE602A"/>
    <w:rsid w:val="00EE62D2"/>
    <w:rsid w:val="00EE6474"/>
    <w:rsid w:val="00EE703A"/>
    <w:rsid w:val="00EE7A06"/>
    <w:rsid w:val="00EE7F68"/>
    <w:rsid w:val="00EF0171"/>
    <w:rsid w:val="00EF0333"/>
    <w:rsid w:val="00EF052F"/>
    <w:rsid w:val="00EF0537"/>
    <w:rsid w:val="00EF08FC"/>
    <w:rsid w:val="00EF1407"/>
    <w:rsid w:val="00EF170A"/>
    <w:rsid w:val="00EF1B25"/>
    <w:rsid w:val="00EF1C4C"/>
    <w:rsid w:val="00EF1DA0"/>
    <w:rsid w:val="00EF1E08"/>
    <w:rsid w:val="00EF2228"/>
    <w:rsid w:val="00EF2451"/>
    <w:rsid w:val="00EF2599"/>
    <w:rsid w:val="00EF2DEE"/>
    <w:rsid w:val="00EF30BA"/>
    <w:rsid w:val="00EF38CF"/>
    <w:rsid w:val="00EF4747"/>
    <w:rsid w:val="00EF4795"/>
    <w:rsid w:val="00EF4987"/>
    <w:rsid w:val="00EF4BF8"/>
    <w:rsid w:val="00EF4C9A"/>
    <w:rsid w:val="00EF530F"/>
    <w:rsid w:val="00EF5397"/>
    <w:rsid w:val="00EF5436"/>
    <w:rsid w:val="00EF5A43"/>
    <w:rsid w:val="00EF73A3"/>
    <w:rsid w:val="00F00795"/>
    <w:rsid w:val="00F0090B"/>
    <w:rsid w:val="00F00AD0"/>
    <w:rsid w:val="00F00F7C"/>
    <w:rsid w:val="00F01BA6"/>
    <w:rsid w:val="00F01C31"/>
    <w:rsid w:val="00F01CD9"/>
    <w:rsid w:val="00F01D5B"/>
    <w:rsid w:val="00F01F87"/>
    <w:rsid w:val="00F01FC6"/>
    <w:rsid w:val="00F02253"/>
    <w:rsid w:val="00F02362"/>
    <w:rsid w:val="00F02B97"/>
    <w:rsid w:val="00F02E2C"/>
    <w:rsid w:val="00F0330E"/>
    <w:rsid w:val="00F03395"/>
    <w:rsid w:val="00F03785"/>
    <w:rsid w:val="00F03C2E"/>
    <w:rsid w:val="00F0419A"/>
    <w:rsid w:val="00F04A66"/>
    <w:rsid w:val="00F04B4B"/>
    <w:rsid w:val="00F0516C"/>
    <w:rsid w:val="00F05619"/>
    <w:rsid w:val="00F056A1"/>
    <w:rsid w:val="00F061FB"/>
    <w:rsid w:val="00F065F9"/>
    <w:rsid w:val="00F067A2"/>
    <w:rsid w:val="00F06E0A"/>
    <w:rsid w:val="00F07113"/>
    <w:rsid w:val="00F07B9E"/>
    <w:rsid w:val="00F07D46"/>
    <w:rsid w:val="00F10165"/>
    <w:rsid w:val="00F104FC"/>
    <w:rsid w:val="00F10A79"/>
    <w:rsid w:val="00F1116F"/>
    <w:rsid w:val="00F116F5"/>
    <w:rsid w:val="00F11ACD"/>
    <w:rsid w:val="00F1263A"/>
    <w:rsid w:val="00F12D0F"/>
    <w:rsid w:val="00F12F8B"/>
    <w:rsid w:val="00F13212"/>
    <w:rsid w:val="00F13341"/>
    <w:rsid w:val="00F139C5"/>
    <w:rsid w:val="00F1476A"/>
    <w:rsid w:val="00F14B79"/>
    <w:rsid w:val="00F14E6B"/>
    <w:rsid w:val="00F150D2"/>
    <w:rsid w:val="00F15730"/>
    <w:rsid w:val="00F15B77"/>
    <w:rsid w:val="00F15DD2"/>
    <w:rsid w:val="00F15DFD"/>
    <w:rsid w:val="00F167F3"/>
    <w:rsid w:val="00F16861"/>
    <w:rsid w:val="00F16F59"/>
    <w:rsid w:val="00F17503"/>
    <w:rsid w:val="00F20488"/>
    <w:rsid w:val="00F2087F"/>
    <w:rsid w:val="00F20B6F"/>
    <w:rsid w:val="00F21236"/>
    <w:rsid w:val="00F21784"/>
    <w:rsid w:val="00F21C6B"/>
    <w:rsid w:val="00F21FEB"/>
    <w:rsid w:val="00F223A8"/>
    <w:rsid w:val="00F22B27"/>
    <w:rsid w:val="00F22C50"/>
    <w:rsid w:val="00F235C1"/>
    <w:rsid w:val="00F239DF"/>
    <w:rsid w:val="00F24837"/>
    <w:rsid w:val="00F25379"/>
    <w:rsid w:val="00F2575F"/>
    <w:rsid w:val="00F26358"/>
    <w:rsid w:val="00F264AB"/>
    <w:rsid w:val="00F27565"/>
    <w:rsid w:val="00F27C65"/>
    <w:rsid w:val="00F304B1"/>
    <w:rsid w:val="00F30719"/>
    <w:rsid w:val="00F30965"/>
    <w:rsid w:val="00F30F11"/>
    <w:rsid w:val="00F310D4"/>
    <w:rsid w:val="00F310FA"/>
    <w:rsid w:val="00F31290"/>
    <w:rsid w:val="00F31C8C"/>
    <w:rsid w:val="00F31D5A"/>
    <w:rsid w:val="00F32CEE"/>
    <w:rsid w:val="00F3367C"/>
    <w:rsid w:val="00F338F9"/>
    <w:rsid w:val="00F33975"/>
    <w:rsid w:val="00F33DE9"/>
    <w:rsid w:val="00F345AF"/>
    <w:rsid w:val="00F34FEC"/>
    <w:rsid w:val="00F35707"/>
    <w:rsid w:val="00F35E6D"/>
    <w:rsid w:val="00F3619A"/>
    <w:rsid w:val="00F36469"/>
    <w:rsid w:val="00F36ACA"/>
    <w:rsid w:val="00F36F84"/>
    <w:rsid w:val="00F40491"/>
    <w:rsid w:val="00F40AAA"/>
    <w:rsid w:val="00F40BA7"/>
    <w:rsid w:val="00F40F9D"/>
    <w:rsid w:val="00F41ACD"/>
    <w:rsid w:val="00F42243"/>
    <w:rsid w:val="00F43BB5"/>
    <w:rsid w:val="00F44051"/>
    <w:rsid w:val="00F4423F"/>
    <w:rsid w:val="00F444FB"/>
    <w:rsid w:val="00F44A57"/>
    <w:rsid w:val="00F450F5"/>
    <w:rsid w:val="00F4515F"/>
    <w:rsid w:val="00F45AC2"/>
    <w:rsid w:val="00F46C50"/>
    <w:rsid w:val="00F46CB6"/>
    <w:rsid w:val="00F46D7B"/>
    <w:rsid w:val="00F4756D"/>
    <w:rsid w:val="00F47904"/>
    <w:rsid w:val="00F47DE8"/>
    <w:rsid w:val="00F500F2"/>
    <w:rsid w:val="00F50100"/>
    <w:rsid w:val="00F502FB"/>
    <w:rsid w:val="00F507AB"/>
    <w:rsid w:val="00F50C2A"/>
    <w:rsid w:val="00F51218"/>
    <w:rsid w:val="00F5124C"/>
    <w:rsid w:val="00F51B55"/>
    <w:rsid w:val="00F5258B"/>
    <w:rsid w:val="00F5339F"/>
    <w:rsid w:val="00F53635"/>
    <w:rsid w:val="00F53BC4"/>
    <w:rsid w:val="00F53DD1"/>
    <w:rsid w:val="00F542C1"/>
    <w:rsid w:val="00F54793"/>
    <w:rsid w:val="00F54DD4"/>
    <w:rsid w:val="00F550E3"/>
    <w:rsid w:val="00F555BD"/>
    <w:rsid w:val="00F55E73"/>
    <w:rsid w:val="00F55EDA"/>
    <w:rsid w:val="00F56C80"/>
    <w:rsid w:val="00F56E55"/>
    <w:rsid w:val="00F56EAB"/>
    <w:rsid w:val="00F57CF9"/>
    <w:rsid w:val="00F60092"/>
    <w:rsid w:val="00F60D0B"/>
    <w:rsid w:val="00F60D69"/>
    <w:rsid w:val="00F61272"/>
    <w:rsid w:val="00F61628"/>
    <w:rsid w:val="00F61C18"/>
    <w:rsid w:val="00F61DE4"/>
    <w:rsid w:val="00F623AC"/>
    <w:rsid w:val="00F62AC4"/>
    <w:rsid w:val="00F62E0B"/>
    <w:rsid w:val="00F64003"/>
    <w:rsid w:val="00F64086"/>
    <w:rsid w:val="00F64FCB"/>
    <w:rsid w:val="00F6572B"/>
    <w:rsid w:val="00F659A9"/>
    <w:rsid w:val="00F65F4B"/>
    <w:rsid w:val="00F6614E"/>
    <w:rsid w:val="00F66289"/>
    <w:rsid w:val="00F665EB"/>
    <w:rsid w:val="00F673EB"/>
    <w:rsid w:val="00F676FC"/>
    <w:rsid w:val="00F67A69"/>
    <w:rsid w:val="00F7063D"/>
    <w:rsid w:val="00F70BFF"/>
    <w:rsid w:val="00F70C46"/>
    <w:rsid w:val="00F70C9D"/>
    <w:rsid w:val="00F719FF"/>
    <w:rsid w:val="00F71B9C"/>
    <w:rsid w:val="00F71EF3"/>
    <w:rsid w:val="00F72059"/>
    <w:rsid w:val="00F721BB"/>
    <w:rsid w:val="00F7292E"/>
    <w:rsid w:val="00F72A73"/>
    <w:rsid w:val="00F72BFA"/>
    <w:rsid w:val="00F7368F"/>
    <w:rsid w:val="00F73E08"/>
    <w:rsid w:val="00F74421"/>
    <w:rsid w:val="00F74CD9"/>
    <w:rsid w:val="00F74E72"/>
    <w:rsid w:val="00F75830"/>
    <w:rsid w:val="00F75EC5"/>
    <w:rsid w:val="00F760B7"/>
    <w:rsid w:val="00F775F6"/>
    <w:rsid w:val="00F77CAC"/>
    <w:rsid w:val="00F77F46"/>
    <w:rsid w:val="00F800FF"/>
    <w:rsid w:val="00F80859"/>
    <w:rsid w:val="00F80A7B"/>
    <w:rsid w:val="00F80D3A"/>
    <w:rsid w:val="00F80E5D"/>
    <w:rsid w:val="00F817A1"/>
    <w:rsid w:val="00F81E78"/>
    <w:rsid w:val="00F827C4"/>
    <w:rsid w:val="00F82991"/>
    <w:rsid w:val="00F82EC6"/>
    <w:rsid w:val="00F83916"/>
    <w:rsid w:val="00F83A76"/>
    <w:rsid w:val="00F841C2"/>
    <w:rsid w:val="00F8435F"/>
    <w:rsid w:val="00F84D09"/>
    <w:rsid w:val="00F85091"/>
    <w:rsid w:val="00F851CE"/>
    <w:rsid w:val="00F85438"/>
    <w:rsid w:val="00F85910"/>
    <w:rsid w:val="00F85E96"/>
    <w:rsid w:val="00F86B10"/>
    <w:rsid w:val="00F87F5B"/>
    <w:rsid w:val="00F904FC"/>
    <w:rsid w:val="00F91219"/>
    <w:rsid w:val="00F91820"/>
    <w:rsid w:val="00F9214C"/>
    <w:rsid w:val="00F92444"/>
    <w:rsid w:val="00F930C3"/>
    <w:rsid w:val="00F930E8"/>
    <w:rsid w:val="00F9344A"/>
    <w:rsid w:val="00F9393E"/>
    <w:rsid w:val="00F94798"/>
    <w:rsid w:val="00F94DC6"/>
    <w:rsid w:val="00F94F3E"/>
    <w:rsid w:val="00F95352"/>
    <w:rsid w:val="00F9570F"/>
    <w:rsid w:val="00F957B9"/>
    <w:rsid w:val="00F96FD0"/>
    <w:rsid w:val="00F97598"/>
    <w:rsid w:val="00F9782A"/>
    <w:rsid w:val="00F97A78"/>
    <w:rsid w:val="00F97AFA"/>
    <w:rsid w:val="00FA02C8"/>
    <w:rsid w:val="00FA02DD"/>
    <w:rsid w:val="00FA073C"/>
    <w:rsid w:val="00FA0B20"/>
    <w:rsid w:val="00FA0C38"/>
    <w:rsid w:val="00FA1D6B"/>
    <w:rsid w:val="00FA1DB2"/>
    <w:rsid w:val="00FA2034"/>
    <w:rsid w:val="00FA24E7"/>
    <w:rsid w:val="00FA25A0"/>
    <w:rsid w:val="00FA296A"/>
    <w:rsid w:val="00FA315E"/>
    <w:rsid w:val="00FA3649"/>
    <w:rsid w:val="00FA4098"/>
    <w:rsid w:val="00FA584F"/>
    <w:rsid w:val="00FA5C01"/>
    <w:rsid w:val="00FA5E88"/>
    <w:rsid w:val="00FA5EE6"/>
    <w:rsid w:val="00FA6D6E"/>
    <w:rsid w:val="00FA6DDB"/>
    <w:rsid w:val="00FA7956"/>
    <w:rsid w:val="00FB0824"/>
    <w:rsid w:val="00FB0C10"/>
    <w:rsid w:val="00FB1409"/>
    <w:rsid w:val="00FB14DE"/>
    <w:rsid w:val="00FB2FCB"/>
    <w:rsid w:val="00FB37F8"/>
    <w:rsid w:val="00FB3912"/>
    <w:rsid w:val="00FB40C3"/>
    <w:rsid w:val="00FB440B"/>
    <w:rsid w:val="00FB45C1"/>
    <w:rsid w:val="00FB4BB8"/>
    <w:rsid w:val="00FB4C9C"/>
    <w:rsid w:val="00FB6B48"/>
    <w:rsid w:val="00FB6EEC"/>
    <w:rsid w:val="00FB730C"/>
    <w:rsid w:val="00FB7C55"/>
    <w:rsid w:val="00FB7F3D"/>
    <w:rsid w:val="00FC0BE2"/>
    <w:rsid w:val="00FC0D0C"/>
    <w:rsid w:val="00FC0E73"/>
    <w:rsid w:val="00FC1074"/>
    <w:rsid w:val="00FC1824"/>
    <w:rsid w:val="00FC183B"/>
    <w:rsid w:val="00FC1884"/>
    <w:rsid w:val="00FC193C"/>
    <w:rsid w:val="00FC194E"/>
    <w:rsid w:val="00FC1A3E"/>
    <w:rsid w:val="00FC1AA2"/>
    <w:rsid w:val="00FC1B3D"/>
    <w:rsid w:val="00FC2A4F"/>
    <w:rsid w:val="00FC2FF7"/>
    <w:rsid w:val="00FC34AF"/>
    <w:rsid w:val="00FC371D"/>
    <w:rsid w:val="00FC4369"/>
    <w:rsid w:val="00FC5CE6"/>
    <w:rsid w:val="00FC5F0B"/>
    <w:rsid w:val="00FC67C6"/>
    <w:rsid w:val="00FC6F92"/>
    <w:rsid w:val="00FC7AEA"/>
    <w:rsid w:val="00FC7AFF"/>
    <w:rsid w:val="00FC7E51"/>
    <w:rsid w:val="00FD0070"/>
    <w:rsid w:val="00FD0637"/>
    <w:rsid w:val="00FD0AFA"/>
    <w:rsid w:val="00FD1678"/>
    <w:rsid w:val="00FD2100"/>
    <w:rsid w:val="00FD23E7"/>
    <w:rsid w:val="00FD2AC2"/>
    <w:rsid w:val="00FD2BD9"/>
    <w:rsid w:val="00FD315D"/>
    <w:rsid w:val="00FD3575"/>
    <w:rsid w:val="00FD38B3"/>
    <w:rsid w:val="00FD436C"/>
    <w:rsid w:val="00FD446D"/>
    <w:rsid w:val="00FD492E"/>
    <w:rsid w:val="00FD4BE4"/>
    <w:rsid w:val="00FD4F26"/>
    <w:rsid w:val="00FD4F2C"/>
    <w:rsid w:val="00FD53BA"/>
    <w:rsid w:val="00FD5856"/>
    <w:rsid w:val="00FD5985"/>
    <w:rsid w:val="00FD5E42"/>
    <w:rsid w:val="00FD5FE2"/>
    <w:rsid w:val="00FD6394"/>
    <w:rsid w:val="00FD6EA9"/>
    <w:rsid w:val="00FD6F40"/>
    <w:rsid w:val="00FD70E3"/>
    <w:rsid w:val="00FD748F"/>
    <w:rsid w:val="00FD7545"/>
    <w:rsid w:val="00FD7EDA"/>
    <w:rsid w:val="00FE0808"/>
    <w:rsid w:val="00FE08F4"/>
    <w:rsid w:val="00FE0E6C"/>
    <w:rsid w:val="00FE1CDC"/>
    <w:rsid w:val="00FE2790"/>
    <w:rsid w:val="00FE2C64"/>
    <w:rsid w:val="00FE32CE"/>
    <w:rsid w:val="00FE3C80"/>
    <w:rsid w:val="00FE3F2B"/>
    <w:rsid w:val="00FE4D27"/>
    <w:rsid w:val="00FE547E"/>
    <w:rsid w:val="00FE56E7"/>
    <w:rsid w:val="00FE5971"/>
    <w:rsid w:val="00FE6504"/>
    <w:rsid w:val="00FE6700"/>
    <w:rsid w:val="00FE70C3"/>
    <w:rsid w:val="00FE737E"/>
    <w:rsid w:val="00FE7A2F"/>
    <w:rsid w:val="00FE7C66"/>
    <w:rsid w:val="00FF0490"/>
    <w:rsid w:val="00FF10DF"/>
    <w:rsid w:val="00FF121D"/>
    <w:rsid w:val="00FF1263"/>
    <w:rsid w:val="00FF1532"/>
    <w:rsid w:val="00FF1A8B"/>
    <w:rsid w:val="00FF1D34"/>
    <w:rsid w:val="00FF1FC0"/>
    <w:rsid w:val="00FF2AC3"/>
    <w:rsid w:val="00FF2AD9"/>
    <w:rsid w:val="00FF2B41"/>
    <w:rsid w:val="00FF2FC5"/>
    <w:rsid w:val="00FF345F"/>
    <w:rsid w:val="00FF359F"/>
    <w:rsid w:val="00FF3ABE"/>
    <w:rsid w:val="00FF3D84"/>
    <w:rsid w:val="00FF3DCF"/>
    <w:rsid w:val="00FF3ECD"/>
    <w:rsid w:val="00FF492C"/>
    <w:rsid w:val="00FF4A21"/>
    <w:rsid w:val="00FF5AA3"/>
    <w:rsid w:val="00FF5AD8"/>
    <w:rsid w:val="00FF5D2E"/>
    <w:rsid w:val="00FF5E80"/>
    <w:rsid w:val="00FF5FDC"/>
    <w:rsid w:val="00FF61CE"/>
    <w:rsid w:val="00FF61D3"/>
    <w:rsid w:val="00FF65AA"/>
    <w:rsid w:val="00FF687E"/>
    <w:rsid w:val="00FF6BDC"/>
    <w:rsid w:val="03CA2639"/>
    <w:rsid w:val="0DD10B00"/>
    <w:rsid w:val="0F6E8C13"/>
    <w:rsid w:val="20E3FBC3"/>
    <w:rsid w:val="304206C4"/>
    <w:rsid w:val="3517B442"/>
    <w:rsid w:val="39C9BE18"/>
    <w:rsid w:val="501A9159"/>
    <w:rsid w:val="54DDFD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E5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9A6C20"/>
    <w:pPr>
      <w:keepNext/>
      <w:spacing w:after="120"/>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9A6C20"/>
    <w:rPr>
      <w:rFonts w:ascii="Calibri" w:hAnsi="Calibri" w:cs="Arial"/>
      <w:b/>
      <w:i/>
      <w:sz w:val="28"/>
      <w:szCs w:val="24"/>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Table Grid No Line,Legemiddelverket 3"/>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281BBF"/>
    <w:pPr>
      <w:keepNext/>
      <w:widowControl w:val="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spacing w:before="240" w:after="120"/>
      <w:ind w:left="720" w:hanging="7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613733"/>
    <w:pPr>
      <w:numPr>
        <w:ilvl w:val="1"/>
        <w:numId w:val="1"/>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613733"/>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281BBF"/>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3"/>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4"/>
      </w:numPr>
      <w:spacing w:after="120"/>
      <w:ind w:left="7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5"/>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DD0076"/>
    <w:pPr>
      <w:keepNext/>
      <w:spacing w:after="120"/>
      <w:outlineLvl w:val="2"/>
    </w:pPr>
    <w:rPr>
      <w:b/>
      <w:iCs/>
      <w:sz w:val="28"/>
    </w:rPr>
  </w:style>
  <w:style w:type="character" w:customStyle="1" w:styleId="COMH3Char">
    <w:name w:val="COM H3 Char"/>
    <w:basedOn w:val="DefaultParagraphFont"/>
    <w:link w:val="COMH3"/>
    <w:rsid w:val="00DD0076"/>
    <w:rPr>
      <w:rFonts w:ascii="Calibri" w:hAnsi="Calibri" w:cs="Arial"/>
      <w:b/>
      <w:iCs/>
      <w:sz w:val="28"/>
      <w:szCs w:val="24"/>
    </w:rPr>
  </w:style>
  <w:style w:type="paragraph" w:customStyle="1" w:styleId="COMH4">
    <w:name w:val="COM H4"/>
    <w:basedOn w:val="Normal"/>
    <w:link w:val="COMH4Char"/>
    <w:qFormat/>
    <w:rsid w:val="00DD0076"/>
    <w:pPr>
      <w:keepNext/>
      <w:spacing w:after="120"/>
      <w:outlineLvl w:val="3"/>
    </w:pPr>
    <w:rPr>
      <w:b/>
      <w:i/>
    </w:rPr>
  </w:style>
  <w:style w:type="character" w:customStyle="1" w:styleId="COMH4Char">
    <w:name w:val="COM H4 Char"/>
    <w:basedOn w:val="DefaultParagraphFont"/>
    <w:link w:val="COMH4"/>
    <w:rsid w:val="00DD0076"/>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ListParagraph">
    <w:name w:val="List Paragraph"/>
    <w:aliases w:val="Numbered para,BulletPoints,Styl moj,Akapit z listą1,Akapit z listą11,Bullets Points,List Paragraph1,Bullet1,Footnote,Bullet point,List Paragraph11,Recommendation,ES Paragraph,PBAC ES Paragraph,PBAC normal points,L,Bullet Point,FooterText"/>
    <w:basedOn w:val="Normal"/>
    <w:link w:val="ListParagraphChar"/>
    <w:uiPriority w:val="34"/>
    <w:qFormat/>
    <w:rsid w:val="00980C67"/>
    <w:pPr>
      <w:ind w:left="720"/>
      <w:contextualSpacing/>
    </w:pPr>
  </w:style>
  <w:style w:type="paragraph" w:styleId="TOC6">
    <w:name w:val="toc 6"/>
    <w:basedOn w:val="Normal"/>
    <w:next w:val="Normal"/>
    <w:autoRedefine/>
    <w:uiPriority w:val="39"/>
    <w:unhideWhenUsed/>
    <w:rsid w:val="00A34030"/>
    <w:pPr>
      <w:spacing w:after="100" w:line="259" w:lineRule="auto"/>
      <w:ind w:left="1100"/>
      <w:jc w:val="left"/>
    </w:pPr>
    <w:rPr>
      <w:rFonts w:asciiTheme="minorHAnsi" w:eastAsiaTheme="minorEastAsia" w:hAnsiTheme="minorHAnsi" w:cstheme="minorBidi"/>
      <w:sz w:val="22"/>
      <w:szCs w:val="22"/>
    </w:rPr>
  </w:style>
  <w:style w:type="character" w:customStyle="1" w:styleId="ListParagraphChar">
    <w:name w:val="List Paragraph Char"/>
    <w:aliases w:val="Numbered para Char,BulletPoints Char,Styl moj Char,Akapit z listą1 Char,Akapit z listą11 Char,Bullets Points Char,List Paragraph1 Char,Bullet1 Char,Footnote Char,Bullet point Char,List Paragraph11 Char,Recommendation Char,L Char"/>
    <w:basedOn w:val="DefaultParagraphFont"/>
    <w:link w:val="ListParagraph"/>
    <w:uiPriority w:val="34"/>
    <w:qFormat/>
    <w:locked/>
    <w:rsid w:val="00183040"/>
    <w:rPr>
      <w:rFonts w:ascii="Calibri" w:hAnsi="Calibri" w:cs="Arial"/>
      <w:sz w:val="24"/>
      <w:szCs w:val="24"/>
    </w:rPr>
  </w:style>
  <w:style w:type="paragraph" w:customStyle="1" w:styleId="TableHeading">
    <w:name w:val="Table Heading"/>
    <w:basedOn w:val="Normal"/>
    <w:link w:val="TableHeadingChar"/>
    <w:qFormat/>
    <w:rsid w:val="002F21F1"/>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2F21F1"/>
    <w:rPr>
      <w:rFonts w:ascii="Arial Narrow" w:eastAsiaTheme="minorHAnsi" w:hAnsi="Arial Narrow" w:cstheme="minorBidi"/>
      <w:b/>
      <w:szCs w:val="22"/>
      <w:lang w:eastAsia="en-US"/>
    </w:rPr>
  </w:style>
  <w:style w:type="paragraph" w:customStyle="1" w:styleId="TableFigureFooter">
    <w:name w:val="Table/Figure Footer"/>
    <w:basedOn w:val="Normal"/>
    <w:link w:val="TableFigureFooterChar"/>
    <w:qFormat/>
    <w:rsid w:val="002F21F1"/>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2F21F1"/>
    <w:rPr>
      <w:rFonts w:ascii="Arial Narrow" w:hAnsi="Arial Narrow" w:cs="Arial"/>
      <w:snapToGrid w:val="0"/>
      <w:sz w:val="18"/>
      <w:szCs w:val="22"/>
    </w:rPr>
  </w:style>
  <w:style w:type="paragraph" w:customStyle="1" w:styleId="Tableheadingrow">
    <w:name w:val="Table heading row"/>
    <w:qFormat/>
    <w:rsid w:val="006D6E47"/>
    <w:pPr>
      <w:keepNext/>
    </w:pPr>
    <w:rPr>
      <w:rFonts w:ascii="Arial Narrow" w:eastAsiaTheme="majorEastAsia" w:hAnsi="Arial Narrow"/>
      <w:b/>
      <w:szCs w:val="24"/>
      <w:lang w:val="en-US"/>
    </w:rPr>
  </w:style>
  <w:style w:type="character" w:styleId="CommentReference">
    <w:name w:val="annotation reference"/>
    <w:aliases w:val="Table Title,References"/>
    <w:uiPriority w:val="99"/>
    <w:qFormat/>
    <w:rsid w:val="00120F79"/>
    <w:rPr>
      <w:rFonts w:ascii="Arial Narrow" w:hAnsi="Arial Narrow"/>
      <w:b/>
      <w:sz w:val="20"/>
      <w:szCs w:val="16"/>
    </w:rPr>
  </w:style>
  <w:style w:type="paragraph" w:styleId="CommentText">
    <w:name w:val="annotation text"/>
    <w:basedOn w:val="Normal"/>
    <w:link w:val="CommentTextChar"/>
    <w:uiPriority w:val="99"/>
    <w:unhideWhenUsed/>
    <w:rsid w:val="00120F79"/>
    <w:rPr>
      <w:sz w:val="20"/>
      <w:szCs w:val="20"/>
    </w:rPr>
  </w:style>
  <w:style w:type="character" w:customStyle="1" w:styleId="CommentTextChar">
    <w:name w:val="Comment Text Char"/>
    <w:basedOn w:val="DefaultParagraphFont"/>
    <w:link w:val="CommentText"/>
    <w:uiPriority w:val="99"/>
    <w:rsid w:val="00120F79"/>
    <w:rPr>
      <w:rFonts w:ascii="Calibri" w:hAnsi="Calibri" w:cs="Arial"/>
    </w:rPr>
  </w:style>
  <w:style w:type="paragraph" w:customStyle="1" w:styleId="Tabletext0">
    <w:name w:val="Table text"/>
    <w:basedOn w:val="Normal"/>
    <w:link w:val="TabletextChar0"/>
    <w:uiPriority w:val="99"/>
    <w:qFormat/>
    <w:rsid w:val="00815B0F"/>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815B0F"/>
    <w:rPr>
      <w:rFonts w:ascii="Arial Narrow" w:hAnsi="Arial Narrow"/>
      <w:szCs w:val="22"/>
      <w:lang w:eastAsia="en-US"/>
    </w:rPr>
  </w:style>
  <w:style w:type="paragraph" w:styleId="CommentSubject">
    <w:name w:val="annotation subject"/>
    <w:basedOn w:val="CommentText"/>
    <w:next w:val="CommentText"/>
    <w:link w:val="CommentSubjectChar"/>
    <w:uiPriority w:val="99"/>
    <w:semiHidden/>
    <w:unhideWhenUsed/>
    <w:rsid w:val="00BF604D"/>
    <w:rPr>
      <w:b/>
      <w:bCs/>
    </w:rPr>
  </w:style>
  <w:style w:type="character" w:customStyle="1" w:styleId="CommentSubjectChar">
    <w:name w:val="Comment Subject Char"/>
    <w:basedOn w:val="CommentTextChar"/>
    <w:link w:val="CommentSubject"/>
    <w:uiPriority w:val="99"/>
    <w:semiHidden/>
    <w:rsid w:val="00BF604D"/>
    <w:rPr>
      <w:rFonts w:ascii="Calibri" w:hAnsi="Calibri" w:cs="Arial"/>
      <w:b/>
      <w:bCs/>
    </w:rPr>
  </w:style>
  <w:style w:type="table" w:customStyle="1" w:styleId="TableGrid1">
    <w:name w:val="Table Grid1"/>
    <w:basedOn w:val="TableNormal"/>
    <w:next w:val="TableGrid"/>
    <w:uiPriority w:val="39"/>
    <w:rsid w:val="00BF604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Restrictiontemplate">
    <w:name w:val="PBAC Restriction template"/>
    <w:basedOn w:val="Normal"/>
    <w:qFormat/>
    <w:rsid w:val="00BF604D"/>
    <w:pPr>
      <w:jc w:val="left"/>
    </w:pPr>
    <w:rPr>
      <w:rFonts w:ascii="Arial Narrow" w:hAnsi="Arial Narrow" w:cstheme="majorBidi"/>
      <w:color w:val="333333"/>
      <w:sz w:val="18"/>
      <w:szCs w:val="18"/>
      <w:lang w:bidi="en-US"/>
      <w14:ligatures w14:val="standardContextual"/>
    </w:rPr>
  </w:style>
  <w:style w:type="character" w:styleId="UnresolvedMention">
    <w:name w:val="Unresolved Mention"/>
    <w:basedOn w:val="DefaultParagraphFont"/>
    <w:uiPriority w:val="99"/>
    <w:unhideWhenUsed/>
    <w:rsid w:val="00BF604D"/>
    <w:rPr>
      <w:color w:val="605E5C"/>
      <w:shd w:val="clear" w:color="auto" w:fill="E1DFDD"/>
    </w:rPr>
  </w:style>
  <w:style w:type="paragraph" w:styleId="Caption">
    <w:name w:val="caption"/>
    <w:aliases w:val="Caption Char1,Caption Char Char,Caption Char1 Char Char,Caption Char Char Char Char, Char Char Char Char Char,Caption Char Char1,Char Char Char Char Char,wcp_Caption,Légende_Legend,Alexion Caption,Bayer Caption,Table Caption,Caption-FUSA,c,c-,12"/>
    <w:basedOn w:val="Normal"/>
    <w:next w:val="Normal"/>
    <w:link w:val="CaptionChar"/>
    <w:qFormat/>
    <w:rsid w:val="00BF604D"/>
    <w:pPr>
      <w:spacing w:after="200"/>
      <w:jc w:val="left"/>
    </w:pPr>
    <w:rPr>
      <w:rFonts w:asciiTheme="minorHAnsi" w:eastAsiaTheme="majorEastAsia" w:hAnsiTheme="minorHAnsi" w:cstheme="majorBidi"/>
      <w:b/>
      <w:bCs/>
      <w:sz w:val="22"/>
      <w:szCs w:val="18"/>
      <w:lang w:eastAsia="en-US" w:bidi="en-US"/>
    </w:rPr>
  </w:style>
  <w:style w:type="character" w:customStyle="1" w:styleId="CaptionChar">
    <w:name w:val="Caption Char"/>
    <w:aliases w:val="Caption Char1 Char,Caption Char Char Char,Caption Char1 Char Char Char,Caption Char Char Char Char Char, Char Char Char Char Char Char,Caption Char Char1 Char,Char Char Char Char Char Char,wcp_Caption Char,Légende_Legend Char,c Char,c- Char"/>
    <w:basedOn w:val="DefaultParagraphFont"/>
    <w:link w:val="Caption"/>
    <w:rsid w:val="00BF604D"/>
    <w:rPr>
      <w:rFonts w:asciiTheme="minorHAnsi" w:eastAsiaTheme="majorEastAsia" w:hAnsiTheme="minorHAnsi" w:cstheme="majorBidi"/>
      <w:b/>
      <w:bCs/>
      <w:sz w:val="22"/>
      <w:szCs w:val="18"/>
      <w:lang w:eastAsia="en-US" w:bidi="en-US"/>
    </w:rPr>
  </w:style>
  <w:style w:type="paragraph" w:styleId="Footer">
    <w:name w:val="footer"/>
    <w:basedOn w:val="Normal"/>
    <w:link w:val="FooterChar"/>
    <w:uiPriority w:val="99"/>
    <w:unhideWhenUsed/>
    <w:rsid w:val="00BF604D"/>
    <w:pPr>
      <w:tabs>
        <w:tab w:val="center" w:pos="4513"/>
        <w:tab w:val="right" w:pos="9026"/>
      </w:tabs>
    </w:pPr>
  </w:style>
  <w:style w:type="character" w:customStyle="1" w:styleId="FooterChar">
    <w:name w:val="Footer Char"/>
    <w:basedOn w:val="DefaultParagraphFont"/>
    <w:link w:val="Footer"/>
    <w:uiPriority w:val="99"/>
    <w:rsid w:val="00BF604D"/>
    <w:rPr>
      <w:rFonts w:ascii="Calibri" w:hAnsi="Calibri" w:cs="Arial"/>
      <w:sz w:val="24"/>
      <w:szCs w:val="24"/>
    </w:rPr>
  </w:style>
  <w:style w:type="paragraph" w:customStyle="1" w:styleId="Commentitalics">
    <w:name w:val="Comment (italics)"/>
    <w:basedOn w:val="Normal"/>
    <w:next w:val="Normal"/>
    <w:qFormat/>
    <w:rsid w:val="00ED5E18"/>
    <w:rPr>
      <w:i/>
    </w:rPr>
  </w:style>
  <w:style w:type="paragraph" w:styleId="ListBullet">
    <w:name w:val="List Bullet"/>
    <w:aliases w:val="zz List Bullet"/>
    <w:basedOn w:val="Normal"/>
    <w:link w:val="ListBulletChar"/>
    <w:unhideWhenUsed/>
    <w:rsid w:val="00ED5E18"/>
    <w:pPr>
      <w:tabs>
        <w:tab w:val="num" w:pos="360"/>
      </w:tabs>
      <w:ind w:left="360" w:hanging="360"/>
      <w:contextualSpacing/>
    </w:pPr>
  </w:style>
  <w:style w:type="character" w:customStyle="1" w:styleId="ListBulletChar">
    <w:name w:val="List Bullet Char"/>
    <w:aliases w:val="zz List Bullet Char"/>
    <w:basedOn w:val="DefaultParagraphFont"/>
    <w:link w:val="ListBullet"/>
    <w:rsid w:val="00ED5E18"/>
    <w:rPr>
      <w:rFonts w:ascii="Calibri" w:hAnsi="Calibri" w:cs="Arial"/>
      <w:sz w:val="24"/>
      <w:szCs w:val="24"/>
    </w:rPr>
  </w:style>
  <w:style w:type="paragraph" w:customStyle="1" w:styleId="V50Instructions">
    <w:name w:val="V5.0 Instructions"/>
    <w:basedOn w:val="Normal"/>
    <w:link w:val="V50InstructionsChar"/>
    <w:qFormat/>
    <w:rsid w:val="000C6B5A"/>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0C6B5A"/>
    <w:rPr>
      <w:rFonts w:asciiTheme="minorHAnsi" w:eastAsiaTheme="minorHAnsi" w:hAnsiTheme="minorHAnsi" w:cstheme="minorBidi"/>
      <w:color w:val="4BACC6" w:themeColor="accent5"/>
      <w:sz w:val="24"/>
      <w:szCs w:val="22"/>
      <w:lang w:eastAsia="en-US"/>
    </w:rPr>
  </w:style>
  <w:style w:type="character" w:customStyle="1" w:styleId="COMBodyChar0">
    <w:name w:val="COMBody Char"/>
    <w:basedOn w:val="DefaultParagraphFont"/>
    <w:link w:val="COMBody0"/>
    <w:locked/>
    <w:rsid w:val="001445D4"/>
    <w:rPr>
      <w:rFonts w:ascii="Calibri" w:hAnsi="Calibri" w:cs="Arial"/>
      <w:sz w:val="24"/>
    </w:rPr>
  </w:style>
  <w:style w:type="paragraph" w:customStyle="1" w:styleId="COMBody0">
    <w:name w:val="COMBody"/>
    <w:basedOn w:val="Normal"/>
    <w:link w:val="COMBodyChar0"/>
    <w:qFormat/>
    <w:rsid w:val="001445D4"/>
    <w:pPr>
      <w:widowControl w:val="0"/>
      <w:snapToGrid w:val="0"/>
    </w:pPr>
    <w:rPr>
      <w:szCs w:val="20"/>
    </w:rPr>
  </w:style>
  <w:style w:type="paragraph" w:customStyle="1" w:styleId="TableFigureCaption">
    <w:name w:val="Table/Figure Caption"/>
    <w:next w:val="Tableheadingrow"/>
    <w:link w:val="TableFigureCaptionChar"/>
    <w:qFormat/>
    <w:rsid w:val="0039678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39678A"/>
    <w:rPr>
      <w:rFonts w:ascii="Arial Narrow" w:eastAsiaTheme="majorEastAsia" w:hAnsi="Arial Narrow" w:cstheme="majorBidi"/>
      <w:b/>
      <w:bCs/>
      <w:szCs w:val="24"/>
    </w:rPr>
  </w:style>
  <w:style w:type="character" w:customStyle="1" w:styleId="COMH2-numberedChar">
    <w:name w:val="COM H2 - numbered Char"/>
    <w:basedOn w:val="Heading2Char"/>
    <w:link w:val="COMH2-numbered"/>
    <w:rsid w:val="0039678A"/>
    <w:rPr>
      <w:rFonts w:ascii="Calibri" w:hAnsi="Calibri" w:cs="Arial"/>
      <w:b/>
      <w:i/>
      <w:sz w:val="28"/>
      <w:szCs w:val="24"/>
    </w:rPr>
  </w:style>
  <w:style w:type="paragraph" w:customStyle="1" w:styleId="zzBulletpoints">
    <w:name w:val="zz Bullet points"/>
    <w:basedOn w:val="ListParagraph"/>
    <w:rsid w:val="0039678A"/>
    <w:pPr>
      <w:spacing w:after="120"/>
      <w:ind w:hanging="360"/>
    </w:pPr>
    <w:rPr>
      <w:rFonts w:asciiTheme="minorHAnsi" w:hAnsiTheme="minorHAnsi"/>
      <w:snapToGrid w:val="0"/>
    </w:rPr>
  </w:style>
  <w:style w:type="paragraph" w:customStyle="1" w:styleId="COMH1numbered">
    <w:name w:val="COM H1 numbered"/>
    <w:next w:val="Normal"/>
    <w:link w:val="COMH1numberedChar"/>
    <w:qFormat/>
    <w:rsid w:val="0039678A"/>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39678A"/>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ListParagraphChar"/>
    <w:link w:val="COMexecsumnumberedpara"/>
    <w:rsid w:val="0039678A"/>
    <w:rPr>
      <w:rFonts w:asciiTheme="minorHAnsi" w:hAnsiTheme="minorHAnsi" w:cs="Arial"/>
      <w:snapToGrid w:val="0"/>
      <w:sz w:val="24"/>
      <w:szCs w:val="24"/>
    </w:rPr>
  </w:style>
  <w:style w:type="character" w:customStyle="1" w:styleId="COMH1numberedChar">
    <w:name w:val="COM H1 numbered Char"/>
    <w:basedOn w:val="DefaultParagraphFont"/>
    <w:link w:val="COMH1numbered"/>
    <w:rsid w:val="0039678A"/>
    <w:rPr>
      <w:rFonts w:asciiTheme="minorHAnsi" w:hAnsiTheme="minorHAnsi" w:cs="Arial"/>
      <w:b/>
      <w:snapToGrid w:val="0"/>
      <w:sz w:val="32"/>
      <w:szCs w:val="32"/>
    </w:rPr>
  </w:style>
  <w:style w:type="paragraph" w:styleId="TOC4">
    <w:name w:val="toc 4"/>
    <w:basedOn w:val="Normal"/>
    <w:next w:val="Normal"/>
    <w:autoRedefine/>
    <w:uiPriority w:val="39"/>
    <w:unhideWhenUsed/>
    <w:rsid w:val="0039678A"/>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9678A"/>
    <w:pPr>
      <w:spacing w:after="100" w:line="259" w:lineRule="auto"/>
      <w:ind w:left="88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9678A"/>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9678A"/>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9678A"/>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39678A"/>
    <w:rPr>
      <w:color w:val="605E5C"/>
      <w:shd w:val="clear" w:color="auto" w:fill="E1DFDD"/>
    </w:rPr>
  </w:style>
  <w:style w:type="paragraph" w:customStyle="1" w:styleId="5-SubSubSubHead">
    <w:name w:val="5-Sub Sub Sub Head"/>
    <w:basedOn w:val="Heading4"/>
    <w:qFormat/>
    <w:rsid w:val="0039678A"/>
  </w:style>
  <w:style w:type="character" w:customStyle="1" w:styleId="Small">
    <w:name w:val="Small"/>
    <w:basedOn w:val="DefaultParagraphFont"/>
    <w:uiPriority w:val="4"/>
    <w:qFormat/>
    <w:rsid w:val="0039678A"/>
    <w:rPr>
      <w:rFonts w:asciiTheme="minorHAnsi" w:hAnsiTheme="minorHAnsi"/>
      <w:sz w:val="18"/>
    </w:rPr>
  </w:style>
  <w:style w:type="paragraph" w:customStyle="1" w:styleId="TableFooter">
    <w:name w:val="Table Footer"/>
    <w:basedOn w:val="Normal"/>
    <w:link w:val="TableFooterChar"/>
    <w:qFormat/>
    <w:rsid w:val="0039678A"/>
    <w:pPr>
      <w:widowControl w:val="0"/>
    </w:pPr>
    <w:rPr>
      <w:rFonts w:ascii="Arial Narrow" w:hAnsi="Arial Narrow"/>
      <w:snapToGrid w:val="0"/>
      <w:sz w:val="18"/>
      <w:szCs w:val="22"/>
      <w:lang w:eastAsia="en-US"/>
    </w:rPr>
  </w:style>
  <w:style w:type="character" w:customStyle="1" w:styleId="TableFooterChar">
    <w:name w:val="Table Footer Char"/>
    <w:link w:val="TableFooter"/>
    <w:rsid w:val="0039678A"/>
    <w:rPr>
      <w:rFonts w:ascii="Arial Narrow" w:hAnsi="Arial Narrow" w:cs="Arial"/>
      <w:snapToGrid w:val="0"/>
      <w:sz w:val="18"/>
      <w:szCs w:val="22"/>
      <w:lang w:eastAsia="en-US"/>
    </w:rPr>
  </w:style>
  <w:style w:type="paragraph" w:customStyle="1" w:styleId="4-SubsectSubhead">
    <w:name w:val="4-Subsect Subhead"/>
    <w:basedOn w:val="Heading3"/>
    <w:next w:val="Normal"/>
    <w:link w:val="4-SubsectSubheadChar"/>
    <w:qFormat/>
    <w:rsid w:val="0039678A"/>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39678A"/>
    <w:rPr>
      <w:rFonts w:asciiTheme="minorHAnsi" w:eastAsiaTheme="majorEastAsia" w:hAnsiTheme="minorHAnsi" w:cstheme="majorBidi"/>
      <w:b/>
      <w:color w:val="000000" w:themeColor="text1"/>
      <w:sz w:val="28"/>
      <w:szCs w:val="28"/>
    </w:rPr>
  </w:style>
  <w:style w:type="paragraph" w:customStyle="1" w:styleId="TableHeader">
    <w:name w:val="Table Header"/>
    <w:basedOn w:val="Normal"/>
    <w:uiPriority w:val="3"/>
    <w:rsid w:val="0039678A"/>
    <w:pPr>
      <w:widowControl w:val="0"/>
    </w:pPr>
    <w:rPr>
      <w:b/>
      <w:snapToGrid w:val="0"/>
      <w:sz w:val="20"/>
      <w:szCs w:val="22"/>
      <w:lang w:eastAsia="en-US"/>
    </w:rPr>
  </w:style>
  <w:style w:type="table" w:customStyle="1" w:styleId="Submissionstandard">
    <w:name w:val="Submission standard"/>
    <w:uiPriority w:val="99"/>
    <w:qFormat/>
    <w:rsid w:val="0039678A"/>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Times" w:hAnsi="Times" w:cs="Times New Roman"/>
        <w:b/>
        <w:sz w:val="20"/>
      </w:rPr>
      <w:tblPr/>
      <w:tcPr>
        <w:shd w:val="clear" w:color="auto" w:fill="BFBFBF"/>
      </w:tcPr>
    </w:tblStylePr>
  </w:style>
  <w:style w:type="character" w:customStyle="1" w:styleId="UnresolvedMention2">
    <w:name w:val="Unresolved Mention2"/>
    <w:basedOn w:val="DefaultParagraphFont"/>
    <w:uiPriority w:val="99"/>
    <w:semiHidden/>
    <w:unhideWhenUsed/>
    <w:rsid w:val="0039678A"/>
    <w:rPr>
      <w:color w:val="605E5C"/>
      <w:shd w:val="clear" w:color="auto" w:fill="E1DFDD"/>
    </w:rPr>
  </w:style>
  <w:style w:type="character" w:customStyle="1" w:styleId="cf01">
    <w:name w:val="cf01"/>
    <w:basedOn w:val="DefaultParagraphFont"/>
    <w:rsid w:val="0039678A"/>
    <w:rPr>
      <w:rFonts w:ascii="Segoe UI" w:hAnsi="Segoe UI" w:cs="Segoe UI" w:hint="default"/>
      <w:sz w:val="18"/>
      <w:szCs w:val="18"/>
    </w:rPr>
  </w:style>
  <w:style w:type="character" w:customStyle="1" w:styleId="cf11">
    <w:name w:val="cf11"/>
    <w:basedOn w:val="DefaultParagraphFont"/>
    <w:rsid w:val="0039678A"/>
    <w:rPr>
      <w:rFonts w:ascii="Segoe UI" w:hAnsi="Segoe UI" w:cs="Segoe UI" w:hint="default"/>
      <w:sz w:val="18"/>
      <w:szCs w:val="18"/>
      <w:u w:val="single"/>
    </w:rPr>
  </w:style>
  <w:style w:type="paragraph" w:customStyle="1" w:styleId="2-SectionHeading">
    <w:name w:val="2-Section Heading"/>
    <w:qFormat/>
    <w:rsid w:val="0039678A"/>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qFormat/>
    <w:rsid w:val="0039678A"/>
    <w:pPr>
      <w:tabs>
        <w:tab w:val="num" w:pos="360"/>
      </w:tabs>
      <w:spacing w:after="120"/>
      <w:ind w:left="890" w:hanging="360"/>
      <w:contextualSpacing w:val="0"/>
    </w:pPr>
    <w:rPr>
      <w:rFonts w:asciiTheme="minorHAnsi" w:hAnsiTheme="minorHAnsi"/>
      <w:snapToGrid w:val="0"/>
    </w:rPr>
  </w:style>
  <w:style w:type="paragraph" w:styleId="FootnoteText">
    <w:name w:val="footnote text"/>
    <w:basedOn w:val="Normal"/>
    <w:link w:val="FootnoteTextChar"/>
    <w:unhideWhenUsed/>
    <w:rsid w:val="0039678A"/>
    <w:pPr>
      <w:jc w:val="left"/>
    </w:pPr>
    <w:rPr>
      <w:sz w:val="20"/>
      <w:szCs w:val="20"/>
    </w:rPr>
  </w:style>
  <w:style w:type="character" w:customStyle="1" w:styleId="FootnoteTextChar">
    <w:name w:val="Footnote Text Char"/>
    <w:basedOn w:val="DefaultParagraphFont"/>
    <w:link w:val="FootnoteText"/>
    <w:rsid w:val="0039678A"/>
    <w:rPr>
      <w:rFonts w:ascii="Calibri" w:hAnsi="Calibri" w:cs="Arial"/>
    </w:rPr>
  </w:style>
  <w:style w:type="character" w:styleId="FootnoteReference">
    <w:name w:val="footnote reference"/>
    <w:basedOn w:val="DefaultParagraphFont"/>
    <w:semiHidden/>
    <w:unhideWhenUsed/>
    <w:rsid w:val="0039678A"/>
    <w:rPr>
      <w:vertAlign w:val="superscript"/>
    </w:rPr>
  </w:style>
  <w:style w:type="paragraph" w:customStyle="1" w:styleId="TableLetters">
    <w:name w:val="Table Letters"/>
    <w:basedOn w:val="Normal"/>
    <w:uiPriority w:val="3"/>
    <w:qFormat/>
    <w:rsid w:val="0039678A"/>
    <w:pPr>
      <w:numPr>
        <w:numId w:val="7"/>
      </w:numPr>
      <w:jc w:val="left"/>
    </w:pPr>
    <w:rPr>
      <w:rFonts w:asciiTheme="minorHAnsi" w:eastAsiaTheme="majorEastAsia" w:hAnsiTheme="minorHAnsi" w:cstheme="majorBidi"/>
      <w:sz w:val="20"/>
      <w:szCs w:val="22"/>
      <w:lang w:eastAsia="en-US" w:bidi="en-US"/>
    </w:rPr>
  </w:style>
  <w:style w:type="paragraph" w:customStyle="1" w:styleId="COMBodygrey">
    <w:name w:val="COM Body grey"/>
    <w:basedOn w:val="COMBody"/>
    <w:qFormat/>
    <w:rsid w:val="0039678A"/>
    <w:rPr>
      <w:color w:val="808080" w:themeColor="background1" w:themeShade="80"/>
    </w:rPr>
  </w:style>
  <w:style w:type="character" w:customStyle="1" w:styleId="CaptionFootnoteChar">
    <w:name w:val="Caption Footnote Char"/>
    <w:basedOn w:val="DefaultParagraphFont"/>
    <w:link w:val="CaptionFootnote"/>
    <w:rsid w:val="0039678A"/>
    <w:rPr>
      <w:rFonts w:ascii="Candara" w:hAnsi="Candara"/>
      <w:bCs/>
      <w:sz w:val="16"/>
      <w:szCs w:val="18"/>
    </w:rPr>
  </w:style>
  <w:style w:type="paragraph" w:customStyle="1" w:styleId="CaptionFootnote">
    <w:name w:val="Caption Footnote"/>
    <w:basedOn w:val="Caption"/>
    <w:link w:val="CaptionFootnoteChar"/>
    <w:qFormat/>
    <w:rsid w:val="0039678A"/>
    <w:pPr>
      <w:widowControl w:val="0"/>
      <w:spacing w:after="0"/>
    </w:pPr>
    <w:rPr>
      <w:rFonts w:ascii="Candara" w:eastAsia="Times New Roman" w:hAnsi="Candara" w:cs="Times New Roman"/>
      <w:b w:val="0"/>
      <w:sz w:val="16"/>
      <w:lang w:eastAsia="en-AU" w:bidi="ar-SA"/>
    </w:rPr>
  </w:style>
  <w:style w:type="character" w:customStyle="1" w:styleId="Heading1Char">
    <w:name w:val="Heading 1 Char"/>
    <w:basedOn w:val="DefaultParagraphFont"/>
    <w:link w:val="Heading1"/>
    <w:uiPriority w:val="1"/>
    <w:rsid w:val="00C12AE0"/>
    <w:rPr>
      <w:rFonts w:ascii="Calibri" w:hAnsi="Calibri" w:cs="Arial"/>
      <w:b/>
      <w:caps/>
      <w:sz w:val="32"/>
      <w:szCs w:val="24"/>
    </w:rPr>
  </w:style>
  <w:style w:type="character" w:customStyle="1" w:styleId="Heading3Char">
    <w:name w:val="Heading 3 Char"/>
    <w:basedOn w:val="DefaultParagraphFont"/>
    <w:link w:val="Heading3"/>
    <w:uiPriority w:val="9"/>
    <w:rsid w:val="00C12AE0"/>
    <w:rPr>
      <w:rFonts w:ascii="Calibri" w:hAnsi="Calibri" w:cs="Arial"/>
      <w:sz w:val="24"/>
      <w:szCs w:val="24"/>
      <w:u w:val="single"/>
    </w:rPr>
  </w:style>
  <w:style w:type="character" w:customStyle="1" w:styleId="Heading4Char">
    <w:name w:val="Heading 4 Char"/>
    <w:basedOn w:val="DefaultParagraphFont"/>
    <w:link w:val="Heading4"/>
    <w:uiPriority w:val="9"/>
    <w:rsid w:val="00C12AE0"/>
    <w:rPr>
      <w:rFonts w:ascii="Calibri" w:hAnsi="Calibri" w:cs="Arial"/>
      <w:b/>
      <w:bCs/>
      <w:i/>
      <w:sz w:val="26"/>
      <w:szCs w:val="28"/>
    </w:rPr>
  </w:style>
  <w:style w:type="character" w:customStyle="1" w:styleId="Heading5Char">
    <w:name w:val="Heading 5 Char"/>
    <w:basedOn w:val="DefaultParagraphFont"/>
    <w:link w:val="Heading5"/>
    <w:uiPriority w:val="9"/>
    <w:rsid w:val="00C12AE0"/>
    <w:rPr>
      <w:rFonts w:ascii="Calibri" w:hAnsi="Calibri" w:cs="Arial"/>
      <w:b/>
      <w:bCs/>
      <w:iCs/>
      <w:sz w:val="26"/>
      <w:szCs w:val="26"/>
    </w:rPr>
  </w:style>
  <w:style w:type="character" w:customStyle="1" w:styleId="Heading6Char">
    <w:name w:val="Heading 6 Char"/>
    <w:basedOn w:val="DefaultParagraphFont"/>
    <w:link w:val="Heading6"/>
    <w:uiPriority w:val="9"/>
    <w:rsid w:val="00C12AE0"/>
    <w:rPr>
      <w:rFonts w:ascii="Calibri" w:hAnsi="Calibri" w:cs="Arial"/>
      <w:b/>
      <w:bCs/>
      <w:i/>
      <w:sz w:val="24"/>
      <w:szCs w:val="24"/>
    </w:rPr>
  </w:style>
  <w:style w:type="paragraph" w:styleId="Title">
    <w:name w:val="Title"/>
    <w:basedOn w:val="Normal"/>
    <w:next w:val="Normal"/>
    <w:link w:val="TitleChar"/>
    <w:uiPriority w:val="10"/>
    <w:qFormat/>
    <w:rsid w:val="00C12A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AE0"/>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C12AE0"/>
    <w:pPr>
      <w:spacing w:before="160"/>
      <w:jc w:val="center"/>
    </w:pPr>
    <w:rPr>
      <w:i/>
      <w:iCs/>
      <w:color w:val="404040" w:themeColor="text1" w:themeTint="BF"/>
    </w:rPr>
  </w:style>
  <w:style w:type="character" w:customStyle="1" w:styleId="QuoteChar">
    <w:name w:val="Quote Char"/>
    <w:basedOn w:val="DefaultParagraphFont"/>
    <w:link w:val="Quote"/>
    <w:uiPriority w:val="29"/>
    <w:rsid w:val="00C12AE0"/>
    <w:rPr>
      <w:rFonts w:ascii="Calibri" w:hAnsi="Calibri" w:cs="Arial"/>
      <w:i/>
      <w:iCs/>
      <w:color w:val="404040" w:themeColor="text1" w:themeTint="BF"/>
      <w:sz w:val="24"/>
      <w:szCs w:val="24"/>
    </w:rPr>
  </w:style>
  <w:style w:type="character" w:styleId="IntenseEmphasis">
    <w:name w:val="Intense Emphasis"/>
    <w:basedOn w:val="DefaultParagraphFont"/>
    <w:uiPriority w:val="21"/>
    <w:qFormat/>
    <w:rsid w:val="00C12AE0"/>
    <w:rPr>
      <w:i/>
      <w:iCs/>
      <w:color w:val="365F91" w:themeColor="accent1" w:themeShade="BF"/>
    </w:rPr>
  </w:style>
  <w:style w:type="paragraph" w:styleId="IntenseQuote">
    <w:name w:val="Intense Quote"/>
    <w:basedOn w:val="Normal"/>
    <w:next w:val="Normal"/>
    <w:link w:val="IntenseQuoteChar"/>
    <w:uiPriority w:val="30"/>
    <w:qFormat/>
    <w:rsid w:val="00C12A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2AE0"/>
    <w:rPr>
      <w:rFonts w:ascii="Calibri" w:hAnsi="Calibri" w:cs="Arial"/>
      <w:i/>
      <w:iCs/>
      <w:color w:val="365F91" w:themeColor="accent1" w:themeShade="BF"/>
      <w:sz w:val="24"/>
      <w:szCs w:val="24"/>
    </w:rPr>
  </w:style>
  <w:style w:type="character" w:styleId="IntenseReference">
    <w:name w:val="Intense Reference"/>
    <w:basedOn w:val="DefaultParagraphFont"/>
    <w:uiPriority w:val="32"/>
    <w:qFormat/>
    <w:rsid w:val="00C12AE0"/>
    <w:rPr>
      <w:b/>
      <w:bCs/>
      <w:smallCaps/>
      <w:color w:val="365F91" w:themeColor="accent1" w:themeShade="BF"/>
      <w:spacing w:val="5"/>
    </w:rPr>
  </w:style>
  <w:style w:type="table" w:customStyle="1" w:styleId="TableGrid2">
    <w:name w:val="Table Grid2"/>
    <w:basedOn w:val="TableNormal"/>
    <w:next w:val="TableGrid"/>
    <w:uiPriority w:val="39"/>
    <w:rsid w:val="00CA48CC"/>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15869"/>
    <w:pPr>
      <w:spacing w:after="160" w:line="240" w:lineRule="exact"/>
      <w:jc w:val="left"/>
    </w:pPr>
    <w:rPr>
      <w:rFonts w:ascii="Verdana" w:eastAsia="MS Mincho" w:hAnsi="Verdana" w:cs="Verdana"/>
      <w:sz w:val="20"/>
      <w:szCs w:val="20"/>
      <w:lang w:val="en-US" w:eastAsia="en-US"/>
    </w:rPr>
  </w:style>
  <w:style w:type="paragraph" w:styleId="NormalWeb">
    <w:name w:val="Normal (Web)"/>
    <w:basedOn w:val="Normal"/>
    <w:uiPriority w:val="99"/>
    <w:semiHidden/>
    <w:unhideWhenUsed/>
    <w:rsid w:val="00515869"/>
    <w:pPr>
      <w:spacing w:before="100" w:beforeAutospacing="1" w:after="100" w:afterAutospacing="1"/>
      <w:jc w:val="left"/>
    </w:pPr>
    <w:rPr>
      <w:rFonts w:ascii="Times New Roman" w:hAnsi="Times New Roman" w:cs="Times New Roman"/>
    </w:rPr>
  </w:style>
  <w:style w:type="character" w:customStyle="1" w:styleId="text-widget">
    <w:name w:val="text-widget"/>
    <w:basedOn w:val="DefaultParagraphFont"/>
    <w:rsid w:val="00515869"/>
  </w:style>
  <w:style w:type="character" w:customStyle="1" w:styleId="normaltextrun">
    <w:name w:val="normaltextrun"/>
    <w:basedOn w:val="DefaultParagraphFont"/>
    <w:rsid w:val="00515869"/>
  </w:style>
  <w:style w:type="character" w:customStyle="1" w:styleId="eop">
    <w:name w:val="eop"/>
    <w:basedOn w:val="DefaultParagraphFont"/>
    <w:rsid w:val="00515869"/>
  </w:style>
  <w:style w:type="paragraph" w:customStyle="1" w:styleId="paragraph">
    <w:name w:val="paragraph"/>
    <w:basedOn w:val="Normal"/>
    <w:rsid w:val="00515869"/>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CD477D"/>
    <w:pPr>
      <w:ind w:left="720" w:hanging="720"/>
      <w:outlineLvl w:val="0"/>
    </w:pPr>
    <w:rPr>
      <w:rFonts w:ascii="Calibri" w:hAnsi="Calibri" w:cs="Calibri"/>
      <w:b/>
      <w:snapToGrid w:val="0"/>
      <w:sz w:val="32"/>
      <w:szCs w:val="32"/>
      <w:lang w:eastAsia="en-US"/>
    </w:rPr>
  </w:style>
  <w:style w:type="numbering" w:customStyle="1" w:styleId="SectionBii1">
    <w:name w:val="Section Bii1"/>
    <w:uiPriority w:val="99"/>
    <w:rsid w:val="002F4066"/>
  </w:style>
  <w:style w:type="paragraph" w:customStyle="1" w:styleId="3-SubsectionHeading">
    <w:name w:val="3-Subsection Heading"/>
    <w:basedOn w:val="Heading2"/>
    <w:next w:val="Normal"/>
    <w:link w:val="3-SubsectionHeadingChar"/>
    <w:qFormat/>
    <w:rsid w:val="00704B78"/>
    <w:pPr>
      <w:spacing w:before="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704B78"/>
    <w:rPr>
      <w:rFonts w:asciiTheme="minorHAnsi" w:eastAsiaTheme="majorEastAsia" w:hAnsiTheme="minorHAnsi" w:cstheme="majorBidi"/>
      <w:b/>
      <w:i/>
      <w:color w:val="365F91" w:themeColor="accent1" w:themeShade="BF"/>
      <w:spacing w:val="5"/>
      <w:kern w:val="28"/>
      <w:sz w:val="28"/>
      <w:szCs w:val="36"/>
      <w:lang w:eastAsia="en-US"/>
    </w:rPr>
  </w:style>
  <w:style w:type="paragraph" w:styleId="EndnoteText">
    <w:name w:val="endnote text"/>
    <w:basedOn w:val="Normal"/>
    <w:link w:val="EndnoteTextChar"/>
    <w:semiHidden/>
    <w:unhideWhenUsed/>
    <w:rsid w:val="00DF5544"/>
    <w:rPr>
      <w:sz w:val="20"/>
      <w:szCs w:val="20"/>
    </w:rPr>
  </w:style>
  <w:style w:type="character" w:customStyle="1" w:styleId="EndnoteTextChar">
    <w:name w:val="Endnote Text Char"/>
    <w:basedOn w:val="DefaultParagraphFont"/>
    <w:link w:val="EndnoteText"/>
    <w:semiHidden/>
    <w:rsid w:val="00DF5544"/>
    <w:rPr>
      <w:rFonts w:ascii="Calibri" w:hAnsi="Calibri" w:cs="Arial"/>
    </w:rPr>
  </w:style>
  <w:style w:type="character" w:styleId="EndnoteReference">
    <w:name w:val="endnote reference"/>
    <w:basedOn w:val="DefaultParagraphFont"/>
    <w:semiHidden/>
    <w:unhideWhenUsed/>
    <w:rsid w:val="00DF5544"/>
    <w:rPr>
      <w:vertAlign w:val="superscript"/>
    </w:rPr>
  </w:style>
  <w:style w:type="character" w:styleId="Mention">
    <w:name w:val="Mention"/>
    <w:basedOn w:val="DefaultParagraphFont"/>
    <w:uiPriority w:val="99"/>
    <w:unhideWhenUsed/>
    <w:rsid w:val="00605D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
      <w:bodyDiv w:val="1"/>
      <w:marLeft w:val="0"/>
      <w:marRight w:val="0"/>
      <w:marTop w:val="0"/>
      <w:marBottom w:val="0"/>
      <w:divBdr>
        <w:top w:val="none" w:sz="0" w:space="0" w:color="auto"/>
        <w:left w:val="none" w:sz="0" w:space="0" w:color="auto"/>
        <w:bottom w:val="none" w:sz="0" w:space="0" w:color="auto"/>
        <w:right w:val="none" w:sz="0" w:space="0" w:color="auto"/>
      </w:divBdr>
    </w:div>
    <w:div w:id="8875768">
      <w:bodyDiv w:val="1"/>
      <w:marLeft w:val="0"/>
      <w:marRight w:val="0"/>
      <w:marTop w:val="0"/>
      <w:marBottom w:val="0"/>
      <w:divBdr>
        <w:top w:val="none" w:sz="0" w:space="0" w:color="auto"/>
        <w:left w:val="none" w:sz="0" w:space="0" w:color="auto"/>
        <w:bottom w:val="none" w:sz="0" w:space="0" w:color="auto"/>
        <w:right w:val="none" w:sz="0" w:space="0" w:color="auto"/>
      </w:divBdr>
    </w:div>
    <w:div w:id="506617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0655256">
      <w:bodyDiv w:val="1"/>
      <w:marLeft w:val="0"/>
      <w:marRight w:val="0"/>
      <w:marTop w:val="0"/>
      <w:marBottom w:val="0"/>
      <w:divBdr>
        <w:top w:val="none" w:sz="0" w:space="0" w:color="auto"/>
        <w:left w:val="none" w:sz="0" w:space="0" w:color="auto"/>
        <w:bottom w:val="none" w:sz="0" w:space="0" w:color="auto"/>
        <w:right w:val="none" w:sz="0" w:space="0" w:color="auto"/>
      </w:divBdr>
    </w:div>
    <w:div w:id="23771089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4937223">
      <w:bodyDiv w:val="1"/>
      <w:marLeft w:val="0"/>
      <w:marRight w:val="0"/>
      <w:marTop w:val="0"/>
      <w:marBottom w:val="0"/>
      <w:divBdr>
        <w:top w:val="none" w:sz="0" w:space="0" w:color="auto"/>
        <w:left w:val="none" w:sz="0" w:space="0" w:color="auto"/>
        <w:bottom w:val="none" w:sz="0" w:space="0" w:color="auto"/>
        <w:right w:val="none" w:sz="0" w:space="0" w:color="auto"/>
      </w:divBdr>
    </w:div>
    <w:div w:id="381830815">
      <w:bodyDiv w:val="1"/>
      <w:marLeft w:val="0"/>
      <w:marRight w:val="0"/>
      <w:marTop w:val="0"/>
      <w:marBottom w:val="0"/>
      <w:divBdr>
        <w:top w:val="none" w:sz="0" w:space="0" w:color="auto"/>
        <w:left w:val="none" w:sz="0" w:space="0" w:color="auto"/>
        <w:bottom w:val="none" w:sz="0" w:space="0" w:color="auto"/>
        <w:right w:val="none" w:sz="0" w:space="0" w:color="auto"/>
      </w:divBdr>
      <w:divsChild>
        <w:div w:id="1734110897">
          <w:marLeft w:val="0"/>
          <w:marRight w:val="0"/>
          <w:marTop w:val="0"/>
          <w:marBottom w:val="0"/>
          <w:divBdr>
            <w:top w:val="none" w:sz="0" w:space="0" w:color="auto"/>
            <w:left w:val="none" w:sz="0" w:space="0" w:color="auto"/>
            <w:bottom w:val="none" w:sz="0" w:space="0" w:color="auto"/>
            <w:right w:val="none" w:sz="0" w:space="0" w:color="auto"/>
          </w:divBdr>
        </w:div>
        <w:div w:id="1807627017">
          <w:marLeft w:val="0"/>
          <w:marRight w:val="0"/>
          <w:marTop w:val="0"/>
          <w:marBottom w:val="0"/>
          <w:divBdr>
            <w:top w:val="none" w:sz="0" w:space="0" w:color="auto"/>
            <w:left w:val="none" w:sz="0" w:space="0" w:color="auto"/>
            <w:bottom w:val="none" w:sz="0" w:space="0" w:color="auto"/>
            <w:right w:val="none" w:sz="0" w:space="0" w:color="auto"/>
          </w:divBdr>
        </w:div>
      </w:divsChild>
    </w:div>
    <w:div w:id="397436915">
      <w:bodyDiv w:val="1"/>
      <w:marLeft w:val="0"/>
      <w:marRight w:val="0"/>
      <w:marTop w:val="0"/>
      <w:marBottom w:val="0"/>
      <w:divBdr>
        <w:top w:val="none" w:sz="0" w:space="0" w:color="auto"/>
        <w:left w:val="none" w:sz="0" w:space="0" w:color="auto"/>
        <w:bottom w:val="none" w:sz="0" w:space="0" w:color="auto"/>
        <w:right w:val="none" w:sz="0" w:space="0" w:color="auto"/>
      </w:divBdr>
      <w:divsChild>
        <w:div w:id="1273056075">
          <w:marLeft w:val="0"/>
          <w:marRight w:val="0"/>
          <w:marTop w:val="0"/>
          <w:marBottom w:val="0"/>
          <w:divBdr>
            <w:top w:val="none" w:sz="0" w:space="0" w:color="auto"/>
            <w:left w:val="none" w:sz="0" w:space="0" w:color="auto"/>
            <w:bottom w:val="none" w:sz="0" w:space="0" w:color="auto"/>
            <w:right w:val="none" w:sz="0" w:space="0" w:color="auto"/>
          </w:divBdr>
        </w:div>
      </w:divsChild>
    </w:div>
    <w:div w:id="416561718">
      <w:bodyDiv w:val="1"/>
      <w:marLeft w:val="0"/>
      <w:marRight w:val="0"/>
      <w:marTop w:val="0"/>
      <w:marBottom w:val="0"/>
      <w:divBdr>
        <w:top w:val="none" w:sz="0" w:space="0" w:color="auto"/>
        <w:left w:val="none" w:sz="0" w:space="0" w:color="auto"/>
        <w:bottom w:val="none" w:sz="0" w:space="0" w:color="auto"/>
        <w:right w:val="none" w:sz="0" w:space="0" w:color="auto"/>
      </w:divBdr>
    </w:div>
    <w:div w:id="423963495">
      <w:bodyDiv w:val="1"/>
      <w:marLeft w:val="0"/>
      <w:marRight w:val="0"/>
      <w:marTop w:val="0"/>
      <w:marBottom w:val="0"/>
      <w:divBdr>
        <w:top w:val="none" w:sz="0" w:space="0" w:color="auto"/>
        <w:left w:val="none" w:sz="0" w:space="0" w:color="auto"/>
        <w:bottom w:val="none" w:sz="0" w:space="0" w:color="auto"/>
        <w:right w:val="none" w:sz="0" w:space="0" w:color="auto"/>
      </w:divBdr>
    </w:div>
    <w:div w:id="510067425">
      <w:bodyDiv w:val="1"/>
      <w:marLeft w:val="0"/>
      <w:marRight w:val="0"/>
      <w:marTop w:val="0"/>
      <w:marBottom w:val="0"/>
      <w:divBdr>
        <w:top w:val="none" w:sz="0" w:space="0" w:color="auto"/>
        <w:left w:val="none" w:sz="0" w:space="0" w:color="auto"/>
        <w:bottom w:val="none" w:sz="0" w:space="0" w:color="auto"/>
        <w:right w:val="none" w:sz="0" w:space="0" w:color="auto"/>
      </w:divBdr>
      <w:divsChild>
        <w:div w:id="1572543891">
          <w:marLeft w:val="547"/>
          <w:marRight w:val="0"/>
          <w:marTop w:val="115"/>
          <w:marBottom w:val="0"/>
          <w:divBdr>
            <w:top w:val="none" w:sz="0" w:space="0" w:color="auto"/>
            <w:left w:val="none" w:sz="0" w:space="0" w:color="auto"/>
            <w:bottom w:val="none" w:sz="0" w:space="0" w:color="auto"/>
            <w:right w:val="none" w:sz="0" w:space="0" w:color="auto"/>
          </w:divBdr>
        </w:div>
      </w:divsChild>
    </w:div>
    <w:div w:id="561133840">
      <w:bodyDiv w:val="1"/>
      <w:marLeft w:val="0"/>
      <w:marRight w:val="0"/>
      <w:marTop w:val="0"/>
      <w:marBottom w:val="0"/>
      <w:divBdr>
        <w:top w:val="none" w:sz="0" w:space="0" w:color="auto"/>
        <w:left w:val="none" w:sz="0" w:space="0" w:color="auto"/>
        <w:bottom w:val="none" w:sz="0" w:space="0" w:color="auto"/>
        <w:right w:val="none" w:sz="0" w:space="0" w:color="auto"/>
      </w:divBdr>
    </w:div>
    <w:div w:id="573396708">
      <w:bodyDiv w:val="1"/>
      <w:marLeft w:val="0"/>
      <w:marRight w:val="0"/>
      <w:marTop w:val="0"/>
      <w:marBottom w:val="0"/>
      <w:divBdr>
        <w:top w:val="none" w:sz="0" w:space="0" w:color="auto"/>
        <w:left w:val="none" w:sz="0" w:space="0" w:color="auto"/>
        <w:bottom w:val="none" w:sz="0" w:space="0" w:color="auto"/>
        <w:right w:val="none" w:sz="0" w:space="0" w:color="auto"/>
      </w:divBdr>
    </w:div>
    <w:div w:id="595747636">
      <w:bodyDiv w:val="1"/>
      <w:marLeft w:val="0"/>
      <w:marRight w:val="0"/>
      <w:marTop w:val="0"/>
      <w:marBottom w:val="0"/>
      <w:divBdr>
        <w:top w:val="none" w:sz="0" w:space="0" w:color="auto"/>
        <w:left w:val="none" w:sz="0" w:space="0" w:color="auto"/>
        <w:bottom w:val="none" w:sz="0" w:space="0" w:color="auto"/>
        <w:right w:val="none" w:sz="0" w:space="0" w:color="auto"/>
      </w:divBdr>
    </w:div>
    <w:div w:id="638537811">
      <w:bodyDiv w:val="1"/>
      <w:marLeft w:val="0"/>
      <w:marRight w:val="0"/>
      <w:marTop w:val="0"/>
      <w:marBottom w:val="0"/>
      <w:divBdr>
        <w:top w:val="none" w:sz="0" w:space="0" w:color="auto"/>
        <w:left w:val="none" w:sz="0" w:space="0" w:color="auto"/>
        <w:bottom w:val="none" w:sz="0" w:space="0" w:color="auto"/>
        <w:right w:val="none" w:sz="0" w:space="0" w:color="auto"/>
      </w:divBdr>
    </w:div>
    <w:div w:id="653145692">
      <w:bodyDiv w:val="1"/>
      <w:marLeft w:val="0"/>
      <w:marRight w:val="0"/>
      <w:marTop w:val="0"/>
      <w:marBottom w:val="0"/>
      <w:divBdr>
        <w:top w:val="none" w:sz="0" w:space="0" w:color="auto"/>
        <w:left w:val="none" w:sz="0" w:space="0" w:color="auto"/>
        <w:bottom w:val="none" w:sz="0" w:space="0" w:color="auto"/>
        <w:right w:val="none" w:sz="0" w:space="0" w:color="auto"/>
      </w:divBdr>
    </w:div>
    <w:div w:id="758601822">
      <w:bodyDiv w:val="1"/>
      <w:marLeft w:val="0"/>
      <w:marRight w:val="0"/>
      <w:marTop w:val="0"/>
      <w:marBottom w:val="0"/>
      <w:divBdr>
        <w:top w:val="none" w:sz="0" w:space="0" w:color="auto"/>
        <w:left w:val="none" w:sz="0" w:space="0" w:color="auto"/>
        <w:bottom w:val="none" w:sz="0" w:space="0" w:color="auto"/>
        <w:right w:val="none" w:sz="0" w:space="0" w:color="auto"/>
      </w:divBdr>
      <w:divsChild>
        <w:div w:id="1737241480">
          <w:marLeft w:val="1166"/>
          <w:marRight w:val="0"/>
          <w:marTop w:val="106"/>
          <w:marBottom w:val="0"/>
          <w:divBdr>
            <w:top w:val="none" w:sz="0" w:space="0" w:color="auto"/>
            <w:left w:val="none" w:sz="0" w:space="0" w:color="auto"/>
            <w:bottom w:val="none" w:sz="0" w:space="0" w:color="auto"/>
            <w:right w:val="none" w:sz="0" w:space="0" w:color="auto"/>
          </w:divBdr>
        </w:div>
        <w:div w:id="1887059940">
          <w:marLeft w:val="1800"/>
          <w:marRight w:val="0"/>
          <w:marTop w:val="91"/>
          <w:marBottom w:val="0"/>
          <w:divBdr>
            <w:top w:val="none" w:sz="0" w:space="0" w:color="auto"/>
            <w:left w:val="none" w:sz="0" w:space="0" w:color="auto"/>
            <w:bottom w:val="none" w:sz="0" w:space="0" w:color="auto"/>
            <w:right w:val="none" w:sz="0" w:space="0" w:color="auto"/>
          </w:divBdr>
        </w:div>
        <w:div w:id="2038459342">
          <w:marLeft w:val="1166"/>
          <w:marRight w:val="0"/>
          <w:marTop w:val="106"/>
          <w:marBottom w:val="0"/>
          <w:divBdr>
            <w:top w:val="none" w:sz="0" w:space="0" w:color="auto"/>
            <w:left w:val="none" w:sz="0" w:space="0" w:color="auto"/>
            <w:bottom w:val="none" w:sz="0" w:space="0" w:color="auto"/>
            <w:right w:val="none" w:sz="0" w:space="0" w:color="auto"/>
          </w:divBdr>
        </w:div>
      </w:divsChild>
    </w:div>
    <w:div w:id="791442020">
      <w:bodyDiv w:val="1"/>
      <w:marLeft w:val="0"/>
      <w:marRight w:val="0"/>
      <w:marTop w:val="0"/>
      <w:marBottom w:val="0"/>
      <w:divBdr>
        <w:top w:val="none" w:sz="0" w:space="0" w:color="auto"/>
        <w:left w:val="none" w:sz="0" w:space="0" w:color="auto"/>
        <w:bottom w:val="none" w:sz="0" w:space="0" w:color="auto"/>
        <w:right w:val="none" w:sz="0" w:space="0" w:color="auto"/>
      </w:divBdr>
    </w:div>
    <w:div w:id="818114241">
      <w:bodyDiv w:val="1"/>
      <w:marLeft w:val="0"/>
      <w:marRight w:val="0"/>
      <w:marTop w:val="0"/>
      <w:marBottom w:val="0"/>
      <w:divBdr>
        <w:top w:val="none" w:sz="0" w:space="0" w:color="auto"/>
        <w:left w:val="none" w:sz="0" w:space="0" w:color="auto"/>
        <w:bottom w:val="none" w:sz="0" w:space="0" w:color="auto"/>
        <w:right w:val="none" w:sz="0" w:space="0" w:color="auto"/>
      </w:divBdr>
    </w:div>
    <w:div w:id="819342975">
      <w:bodyDiv w:val="1"/>
      <w:marLeft w:val="0"/>
      <w:marRight w:val="0"/>
      <w:marTop w:val="0"/>
      <w:marBottom w:val="0"/>
      <w:divBdr>
        <w:top w:val="none" w:sz="0" w:space="0" w:color="auto"/>
        <w:left w:val="none" w:sz="0" w:space="0" w:color="auto"/>
        <w:bottom w:val="none" w:sz="0" w:space="0" w:color="auto"/>
        <w:right w:val="none" w:sz="0" w:space="0" w:color="auto"/>
      </w:divBdr>
      <w:divsChild>
        <w:div w:id="237132404">
          <w:marLeft w:val="0"/>
          <w:marRight w:val="0"/>
          <w:marTop w:val="0"/>
          <w:marBottom w:val="0"/>
          <w:divBdr>
            <w:top w:val="none" w:sz="0" w:space="0" w:color="auto"/>
            <w:left w:val="none" w:sz="0" w:space="0" w:color="auto"/>
            <w:bottom w:val="none" w:sz="0" w:space="0" w:color="auto"/>
            <w:right w:val="none" w:sz="0" w:space="0" w:color="auto"/>
          </w:divBdr>
        </w:div>
        <w:div w:id="842621748">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9201095">
      <w:bodyDiv w:val="1"/>
      <w:marLeft w:val="0"/>
      <w:marRight w:val="0"/>
      <w:marTop w:val="0"/>
      <w:marBottom w:val="0"/>
      <w:divBdr>
        <w:top w:val="none" w:sz="0" w:space="0" w:color="auto"/>
        <w:left w:val="none" w:sz="0" w:space="0" w:color="auto"/>
        <w:bottom w:val="none" w:sz="0" w:space="0" w:color="auto"/>
        <w:right w:val="none" w:sz="0" w:space="0" w:color="auto"/>
      </w:divBdr>
    </w:div>
    <w:div w:id="954873591">
      <w:bodyDiv w:val="1"/>
      <w:marLeft w:val="0"/>
      <w:marRight w:val="0"/>
      <w:marTop w:val="0"/>
      <w:marBottom w:val="0"/>
      <w:divBdr>
        <w:top w:val="none" w:sz="0" w:space="0" w:color="auto"/>
        <w:left w:val="none" w:sz="0" w:space="0" w:color="auto"/>
        <w:bottom w:val="none" w:sz="0" w:space="0" w:color="auto"/>
        <w:right w:val="none" w:sz="0" w:space="0" w:color="auto"/>
      </w:divBdr>
    </w:div>
    <w:div w:id="990672850">
      <w:bodyDiv w:val="1"/>
      <w:marLeft w:val="0"/>
      <w:marRight w:val="0"/>
      <w:marTop w:val="0"/>
      <w:marBottom w:val="0"/>
      <w:divBdr>
        <w:top w:val="none" w:sz="0" w:space="0" w:color="auto"/>
        <w:left w:val="none" w:sz="0" w:space="0" w:color="auto"/>
        <w:bottom w:val="none" w:sz="0" w:space="0" w:color="auto"/>
        <w:right w:val="none" w:sz="0" w:space="0" w:color="auto"/>
      </w:divBdr>
    </w:div>
    <w:div w:id="998536373">
      <w:bodyDiv w:val="1"/>
      <w:marLeft w:val="0"/>
      <w:marRight w:val="0"/>
      <w:marTop w:val="0"/>
      <w:marBottom w:val="0"/>
      <w:divBdr>
        <w:top w:val="none" w:sz="0" w:space="0" w:color="auto"/>
        <w:left w:val="none" w:sz="0" w:space="0" w:color="auto"/>
        <w:bottom w:val="none" w:sz="0" w:space="0" w:color="auto"/>
        <w:right w:val="none" w:sz="0" w:space="0" w:color="auto"/>
      </w:divBdr>
    </w:div>
    <w:div w:id="1049186208">
      <w:bodyDiv w:val="1"/>
      <w:marLeft w:val="0"/>
      <w:marRight w:val="0"/>
      <w:marTop w:val="0"/>
      <w:marBottom w:val="0"/>
      <w:divBdr>
        <w:top w:val="none" w:sz="0" w:space="0" w:color="auto"/>
        <w:left w:val="none" w:sz="0" w:space="0" w:color="auto"/>
        <w:bottom w:val="none" w:sz="0" w:space="0" w:color="auto"/>
        <w:right w:val="none" w:sz="0" w:space="0" w:color="auto"/>
      </w:divBdr>
    </w:div>
    <w:div w:id="1151480060">
      <w:bodyDiv w:val="1"/>
      <w:marLeft w:val="0"/>
      <w:marRight w:val="0"/>
      <w:marTop w:val="0"/>
      <w:marBottom w:val="0"/>
      <w:divBdr>
        <w:top w:val="none" w:sz="0" w:space="0" w:color="auto"/>
        <w:left w:val="none" w:sz="0" w:space="0" w:color="auto"/>
        <w:bottom w:val="none" w:sz="0" w:space="0" w:color="auto"/>
        <w:right w:val="none" w:sz="0" w:space="0" w:color="auto"/>
      </w:divBdr>
      <w:divsChild>
        <w:div w:id="1579906247">
          <w:marLeft w:val="0"/>
          <w:marRight w:val="0"/>
          <w:marTop w:val="0"/>
          <w:marBottom w:val="0"/>
          <w:divBdr>
            <w:top w:val="none" w:sz="0" w:space="0" w:color="auto"/>
            <w:left w:val="none" w:sz="0" w:space="0" w:color="auto"/>
            <w:bottom w:val="none" w:sz="0" w:space="0" w:color="auto"/>
            <w:right w:val="none" w:sz="0" w:space="0" w:color="auto"/>
          </w:divBdr>
          <w:divsChild>
            <w:div w:id="89854986">
              <w:marLeft w:val="0"/>
              <w:marRight w:val="0"/>
              <w:marTop w:val="0"/>
              <w:marBottom w:val="0"/>
              <w:divBdr>
                <w:top w:val="none" w:sz="0" w:space="0" w:color="auto"/>
                <w:left w:val="none" w:sz="0" w:space="0" w:color="auto"/>
                <w:bottom w:val="none" w:sz="0" w:space="0" w:color="auto"/>
                <w:right w:val="none" w:sz="0" w:space="0" w:color="auto"/>
              </w:divBdr>
            </w:div>
            <w:div w:id="284702949">
              <w:marLeft w:val="0"/>
              <w:marRight w:val="0"/>
              <w:marTop w:val="0"/>
              <w:marBottom w:val="0"/>
              <w:divBdr>
                <w:top w:val="none" w:sz="0" w:space="0" w:color="auto"/>
                <w:left w:val="none" w:sz="0" w:space="0" w:color="auto"/>
                <w:bottom w:val="none" w:sz="0" w:space="0" w:color="auto"/>
                <w:right w:val="none" w:sz="0" w:space="0" w:color="auto"/>
              </w:divBdr>
            </w:div>
            <w:div w:id="433280868">
              <w:marLeft w:val="0"/>
              <w:marRight w:val="0"/>
              <w:marTop w:val="0"/>
              <w:marBottom w:val="0"/>
              <w:divBdr>
                <w:top w:val="none" w:sz="0" w:space="0" w:color="auto"/>
                <w:left w:val="none" w:sz="0" w:space="0" w:color="auto"/>
                <w:bottom w:val="none" w:sz="0" w:space="0" w:color="auto"/>
                <w:right w:val="none" w:sz="0" w:space="0" w:color="auto"/>
              </w:divBdr>
            </w:div>
            <w:div w:id="934097567">
              <w:marLeft w:val="0"/>
              <w:marRight w:val="0"/>
              <w:marTop w:val="0"/>
              <w:marBottom w:val="0"/>
              <w:divBdr>
                <w:top w:val="none" w:sz="0" w:space="0" w:color="auto"/>
                <w:left w:val="none" w:sz="0" w:space="0" w:color="auto"/>
                <w:bottom w:val="none" w:sz="0" w:space="0" w:color="auto"/>
                <w:right w:val="none" w:sz="0" w:space="0" w:color="auto"/>
              </w:divBdr>
            </w:div>
            <w:div w:id="1140074358">
              <w:marLeft w:val="0"/>
              <w:marRight w:val="0"/>
              <w:marTop w:val="0"/>
              <w:marBottom w:val="0"/>
              <w:divBdr>
                <w:top w:val="none" w:sz="0" w:space="0" w:color="auto"/>
                <w:left w:val="none" w:sz="0" w:space="0" w:color="auto"/>
                <w:bottom w:val="none" w:sz="0" w:space="0" w:color="auto"/>
                <w:right w:val="none" w:sz="0" w:space="0" w:color="auto"/>
              </w:divBdr>
            </w:div>
            <w:div w:id="1407727590">
              <w:marLeft w:val="0"/>
              <w:marRight w:val="0"/>
              <w:marTop w:val="0"/>
              <w:marBottom w:val="0"/>
              <w:divBdr>
                <w:top w:val="none" w:sz="0" w:space="0" w:color="auto"/>
                <w:left w:val="none" w:sz="0" w:space="0" w:color="auto"/>
                <w:bottom w:val="none" w:sz="0" w:space="0" w:color="auto"/>
                <w:right w:val="none" w:sz="0" w:space="0" w:color="auto"/>
              </w:divBdr>
            </w:div>
            <w:div w:id="1424452713">
              <w:marLeft w:val="0"/>
              <w:marRight w:val="0"/>
              <w:marTop w:val="0"/>
              <w:marBottom w:val="0"/>
              <w:divBdr>
                <w:top w:val="none" w:sz="0" w:space="0" w:color="auto"/>
                <w:left w:val="none" w:sz="0" w:space="0" w:color="auto"/>
                <w:bottom w:val="none" w:sz="0" w:space="0" w:color="auto"/>
                <w:right w:val="none" w:sz="0" w:space="0" w:color="auto"/>
              </w:divBdr>
            </w:div>
            <w:div w:id="1475029571">
              <w:marLeft w:val="0"/>
              <w:marRight w:val="0"/>
              <w:marTop w:val="0"/>
              <w:marBottom w:val="0"/>
              <w:divBdr>
                <w:top w:val="none" w:sz="0" w:space="0" w:color="auto"/>
                <w:left w:val="none" w:sz="0" w:space="0" w:color="auto"/>
                <w:bottom w:val="none" w:sz="0" w:space="0" w:color="auto"/>
                <w:right w:val="none" w:sz="0" w:space="0" w:color="auto"/>
              </w:divBdr>
            </w:div>
            <w:div w:id="1927301628">
              <w:marLeft w:val="0"/>
              <w:marRight w:val="0"/>
              <w:marTop w:val="0"/>
              <w:marBottom w:val="0"/>
              <w:divBdr>
                <w:top w:val="none" w:sz="0" w:space="0" w:color="auto"/>
                <w:left w:val="none" w:sz="0" w:space="0" w:color="auto"/>
                <w:bottom w:val="none" w:sz="0" w:space="0" w:color="auto"/>
                <w:right w:val="none" w:sz="0" w:space="0" w:color="auto"/>
              </w:divBdr>
            </w:div>
          </w:divsChild>
        </w:div>
        <w:div w:id="1782260904">
          <w:marLeft w:val="0"/>
          <w:marRight w:val="0"/>
          <w:marTop w:val="0"/>
          <w:marBottom w:val="0"/>
          <w:divBdr>
            <w:top w:val="none" w:sz="0" w:space="0" w:color="auto"/>
            <w:left w:val="none" w:sz="0" w:space="0" w:color="auto"/>
            <w:bottom w:val="none" w:sz="0" w:space="0" w:color="auto"/>
            <w:right w:val="none" w:sz="0" w:space="0" w:color="auto"/>
          </w:divBdr>
          <w:divsChild>
            <w:div w:id="16540">
              <w:marLeft w:val="0"/>
              <w:marRight w:val="0"/>
              <w:marTop w:val="0"/>
              <w:marBottom w:val="0"/>
              <w:divBdr>
                <w:top w:val="none" w:sz="0" w:space="0" w:color="auto"/>
                <w:left w:val="none" w:sz="0" w:space="0" w:color="auto"/>
                <w:bottom w:val="none" w:sz="0" w:space="0" w:color="auto"/>
                <w:right w:val="none" w:sz="0" w:space="0" w:color="auto"/>
              </w:divBdr>
            </w:div>
            <w:div w:id="175729413">
              <w:marLeft w:val="0"/>
              <w:marRight w:val="0"/>
              <w:marTop w:val="0"/>
              <w:marBottom w:val="0"/>
              <w:divBdr>
                <w:top w:val="none" w:sz="0" w:space="0" w:color="auto"/>
                <w:left w:val="none" w:sz="0" w:space="0" w:color="auto"/>
                <w:bottom w:val="none" w:sz="0" w:space="0" w:color="auto"/>
                <w:right w:val="none" w:sz="0" w:space="0" w:color="auto"/>
              </w:divBdr>
            </w:div>
            <w:div w:id="310060582">
              <w:marLeft w:val="0"/>
              <w:marRight w:val="0"/>
              <w:marTop w:val="0"/>
              <w:marBottom w:val="0"/>
              <w:divBdr>
                <w:top w:val="none" w:sz="0" w:space="0" w:color="auto"/>
                <w:left w:val="none" w:sz="0" w:space="0" w:color="auto"/>
                <w:bottom w:val="none" w:sz="0" w:space="0" w:color="auto"/>
                <w:right w:val="none" w:sz="0" w:space="0" w:color="auto"/>
              </w:divBdr>
            </w:div>
            <w:div w:id="390344938">
              <w:marLeft w:val="0"/>
              <w:marRight w:val="0"/>
              <w:marTop w:val="0"/>
              <w:marBottom w:val="0"/>
              <w:divBdr>
                <w:top w:val="none" w:sz="0" w:space="0" w:color="auto"/>
                <w:left w:val="none" w:sz="0" w:space="0" w:color="auto"/>
                <w:bottom w:val="none" w:sz="0" w:space="0" w:color="auto"/>
                <w:right w:val="none" w:sz="0" w:space="0" w:color="auto"/>
              </w:divBdr>
            </w:div>
            <w:div w:id="400951160">
              <w:marLeft w:val="0"/>
              <w:marRight w:val="0"/>
              <w:marTop w:val="0"/>
              <w:marBottom w:val="0"/>
              <w:divBdr>
                <w:top w:val="none" w:sz="0" w:space="0" w:color="auto"/>
                <w:left w:val="none" w:sz="0" w:space="0" w:color="auto"/>
                <w:bottom w:val="none" w:sz="0" w:space="0" w:color="auto"/>
                <w:right w:val="none" w:sz="0" w:space="0" w:color="auto"/>
              </w:divBdr>
            </w:div>
            <w:div w:id="490290805">
              <w:marLeft w:val="0"/>
              <w:marRight w:val="0"/>
              <w:marTop w:val="0"/>
              <w:marBottom w:val="0"/>
              <w:divBdr>
                <w:top w:val="none" w:sz="0" w:space="0" w:color="auto"/>
                <w:left w:val="none" w:sz="0" w:space="0" w:color="auto"/>
                <w:bottom w:val="none" w:sz="0" w:space="0" w:color="auto"/>
                <w:right w:val="none" w:sz="0" w:space="0" w:color="auto"/>
              </w:divBdr>
            </w:div>
            <w:div w:id="914702210">
              <w:marLeft w:val="0"/>
              <w:marRight w:val="0"/>
              <w:marTop w:val="0"/>
              <w:marBottom w:val="0"/>
              <w:divBdr>
                <w:top w:val="none" w:sz="0" w:space="0" w:color="auto"/>
                <w:left w:val="none" w:sz="0" w:space="0" w:color="auto"/>
                <w:bottom w:val="none" w:sz="0" w:space="0" w:color="auto"/>
                <w:right w:val="none" w:sz="0" w:space="0" w:color="auto"/>
              </w:divBdr>
            </w:div>
            <w:div w:id="1116025887">
              <w:marLeft w:val="0"/>
              <w:marRight w:val="0"/>
              <w:marTop w:val="0"/>
              <w:marBottom w:val="0"/>
              <w:divBdr>
                <w:top w:val="none" w:sz="0" w:space="0" w:color="auto"/>
                <w:left w:val="none" w:sz="0" w:space="0" w:color="auto"/>
                <w:bottom w:val="none" w:sz="0" w:space="0" w:color="auto"/>
                <w:right w:val="none" w:sz="0" w:space="0" w:color="auto"/>
              </w:divBdr>
            </w:div>
            <w:div w:id="11730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4775917">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3471243">
      <w:bodyDiv w:val="1"/>
      <w:marLeft w:val="0"/>
      <w:marRight w:val="0"/>
      <w:marTop w:val="0"/>
      <w:marBottom w:val="0"/>
      <w:divBdr>
        <w:top w:val="none" w:sz="0" w:space="0" w:color="auto"/>
        <w:left w:val="none" w:sz="0" w:space="0" w:color="auto"/>
        <w:bottom w:val="none" w:sz="0" w:space="0" w:color="auto"/>
        <w:right w:val="none" w:sz="0" w:space="0" w:color="auto"/>
      </w:divBdr>
    </w:div>
    <w:div w:id="1285696558">
      <w:bodyDiv w:val="1"/>
      <w:marLeft w:val="0"/>
      <w:marRight w:val="0"/>
      <w:marTop w:val="0"/>
      <w:marBottom w:val="0"/>
      <w:divBdr>
        <w:top w:val="none" w:sz="0" w:space="0" w:color="auto"/>
        <w:left w:val="none" w:sz="0" w:space="0" w:color="auto"/>
        <w:bottom w:val="none" w:sz="0" w:space="0" w:color="auto"/>
        <w:right w:val="none" w:sz="0" w:space="0" w:color="auto"/>
      </w:divBdr>
    </w:div>
    <w:div w:id="1337921140">
      <w:bodyDiv w:val="1"/>
      <w:marLeft w:val="0"/>
      <w:marRight w:val="0"/>
      <w:marTop w:val="0"/>
      <w:marBottom w:val="0"/>
      <w:divBdr>
        <w:top w:val="none" w:sz="0" w:space="0" w:color="auto"/>
        <w:left w:val="none" w:sz="0" w:space="0" w:color="auto"/>
        <w:bottom w:val="none" w:sz="0" w:space="0" w:color="auto"/>
        <w:right w:val="none" w:sz="0" w:space="0" w:color="auto"/>
      </w:divBdr>
    </w:div>
    <w:div w:id="1377240796">
      <w:bodyDiv w:val="1"/>
      <w:marLeft w:val="0"/>
      <w:marRight w:val="0"/>
      <w:marTop w:val="0"/>
      <w:marBottom w:val="0"/>
      <w:divBdr>
        <w:top w:val="none" w:sz="0" w:space="0" w:color="auto"/>
        <w:left w:val="none" w:sz="0" w:space="0" w:color="auto"/>
        <w:bottom w:val="none" w:sz="0" w:space="0" w:color="auto"/>
        <w:right w:val="none" w:sz="0" w:space="0" w:color="auto"/>
      </w:divBdr>
      <w:divsChild>
        <w:div w:id="2047370973">
          <w:marLeft w:val="547"/>
          <w:marRight w:val="0"/>
          <w:marTop w:val="134"/>
          <w:marBottom w:val="0"/>
          <w:divBdr>
            <w:top w:val="none" w:sz="0" w:space="0" w:color="auto"/>
            <w:left w:val="none" w:sz="0" w:space="0" w:color="auto"/>
            <w:bottom w:val="none" w:sz="0" w:space="0" w:color="auto"/>
            <w:right w:val="none" w:sz="0" w:space="0" w:color="auto"/>
          </w:divBdr>
        </w:div>
      </w:divsChild>
    </w:div>
    <w:div w:id="1381325340">
      <w:bodyDiv w:val="1"/>
      <w:marLeft w:val="0"/>
      <w:marRight w:val="0"/>
      <w:marTop w:val="0"/>
      <w:marBottom w:val="0"/>
      <w:divBdr>
        <w:top w:val="none" w:sz="0" w:space="0" w:color="auto"/>
        <w:left w:val="none" w:sz="0" w:space="0" w:color="auto"/>
        <w:bottom w:val="none" w:sz="0" w:space="0" w:color="auto"/>
        <w:right w:val="none" w:sz="0" w:space="0" w:color="auto"/>
      </w:divBdr>
    </w:div>
    <w:div w:id="1408460079">
      <w:bodyDiv w:val="1"/>
      <w:marLeft w:val="0"/>
      <w:marRight w:val="0"/>
      <w:marTop w:val="0"/>
      <w:marBottom w:val="0"/>
      <w:divBdr>
        <w:top w:val="none" w:sz="0" w:space="0" w:color="auto"/>
        <w:left w:val="none" w:sz="0" w:space="0" w:color="auto"/>
        <w:bottom w:val="none" w:sz="0" w:space="0" w:color="auto"/>
        <w:right w:val="none" w:sz="0" w:space="0" w:color="auto"/>
      </w:divBdr>
    </w:div>
    <w:div w:id="1413967717">
      <w:bodyDiv w:val="1"/>
      <w:marLeft w:val="0"/>
      <w:marRight w:val="0"/>
      <w:marTop w:val="0"/>
      <w:marBottom w:val="0"/>
      <w:divBdr>
        <w:top w:val="none" w:sz="0" w:space="0" w:color="auto"/>
        <w:left w:val="none" w:sz="0" w:space="0" w:color="auto"/>
        <w:bottom w:val="none" w:sz="0" w:space="0" w:color="auto"/>
        <w:right w:val="none" w:sz="0" w:space="0" w:color="auto"/>
      </w:divBdr>
    </w:div>
    <w:div w:id="1476265404">
      <w:bodyDiv w:val="1"/>
      <w:marLeft w:val="0"/>
      <w:marRight w:val="0"/>
      <w:marTop w:val="0"/>
      <w:marBottom w:val="0"/>
      <w:divBdr>
        <w:top w:val="none" w:sz="0" w:space="0" w:color="auto"/>
        <w:left w:val="none" w:sz="0" w:space="0" w:color="auto"/>
        <w:bottom w:val="none" w:sz="0" w:space="0" w:color="auto"/>
        <w:right w:val="none" w:sz="0" w:space="0" w:color="auto"/>
      </w:divBdr>
    </w:div>
    <w:div w:id="1480881284">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725910221">
      <w:bodyDiv w:val="1"/>
      <w:marLeft w:val="0"/>
      <w:marRight w:val="0"/>
      <w:marTop w:val="0"/>
      <w:marBottom w:val="0"/>
      <w:divBdr>
        <w:top w:val="none" w:sz="0" w:space="0" w:color="auto"/>
        <w:left w:val="none" w:sz="0" w:space="0" w:color="auto"/>
        <w:bottom w:val="none" w:sz="0" w:space="0" w:color="auto"/>
        <w:right w:val="none" w:sz="0" w:space="0" w:color="auto"/>
      </w:divBdr>
    </w:div>
    <w:div w:id="1747727331">
      <w:bodyDiv w:val="1"/>
      <w:marLeft w:val="0"/>
      <w:marRight w:val="0"/>
      <w:marTop w:val="0"/>
      <w:marBottom w:val="0"/>
      <w:divBdr>
        <w:top w:val="none" w:sz="0" w:space="0" w:color="auto"/>
        <w:left w:val="none" w:sz="0" w:space="0" w:color="auto"/>
        <w:bottom w:val="none" w:sz="0" w:space="0" w:color="auto"/>
        <w:right w:val="none" w:sz="0" w:space="0" w:color="auto"/>
      </w:divBdr>
      <w:divsChild>
        <w:div w:id="570123532">
          <w:marLeft w:val="547"/>
          <w:marRight w:val="0"/>
          <w:marTop w:val="115"/>
          <w:marBottom w:val="0"/>
          <w:divBdr>
            <w:top w:val="none" w:sz="0" w:space="0" w:color="auto"/>
            <w:left w:val="none" w:sz="0" w:space="0" w:color="auto"/>
            <w:bottom w:val="none" w:sz="0" w:space="0" w:color="auto"/>
            <w:right w:val="none" w:sz="0" w:space="0" w:color="auto"/>
          </w:divBdr>
        </w:div>
        <w:div w:id="815993954">
          <w:marLeft w:val="547"/>
          <w:marRight w:val="0"/>
          <w:marTop w:val="115"/>
          <w:marBottom w:val="0"/>
          <w:divBdr>
            <w:top w:val="none" w:sz="0" w:space="0" w:color="auto"/>
            <w:left w:val="none" w:sz="0" w:space="0" w:color="auto"/>
            <w:bottom w:val="none" w:sz="0" w:space="0" w:color="auto"/>
            <w:right w:val="none" w:sz="0" w:space="0" w:color="auto"/>
          </w:divBdr>
        </w:div>
        <w:div w:id="1627420843">
          <w:marLeft w:val="547"/>
          <w:marRight w:val="0"/>
          <w:marTop w:val="115"/>
          <w:marBottom w:val="0"/>
          <w:divBdr>
            <w:top w:val="none" w:sz="0" w:space="0" w:color="auto"/>
            <w:left w:val="none" w:sz="0" w:space="0" w:color="auto"/>
            <w:bottom w:val="none" w:sz="0" w:space="0" w:color="auto"/>
            <w:right w:val="none" w:sz="0" w:space="0" w:color="auto"/>
          </w:divBdr>
        </w:div>
        <w:div w:id="2123962674">
          <w:marLeft w:val="547"/>
          <w:marRight w:val="0"/>
          <w:marTop w:val="115"/>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93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tomiris.com/-/media/Ultomiris_gMG/pdf/gMG-ULTOMIRIS-ADL-Tool.ashx" TargetMode="External"/><Relationship Id="rId18" Type="http://schemas.openxmlformats.org/officeDocument/2006/relationships/hyperlink" Target="https://ultomiris.com/-/media/Ultomiris_gMG/pdf/gMG-ULTOMIRIS-ADL-Tool.ash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ultomiris.com/-/media/Ultomiris_gMG/pdf/gMG-ULTOMIRIS-ADL-Tool.ashx" TargetMode="External"/><Relationship Id="rId17" Type="http://schemas.openxmlformats.org/officeDocument/2006/relationships/hyperlink" Target="https://ultomiris.com/-/media/Ultomiris_gMG/pdf/gMG-ULTOMIRIS-ADL-Tool.ash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ltomiris.com/-/media/Ultomiris_gMG/pdf/gMG-ULTOMIRIS-ADL-Tool.ashx" TargetMode="External"/><Relationship Id="rId20" Type="http://schemas.openxmlformats.org/officeDocument/2006/relationships/hyperlink" Target="https://ultomiris.com/-/media/Ultomiris_gMG/pdf/gMG-ULTOMIRIS-ADL-Tool.ash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ltomiris.com/-/media/Ultomiris_gMG/pdf/gMG-ULTOMIRIS-ADL-Tool.ash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ltomiris.com/-/media/Ultomiris_gMG/pdf/gMG-ULTOMIRIS-ADL-Tool.ashx" TargetMode="External"/><Relationship Id="rId23" Type="http://schemas.openxmlformats.org/officeDocument/2006/relationships/hyperlink" Target="https://www.blood.gov.au/report-issue-and-use-immunoglobulin"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ltomiris.com/-/media/Ultomiris_gMG/pdf/gMG-ULTOMIRIS-ADL-Tool.ash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tomiris.com/-/media/Ultomiris_gMG/pdf/gMG-ULTOMIRIS-ADL-Tool.ashx"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bs.tga.gov.au/ebs/picmi/picmirepository.nsf/pdf?OpenAgent=&amp;id=CP-2020-PI-01935-1&amp;d=20250321172310101" TargetMode="External"/><Relationship Id="rId1" Type="http://schemas.openxmlformats.org/officeDocument/2006/relationships/hyperlink" Target="https://doi.org/10.1002/mus.2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6C87A-F35F-498B-963B-55ABECA495C0}">
  <ds:schemaRefs>
    <ds:schemaRef ds:uri="http://schemas.microsoft.com/office/2006/documentManagement/types"/>
    <ds:schemaRef ds:uri="http://www.w3.org/XML/1998/namespace"/>
    <ds:schemaRef ds:uri="72f95629-adac-4ec1-8738-e1cec852b92b"/>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7f856f8d-13b3-495a-9a4b-41f8182eda4c"/>
    <ds:schemaRef ds:uri="http://schemas.microsoft.com/office/2006/metadata/properties"/>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829DD188-40EC-4771-85F1-CF1F5C838975}">
  <ds:schemaRefs>
    <ds:schemaRef ds:uri="http://schemas.microsoft.com/sharepoint/v3/contenttype/forms"/>
  </ds:schemaRefs>
</ds:datastoreItem>
</file>

<file path=customXml/itemProps4.xml><?xml version="1.0" encoding="utf-8"?>
<ds:datastoreItem xmlns:ds="http://schemas.openxmlformats.org/officeDocument/2006/customXml" ds:itemID="{F517BBA4-B6E8-4EEF-9786-BA9C597D0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29555</Words>
  <Characters>169970</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199127</CharactersWithSpaces>
  <SharedDoc>false</SharedDoc>
  <HLinks>
    <vt:vector size="78" baseType="variant">
      <vt:variant>
        <vt:i4>4259868</vt:i4>
      </vt:variant>
      <vt:variant>
        <vt:i4>195</vt:i4>
      </vt:variant>
      <vt:variant>
        <vt:i4>0</vt:i4>
      </vt:variant>
      <vt:variant>
        <vt:i4>5</vt:i4>
      </vt:variant>
      <vt:variant>
        <vt:lpwstr>https://www.blood.gov.au/report-issue-and-use-immunoglobulin</vt:lpwstr>
      </vt:variant>
      <vt:variant>
        <vt:lpwstr/>
      </vt:variant>
      <vt:variant>
        <vt:i4>524347</vt:i4>
      </vt:variant>
      <vt:variant>
        <vt:i4>36</vt:i4>
      </vt:variant>
      <vt:variant>
        <vt:i4>0</vt:i4>
      </vt:variant>
      <vt:variant>
        <vt:i4>5</vt:i4>
      </vt:variant>
      <vt:variant>
        <vt:lpwstr>https://ultomiris.com/-/media/Ultomiris_gMG/pdf/gMG-ULTOMIRIS-ADL-Tool.ashx</vt:lpwstr>
      </vt:variant>
      <vt:variant>
        <vt:lpwstr/>
      </vt:variant>
      <vt:variant>
        <vt:i4>524347</vt:i4>
      </vt:variant>
      <vt:variant>
        <vt:i4>33</vt:i4>
      </vt:variant>
      <vt:variant>
        <vt:i4>0</vt:i4>
      </vt:variant>
      <vt:variant>
        <vt:i4>5</vt:i4>
      </vt:variant>
      <vt:variant>
        <vt:lpwstr>https://ultomiris.com/-/media/Ultomiris_gMG/pdf/gMG-ULTOMIRIS-ADL-Tool.ashx</vt:lpwstr>
      </vt:variant>
      <vt:variant>
        <vt:lpwstr/>
      </vt:variant>
      <vt:variant>
        <vt:i4>524347</vt:i4>
      </vt:variant>
      <vt:variant>
        <vt:i4>30</vt:i4>
      </vt:variant>
      <vt:variant>
        <vt:i4>0</vt:i4>
      </vt:variant>
      <vt:variant>
        <vt:i4>5</vt:i4>
      </vt:variant>
      <vt:variant>
        <vt:lpwstr>https://ultomiris.com/-/media/Ultomiris_gMG/pdf/gMG-ULTOMIRIS-ADL-Tool.ashx</vt:lpwstr>
      </vt:variant>
      <vt:variant>
        <vt:lpwstr/>
      </vt:variant>
      <vt:variant>
        <vt:i4>524347</vt:i4>
      </vt:variant>
      <vt:variant>
        <vt:i4>27</vt:i4>
      </vt:variant>
      <vt:variant>
        <vt:i4>0</vt:i4>
      </vt:variant>
      <vt:variant>
        <vt:i4>5</vt:i4>
      </vt:variant>
      <vt:variant>
        <vt:lpwstr>https://ultomiris.com/-/media/Ultomiris_gMG/pdf/gMG-ULTOMIRIS-ADL-Tool.ashx</vt:lpwstr>
      </vt:variant>
      <vt:variant>
        <vt:lpwstr/>
      </vt:variant>
      <vt:variant>
        <vt:i4>524347</vt:i4>
      </vt:variant>
      <vt:variant>
        <vt:i4>24</vt:i4>
      </vt:variant>
      <vt:variant>
        <vt:i4>0</vt:i4>
      </vt:variant>
      <vt:variant>
        <vt:i4>5</vt:i4>
      </vt:variant>
      <vt:variant>
        <vt:lpwstr>https://ultomiris.com/-/media/Ultomiris_gMG/pdf/gMG-ULTOMIRIS-ADL-Tool.ashx</vt:lpwstr>
      </vt:variant>
      <vt:variant>
        <vt:lpwstr/>
      </vt:variant>
      <vt:variant>
        <vt:i4>524347</vt:i4>
      </vt:variant>
      <vt:variant>
        <vt:i4>21</vt:i4>
      </vt:variant>
      <vt:variant>
        <vt:i4>0</vt:i4>
      </vt:variant>
      <vt:variant>
        <vt:i4>5</vt:i4>
      </vt:variant>
      <vt:variant>
        <vt:lpwstr>https://ultomiris.com/-/media/Ultomiris_gMG/pdf/gMG-ULTOMIRIS-ADL-Tool.ashx</vt:lpwstr>
      </vt:variant>
      <vt:variant>
        <vt:lpwstr/>
      </vt:variant>
      <vt:variant>
        <vt:i4>524347</vt:i4>
      </vt:variant>
      <vt:variant>
        <vt:i4>18</vt:i4>
      </vt:variant>
      <vt:variant>
        <vt:i4>0</vt:i4>
      </vt:variant>
      <vt:variant>
        <vt:i4>5</vt:i4>
      </vt:variant>
      <vt:variant>
        <vt:lpwstr>https://ultomiris.com/-/media/Ultomiris_gMG/pdf/gMG-ULTOMIRIS-ADL-Tool.ashx</vt:lpwstr>
      </vt:variant>
      <vt:variant>
        <vt:lpwstr/>
      </vt:variant>
      <vt:variant>
        <vt:i4>524347</vt:i4>
      </vt:variant>
      <vt:variant>
        <vt:i4>15</vt:i4>
      </vt:variant>
      <vt:variant>
        <vt:i4>0</vt:i4>
      </vt:variant>
      <vt:variant>
        <vt:i4>5</vt:i4>
      </vt:variant>
      <vt:variant>
        <vt:lpwstr>https://ultomiris.com/-/media/Ultomiris_gMG/pdf/gMG-ULTOMIRIS-ADL-Tool.ashx</vt:lpwstr>
      </vt:variant>
      <vt:variant>
        <vt:lpwstr/>
      </vt:variant>
      <vt:variant>
        <vt:i4>524347</vt:i4>
      </vt:variant>
      <vt:variant>
        <vt:i4>12</vt:i4>
      </vt:variant>
      <vt:variant>
        <vt:i4>0</vt:i4>
      </vt:variant>
      <vt:variant>
        <vt:i4>5</vt:i4>
      </vt:variant>
      <vt:variant>
        <vt:lpwstr>https://ultomiris.com/-/media/Ultomiris_gMG/pdf/gMG-ULTOMIRIS-ADL-Tool.ashx</vt:lpwstr>
      </vt:variant>
      <vt:variant>
        <vt:lpwstr/>
      </vt:variant>
      <vt:variant>
        <vt:i4>524347</vt:i4>
      </vt:variant>
      <vt:variant>
        <vt:i4>9</vt:i4>
      </vt:variant>
      <vt:variant>
        <vt:i4>0</vt:i4>
      </vt:variant>
      <vt:variant>
        <vt:i4>5</vt:i4>
      </vt:variant>
      <vt:variant>
        <vt:lpwstr>https://ultomiris.com/-/media/Ultomiris_gMG/pdf/gMG-ULTOMIRIS-ADL-Tool.ashx</vt:lpwstr>
      </vt:variant>
      <vt:variant>
        <vt:lpwstr/>
      </vt:variant>
      <vt:variant>
        <vt:i4>1572866</vt:i4>
      </vt:variant>
      <vt:variant>
        <vt:i4>3</vt:i4>
      </vt:variant>
      <vt:variant>
        <vt:i4>0</vt:i4>
      </vt:variant>
      <vt:variant>
        <vt:i4>5</vt:i4>
      </vt:variant>
      <vt:variant>
        <vt:lpwstr>https://www.ebs.tga.gov.au/ebs/picmi/picmirepository.nsf/pdf?OpenAgent=&amp;id=CP-2020-PI-01935-1&amp;d=20250321172310101</vt:lpwstr>
      </vt:variant>
      <vt:variant>
        <vt:lpwstr/>
      </vt:variant>
      <vt:variant>
        <vt:i4>5046338</vt:i4>
      </vt:variant>
      <vt:variant>
        <vt:i4>0</vt:i4>
      </vt:variant>
      <vt:variant>
        <vt:i4>0</vt:i4>
      </vt:variant>
      <vt:variant>
        <vt:i4>5</vt:i4>
      </vt:variant>
      <vt:variant>
        <vt:lpwstr>https://doi.org/10.1002/mus.21640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2025-06-25T00:43:00Z</dcterms:created>
  <dcterms:modified xsi:type="dcterms:W3CDTF">2025-09-02T01:56:00Z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19da3b5a,7311afd7,45b8e960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12323226,7872d43,2cfd5691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2025-08-25T04:08:33Z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334e8e52-f046-42af-856e-944aa0a9a9b3</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9" name="docLang">
    <vt:lpwstr>en</vt:lpwstr>
  </property>
</Properties>
</file>